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sc-20250930x10q.htm"/>
        <w:bookmarkStart w:id="1" w:name="kshssc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
        </w:rPr>
      </w:pPr>
      <w:r>
        <w:rPr>
          <w:rFonts w:ascii="Arial;Helvetica;sans-serif" w:hAnsi="Arial;Helvetica;sans-serif"/>
          <w:b/>
          <w:sz w:val="2"/>
        </w:rPr>
        <w:t>8</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4"/>
        </w:rPr>
      </w:pPr>
      <w:bookmarkStart w:id="2" w:name="_5390ce43_e00a_4324_9275_e12d0c5e6b6e"/>
      <w:bookmarkEnd w:id="2"/>
      <w:r>
        <w:rPr>
          <w:rFonts w:ascii="Arial;Helvetica;sans-serif" w:hAnsi="Arial;Helvetica;sans-serif"/>
          <w:b/>
          <w:sz w:val="24"/>
        </w:rPr>
        <w:t>UNITED STATES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SECURITIES AND EXCHANGE COMMISSION</w:t>
      </w:r>
    </w:p>
    <w:p>
      <w:pPr>
        <w:pStyle w:val="TextBody"/>
        <w:bidi w:val="0"/>
        <w:spacing w:before="0" w:after="8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Form 10-Q</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(Mark One)</w:t>
      </w:r>
    </w:p>
    <w:p>
      <w:pPr>
        <w:pStyle w:val="TextBody"/>
        <w:bidi w:val="0"/>
        <w:spacing w:before="0" w:after="0"/>
        <w:ind w:left="0" w:right="0" w:hanging="0"/>
        <w:jc w:val="left"/>
        <w:rPr/>
      </w:pPr>
      <w:r>
        <w:rPr>
          <w:caps w:val="false"/>
          <w:smallCaps w:val="false"/>
        </w:rPr>
        <w:t>☒</w:t>
      </w:r>
      <w:r>
        <w:rPr>
          <w:rFonts w:ascii="Arial;Helvetica;sans-serif" w:hAnsi="Arial;Helvetica;sans-serif"/>
          <w:b/>
          <w:sz w:val="20"/>
        </w:rPr>
        <w:t>QUARTERLY REPORT PURSUANT TO SECTION 13 OR 15(d) OF THE SECURITIES EXCHANGE ACT OF 1934</w:t>
      </w:r>
    </w:p>
    <w:p>
      <w:pPr>
        <w:pStyle w:val="TextBody"/>
        <w:bidi w:val="0"/>
        <w:spacing w:before="0" w:after="60"/>
        <w:ind w:left="0" w:right="0" w:hanging="0"/>
        <w:jc w:val="center"/>
        <w:rPr>
          <w:rFonts w:ascii="Arial;Helvetica;sans-serif" w:hAnsi="Arial;Helvetica;sans-serif"/>
          <w:b/>
          <w:sz w:val="16"/>
        </w:rPr>
      </w:pPr>
      <w:r>
        <w:rPr>
          <w:rFonts w:ascii="Arial;Helvetica;sans-serif" w:hAnsi="Arial;Helvetica;sans-serif"/>
          <w:b/>
          <w:sz w:val="16"/>
        </w:rPr>
        <w:t>FOR THE QUARTERLY PERIOD ENDED SEPTEMBER 30, 2025.</w:t>
      </w:r>
    </w:p>
    <w:p>
      <w:pPr>
        <w:pStyle w:val="TextBody"/>
        <w:bidi w:val="0"/>
        <w:spacing w:before="0" w:after="6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bidi w:val="0"/>
        <w:spacing w:before="0" w:after="0"/>
        <w:ind w:left="0" w:right="0" w:hanging="0"/>
        <w:jc w:val="left"/>
        <w:rPr/>
      </w:pPr>
      <w:r>
        <w:rPr>
          <w:caps w:val="false"/>
          <w:smallCaps w:val="false"/>
        </w:rPr>
        <w:t>☐</w:t>
      </w:r>
      <w:r>
        <w:rPr>
          <w:rFonts w:ascii="Arial;Helvetica;sans-serif" w:hAnsi="Arial;Helvetica;sans-serif"/>
          <w:b/>
          <w:sz w:val="20"/>
        </w:rPr>
        <w:t>TRANSITION REPORT PURSUANT TO SECTION 13 OR 15(d) OF THE SECURITIES EXCHANGE ACT OF 1934</w:t>
      </w:r>
    </w:p>
    <w:p>
      <w:pPr>
        <w:pStyle w:val="TextBody"/>
        <w:bidi w:val="0"/>
        <w:spacing w:before="0" w:after="60"/>
        <w:ind w:left="0" w:right="0" w:hanging="0"/>
        <w:jc w:val="center"/>
        <w:rPr>
          <w:rFonts w:ascii="Arial;Helvetica;sans-serif" w:hAnsi="Arial;Helvetica;sans-serif"/>
          <w:b/>
          <w:sz w:val="16"/>
        </w:rPr>
      </w:pPr>
      <w:r>
        <w:rPr>
          <w:rFonts w:ascii="Arial;Helvetica;sans-serif" w:hAnsi="Arial;Helvetica;sans-serif"/>
          <w:b/>
          <w:sz w:val="16"/>
        </w:rPr>
        <w:t>FOR THE TRANSITION PERIOD FROM TO    .</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Commission File Number: 333-179121</w:t>
      </w:r>
    </w:p>
    <w:p>
      <w:pPr>
        <w:pStyle w:val="TextBody"/>
        <w:bidi w:val="0"/>
        <w:spacing w:before="0" w:after="80"/>
        <w:ind w:left="0" w:right="0" w:hanging="0"/>
        <w:jc w:val="center"/>
        <w:rPr/>
      </w:pPr>
      <w:r>
        <w:rPr/>
        <w:drawing>
          <wp:inline distT="0" distB="0" distL="0" distR="0">
            <wp:extent cx="2854325" cy="898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4325" cy="89852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Hughes Satellite Systems Corporation</w:t>
      </w:r>
    </w:p>
    <w:p>
      <w:pPr>
        <w:pStyle w:val="TextBody"/>
        <w:bidi w:val="0"/>
        <w:spacing w:before="0" w:after="160"/>
        <w:ind w:left="0" w:right="0" w:hanging="0"/>
        <w:jc w:val="center"/>
        <w:rPr>
          <w:rFonts w:ascii="Arial;Helvetica;sans-serif" w:hAnsi="Arial;Helvetica;sans-serif"/>
          <w:sz w:val="14"/>
        </w:rPr>
      </w:pPr>
      <w:r>
        <w:rPr>
          <w:rFonts w:ascii="Arial;Helvetica;sans-serif" w:hAnsi="Arial;Helvetica;sans-serif"/>
          <w:sz w:val="14"/>
        </w:rPr>
        <w:t>(Exact name of registrant as specified in its charter)</w:t>
      </w:r>
    </w:p>
    <w:p>
      <w:pPr>
        <w:pStyle w:val="Normal"/>
        <w:bidi w:val="0"/>
        <w:spacing w:before="0" w:after="0"/>
        <w:jc w:val="left"/>
        <w:rPr>
          <w:sz w:val="4"/>
          <w:szCs w:val="4"/>
        </w:rPr>
      </w:pPr>
      <w:r>
        <w:rPr>
          <w:sz w:val="4"/>
          <w:szCs w:val="4"/>
        </w:rPr>
      </w:r>
      <w:bookmarkStart w:id="3" w:name="Tc_un3B3ZOukUCyStB8LLfC-w_8_2"/>
      <w:bookmarkStart w:id="4" w:name="Tc_PZsv5GGUI0qfBnnHv1t4NQ_8_0"/>
      <w:bookmarkStart w:id="5" w:name="Tc_CSrKyzzN90ilZzMcGwgkqA_7_2"/>
      <w:bookmarkStart w:id="6" w:name="Tc_B6kCuJH_f0eQd3AdMeSdrA_7_0"/>
      <w:bookmarkStart w:id="7" w:name="Tc_gtEvadyke0CO0fKWL2GsDw_5_2"/>
      <w:bookmarkStart w:id="8" w:name="Tc_dtCyPsDMak-vvP1LfQRYYw_5_0"/>
      <w:bookmarkStart w:id="9" w:name="Tc_XCJAEmOFYkqAAet074XyYg_4_0"/>
      <w:bookmarkStart w:id="10" w:name="Tc_z3jBPZ35CUSGrfA8WiDX6w_3_0"/>
      <w:bookmarkStart w:id="11" w:name="Tc_e3Rm2IxPTEKCJkA9jcpGgA_1_2"/>
      <w:bookmarkStart w:id="12" w:name="Tc__7_UK1MqgEaKBkoej0AATw_1_0"/>
      <w:bookmarkStart w:id="13" w:name="_a730e385_55ef_4c00_b7fa_56abd6a8ef1f"/>
      <w:bookmarkStart w:id="14" w:name="Tc_un3B3ZOukUCyStB8LLfC-w_8_2"/>
      <w:bookmarkStart w:id="15" w:name="Tc_PZsv5GGUI0qfBnnHv1t4NQ_8_0"/>
      <w:bookmarkStart w:id="16" w:name="Tc_CSrKyzzN90ilZzMcGwgkqA_7_2"/>
      <w:bookmarkStart w:id="17" w:name="Tc_B6kCuJH_f0eQd3AdMeSdrA_7_0"/>
      <w:bookmarkStart w:id="18" w:name="Tc_gtEvadyke0CO0fKWL2GsDw_5_2"/>
      <w:bookmarkStart w:id="19" w:name="Tc_dtCyPsDMak-vvP1LfQRYYw_5_0"/>
      <w:bookmarkStart w:id="20" w:name="Tc_XCJAEmOFYkqAAet074XyYg_4_0"/>
      <w:bookmarkStart w:id="21" w:name="Tc_z3jBPZ35CUSGrfA8WiDX6w_3_0"/>
      <w:bookmarkStart w:id="22" w:name="Tc_e3Rm2IxPTEKCJkA9jcpGgA_1_2"/>
      <w:bookmarkStart w:id="23" w:name="Tc__7_UK1MqgEaKBkoej0AATw_1_0"/>
      <w:bookmarkStart w:id="24" w:name="_a730e385_55ef_4c00_b7fa_56abd6a8ef1f"/>
      <w:bookmarkEnd w:id="14"/>
      <w:bookmarkEnd w:id="15"/>
      <w:bookmarkEnd w:id="16"/>
      <w:bookmarkEnd w:id="17"/>
      <w:bookmarkEnd w:id="18"/>
      <w:bookmarkEnd w:id="19"/>
      <w:bookmarkEnd w:id="20"/>
      <w:bookmarkEnd w:id="21"/>
      <w:bookmarkEnd w:id="22"/>
      <w:bookmarkEnd w:id="23"/>
      <w:bookmarkEnd w:id="24"/>
    </w:p>
    <w:tbl>
      <w:tblPr>
        <w:tblW w:w="10205" w:type="dxa"/>
        <w:jc w:val="left"/>
        <w:tblInd w:w="0" w:type="dxa"/>
        <w:tblLayout w:type="fixed"/>
        <w:tblCellMar>
          <w:top w:w="0" w:type="dxa"/>
          <w:left w:w="0" w:type="dxa"/>
          <w:bottom w:w="28" w:type="dxa"/>
          <w:right w:w="0" w:type="dxa"/>
        </w:tblCellMar>
      </w:tblPr>
      <w:tblGrid>
        <w:gridCol w:w="4093"/>
        <w:gridCol w:w="326"/>
        <w:gridCol w:w="5786"/>
      </w:tblGrid>
      <w:tr>
        <w:trPr/>
        <w:tc>
          <w:tcPr>
            <w:tcW w:w="4093"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Colorado</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5786"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45-0897865</w:t>
            </w:r>
          </w:p>
        </w:tc>
      </w:tr>
      <w:tr>
        <w:trPr/>
        <w:tc>
          <w:tcPr>
            <w:tcW w:w="4093"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(State or other jurisdiction of incorporation or organization)</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578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(I.R.S. Employer Identification No.)</w:t>
            </w:r>
          </w:p>
        </w:tc>
      </w:tr>
      <w:tr>
        <w:trPr/>
        <w:tc>
          <w:tcPr>
            <w:tcW w:w="409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5786" w:type="dxa"/>
            <w:tcBorders/>
            <w:tcMar>
              <w:bottom w:w="0" w:type="dxa"/>
            </w:tcMar>
            <w:vAlign w:val="center"/>
          </w:tcPr>
          <w:p>
            <w:pPr>
              <w:pStyle w:val="TableContents"/>
              <w:bidi w:val="0"/>
              <w:spacing w:before="0" w:after="0"/>
              <w:ind w:left="0" w:right="0" w:hanging="0"/>
              <w:jc w:val="center"/>
              <w:rPr/>
            </w:pPr>
            <w:r>
              <w:rPr/>
              <w:t>​</w:t>
            </w:r>
          </w:p>
        </w:tc>
      </w:tr>
      <w:tr>
        <w:trPr/>
        <w:tc>
          <w:tcPr>
            <w:tcW w:w="4093" w:type="dxa"/>
            <w:tcBorders/>
            <w:tcMar>
              <w:bottom w:w="0"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9601 South Meridian Boulevard</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5786" w:type="dxa"/>
            <w:tcBorders/>
            <w:tcMar>
              <w:bottom w:w="0" w:type="dxa"/>
            </w:tcMar>
            <w:vAlign w:val="center"/>
          </w:tcPr>
          <w:p>
            <w:pPr>
              <w:pStyle w:val="TableContents"/>
              <w:bidi w:val="0"/>
              <w:spacing w:before="0" w:after="0"/>
              <w:ind w:left="0" w:right="0" w:hanging="0"/>
              <w:jc w:val="center"/>
              <w:rPr/>
            </w:pPr>
            <w:r>
              <w:rPr/>
              <w:t>​</w:t>
            </w:r>
          </w:p>
        </w:tc>
      </w:tr>
      <w:tr>
        <w:trPr/>
        <w:tc>
          <w:tcPr>
            <w:tcW w:w="4093"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6"/>
              </w:rPr>
              <w:t>Englewood,</w:t>
            </w:r>
            <w:r>
              <w:rPr>
                <w:rFonts w:ascii="Arial;Helvetica;sans-serif" w:hAnsi="Arial;Helvetica;sans-serif"/>
                <w:sz w:val="20"/>
              </w:rPr>
              <w:t xml:space="preserve"> </w:t>
            </w:r>
            <w:r>
              <w:rPr>
                <w:rFonts w:ascii="Arial;Helvetica;sans-serif" w:hAnsi="Arial;Helvetica;sans-serif"/>
                <w:b/>
                <w:sz w:val="16"/>
              </w:rPr>
              <w:t>Colorado</w:t>
            </w:r>
          </w:p>
        </w:tc>
        <w:tc>
          <w:tcPr>
            <w:tcW w:w="326" w:type="dxa"/>
            <w:tcBorders>
              <w:bottom w:val="single" w:sz="2" w:space="0" w:color="000000"/>
            </w:tcBorders>
            <w:vAlign w:val="center"/>
          </w:tcPr>
          <w:p>
            <w:pPr>
              <w:pStyle w:val="TableContents"/>
              <w:bidi w:val="0"/>
              <w:spacing w:before="0" w:after="0"/>
              <w:ind w:left="0" w:right="0" w:hanging="0"/>
              <w:jc w:val="center"/>
              <w:rPr/>
            </w:pPr>
            <w:r>
              <w:rPr/>
              <w:t>​</w:t>
            </w:r>
          </w:p>
        </w:tc>
        <w:tc>
          <w:tcPr>
            <w:tcW w:w="5786"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80112-5308</w:t>
            </w:r>
          </w:p>
        </w:tc>
      </w:tr>
      <w:tr>
        <w:trPr/>
        <w:tc>
          <w:tcPr>
            <w:tcW w:w="4093"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(Address of principal executive offices)</w:t>
            </w:r>
          </w:p>
        </w:tc>
        <w:tc>
          <w:tcPr>
            <w:tcW w:w="32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578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(Zip Code)</w:t>
            </w:r>
          </w:p>
        </w:tc>
      </w:tr>
      <w:tr>
        <w:trPr/>
        <w:tc>
          <w:tcPr>
            <w:tcW w:w="409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5786" w:type="dxa"/>
            <w:tcBorders/>
            <w:tcMar>
              <w:bottom w:w="0" w:type="dxa"/>
            </w:tcMar>
            <w:vAlign w:val="center"/>
          </w:tcPr>
          <w:p>
            <w:pPr>
              <w:pStyle w:val="TableContents"/>
              <w:bidi w:val="0"/>
              <w:spacing w:before="0" w:after="0"/>
              <w:ind w:left="0" w:right="0" w:hanging="0"/>
              <w:jc w:val="center"/>
              <w:rPr/>
            </w:pPr>
            <w:r>
              <w:rPr/>
              <w:t>​</w:t>
            </w:r>
          </w:p>
        </w:tc>
      </w:tr>
      <w:tr>
        <w:trPr/>
        <w:tc>
          <w:tcPr>
            <w:tcW w:w="4093"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(303) 723-1000</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5786"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Not Applicable</w:t>
            </w:r>
          </w:p>
        </w:tc>
      </w:tr>
      <w:tr>
        <w:trPr/>
        <w:tc>
          <w:tcPr>
            <w:tcW w:w="4093"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(Registrant’s telephone number, including area code)</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578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(Former name, former address and former fiscal year, if changed since last report)</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Arial;Helvetica;sans-serif" w:hAnsi="Arial;Helvetica;sans-serif"/>
          <w:sz w:val="16"/>
        </w:rPr>
      </w:pPr>
      <w:r>
        <w:rPr>
          <w:rFonts w:ascii="Arial;Helvetica;sans-serif" w:hAnsi="Arial;Helvetica;sans-serif"/>
          <w:sz w:val="16"/>
        </w:rPr>
        <w:t>Securities registered pursuant to Section 12(b) of the Act: None</w:t>
      </w:r>
    </w:p>
    <w:p>
      <w:pPr>
        <w:pStyle w:val="TextBody"/>
        <w:bidi w:val="0"/>
        <w:spacing w:before="0" w:after="80"/>
        <w:ind w:left="0" w:right="0" w:hanging="0"/>
        <w:jc w:val="both"/>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w:t>
      </w:r>
      <w:r>
        <w:rPr>
          <w:rFonts w:ascii="Arial;Helvetica;sans-serif" w:hAnsi="Arial;Helvetica;sans-serif"/>
          <w:sz w:val="16"/>
        </w:rPr>
        <w:t>*  No</w:t>
      </w:r>
      <w:r>
        <w:rPr>
          <w:rFonts w:ascii="Arial;Helvetica;sans-serif" w:hAnsi="Arial;Helvetica;sans-serif"/>
          <w:sz w:val="20"/>
        </w:rPr>
        <w:t> ☐</w:t>
      </w:r>
    </w:p>
    <w:p>
      <w:pPr>
        <w:pStyle w:val="TextBody"/>
        <w:bidi w:val="0"/>
        <w:spacing w:before="0" w:after="80"/>
        <w:ind w:left="0" w:right="0" w:hanging="0"/>
        <w:jc w:val="both"/>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6"/>
        </w:rPr>
        <w:t>No </w:t>
      </w:r>
      <w:r>
        <w:rPr>
          <w:rFonts w:ascii="Arial;Helvetica;sans-serif" w:hAnsi="Arial;Helvetica;sans-serif"/>
          <w:sz w:val="20"/>
        </w:rPr>
        <w:t>☐</w:t>
      </w:r>
    </w:p>
    <w:p>
      <w:pPr>
        <w:pStyle w:val="TextBody"/>
        <w:bidi w:val="0"/>
        <w:spacing w:before="0" w:after="80"/>
        <w:ind w:left="0" w:right="0" w:hanging="0"/>
        <w:jc w:val="both"/>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5" w:name="Tc_AGblbj8OHU-UztM25hddmQ_1_2"/>
      <w:bookmarkStart w:id="26" w:name="Tc_5zFobDD4rkGGICl34HEPcA_1_1"/>
      <w:bookmarkStart w:id="27" w:name="Tc_pOwkC_y4D0SvlmfX40nwdA_0_4"/>
      <w:bookmarkStart w:id="28" w:name="Tc_IMFiYoErjkW_y4ix0Lzsuw_0_3"/>
      <w:bookmarkStart w:id="29" w:name="Tc_DSXKmeSb90GqUi-FVlstWg_0_2"/>
      <w:bookmarkStart w:id="30" w:name="Tc_RQpTv1cmHUyTBkCJfNvCoQ_0_1"/>
      <w:bookmarkStart w:id="31" w:name="Tc_6c2ItSzOqkacA8CBIP4GPw_0_0"/>
      <w:bookmarkStart w:id="32" w:name="_12827061_e52c_4075_8580_4415c5d21c0d"/>
      <w:bookmarkStart w:id="33" w:name="Tc_AGblbj8OHU-UztM25hddmQ_1_2"/>
      <w:bookmarkStart w:id="34" w:name="Tc_5zFobDD4rkGGICl34HEPcA_1_1"/>
      <w:bookmarkStart w:id="35" w:name="Tc_pOwkC_y4D0SvlmfX40nwdA_0_4"/>
      <w:bookmarkStart w:id="36" w:name="Tc_IMFiYoErjkW_y4ix0Lzsuw_0_3"/>
      <w:bookmarkStart w:id="37" w:name="Tc_DSXKmeSb90GqUi-FVlstWg_0_2"/>
      <w:bookmarkStart w:id="38" w:name="Tc_RQpTv1cmHUyTBkCJfNvCoQ_0_1"/>
      <w:bookmarkStart w:id="39" w:name="Tc_6c2ItSzOqkacA8CBIP4GPw_0_0"/>
      <w:bookmarkStart w:id="40" w:name="_12827061_e52c_4075_8580_4415c5d21c0d"/>
      <w:bookmarkEnd w:id="33"/>
      <w:bookmarkEnd w:id="34"/>
      <w:bookmarkEnd w:id="35"/>
      <w:bookmarkEnd w:id="36"/>
      <w:bookmarkEnd w:id="37"/>
      <w:bookmarkEnd w:id="38"/>
      <w:bookmarkEnd w:id="39"/>
      <w:bookmarkEnd w:id="40"/>
    </w:p>
    <w:tbl>
      <w:tblPr>
        <w:tblW w:w="6846" w:type="dxa"/>
        <w:jc w:val="left"/>
        <w:tblInd w:w="0" w:type="dxa"/>
        <w:tblLayout w:type="fixed"/>
        <w:tblCellMar>
          <w:top w:w="0" w:type="dxa"/>
          <w:left w:w="0" w:type="dxa"/>
          <w:bottom w:w="0" w:type="dxa"/>
          <w:right w:w="0" w:type="dxa"/>
        </w:tblCellMar>
      </w:tblPr>
      <w:tblGrid>
        <w:gridCol w:w="1741"/>
        <w:gridCol w:w="316"/>
        <w:gridCol w:w="2056"/>
        <w:gridCol w:w="316"/>
        <w:gridCol w:w="2056"/>
        <w:gridCol w:w="361"/>
      </w:tblGrid>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both"/>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xml:space="preserve">☐ </w:t>
      </w:r>
      <w:r>
        <w:rPr>
          <w:rFonts w:ascii="Arial;Helvetica;sans-serif" w:hAnsi="Arial;Helvetica;sans-serif"/>
          <w:sz w:val="16"/>
        </w:rPr>
        <w:t>No </w:t>
      </w:r>
      <w:r>
        <w:rPr>
          <w:rFonts w:ascii="Arial;Helvetica;sans-serif" w:hAnsi="Arial;Helvetica;sans-serif"/>
          <w:sz w:val="20"/>
        </w:rPr>
        <w:t>☒</w:t>
      </w:r>
    </w:p>
    <w:p>
      <w:pPr>
        <w:pStyle w:val="TextBody"/>
        <w:bidi w:val="0"/>
        <w:spacing w:before="0" w:after="80"/>
        <w:ind w:left="0" w:right="0" w:hanging="0"/>
        <w:jc w:val="both"/>
        <w:rPr>
          <w:rFonts w:ascii="Arial;Helvetica;sans-serif" w:hAnsi="Arial;Helvetica;sans-serif"/>
          <w:sz w:val="16"/>
        </w:rPr>
      </w:pPr>
      <w:r>
        <w:rPr>
          <w:rFonts w:ascii="Arial;Helvetica;sans-serif" w:hAnsi="Arial;Helvetica;sans-serif"/>
          <w:sz w:val="16"/>
        </w:rPr>
        <w:t>As of October 30, 2025, the registrant’s outstanding common stock consisted of 1,078 shares of common stock, $0.01 par value per share.</w:t>
      </w:r>
    </w:p>
    <w:p>
      <w:pPr>
        <w:pStyle w:val="TextBody"/>
        <w:bidi w:val="0"/>
        <w:spacing w:before="0" w:after="60"/>
        <w:ind w:left="0" w:right="0" w:hanging="0"/>
        <w:jc w:val="both"/>
        <w:rPr>
          <w:rFonts w:ascii="Arial;Helvetica;sans-serif" w:hAnsi="Arial;Helvetica;sans-serif"/>
          <w:sz w:val="16"/>
        </w:rPr>
      </w:pPr>
      <w:r>
        <w:rPr>
          <w:rFonts w:ascii="Arial;Helvetica;sans-serif" w:hAnsi="Arial;Helvetica;sans-serif"/>
          <w:sz w:val="16"/>
        </w:rPr>
        <w:t>The Registrant meets the conditions set forth in General Instructions (H)(1)(a) and (b) of Form 10-Q and is therefore filing this Quarterly Report on Form 10-Q with the reduced disclosure format.</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100"/>
              <w:jc w:val="both"/>
              <w:rPr>
                <w:rFonts w:ascii="Arial;Helvetica;sans-serif" w:hAnsi="Arial;Helvetica;sans-serif"/>
                <w:sz w:val="16"/>
              </w:rPr>
            </w:pPr>
            <w:r>
              <w:rPr>
                <w:rFonts w:ascii="Arial;Helvetica;sans-serif" w:hAnsi="Arial;Helvetica;sans-serif"/>
                <w:sz w:val="16"/>
              </w:rPr>
              <w:t>*</w:t>
            </w:r>
          </w:p>
        </w:tc>
        <w:tc>
          <w:tcPr>
            <w:tcW w:w="10024" w:type="dxa"/>
            <w:tcBorders/>
            <w:vAlign w:val="center"/>
          </w:tcPr>
          <w:p>
            <w:pPr>
              <w:pStyle w:val="TableContents"/>
              <w:bidi w:val="0"/>
              <w:spacing w:before="0" w:after="100"/>
              <w:jc w:val="both"/>
              <w:rPr>
                <w:rFonts w:ascii="Arial;Helvetica;sans-serif" w:hAnsi="Arial;Helvetica;sans-serif"/>
                <w:sz w:val="16"/>
              </w:rPr>
            </w:pPr>
            <w:r>
              <w:rPr>
                <w:rFonts w:ascii="Arial;Helvetica;sans-serif" w:hAnsi="Arial;Helvetica;sans-serif"/>
                <w:sz w:val="16"/>
              </w:rPr>
              <w:t>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such period.</w:t>
            </w:r>
          </w:p>
        </w:tc>
      </w:tr>
    </w:tbl>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Arial;Helvetica;sans-serif" w:hAnsi="Arial;Helvetica;sans-serif"/>
          <w:b/>
          <w:sz w:val="20"/>
        </w:rPr>
      </w:pPr>
      <w:bookmarkStart w:id="41" w:name="TOC"/>
      <w:bookmarkStart w:id="42" w:name="_436dbd97_2667_4062_ac50_6fb6787605a0"/>
      <w:bookmarkEnd w:id="41"/>
      <w:bookmarkEnd w:id="42"/>
      <w:r>
        <w:rPr>
          <w:rFonts w:ascii="Arial;Helvetica;sans-serif" w:hAnsi="Arial;Helvetica;sans-serif"/>
          <w:b/>
          <w:sz w:val="20"/>
        </w:rPr>
        <w:t>TABLE OF CONTENTS</w:t>
      </w:r>
    </w:p>
    <w:tbl>
      <w:tblPr>
        <w:tblW w:w="9018" w:type="dxa"/>
        <w:jc w:val="left"/>
        <w:tblInd w:w="0" w:type="dxa"/>
        <w:tblLayout w:type="fixed"/>
        <w:tblCellMar>
          <w:top w:w="0" w:type="dxa"/>
          <w:left w:w="0" w:type="dxa"/>
          <w:bottom w:w="0" w:type="dxa"/>
          <w:right w:w="0" w:type="dxa"/>
        </w:tblCellMar>
      </w:tblPr>
      <w:tblGrid>
        <w:gridCol w:w="871"/>
        <w:gridCol w:w="7546"/>
        <w:gridCol w:w="601"/>
      </w:tblGrid>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018" w:type="dxa"/>
            <w:gridSpan w:val="3"/>
            <w:tcBorders/>
            <w:vAlign w:val="center"/>
          </w:tcPr>
          <w:p>
            <w:pPr>
              <w:pStyle w:val="TableContents"/>
              <w:bidi w:val="0"/>
              <w:spacing w:before="0" w:after="0"/>
              <w:ind w:left="0" w:right="0" w:hanging="0"/>
              <w:jc w:val="center"/>
              <w:rPr/>
            </w:pPr>
            <w:hyperlink w:anchor="PARTIFINANCIALINFORMATION_517036">
              <w:r>
                <w:rPr>
                  <w:rStyle w:val="InternetLink"/>
                  <w:rFonts w:ascii="Arial;Helvetica;sans-serif" w:hAnsi="Arial;Helvetica;sans-serif"/>
                  <w:b/>
                  <w:i w:val="false"/>
                  <w:caps w:val="false"/>
                  <w:smallCaps w:val="false"/>
                  <w:sz w:val="20"/>
                </w:rPr>
                <w:t>PART I — FINANCIAL INFORMATION</w:t>
              </w:r>
            </w:hyperlink>
          </w:p>
        </w:tc>
      </w:tr>
      <w:tr>
        <w:trPr/>
        <w:tc>
          <w:tcPr>
            <w:tcW w:w="871" w:type="dxa"/>
            <w:tcBorders/>
            <w:vAlign w:val="center"/>
          </w:tcPr>
          <w:p>
            <w:pPr>
              <w:pStyle w:val="TableContents"/>
              <w:bidi w:val="0"/>
              <w:spacing w:before="0" w:after="283"/>
              <w:ind w:left="0" w:right="0" w:hanging="0"/>
              <w:jc w:val="left"/>
              <w:rPr>
                <w:sz w:val="4"/>
                <w:szCs w:val="4"/>
              </w:rPr>
            </w:pPr>
            <w:r>
              <w:rPr>
                <w:sz w:val="4"/>
                <w:szCs w:val="4"/>
              </w:rPr>
            </w:r>
          </w:p>
        </w:tc>
        <w:tc>
          <w:tcPr>
            <w:tcW w:w="7546" w:type="dxa"/>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hyperlink w:anchor="DISCLOSUREREGARDINGFORWARDLOOKINGSTATEME">
              <w:r>
                <w:rPr>
                  <w:rStyle w:val="InternetLink"/>
                  <w:rFonts w:ascii="Arial;Helvetica;sans-serif" w:hAnsi="Arial;Helvetica;sans-serif"/>
                  <w:b w:val="false"/>
                  <w:i w:val="false"/>
                  <w:caps w:val="false"/>
                  <w:smallCaps w:val="false"/>
                  <w:sz w:val="20"/>
                </w:rPr>
                <w:t>Disclosure Regarding Forward Looking Statements</w:t>
              </w:r>
            </w:hyperlink>
          </w:p>
        </w:tc>
        <w:tc>
          <w:tcPr>
            <w:tcW w:w="60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i</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shd w:fill="FFFFFF" w:val="clear"/>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hyperlink w:anchor="ITEM1FINANCIALSTATEMENTS_515645">
              <w:r>
                <w:rPr>
                  <w:rStyle w:val="InternetLink"/>
                  <w:rFonts w:ascii="Arial;Helvetica;sans-serif" w:hAnsi="Arial;Helvetica;sans-serif"/>
                  <w:b w:val="false"/>
                  <w:i w:val="false"/>
                  <w:caps w:val="false"/>
                  <w:smallCaps w:val="false"/>
                  <w:sz w:val="20"/>
                </w:rPr>
                <w:t>Item 1.</w:t>
              </w:r>
            </w:hyperlink>
          </w:p>
        </w:tc>
        <w:tc>
          <w:tcPr>
            <w:tcW w:w="7546" w:type="dxa"/>
            <w:tcBorders/>
            <w:vAlign w:val="center"/>
          </w:tcPr>
          <w:p>
            <w:pPr>
              <w:pStyle w:val="TableContents"/>
              <w:bidi w:val="0"/>
              <w:spacing w:before="0" w:after="0"/>
              <w:ind w:left="0" w:right="0" w:hanging="0"/>
              <w:jc w:val="left"/>
              <w:rPr/>
            </w:pPr>
            <w:hyperlink w:anchor="ITEM1FINANCIALSTATEMENTS_515645">
              <w:r>
                <w:rPr>
                  <w:rStyle w:val="InternetLink"/>
                  <w:rFonts w:ascii="Arial;Helvetica;sans-serif" w:hAnsi="Arial;Helvetica;sans-serif"/>
                  <w:b w:val="false"/>
                  <w:i w:val="false"/>
                  <w:caps w:val="false"/>
                  <w:smallCaps w:val="false"/>
                  <w:sz w:val="20"/>
                </w:rPr>
                <w:t>Financial Statements</w:t>
              </w:r>
            </w:hyperlink>
          </w:p>
        </w:tc>
        <w:tc>
          <w:tcPr>
            <w:tcW w:w="60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shd w:fill="FFFFFF" w:val="clear"/>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hyperlink w:anchor="BalanceSheets">
              <w:r>
                <w:rPr>
                  <w:rStyle w:val="InternetLink"/>
                  <w:rFonts w:ascii="Arial;Helvetica;sans-serif" w:hAnsi="Arial;Helvetica;sans-serif"/>
                  <w:b w:val="false"/>
                  <w:i w:val="false"/>
                  <w:caps w:val="false"/>
                  <w:smallCaps w:val="false"/>
                  <w:sz w:val="20"/>
                </w:rPr>
                <w:t>Condensed Consolidated Balance Sheets</w:t>
              </w:r>
            </w:hyperlink>
          </w:p>
        </w:tc>
        <w:tc>
          <w:tcPr>
            <w:tcW w:w="60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shd w:fill="FFFFFF" w:val="clear"/>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 of Operations and Comprehensive Income (Loss)</w:t>
              </w:r>
            </w:hyperlink>
          </w:p>
        </w:tc>
        <w:tc>
          <w:tcPr>
            <w:tcW w:w="60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shd w:fill="FFFFFF" w:val="clear"/>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hyperlink w:anchor="CONDENSEDCONSOLIDATEDSTATEMENTSOFCHANGES">
              <w:r>
                <w:rPr>
                  <w:rStyle w:val="InternetLink"/>
                  <w:rFonts w:ascii="Arial;Helvetica;sans-serif" w:hAnsi="Arial;Helvetica;sans-serif"/>
                  <w:b w:val="false"/>
                  <w:i w:val="false"/>
                  <w:caps w:val="false"/>
                  <w:smallCaps w:val="false"/>
                  <w:sz w:val="20"/>
                </w:rPr>
                <w:t xml:space="preserve">Condensed Consolidated Statements of Changes in Stockholder’s Equity (Deficit) </w:t>
              </w:r>
            </w:hyperlink>
          </w:p>
        </w:tc>
        <w:tc>
          <w:tcPr>
            <w:tcW w:w="60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shd w:fill="FFFFFF" w:val="clear"/>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w:t>
              </w:r>
            </w:hyperlink>
          </w:p>
        </w:tc>
        <w:tc>
          <w:tcPr>
            <w:tcW w:w="60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shd w:fill="FFFFFF" w:val="clear"/>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283"/>
              <w:ind w:left="0" w:right="0" w:hanging="0"/>
              <w:jc w:val="left"/>
              <w:rPr>
                <w:sz w:val="4"/>
                <w:szCs w:val="4"/>
              </w:rPr>
            </w:pPr>
            <w:r>
              <w:rPr>
                <w:sz w:val="4"/>
                <w:szCs w:val="4"/>
              </w:rPr>
            </w:r>
          </w:p>
        </w:tc>
        <w:tc>
          <w:tcPr>
            <w:tcW w:w="7546" w:type="dxa"/>
            <w:tcBorders/>
            <w:vAlign w:val="center"/>
          </w:tcPr>
          <w:p>
            <w:pPr>
              <w:pStyle w:val="TableContents"/>
              <w:bidi w:val="0"/>
              <w:spacing w:before="0" w:after="0"/>
              <w:ind w:left="0" w:right="0" w:hanging="0"/>
              <w:jc w:val="left"/>
              <w:rPr/>
            </w:pPr>
            <w:hyperlink w:anchor="_NOTES_TO_CONDENSED">
              <w:r>
                <w:rPr>
                  <w:rStyle w:val="InternetLink"/>
                  <w:rFonts w:ascii="Arial;Helvetica;sans-serif" w:hAnsi="Arial;Helvetica;sans-serif"/>
                  <w:b w:val="false"/>
                  <w:i w:val="false"/>
                  <w:caps w:val="false"/>
                  <w:smallCaps w:val="false"/>
                  <w:sz w:val="20"/>
                </w:rPr>
                <w:t>Notes to the Condensed Consolidated Financial Statements (unaudited)</w:t>
              </w:r>
            </w:hyperlink>
          </w:p>
        </w:tc>
        <w:tc>
          <w:tcPr>
            <w:tcW w:w="60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hyperlink w:anchor="ITEM2MANAGEMENTSNARRATIVEANALYSISOFRESUL">
              <w:r>
                <w:rPr>
                  <w:rStyle w:val="InternetLink"/>
                  <w:rFonts w:ascii="Arial;Helvetica;sans-serif" w:hAnsi="Arial;Helvetica;sans-serif"/>
                  <w:b w:val="false"/>
                  <w:i w:val="false"/>
                  <w:caps w:val="false"/>
                  <w:smallCaps w:val="false"/>
                  <w:sz w:val="20"/>
                </w:rPr>
                <w:t>Item 2.</w:t>
              </w:r>
            </w:hyperlink>
          </w:p>
        </w:tc>
        <w:tc>
          <w:tcPr>
            <w:tcW w:w="7546" w:type="dxa"/>
            <w:tcBorders/>
            <w:vAlign w:val="center"/>
          </w:tcPr>
          <w:p>
            <w:pPr>
              <w:pStyle w:val="TableContents"/>
              <w:bidi w:val="0"/>
              <w:spacing w:before="0" w:after="0"/>
              <w:ind w:left="0" w:right="0" w:hanging="0"/>
              <w:jc w:val="left"/>
              <w:rPr/>
            </w:pPr>
            <w:hyperlink w:anchor="ITEM2MANAGEMENTSNARRATIVEANALYSISOFRESUL">
              <w:r>
                <w:rPr>
                  <w:rStyle w:val="InternetLink"/>
                  <w:rFonts w:ascii="Arial;Helvetica;sans-serif" w:hAnsi="Arial;Helvetica;sans-serif"/>
                  <w:b w:val="false"/>
                  <w:i w:val="false"/>
                  <w:caps w:val="false"/>
                  <w:smallCaps w:val="false"/>
                  <w:sz w:val="20"/>
                </w:rPr>
                <w:t>Management’s Narrative Analysis of Results of Operations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3.</w:t>
            </w:r>
          </w:p>
        </w:tc>
        <w:tc>
          <w:tcPr>
            <w:tcW w:w="7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Quantitative and Qualitative Disclosures about Market Risk</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hyperlink w:anchor="ITEM4CONTROLSANDPROCEDURES_780628">
              <w:r>
                <w:rPr>
                  <w:rStyle w:val="InternetLink"/>
                  <w:rFonts w:ascii="Arial;Helvetica;sans-serif" w:hAnsi="Arial;Helvetica;sans-serif"/>
                  <w:b w:val="false"/>
                  <w:i w:val="false"/>
                  <w:caps w:val="false"/>
                  <w:smallCaps w:val="false"/>
                  <w:sz w:val="20"/>
                </w:rPr>
                <w:t>Item 4.</w:t>
              </w:r>
            </w:hyperlink>
          </w:p>
        </w:tc>
        <w:tc>
          <w:tcPr>
            <w:tcW w:w="7546" w:type="dxa"/>
            <w:tcBorders/>
            <w:vAlign w:val="center"/>
          </w:tcPr>
          <w:p>
            <w:pPr>
              <w:pStyle w:val="TableContents"/>
              <w:bidi w:val="0"/>
              <w:spacing w:before="0" w:after="0"/>
              <w:ind w:left="0" w:right="0" w:hanging="0"/>
              <w:jc w:val="left"/>
              <w:rPr/>
            </w:pPr>
            <w:hyperlink w:anchor="ITEM4CONTROLSANDPROCEDURES_780628">
              <w:r>
                <w:rPr>
                  <w:rStyle w:val="InternetLink"/>
                  <w:rFonts w:ascii="Arial;Helvetica;sans-serif" w:hAnsi="Arial;Helvetica;sans-serif"/>
                  <w:b w:val="false"/>
                  <w:i w:val="false"/>
                  <w:caps w:val="false"/>
                  <w:smallCaps w:val="false"/>
                  <w:sz w:val="20"/>
                </w:rPr>
                <w:t>Controls and Procedures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9018" w:type="dxa"/>
            <w:gridSpan w:val="3"/>
            <w:tcBorders/>
            <w:vAlign w:val="center"/>
          </w:tcPr>
          <w:p>
            <w:pPr>
              <w:pStyle w:val="TableContents"/>
              <w:bidi w:val="0"/>
              <w:spacing w:before="0" w:after="0"/>
              <w:ind w:left="0" w:right="0" w:hanging="0"/>
              <w:jc w:val="center"/>
              <w:rPr/>
            </w:pPr>
            <w:hyperlink w:anchor="PARTIIOTHERINFORMATION_390816">
              <w:r>
                <w:rPr>
                  <w:rStyle w:val="InternetLink"/>
                  <w:rFonts w:ascii="Arial;Helvetica;sans-serif" w:hAnsi="Arial;Helvetica;sans-serif"/>
                  <w:b/>
                  <w:i w:val="false"/>
                  <w:caps w:val="false"/>
                  <w:smallCaps w:val="false"/>
                  <w:sz w:val="20"/>
                </w:rPr>
                <w:t>PART II — OTHER INFORMATION</w:t>
              </w:r>
            </w:hyperlink>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hyperlink w:anchor="ITEM1LEGALPROCEEDINGS_524536">
              <w:r>
                <w:rPr>
                  <w:rStyle w:val="InternetLink"/>
                  <w:rFonts w:ascii="Arial;Helvetica;sans-serif" w:hAnsi="Arial;Helvetica;sans-serif"/>
                  <w:b w:val="false"/>
                  <w:i w:val="false"/>
                  <w:caps w:val="false"/>
                  <w:smallCaps w:val="false"/>
                  <w:sz w:val="20"/>
                </w:rPr>
                <w:t>Item 1.</w:t>
              </w:r>
            </w:hyperlink>
          </w:p>
        </w:tc>
        <w:tc>
          <w:tcPr>
            <w:tcW w:w="7546" w:type="dxa"/>
            <w:tcBorders/>
            <w:vAlign w:val="center"/>
          </w:tcPr>
          <w:p>
            <w:pPr>
              <w:pStyle w:val="TableContents"/>
              <w:bidi w:val="0"/>
              <w:spacing w:before="0" w:after="0"/>
              <w:ind w:left="0" w:right="0" w:hanging="0"/>
              <w:jc w:val="left"/>
              <w:rPr/>
            </w:pPr>
            <w:hyperlink w:anchor="ITEM1LEGALPROCEEDINGS_524536">
              <w:r>
                <w:rPr>
                  <w:rStyle w:val="InternetLink"/>
                  <w:rFonts w:ascii="Arial;Helvetica;sans-serif" w:hAnsi="Arial;Helvetica;sans-serif"/>
                  <w:b w:val="false"/>
                  <w:i w:val="false"/>
                  <w:caps w:val="false"/>
                  <w:smallCaps w:val="false"/>
                  <w:sz w:val="20"/>
                </w:rPr>
                <w:t>Legal Proceedings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hyperlink w:anchor="ITEM1ARISKFACTORS_394983">
              <w:r>
                <w:rPr>
                  <w:rStyle w:val="InternetLink"/>
                  <w:rFonts w:ascii="Arial;Helvetica;sans-serif" w:hAnsi="Arial;Helvetica;sans-serif"/>
                  <w:b w:val="false"/>
                  <w:i w:val="false"/>
                  <w:caps w:val="false"/>
                  <w:smallCaps w:val="false"/>
                  <w:sz w:val="20"/>
                </w:rPr>
                <w:t>Item 1A</w:t>
              </w:r>
            </w:hyperlink>
            <w:r>
              <w:rPr>
                <w:rFonts w:ascii="Arial;Helvetica;sans-serif" w:hAnsi="Arial;Helvetica;sans-serif"/>
                <w:sz w:val="20"/>
              </w:rPr>
              <w:t>.</w:t>
            </w:r>
          </w:p>
        </w:tc>
        <w:tc>
          <w:tcPr>
            <w:tcW w:w="7546" w:type="dxa"/>
            <w:tcBorders/>
            <w:vAlign w:val="center"/>
          </w:tcPr>
          <w:p>
            <w:pPr>
              <w:pStyle w:val="TableContents"/>
              <w:bidi w:val="0"/>
              <w:spacing w:before="0" w:after="0"/>
              <w:ind w:left="0" w:right="0" w:hanging="0"/>
              <w:jc w:val="left"/>
              <w:rPr/>
            </w:pPr>
            <w:hyperlink w:anchor="ITEM1ARISKFACTORS_394983">
              <w:r>
                <w:rPr>
                  <w:rStyle w:val="InternetLink"/>
                  <w:rFonts w:ascii="Arial;Helvetica;sans-serif" w:hAnsi="Arial;Helvetica;sans-serif"/>
                  <w:b w:val="false"/>
                  <w:i w:val="false"/>
                  <w:caps w:val="false"/>
                  <w:smallCaps w:val="false"/>
                  <w:sz w:val="20"/>
                </w:rPr>
                <w:t>Risk Factors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2.</w:t>
            </w:r>
          </w:p>
        </w:tc>
        <w:tc>
          <w:tcPr>
            <w:tcW w:w="7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Unregistered Sales of Equity Securities and Use of Proceeds</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3.</w:t>
            </w:r>
          </w:p>
        </w:tc>
        <w:tc>
          <w:tcPr>
            <w:tcW w:w="7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Defaults Upon Major Securities</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4.</w:t>
            </w:r>
          </w:p>
        </w:tc>
        <w:tc>
          <w:tcPr>
            <w:tcW w:w="7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Mine Safety Disclosures</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None</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5.</w:t>
            </w:r>
          </w:p>
        </w:tc>
        <w:tc>
          <w:tcPr>
            <w:tcW w:w="7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Information</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None</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hyperlink w:anchor="ITEM6EXHIBITS_902321">
              <w:r>
                <w:rPr>
                  <w:rStyle w:val="InternetLink"/>
                  <w:rFonts w:ascii="Arial;Helvetica;sans-serif" w:hAnsi="Arial;Helvetica;sans-serif"/>
                  <w:b w:val="false"/>
                  <w:i w:val="false"/>
                  <w:caps w:val="false"/>
                  <w:smallCaps w:val="false"/>
                  <w:sz w:val="20"/>
                </w:rPr>
                <w:t>Item 6.</w:t>
              </w:r>
            </w:hyperlink>
          </w:p>
        </w:tc>
        <w:tc>
          <w:tcPr>
            <w:tcW w:w="7546" w:type="dxa"/>
            <w:tcBorders/>
            <w:vAlign w:val="center"/>
          </w:tcPr>
          <w:p>
            <w:pPr>
              <w:pStyle w:val="TableContents"/>
              <w:bidi w:val="0"/>
              <w:spacing w:before="0" w:after="0"/>
              <w:ind w:left="0" w:right="0" w:hanging="0"/>
              <w:jc w:val="left"/>
              <w:rPr/>
            </w:pPr>
            <w:hyperlink w:anchor="ITEM6EXHIBITS_902321">
              <w:r>
                <w:rPr>
                  <w:rStyle w:val="InternetLink"/>
                  <w:rFonts w:ascii="Arial;Helvetica;sans-serif" w:hAnsi="Arial;Helvetica;sans-serif"/>
                  <w:b w:val="false"/>
                  <w:i w:val="false"/>
                  <w:caps w:val="false"/>
                  <w:smallCaps w:val="false"/>
                  <w:sz w:val="20"/>
                </w:rPr>
                <w:t>Exhibits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hyperlink w:anchor="SIGNATURES_599412">
              <w:r>
                <w:rPr>
                  <w:rStyle w:val="InternetLink"/>
                  <w:rFonts w:ascii="Arial;Helvetica;sans-serif" w:hAnsi="Arial;Helvetica;sans-serif"/>
                  <w:b w:val="false"/>
                  <w:i w:val="false"/>
                  <w:caps w:val="false"/>
                  <w:smallCaps w:val="false"/>
                  <w:sz w:val="20"/>
                </w:rPr>
                <w:t>Signatures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40"/>
              <w:jc w:val="both"/>
              <w:rPr>
                <w:rFonts w:ascii="Arial;Helvetica;sans-serif" w:hAnsi="Arial;Helvetica;sans-serif"/>
                <w:b/>
                <w:sz w:val="20"/>
              </w:rPr>
            </w:pPr>
            <w:r>
              <w:rPr>
                <w:rFonts w:ascii="Arial;Helvetica;sans-serif" w:hAnsi="Arial;Helvetica;sans-serif"/>
                <w:b/>
                <w:sz w:val="20"/>
              </w:rPr>
              <w:t>*</w:t>
            </w:r>
          </w:p>
        </w:tc>
        <w:tc>
          <w:tcPr>
            <w:tcW w:w="10009" w:type="dxa"/>
            <w:tcBorders/>
            <w:vAlign w:val="center"/>
          </w:tcPr>
          <w:p>
            <w:pPr>
              <w:pStyle w:val="TableContents"/>
              <w:bidi w:val="0"/>
              <w:spacing w:before="0" w:after="240"/>
              <w:jc w:val="both"/>
              <w:rPr>
                <w:rFonts w:ascii="Arial;Helvetica;sans-serif" w:hAnsi="Arial;Helvetica;sans-serif"/>
                <w:b/>
                <w:sz w:val="20"/>
              </w:rPr>
            </w:pPr>
            <w:r>
              <w:rPr>
                <w:rFonts w:ascii="Arial;Helvetica;sans-serif" w:hAnsi="Arial;Helvetica;sans-serif"/>
                <w:b/>
                <w:sz w:val="20"/>
              </w:rPr>
              <w:t xml:space="preserve">This item has been omitted pursuant to the reduced disclosure format as set forth in General Instructions (H)(2)(a) of Form 10-Q. </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3" w:name="PARTIFINANCIALINFORMATION_517036"/>
      <w:bookmarkStart w:id="44" w:name="_d5227f08_1a37_4cb0_bbcf_16eeacc34b75"/>
      <w:bookmarkEnd w:id="43"/>
      <w:bookmarkEnd w:id="44"/>
      <w:r>
        <w:rPr>
          <w:rFonts w:ascii="Arial;Helvetica;sans-serif" w:hAnsi="Arial;Helvetica;sans-serif"/>
          <w:b/>
          <w:sz w:val="20"/>
        </w:rPr>
        <w:t>PART I — FINANCIAL INFORMATION</w:t>
      </w:r>
    </w:p>
    <w:p>
      <w:pPr>
        <w:pStyle w:val="TextBody"/>
        <w:bidi w:val="0"/>
        <w:spacing w:before="0" w:after="240"/>
        <w:ind w:left="0" w:right="0" w:hanging="0"/>
        <w:jc w:val="both"/>
        <w:rPr>
          <w:rFonts w:ascii="Arial;Helvetica;sans-serif" w:hAnsi="Arial;Helvetica;sans-serif"/>
          <w:b/>
          <w:sz w:val="20"/>
        </w:rPr>
      </w:pPr>
      <w:bookmarkStart w:id="45" w:name="DISCLOSUREREGARDINGFORWARDLOOKINGSTATEME"/>
      <w:bookmarkEnd w:id="45"/>
      <w:r>
        <w:rPr>
          <w:rFonts w:ascii="Arial;Helvetica;sans-serif" w:hAnsi="Arial;Helvetica;sans-serif"/>
          <w:b/>
          <w:sz w:val="20"/>
        </w:rPr>
        <w:t>DISCLOSURE REGARDING FORWARD-LOOKING STATEMENTS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Unless otherwise required by the context, in this report, the words “HSSC,” the “Company,” “we,” “our” and “us” refer to Hughes Satellite Systems Corporation and its subsidiaries, “EchoStar” refers to EchoStar Corporation, our parent company, “DISH Network” refers to DISH Network Corporation, a wholly owned, indirect subsidiary of EchoStar, and its subsidiaries, and “DISH DBS” refers to DISH DBS Corporation, a wholly owned, indirect subsidiary of DISH Network, and its subsidiaries.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SUMMARY OF RISK FACTORS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Competition and Economic Risks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intense and increasing competition from providers of broadband services. Changing consumer behavior and new technologies in our industry may reduce our subscriber activations and may cause our subscribers to purchase fewer services from us or to cancel our services altogether, resulting in less revenue to us.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are unable to take advantage of technological developments on a timely basis, or at all, we may experience a decline in demand for our services or face challenges in implementing or evolving our business strategy.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is partially dependent on enterprise revenue and any decline or reduction of that revenue could negatively impact our business, financial condition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Operational and Service Delivery Risks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deterioration in our operational performance, subscriber activations and churn rate and subscriber satisfaction could adversely affect our business, financial condition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satellite capacity and any failures or reduced capacity, caused by, among other things, operational and environmental risks, could adversely affect our business, financial condition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foreign operations and investments expose us to risks and restrictions not present in our domestic operations.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a single vendor or a limited number of vendors to provide certain key products or services to us, and the inability of these key vendors to meet our needs could have a material adverse effect on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trade policies, including, but not limited to, tariffs and other restrictions, could increase, among other things, our costs, disrupt our supply chain and negatively affect our business, operations and financial condition.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independent third parties to solicit orders for our services that represent a meaningful percentage of our total gross new subscriber activations.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Human Capital</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highly skilled personnel for our business, and any inability to hire and retain key personnel or to hire qualified personnel may negatively affect our business, financial condition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growth and customer retention strategies rely in part on the work of technically skilled employees.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Satellites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owned and leased satellites in orbit are subject to significant operational and environmental risks that could limit our ability to utilize these satellites.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satellites under construction are subject to risks related to, among other things, construction, technology, regulations and launch that could limit our ability to utilize these satellites, increase costs and adversely affect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use of certain satellites is often dependent on satellite coordination agreements, which may be difficult to obtain.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Products and Technology</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depends on certain intellectual property rights and on not infringing the intellectual property rights of others.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and may become, party to various lawsuits which, if adversely decided, could have a significant adverse impact on our business, particularly lawsuits regarding intellectual property.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products contain defects, we could be subject to significant costs to correct such defects and our product and network service contracts could be delayed or cancelled, which could adversely affect our revenue.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Cybersecurity</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parent, EchoStar, has experienced and we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confidentiality, integrity and availability of our services and products depends on the continuing operation of our information technology and other enabling systems.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Acquisition and Capital Structure Risks</w:t>
      </w:r>
    </w:p>
    <w:p>
      <w:pPr>
        <w:pStyle w:val="Normal"/>
        <w:bidi w:val="0"/>
        <w:spacing w:before="0" w:after="0"/>
        <w:jc w:val="left"/>
        <w:rPr>
          <w:sz w:val="4"/>
          <w:szCs w:val="4"/>
        </w:rPr>
      </w:pPr>
      <w:r>
        <w:rPr>
          <w:sz w:val="4"/>
          <w:szCs w:val="4"/>
        </w:rPr>
      </w:r>
      <w:bookmarkStart w:id="46" w:name="_Hlk213159265"/>
      <w:bookmarkStart w:id="47" w:name="_Hlk213159265"/>
      <w:bookmarkEnd w:id="47"/>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currently do not have the necessary cash on hand, projected future cash flows or committed financing to fund our obligations over the next twelve months, which raises substantial doubt about our ability to continue as a going concern.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substantial debt outstanding and may incur additional debt and covenants in our Indentures could limit our ability to undertake certain types of activities and adversely affect our liquidity.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need additional capital, which may not be available on favorable terms or at all, to fund current obligations, to continue investing in our business and to finance acquisitions and other strategic transactions.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parent, EchoStar is controlled by one principal stockholder who is also our Chairman.</w:t>
            </w:r>
          </w:p>
        </w:tc>
      </w:tr>
    </w:tbl>
    <w:p>
      <w:pPr>
        <w:pStyle w:val="TextBody"/>
        <w:bidi w:val="0"/>
        <w:spacing w:before="0" w:after="240"/>
        <w:ind w:left="60" w:right="0" w:hanging="0"/>
        <w:jc w:val="left"/>
        <w:rPr>
          <w:rFonts w:ascii="Arial;Helvetica;sans-serif" w:hAnsi="Arial;Helvetica;sans-serif"/>
          <w:b/>
          <w:sz w:val="20"/>
        </w:rPr>
      </w:pPr>
      <w:r>
        <w:rPr>
          <w:rFonts w:ascii="Arial;Helvetica;sans-serif" w:hAnsi="Arial;Helvetica;sans-serif"/>
          <w:b/>
          <w:sz w:val="20"/>
        </w:rPr>
        <w:t>Risks Related to the Regulation of Our Business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services depend on FCC licenses that can expire or be revoked or modified and applications for FCC licenses that may not be granted.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Other factors that could cause or contribute to such differences include, but are not limited to, those discussed under the caption “Risk Factors” in Part II, Item 1A of this Quarterly Report on Form 10-Q and in Part I, Item 1A of our most recent Annual Report on Form 10</w:t>
        <w:noBreakHyphen/>
        <w:t>K (the “10</w:t>
        <w:noBreakHyphen/>
        <w:t>K”) filed with the Securities and Exchange Commission (“SEC”), those discussed in “Management’s Narrative Analysis of Results of Operations” herein and in the 10</w:t>
        <w:noBreakHyphen/>
        <w:t>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b/>
          <w:sz w:val="20"/>
        </w:rPr>
      </w:pPr>
      <w:bookmarkStart w:id="48" w:name="ITEM1FINANCIALSTATEMENTS_515645"/>
      <w:bookmarkStart w:id="49" w:name="_e9dc2008_0508_4d2c_8593_2393b6fe2a70"/>
      <w:bookmarkEnd w:id="48"/>
      <w:bookmarkEnd w:id="49"/>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bookmarkStart w:id="50" w:name="BalanceSheets"/>
      <w:bookmarkEnd w:id="50"/>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(Dollars in thousands, except share amounts)</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51" w:name="Tc_PjQZl1qCAkmCreWXQrEByA_54_5"/>
      <w:bookmarkStart w:id="52" w:name="Tc_O22VyXILyUasJif3EfcUqA_54_2"/>
      <w:bookmarkStart w:id="53" w:name="Tc_3w_oGtYbh0mMjlOnVJ9ulA_54_0"/>
      <w:bookmarkStart w:id="54" w:name="Tc_kFYNEo69cE2xduHyfXxuWQ_53_0"/>
      <w:bookmarkStart w:id="55" w:name="Tc_zczfZrXZEEChXGELnuiUrg_52_0"/>
      <w:bookmarkStart w:id="56" w:name="Tc_hfsytOQ7eU-DgMH9kNcxcQ_51_0"/>
      <w:bookmarkStart w:id="57" w:name="Tc_W_MMa3heVk-Pd-2LQjuOAA_50_0"/>
      <w:bookmarkStart w:id="58" w:name="Tc_oCzw0VoZKUaSLsaCfAJSPw_49_0"/>
      <w:bookmarkStart w:id="59" w:name="Tc_-j8y2TcfVUm-FMV-MMYzfA_48_0"/>
      <w:bookmarkStart w:id="60" w:name="Tc_zXIZHSLEq0m9f4NEEYWy0g_47_0"/>
      <w:bookmarkStart w:id="61" w:name="Tc_ZsO1GYTKOEu0fMMp__gACw_46_0"/>
      <w:bookmarkStart w:id="62" w:name="Tc_Hc2Z3fMuZ0-8g1zuXVlmjQ_44_0"/>
      <w:bookmarkStart w:id="63" w:name="Tc_FGcB9nUgY0OLdXlhYucIHA_42_0"/>
      <w:bookmarkStart w:id="64" w:name="Tc_7QxyIhuI-Ee5lh__YOkLDQ_41_0"/>
      <w:bookmarkStart w:id="65" w:name="Tc_Fg_YBcPKzUOBJC0U10t6mQ_40_0"/>
      <w:bookmarkStart w:id="66" w:name="Tc_qviqDEum-kSWDrgN5uFyBA_39_0"/>
      <w:bookmarkStart w:id="67" w:name="Tc_82o0QxRWjUGdUrrI8mVzlA_38_0"/>
      <w:bookmarkStart w:id="68" w:name="Tc_wi1iCww3GE6j7wbniiB8gw_37_0"/>
      <w:bookmarkStart w:id="69" w:name="Tc_fbjnmDtKwkaybLQTb2zIPA_36_0"/>
      <w:bookmarkStart w:id="70" w:name="Tc_NIpspgTE6kO_W5Jy1lpHwA_34_0"/>
      <w:bookmarkStart w:id="71" w:name="Tc_i0zc4HYws0WxjNSVsogE4g_33_0"/>
      <w:bookmarkStart w:id="72" w:name="Tc_oOuPRCKKJEeYys4pYPTIOQ_32_0"/>
      <w:bookmarkStart w:id="73" w:name="Tc_Qye_6vT0fEKz2TAsHmdtkQ_31_0"/>
      <w:bookmarkStart w:id="74" w:name="Tc_kB55PYQI6kGFpl7nzR9lEw_30_0"/>
      <w:bookmarkStart w:id="75" w:name="Tc_VNrHP5-TpkSwj92F0w-TyQ_29_0"/>
      <w:bookmarkStart w:id="76" w:name="Tc_egapRV7xcUKLWt4xP_bwmw_28_0"/>
      <w:bookmarkStart w:id="77" w:name="Tc_sqkbIjhal0-XbamFAnqaUA_27_0"/>
      <w:bookmarkStart w:id="78" w:name="Tc_JsmVrx_2e0qlLuri44VQeA_26_5"/>
      <w:bookmarkStart w:id="79" w:name="Tc_QJ-7YPZu_Ee0otNX9yDizQ_26_2"/>
      <w:bookmarkStart w:id="80" w:name="Tc_wPR7JWi_NkKxqyal8DkjKA_26_0"/>
      <w:bookmarkStart w:id="81" w:name="Tc_LwfkxNMHbkesqIxj2pgVgQ_25_0"/>
      <w:bookmarkStart w:id="82" w:name="Tc_A2CxMcQSukWvjulxtfA0nw_24_0"/>
      <w:bookmarkStart w:id="83" w:name="Tc_nLeqIE-8LEKNNlhNSMonSg_22_5"/>
      <w:bookmarkStart w:id="84" w:name="Tc_dJvy2Gk2g0qv6HX0AJug6Q_22_2"/>
      <w:bookmarkStart w:id="85" w:name="Tc_rlPJCI6sBU-WoVGh4VI__w_22_0"/>
      <w:bookmarkStart w:id="86" w:name="Tc_D07ApFG3gkaA8dx6fZHBUQ_21_0"/>
      <w:bookmarkStart w:id="87" w:name="Tc_sI57oOlPF0y_V7gp3Sm-zQ_20_0"/>
      <w:bookmarkStart w:id="88" w:name="Tc_2rUhsAktzUydTDxTMqwSpw_19_0"/>
      <w:bookmarkStart w:id="89" w:name="Tc_-cD04tkn106LYd7s8evnLA_18_0"/>
      <w:bookmarkStart w:id="90" w:name="Tc_gpS-1XCwr0GNpGFJN3busg_17_0"/>
      <w:bookmarkStart w:id="91" w:name="Tc_BfOYbfMOp0qqazHaYqKoxg_16_0"/>
      <w:bookmarkStart w:id="92" w:name="Tc_J7vnUIltdE-kmM3eLCUm4A_15_0"/>
      <w:bookmarkStart w:id="93" w:name="Tc_TogWrewKOEmdMRKFjFHj0g_14_0"/>
      <w:bookmarkStart w:id="94" w:name="Tc_kw_ie77mgUaiBmGQ0MkNaQ_12_0"/>
      <w:bookmarkStart w:id="95" w:name="Tc_Qf9zhUu1YkesgZuiM1GBmQ_11_0"/>
      <w:bookmarkStart w:id="96" w:name="Tc_mbY62wSYRUy-gB0hmVwpSg_10_0"/>
      <w:bookmarkStart w:id="97" w:name="Tc_3UlIHd5cLUmJWGnp0Pftpg_9_0"/>
      <w:bookmarkStart w:id="98" w:name="Tc_mYZ9bb7czkCvDEGTHQIQQQ_8_0"/>
      <w:bookmarkStart w:id="99" w:name="Tc_uflDszEHgEiSINw7k98kvQ_7_6"/>
      <w:bookmarkStart w:id="100" w:name="Tc_vLDk16K2HE-cfb3ns1RhLA_7_3"/>
      <w:bookmarkStart w:id="101" w:name="Tc_x69sq6jOUU6lkuT-_o_pCA_7_0"/>
      <w:bookmarkStart w:id="102" w:name="Tc_FZJmjdfdwk2FvEBZnujbUQ_6_5"/>
      <w:bookmarkStart w:id="103" w:name="Tc_f57o1aGLdUejLV0EijdQfA_6_2"/>
      <w:bookmarkStart w:id="104" w:name="Tc_ThK2cNsDLE-fyNtVcL3-6g_6_0"/>
      <w:bookmarkStart w:id="105" w:name="Tc_S_sUvxDw00SbtJesHeoS9w_5_0"/>
      <w:bookmarkStart w:id="106" w:name="Tc_OeD66ZYMgE24fn1OhsrZKA_4_0"/>
      <w:bookmarkStart w:id="107" w:name="Tc_YjGIgjN2M0WCmn0IhEjiLw_3_5"/>
      <w:bookmarkStart w:id="108" w:name="Tc_2hvcgkndnUS0L4EFqYkXCA_3_2"/>
      <w:bookmarkStart w:id="109" w:name="Tc_ATpd54TvIU2S4eZKTtn9Dw_2_5"/>
      <w:bookmarkStart w:id="110" w:name="Tc_Sd6hAJDphU2Gk-KEWStKYg_2_2"/>
      <w:bookmarkStart w:id="111" w:name="Tc_GiN9v0BWpE2hSRIV5qr07Q_1_2"/>
      <w:bookmarkStart w:id="112" w:name="_f9e76291_be55_419a_9c26_ed5f24dc8db8"/>
      <w:bookmarkStart w:id="113" w:name="Tc_PjQZl1qCAkmCreWXQrEByA_54_5"/>
      <w:bookmarkStart w:id="114" w:name="Tc_O22VyXILyUasJif3EfcUqA_54_2"/>
      <w:bookmarkStart w:id="115" w:name="Tc_3w_oGtYbh0mMjlOnVJ9ulA_54_0"/>
      <w:bookmarkStart w:id="116" w:name="Tc_kFYNEo69cE2xduHyfXxuWQ_53_0"/>
      <w:bookmarkStart w:id="117" w:name="Tc_zczfZrXZEEChXGELnuiUrg_52_0"/>
      <w:bookmarkStart w:id="118" w:name="Tc_hfsytOQ7eU-DgMH9kNcxcQ_51_0"/>
      <w:bookmarkStart w:id="119" w:name="Tc_W_MMa3heVk-Pd-2LQjuOAA_50_0"/>
      <w:bookmarkStart w:id="120" w:name="Tc_oCzw0VoZKUaSLsaCfAJSPw_49_0"/>
      <w:bookmarkStart w:id="121" w:name="Tc_-j8y2TcfVUm-FMV-MMYzfA_48_0"/>
      <w:bookmarkStart w:id="122" w:name="Tc_zXIZHSLEq0m9f4NEEYWy0g_47_0"/>
      <w:bookmarkStart w:id="123" w:name="Tc_ZsO1GYTKOEu0fMMp__gACw_46_0"/>
      <w:bookmarkStart w:id="124" w:name="Tc_Hc2Z3fMuZ0-8g1zuXVlmjQ_44_0"/>
      <w:bookmarkStart w:id="125" w:name="Tc_FGcB9nUgY0OLdXlhYucIHA_42_0"/>
      <w:bookmarkStart w:id="126" w:name="Tc_7QxyIhuI-Ee5lh__YOkLDQ_41_0"/>
      <w:bookmarkStart w:id="127" w:name="Tc_Fg_YBcPKzUOBJC0U10t6mQ_40_0"/>
      <w:bookmarkStart w:id="128" w:name="Tc_qviqDEum-kSWDrgN5uFyBA_39_0"/>
      <w:bookmarkStart w:id="129" w:name="Tc_82o0QxRWjUGdUrrI8mVzlA_38_0"/>
      <w:bookmarkStart w:id="130" w:name="Tc_wi1iCww3GE6j7wbniiB8gw_37_0"/>
      <w:bookmarkStart w:id="131" w:name="Tc_fbjnmDtKwkaybLQTb2zIPA_36_0"/>
      <w:bookmarkStart w:id="132" w:name="Tc_NIpspgTE6kO_W5Jy1lpHwA_34_0"/>
      <w:bookmarkStart w:id="133" w:name="Tc_i0zc4HYws0WxjNSVsogE4g_33_0"/>
      <w:bookmarkStart w:id="134" w:name="Tc_oOuPRCKKJEeYys4pYPTIOQ_32_0"/>
      <w:bookmarkStart w:id="135" w:name="Tc_Qye_6vT0fEKz2TAsHmdtkQ_31_0"/>
      <w:bookmarkStart w:id="136" w:name="Tc_kB55PYQI6kGFpl7nzR9lEw_30_0"/>
      <w:bookmarkStart w:id="137" w:name="Tc_VNrHP5-TpkSwj92F0w-TyQ_29_0"/>
      <w:bookmarkStart w:id="138" w:name="Tc_egapRV7xcUKLWt4xP_bwmw_28_0"/>
      <w:bookmarkStart w:id="139" w:name="Tc_sqkbIjhal0-XbamFAnqaUA_27_0"/>
      <w:bookmarkStart w:id="140" w:name="Tc_JsmVrx_2e0qlLuri44VQeA_26_5"/>
      <w:bookmarkStart w:id="141" w:name="Tc_QJ-7YPZu_Ee0otNX9yDizQ_26_2"/>
      <w:bookmarkStart w:id="142" w:name="Tc_wPR7JWi_NkKxqyal8DkjKA_26_0"/>
      <w:bookmarkStart w:id="143" w:name="Tc_LwfkxNMHbkesqIxj2pgVgQ_25_0"/>
      <w:bookmarkStart w:id="144" w:name="Tc_A2CxMcQSukWvjulxtfA0nw_24_0"/>
      <w:bookmarkStart w:id="145" w:name="Tc_nLeqIE-8LEKNNlhNSMonSg_22_5"/>
      <w:bookmarkStart w:id="146" w:name="Tc_dJvy2Gk2g0qv6HX0AJug6Q_22_2"/>
      <w:bookmarkStart w:id="147" w:name="Tc_rlPJCI6sBU-WoVGh4VI__w_22_0"/>
      <w:bookmarkStart w:id="148" w:name="Tc_D07ApFG3gkaA8dx6fZHBUQ_21_0"/>
      <w:bookmarkStart w:id="149" w:name="Tc_sI57oOlPF0y_V7gp3Sm-zQ_20_0"/>
      <w:bookmarkStart w:id="150" w:name="Tc_2rUhsAktzUydTDxTMqwSpw_19_0"/>
      <w:bookmarkStart w:id="151" w:name="Tc_-cD04tkn106LYd7s8evnLA_18_0"/>
      <w:bookmarkStart w:id="152" w:name="Tc_gpS-1XCwr0GNpGFJN3busg_17_0"/>
      <w:bookmarkStart w:id="153" w:name="Tc_BfOYbfMOp0qqazHaYqKoxg_16_0"/>
      <w:bookmarkStart w:id="154" w:name="Tc_J7vnUIltdE-kmM3eLCUm4A_15_0"/>
      <w:bookmarkStart w:id="155" w:name="Tc_TogWrewKOEmdMRKFjFHj0g_14_0"/>
      <w:bookmarkStart w:id="156" w:name="Tc_kw_ie77mgUaiBmGQ0MkNaQ_12_0"/>
      <w:bookmarkStart w:id="157" w:name="Tc_Qf9zhUu1YkesgZuiM1GBmQ_11_0"/>
      <w:bookmarkStart w:id="158" w:name="Tc_mbY62wSYRUy-gB0hmVwpSg_10_0"/>
      <w:bookmarkStart w:id="159" w:name="Tc_3UlIHd5cLUmJWGnp0Pftpg_9_0"/>
      <w:bookmarkStart w:id="160" w:name="Tc_mYZ9bb7czkCvDEGTHQIQQQ_8_0"/>
      <w:bookmarkStart w:id="161" w:name="Tc_uflDszEHgEiSINw7k98kvQ_7_6"/>
      <w:bookmarkStart w:id="162" w:name="Tc_vLDk16K2HE-cfb3ns1RhLA_7_3"/>
      <w:bookmarkStart w:id="163" w:name="Tc_x69sq6jOUU6lkuT-_o_pCA_7_0"/>
      <w:bookmarkStart w:id="164" w:name="Tc_FZJmjdfdwk2FvEBZnujbUQ_6_5"/>
      <w:bookmarkStart w:id="165" w:name="Tc_f57o1aGLdUejLV0EijdQfA_6_2"/>
      <w:bookmarkStart w:id="166" w:name="Tc_ThK2cNsDLE-fyNtVcL3-6g_6_0"/>
      <w:bookmarkStart w:id="167" w:name="Tc_S_sUvxDw00SbtJesHeoS9w_5_0"/>
      <w:bookmarkStart w:id="168" w:name="Tc_OeD66ZYMgE24fn1OhsrZKA_4_0"/>
      <w:bookmarkStart w:id="169" w:name="Tc_YjGIgjN2M0WCmn0IhEjiLw_3_5"/>
      <w:bookmarkStart w:id="170" w:name="Tc_2hvcgkndnUS0L4EFqYkXCA_3_2"/>
      <w:bookmarkStart w:id="171" w:name="Tc_ATpd54TvIU2S4eZKTtn9Dw_2_5"/>
      <w:bookmarkStart w:id="172" w:name="Tc_Sd6hAJDphU2Gk-KEWStKYg_2_2"/>
      <w:bookmarkStart w:id="173" w:name="Tc_GiN9v0BWpE2hSRIV5qr07Q_1_2"/>
      <w:bookmarkStart w:id="174" w:name="_f9e76291_be55_419a_9c26_ed5f24dc8db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W w:w="10205" w:type="dxa"/>
        <w:jc w:val="left"/>
        <w:tblInd w:w="0" w:type="dxa"/>
        <w:tblLayout w:type="fixed"/>
        <w:tblCellMar>
          <w:top w:w="0" w:type="dxa"/>
          <w:left w:w="0" w:type="dxa"/>
          <w:bottom w:w="0" w:type="dxa"/>
          <w:right w:w="0" w:type="dxa"/>
        </w:tblCellMar>
      </w:tblPr>
      <w:tblGrid>
        <w:gridCol w:w="7518"/>
        <w:gridCol w:w="109"/>
        <w:gridCol w:w="224"/>
        <w:gridCol w:w="1017"/>
        <w:gridCol w:w="109"/>
        <w:gridCol w:w="214"/>
        <w:gridCol w:w="1014"/>
      </w:tblGrid>
      <w:tr>
        <w:trPr/>
        <w:tc>
          <w:tcPr>
            <w:tcW w:w="7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773930" cy="175260"/>
                      <wp:effectExtent l="0" t="0" r="0" b="0"/>
                      <wp:wrapNone/>
                      <wp:docPr id="2" name="Frame1"/>
                      <a:graphic xmlns:a="http://schemas.openxmlformats.org/drawingml/2006/main">
                        <a:graphicData uri="http://schemas.microsoft.com/office/word/2010/wordprocessingShape">
                          <wps:wsp>
                            <wps:cNvSpPr txBox="1"/>
                            <wps:spPr>
                              <a:xfrm>
                                <a:off x="0" y="0"/>
                                <a:ext cx="4773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2240" cy="175260"/>
                      <wp:effectExtent l="0" t="0" r="0" b="0"/>
                      <wp:wrapNone/>
                      <wp:docPr id="4" name="Frame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5795" cy="175260"/>
                      <wp:effectExtent l="0" t="0" r="0" b="0"/>
                      <wp:wrapNone/>
                      <wp:docPr id="5" name="Frame4"/>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5890" cy="175260"/>
                      <wp:effectExtent l="0" t="0" r="0" b="0"/>
                      <wp:wrapNone/>
                      <wp:docPr id="7" name="Frame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3890" cy="175260"/>
                      <wp:effectExtent l="0" t="0" r="0" b="0"/>
                      <wp:wrapNone/>
                      <wp:docPr id="8" name="Frame7"/>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109" w:type="dxa"/>
            <w:tcBorders/>
            <w:vAlign w:val="center"/>
          </w:tcPr>
          <w:p>
            <w:pPr>
              <w:pStyle w:val="TableContents"/>
              <w:bidi w:val="0"/>
              <w:spacing w:before="0" w:after="1"/>
              <w:ind w:left="0" w:right="0" w:hanging="0"/>
              <w:jc w:val="left"/>
              <w:rPr/>
            </w:pPr>
            <w:r>
              <w:rPr/>
              <w:t>​</w:t>
            </w:r>
          </w:p>
        </w:tc>
        <w:tc>
          <w:tcPr>
            <w:tcW w:w="1228"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left"/>
              <w:rPr/>
            </w:pPr>
            <w:r>
              <w:rPr/>
              <w:t>​</w:t>
            </w:r>
          </w:p>
        </w:tc>
        <w:tc>
          <w:tcPr>
            <w:tcW w:w="12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Current Assets: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119,020</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204,198</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Marketable investment securities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Trade accounts receivable and contract assets, net of allowance for credit losses of $11,988 and $11,314, respectively</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297,190</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275,247</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Prepaids and other assets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72,490</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63,684</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Inventory</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191,097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151,043</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55,105</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48,034</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734,902</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742,206</w: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Noncurrent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Property and equipment, net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979,177</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1,097,190</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859,763</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939,896</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Regulatory authorizations, net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400,000</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404,698</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Intangible assets, net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9,355</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11,082</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investments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21,773</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23,516</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noncurrent assets, net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262,507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252,789</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noncurrent assets</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2,532,575</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2,729,171</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3,267,477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3,471,377</w: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Liabilities and Stockholder's Equity (Deficit)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Current Liabilities: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Trade accounts payable</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86,690</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99,519</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Contract liabilities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87,100</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81,558</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Accrued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15,996</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38,845</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Accrued compensation</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36,447</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34,904</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Accrued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59,313</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55,019</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liabilities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172,960</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72,393</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46,792</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48,242</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portion of debt and other notes payable (Note 8)</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1,510,952</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9,548</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2,016,250</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440,028</w: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Long-Term Obligations, Net of Current Portion:</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Long-term debt and other notes payable, net of current portion (Note 8)</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28,376</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1,533,717</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Deferred tax liabilities, net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139,597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191,559</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liabilities, noncurrent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741,219</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830,629</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noncurrent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78,653</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85,385</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long-term obligations, net of current portion</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987,845</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2,641,290</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3,004,095</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3,081,318</w: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Commitments and Contingencies (Note 9)</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75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Stockholder's Equity (Deficit):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Common stock, $0.01 par value, 1,000,000 shares authorized, 1,078 shares issued and outstanding at both September 30, 2025 and December 31, 2024</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1,499,751</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1,487,758</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Accumulated other comprehensive income (loss)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(165,718)</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(190,810)</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Accumulated earnings (deficit)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(1,123,807)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(958,518)</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HSSC stockholder's equity (deficit)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210,226</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338,430</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53,156</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51,629</w:t>
            </w:r>
          </w:p>
        </w:tc>
      </w:tr>
      <w:tr>
        <w:trPr/>
        <w:tc>
          <w:tcPr>
            <w:tcW w:w="751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stockholder's equity (deficit)</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263,382</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390,059</w:t>
            </w:r>
          </w:p>
        </w:tc>
      </w:tr>
      <w:tr>
        <w:trPr/>
        <w:tc>
          <w:tcPr>
            <w:tcW w:w="75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liabilities and stockholder's equity (deficit)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3,267,477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14"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Arial;Helvetica;sans-serif" w:hAnsi="Arial;Helvetica;sans-serif"/>
                <w:sz w:val="16"/>
              </w:rPr>
            </w:pPr>
            <w:r>
              <w:rPr>
                <w:rFonts w:ascii="Arial;Helvetica;sans-serif" w:hAnsi="Arial;Helvetica;sans-serif"/>
                <w:sz w:val="16"/>
              </w:rPr>
              <w:t>3,471,377</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75" w:name="_35f3f672_dca0_40bb_a6e3_a8d8c68c00a0"/>
      <w:bookmarkEnd w:id="175"/>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bookmarkStart w:id="176" w:name="CONDENSEDCONSOLIDATEDSTATEMENTSOFOPERATI"/>
      <w:bookmarkEnd w:id="176"/>
      <w:r>
        <w:rPr>
          <w:rFonts w:ascii="Arial;Helvetica;sans-serif" w:hAnsi="Arial;Helvetica;sans-serif"/>
          <w:b/>
          <w:sz w:val="20"/>
        </w:rPr>
        <w:t>CONDENSED CONSOLIDATED STATEMENTS OF OPERATIONS</w:t>
        <w:br/>
        <w:t>AND COMPREHENSIVE INCOME (LOSS)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177" w:name="Tc_Eo4dBVaBFUWyEMJtTBboSA_40_11"/>
      <w:bookmarkStart w:id="178" w:name="Tc_ahhUB__J102l0PxNflGx0Q_40_8"/>
      <w:bookmarkStart w:id="179" w:name="Tc_S_zYx1as2Uqeeaie9F_jKw_40_5"/>
      <w:bookmarkStart w:id="180" w:name="Tc_j1IUkTLvVkytpip2H6CYbg_40_2"/>
      <w:bookmarkStart w:id="181" w:name="Tc_vG7uyvNxeUOzMEUH3VzRyQ_40_0"/>
      <w:bookmarkStart w:id="182" w:name="Tc_TlcFU8wvYk-zZp2TUXEHvg_39_0"/>
      <w:bookmarkStart w:id="183" w:name="Tc_0O8iipH39EqsUhhssEWGCg_38_0"/>
      <w:bookmarkStart w:id="184" w:name="Tc_Lm3Fpwh4q06ZDAlMwm6ecg_37_0"/>
      <w:bookmarkStart w:id="185" w:name="Tc_4twrbTYgF0uoTxXhseMFzA_36_6"/>
      <w:bookmarkStart w:id="186" w:name="Tc_SOBAW81DoEOePZCd_TaGqw_36_0"/>
      <w:bookmarkStart w:id="187" w:name="Tc_RRkdhXyZIkiZL0WbY9Ezdg_35_6"/>
      <w:bookmarkStart w:id="188" w:name="Tc_VZSAm0PUik-_1-4nhYKrOw_35_0"/>
      <w:bookmarkStart w:id="189" w:name="Tc_xxNogijueU-SpMRFgwhTsg_34_0"/>
      <w:bookmarkStart w:id="190" w:name="Tc_UVL0aPdmakS797K98hYoBA_33_0"/>
      <w:bookmarkStart w:id="191" w:name="Tc_7S0aU_rdHU-SnVoIbyIy5Q_32_11"/>
      <w:bookmarkStart w:id="192" w:name="Tc_erI-QaktT0W9_BJcLB8anA_32_8"/>
      <w:bookmarkStart w:id="193" w:name="Tc_RrfTEX4tmEOsuigQazdtBg_32_5"/>
      <w:bookmarkStart w:id="194" w:name="Tc_o98GXHIgGkWjkGMQld2yKA_32_2"/>
      <w:bookmarkStart w:id="195" w:name="Tc_4rccqE_yVUKqGQt9GEHKgw_32_0"/>
      <w:bookmarkStart w:id="196" w:name="Tc_I7mfCC6wuk6cXeCdu-baxw_31_0"/>
      <w:bookmarkStart w:id="197" w:name="Tc_fBAL3ejH-EqhIqj95JJSWg_29_11"/>
      <w:bookmarkStart w:id="198" w:name="Tc_y5xVtLnbI0-HRsmKPmBykg_29_8"/>
      <w:bookmarkStart w:id="199" w:name="Tc_lVGBsrsipUKw62Ej2-UdxQ_29_5"/>
      <w:bookmarkStart w:id="200" w:name="Tc_MRIbP9NrNE-lnTwMI1Ig6w_29_2"/>
      <w:bookmarkStart w:id="201" w:name="Tc_-hf2wM3VfEqN_FT1SNQDrg_29_0"/>
      <w:bookmarkStart w:id="202" w:name="Tc_VOvxRoQqy0-965jILb4gCg_28_0"/>
      <w:bookmarkStart w:id="203" w:name="Tc_48YbLWl2zUW2dE3QXjzlJQ_27_0"/>
      <w:bookmarkStart w:id="204" w:name="Tc_SAS2EWxuDUefezb0ofJ3dQ_26_0"/>
      <w:bookmarkStart w:id="205" w:name="Tc_MmdwAQiW70SE9Ky3pT_Hyw_25_0"/>
      <w:bookmarkStart w:id="206" w:name="Tc_m2eeiLb2R06a7txZkK39Iw_23_0"/>
      <w:bookmarkStart w:id="207" w:name="Tc_wItZuFrwKUu6Tanc5hWKOg_22_0"/>
      <w:bookmarkStart w:id="208" w:name="Tc_Br4GEJ9yXkWb4Z_blF74eQ_21_0"/>
      <w:bookmarkStart w:id="209" w:name="Tc_1enhGuITPU-sEj10kBPihw_20_0"/>
      <w:bookmarkStart w:id="210" w:name="Tc_pQtMNBfxZEqg32SrS8G7vg_19_0"/>
      <w:bookmarkStart w:id="211" w:name="Tc_JtrvHshwTk-GCR_iJvuP7g_17_0"/>
      <w:bookmarkStart w:id="212" w:name="Tc_z41YdEJUzUaZApeQn079KQ_15_0"/>
      <w:bookmarkStart w:id="213" w:name="Tc_cruWW6ofkEaOCm2HSzLlTQ_14_12"/>
      <w:bookmarkStart w:id="214" w:name="Tc_M-3FbV1x2E2C7viQSTxKFw_14_6"/>
      <w:bookmarkStart w:id="215" w:name="Tc_zQDBnTT2GUGWOvB4pK0hmw_14_0"/>
      <w:bookmarkStart w:id="216" w:name="Tc_MqYBGr76O0Sb8h8lqFziWg_13_0"/>
      <w:bookmarkStart w:id="217" w:name="Tc_yMZIQMeYJEiovsxqQld0xA_12_0"/>
      <w:bookmarkStart w:id="218" w:name="Tc_0w2lA1FpZEqNme-oJkkEgA_11_0"/>
      <w:bookmarkStart w:id="219" w:name="Tc_ORc4l0mPXUSxU4-LAUSgEQ_10_0"/>
      <w:bookmarkStart w:id="220" w:name="Tc_gzJWNypBOUWrAWTwhY4KiQ_9_0"/>
      <w:bookmarkStart w:id="221" w:name="Tc_coDzZCcRvU2Nha9eg74cJQ_7_0"/>
      <w:bookmarkStart w:id="222" w:name="Tc_e7zP3c8LXEqEzi8W05rM5g_6_0"/>
      <w:bookmarkStart w:id="223" w:name="Tc_TOmCWxUgM0mGPE3csJjw3Q_5_11"/>
      <w:bookmarkStart w:id="224" w:name="Tc_KzMbzqw8PU63La2LEudplw_5_8"/>
      <w:bookmarkStart w:id="225" w:name="Tc_vuSEmXTPIkaN_Yr3TeFq4w_5_5"/>
      <w:bookmarkStart w:id="226" w:name="Tc_2NZL6OOGhk-t2i9JLvmsUw_5_2"/>
      <w:bookmarkStart w:id="227" w:name="Tc_jOB488c9P0KHv0b8C_ffQQ_5_0"/>
      <w:bookmarkStart w:id="228" w:name="Tc_Ksws2mhAh0-WaWMrCnAluw_4_0"/>
      <w:bookmarkStart w:id="229" w:name="Tc_g2SkKRU-n0K8eGXtNcO55w_3_11"/>
      <w:bookmarkStart w:id="230" w:name="Tc_cD-Lv_bam02nDMiA_8wxvw_3_8"/>
      <w:bookmarkStart w:id="231" w:name="Tc_Axgig1eWrE-zs0hLqHv11g_3_5"/>
      <w:bookmarkStart w:id="232" w:name="Tc_zYw755w8m0OEnJHxC2qxKw_3_2"/>
      <w:bookmarkStart w:id="233" w:name="Tc_4YcszhahpE2Tae0COXxrGg_2_8"/>
      <w:bookmarkStart w:id="234" w:name="Tc_UHOIen06VEmDM9dMX5MQiA_2_2"/>
      <w:bookmarkStart w:id="235" w:name="Tc_65UCwZvDE0SreyXHSJUM7g_1_8"/>
      <w:bookmarkStart w:id="236" w:name="Tc_pe6bbHY9XkC2Q9sx4xZs-g_1_2"/>
      <w:bookmarkStart w:id="237" w:name="_ad72118c_102b_4cd1_8af0_c381430ff8c9"/>
      <w:bookmarkStart w:id="238" w:name="Tc_Eo4dBVaBFUWyEMJtTBboSA_40_11"/>
      <w:bookmarkStart w:id="239" w:name="Tc_ahhUB__J102l0PxNflGx0Q_40_8"/>
      <w:bookmarkStart w:id="240" w:name="Tc_S_zYx1as2Uqeeaie9F_jKw_40_5"/>
      <w:bookmarkStart w:id="241" w:name="Tc_j1IUkTLvVkytpip2H6CYbg_40_2"/>
      <w:bookmarkStart w:id="242" w:name="Tc_vG7uyvNxeUOzMEUH3VzRyQ_40_0"/>
      <w:bookmarkStart w:id="243" w:name="Tc_TlcFU8wvYk-zZp2TUXEHvg_39_0"/>
      <w:bookmarkStart w:id="244" w:name="Tc_0O8iipH39EqsUhhssEWGCg_38_0"/>
      <w:bookmarkStart w:id="245" w:name="Tc_Lm3Fpwh4q06ZDAlMwm6ecg_37_0"/>
      <w:bookmarkStart w:id="246" w:name="Tc_4twrbTYgF0uoTxXhseMFzA_36_6"/>
      <w:bookmarkStart w:id="247" w:name="Tc_SOBAW81DoEOePZCd_TaGqw_36_0"/>
      <w:bookmarkStart w:id="248" w:name="Tc_RRkdhXyZIkiZL0WbY9Ezdg_35_6"/>
      <w:bookmarkStart w:id="249" w:name="Tc_VZSAm0PUik-_1-4nhYKrOw_35_0"/>
      <w:bookmarkStart w:id="250" w:name="Tc_xxNogijueU-SpMRFgwhTsg_34_0"/>
      <w:bookmarkStart w:id="251" w:name="Tc_UVL0aPdmakS797K98hYoBA_33_0"/>
      <w:bookmarkStart w:id="252" w:name="Tc_7S0aU_rdHU-SnVoIbyIy5Q_32_11"/>
      <w:bookmarkStart w:id="253" w:name="Tc_erI-QaktT0W9_BJcLB8anA_32_8"/>
      <w:bookmarkStart w:id="254" w:name="Tc_RrfTEX4tmEOsuigQazdtBg_32_5"/>
      <w:bookmarkStart w:id="255" w:name="Tc_o98GXHIgGkWjkGMQld2yKA_32_2"/>
      <w:bookmarkStart w:id="256" w:name="Tc_4rccqE_yVUKqGQt9GEHKgw_32_0"/>
      <w:bookmarkStart w:id="257" w:name="Tc_I7mfCC6wuk6cXeCdu-baxw_31_0"/>
      <w:bookmarkStart w:id="258" w:name="Tc_fBAL3ejH-EqhIqj95JJSWg_29_11"/>
      <w:bookmarkStart w:id="259" w:name="Tc_y5xVtLnbI0-HRsmKPmBykg_29_8"/>
      <w:bookmarkStart w:id="260" w:name="Tc_lVGBsrsipUKw62Ej2-UdxQ_29_5"/>
      <w:bookmarkStart w:id="261" w:name="Tc_MRIbP9NrNE-lnTwMI1Ig6w_29_2"/>
      <w:bookmarkStart w:id="262" w:name="Tc_-hf2wM3VfEqN_FT1SNQDrg_29_0"/>
      <w:bookmarkStart w:id="263" w:name="Tc_VOvxRoQqy0-965jILb4gCg_28_0"/>
      <w:bookmarkStart w:id="264" w:name="Tc_48YbLWl2zUW2dE3QXjzlJQ_27_0"/>
      <w:bookmarkStart w:id="265" w:name="Tc_SAS2EWxuDUefezb0ofJ3dQ_26_0"/>
      <w:bookmarkStart w:id="266" w:name="Tc_MmdwAQiW70SE9Ky3pT_Hyw_25_0"/>
      <w:bookmarkStart w:id="267" w:name="Tc_m2eeiLb2R06a7txZkK39Iw_23_0"/>
      <w:bookmarkStart w:id="268" w:name="Tc_wItZuFrwKUu6Tanc5hWKOg_22_0"/>
      <w:bookmarkStart w:id="269" w:name="Tc_Br4GEJ9yXkWb4Z_blF74eQ_21_0"/>
      <w:bookmarkStart w:id="270" w:name="Tc_1enhGuITPU-sEj10kBPihw_20_0"/>
      <w:bookmarkStart w:id="271" w:name="Tc_pQtMNBfxZEqg32SrS8G7vg_19_0"/>
      <w:bookmarkStart w:id="272" w:name="Tc_JtrvHshwTk-GCR_iJvuP7g_17_0"/>
      <w:bookmarkStart w:id="273" w:name="Tc_z41YdEJUzUaZApeQn079KQ_15_0"/>
      <w:bookmarkStart w:id="274" w:name="Tc_cruWW6ofkEaOCm2HSzLlTQ_14_12"/>
      <w:bookmarkStart w:id="275" w:name="Tc_M-3FbV1x2E2C7viQSTxKFw_14_6"/>
      <w:bookmarkStart w:id="276" w:name="Tc_zQDBnTT2GUGWOvB4pK0hmw_14_0"/>
      <w:bookmarkStart w:id="277" w:name="Tc_MqYBGr76O0Sb8h8lqFziWg_13_0"/>
      <w:bookmarkStart w:id="278" w:name="Tc_yMZIQMeYJEiovsxqQld0xA_12_0"/>
      <w:bookmarkStart w:id="279" w:name="Tc_0w2lA1FpZEqNme-oJkkEgA_11_0"/>
      <w:bookmarkStart w:id="280" w:name="Tc_ORc4l0mPXUSxU4-LAUSgEQ_10_0"/>
      <w:bookmarkStart w:id="281" w:name="Tc_gzJWNypBOUWrAWTwhY4KiQ_9_0"/>
      <w:bookmarkStart w:id="282" w:name="Tc_coDzZCcRvU2Nha9eg74cJQ_7_0"/>
      <w:bookmarkStart w:id="283" w:name="Tc_e7zP3c8LXEqEzi8W05rM5g_6_0"/>
      <w:bookmarkStart w:id="284" w:name="Tc_TOmCWxUgM0mGPE3csJjw3Q_5_11"/>
      <w:bookmarkStart w:id="285" w:name="Tc_KzMbzqw8PU63La2LEudplw_5_8"/>
      <w:bookmarkStart w:id="286" w:name="Tc_vuSEmXTPIkaN_Yr3TeFq4w_5_5"/>
      <w:bookmarkStart w:id="287" w:name="Tc_2NZL6OOGhk-t2i9JLvmsUw_5_2"/>
      <w:bookmarkStart w:id="288" w:name="Tc_jOB488c9P0KHv0b8C_ffQQ_5_0"/>
      <w:bookmarkStart w:id="289" w:name="Tc_Ksws2mhAh0-WaWMrCnAluw_4_0"/>
      <w:bookmarkStart w:id="290" w:name="Tc_g2SkKRU-n0K8eGXtNcO55w_3_11"/>
      <w:bookmarkStart w:id="291" w:name="Tc_cD-Lv_bam02nDMiA_8wxvw_3_8"/>
      <w:bookmarkStart w:id="292" w:name="Tc_Axgig1eWrE-zs0hLqHv11g_3_5"/>
      <w:bookmarkStart w:id="293" w:name="Tc_zYw755w8m0OEnJHxC2qxKw_3_2"/>
      <w:bookmarkStart w:id="294" w:name="Tc_4YcszhahpE2Tae0COXxrGg_2_8"/>
      <w:bookmarkStart w:id="295" w:name="Tc_UHOIen06VEmDM9dMX5MQiA_2_2"/>
      <w:bookmarkStart w:id="296" w:name="Tc_65UCwZvDE0SreyXHSJUM7g_1_8"/>
      <w:bookmarkStart w:id="297" w:name="Tc_pe6bbHY9XkC2Q9sx4xZs-g_1_2"/>
      <w:bookmarkStart w:id="298" w:name="_ad72118c_102b_4cd1_8af0_c381430ff8c9"/>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tbl>
      <w:tblPr>
        <w:tblW w:w="10205" w:type="dxa"/>
        <w:jc w:val="left"/>
        <w:tblInd w:w="0" w:type="dxa"/>
        <w:tblLayout w:type="fixed"/>
        <w:tblCellMar>
          <w:top w:w="0" w:type="dxa"/>
          <w:left w:w="0" w:type="dxa"/>
          <w:bottom w:w="0" w:type="dxa"/>
          <w:right w:w="0" w:type="dxa"/>
        </w:tblCellMar>
      </w:tblPr>
      <w:tblGrid>
        <w:gridCol w:w="4884"/>
        <w:gridCol w:w="326"/>
        <w:gridCol w:w="207"/>
        <w:gridCol w:w="747"/>
        <w:gridCol w:w="344"/>
        <w:gridCol w:w="207"/>
        <w:gridCol w:w="747"/>
        <w:gridCol w:w="326"/>
        <w:gridCol w:w="196"/>
        <w:gridCol w:w="826"/>
        <w:gridCol w:w="326"/>
        <w:gridCol w:w="196"/>
        <w:gridCol w:w="873"/>
      </w:tblGrid>
      <w:tr>
        <w:trPr/>
        <w:tc>
          <w:tcPr>
            <w:tcW w:w="4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01340" cy="175260"/>
                      <wp:effectExtent l="0" t="0" r="0" b="0"/>
                      <wp:wrapNone/>
                      <wp:docPr id="9" name="Frame8"/>
                      <a:graphic xmlns:a="http://schemas.openxmlformats.org/drawingml/2006/main">
                        <a:graphicData uri="http://schemas.microsoft.com/office/word/2010/wordprocessingShape">
                          <wps:wsp>
                            <wps:cNvSpPr txBox="1"/>
                            <wps:spPr>
                              <a:xfrm>
                                <a:off x="0" y="0"/>
                                <a:ext cx="310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1445" cy="175260"/>
                      <wp:effectExtent l="0" t="0" r="0" b="0"/>
                      <wp:wrapNone/>
                      <wp:docPr id="11" name="Frame10"/>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74345" cy="175260"/>
                      <wp:effectExtent l="0" t="0" r="0" b="0"/>
                      <wp:wrapNone/>
                      <wp:docPr id="12" name="Frame11"/>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8440" cy="175260"/>
                      <wp:effectExtent l="0" t="0" r="0" b="0"/>
                      <wp:wrapNone/>
                      <wp:docPr id="13" name="Frame12"/>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1445" cy="175260"/>
                      <wp:effectExtent l="0" t="0" r="0" b="0"/>
                      <wp:wrapNone/>
                      <wp:docPr id="14" name="Frame1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74345" cy="175260"/>
                      <wp:effectExtent l="0" t="0" r="0" b="0"/>
                      <wp:wrapNone/>
                      <wp:docPr id="15" name="Frame14"/>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4355" cy="175260"/>
                      <wp:effectExtent l="0" t="0" r="0" b="0"/>
                      <wp:wrapNone/>
                      <wp:docPr id="21" name="Frame20"/>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2"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41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Nine Months Ended </w:t>
            </w:r>
          </w:p>
        </w:tc>
      </w:tr>
      <w:tr>
        <w:trPr/>
        <w:tc>
          <w:tcPr>
            <w:tcW w:w="48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1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r>
      <w:tr>
        <w:trPr/>
        <w:tc>
          <w:tcPr>
            <w:tcW w:w="48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4" w:type="dxa"/>
            <w:tcBorders/>
            <w:vAlign w:val="center"/>
          </w:tcPr>
          <w:p>
            <w:pPr>
              <w:pStyle w:val="TableContents"/>
              <w:bidi w:val="0"/>
              <w:spacing w:before="0" w:after="0"/>
              <w:ind w:left="0" w:right="0" w:hanging="0"/>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center"/>
              <w:rPr/>
            </w:pPr>
            <w:r>
              <w:rPr/>
              <w:t>​</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Service revenue</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268,294</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295,935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820,249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919,344</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71,821</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86,461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220,954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232,675</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340,115</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382,396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1,041,203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1,152,019</w:t>
            </w:r>
          </w:p>
        </w:tc>
      </w:tr>
      <w:tr>
        <w:trPr/>
        <w:tc>
          <w:tcPr>
            <w:tcW w:w="48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Costs and Expenses (exclusive of depreciation and amortization):</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Cost of services </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160,017</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171,880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480,103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514,444</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sales - equipment and other</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67,830</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74,242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212,825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208,905</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79,078</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98,285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242,299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294,993</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83,218</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90,719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251,033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277,594</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Impairments and other (Note 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10,581</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costs and expenses</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400,724</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435,126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1,196,841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1,295,936</w:t>
            </w:r>
          </w:p>
        </w:tc>
      </w:tr>
      <w:tr>
        <w:trPr/>
        <w:tc>
          <w:tcPr>
            <w:tcW w:w="48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 (loss)</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(60,609)</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(52,730)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(155,638)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(143,917)</w:t>
            </w:r>
          </w:p>
        </w:tc>
      </w:tr>
      <w:tr>
        <w:trPr/>
        <w:tc>
          <w:tcPr>
            <w:tcW w:w="48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Other Income (Expense):</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2,522</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22,892</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 net of amounts capitalized</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(24,386)</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(74,697)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(74,139)</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 (Note 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1,013</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(6,085)</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other income (expense)</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(20,851)</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(23,352)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(61,716)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(57,332)</w:t>
            </w:r>
          </w:p>
        </w:tc>
      </w:tr>
      <w:tr>
        <w:trPr/>
        <w:tc>
          <w:tcPr>
            <w:tcW w:w="48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(81,460)</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(76,082)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(217,354)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(201,249)</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tax benefit (provision), net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21,490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50,521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32,848</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(59,970)</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(60,260)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(166,833)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(168,401)</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Net income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(8,543)</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 attributable to HSSC</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(59,808)</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(58,257)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(165,289)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(159,858)</w:t>
            </w:r>
          </w:p>
        </w:tc>
      </w:tr>
      <w:tr>
        <w:trPr/>
        <w:tc>
          <w:tcPr>
            <w:tcW w:w="48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Comprehensive Income (Loss):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(59,970)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(60,260)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(166,833)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(168,401)</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(20,032)</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Unrealized gains (losses)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Recognition of previously unrealized (gains) losses on available-for-sale debt securities included in 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204</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Total 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1,900</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28,163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(20,095)</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(58,070)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(54,581)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(138,670)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(188,496)</w:t>
            </w:r>
          </w:p>
        </w:tc>
      </w:tr>
      <w:tr>
        <w:trPr/>
        <w:tc>
          <w:tcPr>
            <w:tcW w:w="488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Comprehensive income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(12,433)</w:t>
            </w:r>
          </w:p>
        </w:tc>
      </w:tr>
      <w:tr>
        <w:trPr/>
        <w:tc>
          <w:tcPr>
            <w:tcW w:w="488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 attributable to HSSC</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(58,020)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(53,028)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(140,197)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(176,063)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99" w:name="_bac4a38e_7938_4829_983b_803369d92528"/>
      <w:bookmarkEnd w:id="299"/>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bookmarkStart w:id="300" w:name="CONDENSEDCONSOLIDATEDSTATEMENTSOFCHANGES"/>
      <w:bookmarkEnd w:id="300"/>
      <w:r>
        <w:rPr>
          <w:rFonts w:ascii="Arial;Helvetica;sans-serif" w:hAnsi="Arial;Helvetica;sans-serif"/>
          <w:b/>
          <w:sz w:val="20"/>
        </w:rPr>
        <w:t>CONDENSED CONSOLIDATED STATEMENTS OF CHANGES IN STOCKHOLDER’S EQUITY (DEFICIT)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301" w:name="Tc_QfhSJ_KJkEWAXExvmtBf6A_18_17"/>
      <w:bookmarkStart w:id="302" w:name="Tc_2xTMZ4NZCE6iILODfRVx-g_18_14"/>
      <w:bookmarkStart w:id="303" w:name="Tc_cI01Rbi07Eapddb7djyJSg_18_11"/>
      <w:bookmarkStart w:id="304" w:name="Tc_P_hSCUoy5Ue310EGTSW9Jg_18_8"/>
      <w:bookmarkStart w:id="305" w:name="Tc_fpn9b9NNXE6bdsUDBgHMtg_18_5"/>
      <w:bookmarkStart w:id="306" w:name="Tc_j0R-3-a3u0enuwlEj0TaXw_18_3"/>
      <w:bookmarkStart w:id="307" w:name="Tc_2R9IWWBsRUWwvJoi44eNAA_18_2"/>
      <w:bookmarkStart w:id="308" w:name="Tc_H8hOSdJ7i06xTCXveOP3FA_18_0"/>
      <w:bookmarkStart w:id="309" w:name="Tc_SJX4PhFZa0a0skI7-8O1EA_17_9"/>
      <w:bookmarkStart w:id="310" w:name="Tc_XqL8_XYQ6Euqcz9R68eE5Q_17_6"/>
      <w:bookmarkStart w:id="311" w:name="Tc_JXtePj23NESc09BsKbB46A_17_3"/>
      <w:bookmarkStart w:id="312" w:name="Tc_cx2nK1gf8UK6gINsH8-I0g_17_0"/>
      <w:bookmarkStart w:id="313" w:name="Tc_B85eMlwW20-dxJBrajbDYw_16_12"/>
      <w:bookmarkStart w:id="314" w:name="Tc_wi6G5fgN90CKAl0PFGikGQ_16_6"/>
      <w:bookmarkStart w:id="315" w:name="Tc_Ee-96l9okUa4Y0jKhcBAlg_16_3"/>
      <w:bookmarkStart w:id="316" w:name="Tc_az8Z4heMLEuVXA6QpNySgg_16_0"/>
      <w:bookmarkStart w:id="317" w:name="Tc_ZRrh1ralUUePr7f5uJwiyw_15_15"/>
      <w:bookmarkStart w:id="318" w:name="Tc_zetWj7vhp02bbs2hHkw1FQ_15_12"/>
      <w:bookmarkStart w:id="319" w:name="Tc_vQsU6L0kpEiWaVVcGHotnA_15_9"/>
      <w:bookmarkStart w:id="320" w:name="Tc_h7xzYuxBf0u6Z34mAWOhiA_15_3"/>
      <w:bookmarkStart w:id="321" w:name="Tc_bwTvfu1UXUejL9uYhnj4Ig_15_0"/>
      <w:bookmarkStart w:id="322" w:name="Tc_7c3qtVnvUkO72lNWNO1eBg_14_17"/>
      <w:bookmarkStart w:id="323" w:name="Tc_hkdG8i-bfEm3r4cd1iqdYw_14_14"/>
      <w:bookmarkStart w:id="324" w:name="Tc_k_P5uPURakCiFGYnSVgZ7w_14_11"/>
      <w:bookmarkStart w:id="325" w:name="Tc_JynDd6oRYU-jwcLXgbX0uw_14_8"/>
      <w:bookmarkStart w:id="326" w:name="Tc_NncEKKF130u_4gYCgl7iHw_14_5"/>
      <w:bookmarkStart w:id="327" w:name="Tc_0yaec78G3k2YFLjYDOtSOQ_14_3"/>
      <w:bookmarkStart w:id="328" w:name="Tc_SlvZ9Xp8iECuzOFe2HSZeA_14_2"/>
      <w:bookmarkStart w:id="329" w:name="Tc__EQy22TVvkuTQg6dlpRCOA_14_0"/>
      <w:bookmarkStart w:id="330" w:name="Tc_TECQGVI7wEy5uKZczaHu2Q_13_9"/>
      <w:bookmarkStart w:id="331" w:name="Tc_zrwU28GKUEuL_5t0vS2e-Q_13_6"/>
      <w:bookmarkStart w:id="332" w:name="Tc_cnVCY2VN7E2BLqjBzbGx9w_13_3"/>
      <w:bookmarkStart w:id="333" w:name="Tc_og4pEV_8C0SgNkVPqnIECw_13_0"/>
      <w:bookmarkStart w:id="334" w:name="Tc_OTh1R8ak9EWemeTuEt_-Dw_12_12"/>
      <w:bookmarkStart w:id="335" w:name="Tc_zGYZPVFpXEy1q5BYwEPyHg_12_6"/>
      <w:bookmarkStart w:id="336" w:name="Tc_CNNx3XcN1kWHiUIUzdhVjA_12_3"/>
      <w:bookmarkStart w:id="337" w:name="Tc_ZaVEjffTN0SfsE7iCgqkpQ_12_0"/>
      <w:bookmarkStart w:id="338" w:name="Tc_v13SHpvRX0OyHIG3yvjtZg_11_15"/>
      <w:bookmarkStart w:id="339" w:name="Tc_AD5QIKflQEyVV7-SMeLAdw_11_12"/>
      <w:bookmarkStart w:id="340" w:name="Tc_LKH6JXj8PE2mLomTMjDqTA_11_9"/>
      <w:bookmarkStart w:id="341" w:name="Tc_0t_rr-0xmUuNx21_eAA64w_11_3"/>
      <w:bookmarkStart w:id="342" w:name="Tc_exdwRzmElUimrobdY7tASQ_11_0"/>
      <w:bookmarkStart w:id="343" w:name="Tc_oGWCc1lUmUy71mw0_nS8Ow_10_17"/>
      <w:bookmarkStart w:id="344" w:name="Tc_sB1N_1yzgkWiahKRWMrBBg_10_14"/>
      <w:bookmarkStart w:id="345" w:name="Tc_cNd__GhrikKXE1KOUL8d0w_10_11"/>
      <w:bookmarkStart w:id="346" w:name="Tc_TXbUmt5ZW06lIPPVAkTVew_10_8"/>
      <w:bookmarkStart w:id="347" w:name="Tc_Hmeccajm00WcZSdkNMnRcw_10_5"/>
      <w:bookmarkStart w:id="348" w:name="Tc_Ts8ucGKT3kWayRzrR70BQw_10_3"/>
      <w:bookmarkStart w:id="349" w:name="Tc_hMEBmEnK606QvNF1U8sWOA_10_2"/>
      <w:bookmarkStart w:id="350" w:name="Tc_lUZzRjXHPEOoyHBXYDgZ8w_10_0"/>
      <w:bookmarkStart w:id="351" w:name="Tc_1iqxftz90kWVUIE1LTjCBA_9_9"/>
      <w:bookmarkStart w:id="352" w:name="Tc_DwGBkFZ8tUug4_KZTcbtAg_9_6"/>
      <w:bookmarkStart w:id="353" w:name="Tc_OW_GyrW3tkGiIhNaq5Tr_w_9_3"/>
      <w:bookmarkStart w:id="354" w:name="Tc_xA6SuZ9O2EKkUcqORMxOBQ_9_0"/>
      <w:bookmarkStart w:id="355" w:name="Tc_S1vBMjwhkUme0F5Fqect3w_8_12"/>
      <w:bookmarkStart w:id="356" w:name="Tc_3yKBvP_QikW6yMVo6mJ2qw_8_6"/>
      <w:bookmarkStart w:id="357" w:name="Tc_gn8AnA1ubUyPoNRhnYCJAw_8_3"/>
      <w:bookmarkStart w:id="358" w:name="Tc_eGq5vfsRJk6qgCjOPC41rg_8_0"/>
      <w:bookmarkStart w:id="359" w:name="Tc_eLCromLy6k-eHm_8zs8mhA_7_15"/>
      <w:bookmarkStart w:id="360" w:name="Tc_CWCef_iY7EKUH_yF4O-cjA_7_9"/>
      <w:bookmarkStart w:id="361" w:name="Tc_gH7qFWt5ek2xW5wApaR69Q_7_6"/>
      <w:bookmarkStart w:id="362" w:name="Tc_W2NIqoB7Q0GYbGCMP0Rp7Q_7_3"/>
      <w:bookmarkStart w:id="363" w:name="Tc_S8xH989vYkSSMH0yX0zmWw_7_0"/>
      <w:bookmarkStart w:id="364" w:name="Tc_SUHSDaPJ2kWGO5aUaklv2g_6_15"/>
      <w:bookmarkStart w:id="365" w:name="Tc_VwXVhjT6RkyLlrTaPeTxyQ_6_12"/>
      <w:bookmarkStart w:id="366" w:name="Tc_iMtoJE7_9EKj-IcB0EwBxQ_6_9"/>
      <w:bookmarkStart w:id="367" w:name="Tc_lPvizoGm6ECnA5eduPgVIg_6_3"/>
      <w:bookmarkStart w:id="368" w:name="Tc_xfyXuj9v1UCbJBVAoTINfQ_6_0"/>
      <w:bookmarkStart w:id="369" w:name="Tc_REXq5F1iI02mgmobHOYvMw_5_17"/>
      <w:bookmarkStart w:id="370" w:name="Tc_aI9F5juvokGeywRx35VbcA_5_14"/>
      <w:bookmarkStart w:id="371" w:name="Tc_gAwQLCVFLUGxYF3cyZdaCA_5_11"/>
      <w:bookmarkStart w:id="372" w:name="Tc_JIKcmsolG0yhuRGgbMFMHA_5_8"/>
      <w:bookmarkStart w:id="373" w:name="Tc_T09SucXNMkqyF-WxlN26Mw_5_5"/>
      <w:bookmarkStart w:id="374" w:name="Tc_5wDRt9hZo0GozhvrEW0oqQ_5_3"/>
      <w:bookmarkStart w:id="375" w:name="Tc_IXdJQZxzikmG0J6V-qm4Jw_5_2"/>
      <w:bookmarkStart w:id="376" w:name="Tc_rk46itUnqE67iyn0ZoabSw_5_0"/>
      <w:bookmarkStart w:id="377" w:name="Tc_g0u2H7MqfkiiyCtWoKDNkw_4_17"/>
      <w:bookmarkStart w:id="378" w:name="Tc_ZNGDTnOLPEirvANswC7OuQ_4_14"/>
      <w:bookmarkStart w:id="379" w:name="Tc_nzKIdecEMkKykFzuc8iJHg_4_11"/>
      <w:bookmarkStart w:id="380" w:name="Tc_S9mhChN6N0eNm6IWVrywqw_4_8"/>
      <w:bookmarkStart w:id="381" w:name="Tc_YBLtOhv_NEKBCRARBppksQ_4_5"/>
      <w:bookmarkStart w:id="382" w:name="Tc_Rnc1Bwbka0-eXiNzbIzHCQ_4_2"/>
      <w:bookmarkStart w:id="383" w:name="Tc_3AWMcJUYsEWqmGGDVSbVyA_3_14"/>
      <w:bookmarkStart w:id="384" w:name="Tc_4VfnhYhRS02DyKrRLVV9bA_3_11"/>
      <w:bookmarkStart w:id="385" w:name="Tc_xdKrJ_CZmE2dg1Zzq-j_aQ_3_8"/>
      <w:bookmarkStart w:id="386" w:name="Tc_V385Ol9onk21bMGlFoYNow_3_5"/>
      <w:bookmarkStart w:id="387" w:name="Tc_zwNG0mkvcUOlO6AGudwnvg_3_2"/>
      <w:bookmarkStart w:id="388" w:name="Tc_e0vQCp4oM0uG3K0ACvV5Ig_2_11"/>
      <w:bookmarkStart w:id="389" w:name="Tc_FGU82Tq3AkmlFEZoU4rE8Q_2_8"/>
      <w:bookmarkStart w:id="390" w:name="Tc_TIwf6d0GCky3voVzbtl9YQ_2_5"/>
      <w:bookmarkStart w:id="391" w:name="Tc_JsQNvy9Dg0W1YOKmYJW21w_1_8"/>
      <w:bookmarkStart w:id="392" w:name="_422dd6cf_cc82_4ae2_a6da_80b853f18e35"/>
      <w:bookmarkStart w:id="393" w:name="Tc_QfhSJ_KJkEWAXExvmtBf6A_18_17"/>
      <w:bookmarkStart w:id="394" w:name="Tc_2xTMZ4NZCE6iILODfRVx-g_18_14"/>
      <w:bookmarkStart w:id="395" w:name="Tc_cI01Rbi07Eapddb7djyJSg_18_11"/>
      <w:bookmarkStart w:id="396" w:name="Tc_P_hSCUoy5Ue310EGTSW9Jg_18_8"/>
      <w:bookmarkStart w:id="397" w:name="Tc_fpn9b9NNXE6bdsUDBgHMtg_18_5"/>
      <w:bookmarkStart w:id="398" w:name="Tc_j0R-3-a3u0enuwlEj0TaXw_18_3"/>
      <w:bookmarkStart w:id="399" w:name="Tc_2R9IWWBsRUWwvJoi44eNAA_18_2"/>
      <w:bookmarkStart w:id="400" w:name="Tc_H8hOSdJ7i06xTCXveOP3FA_18_0"/>
      <w:bookmarkStart w:id="401" w:name="Tc_SJX4PhFZa0a0skI7-8O1EA_17_9"/>
      <w:bookmarkStart w:id="402" w:name="Tc_XqL8_XYQ6Euqcz9R68eE5Q_17_6"/>
      <w:bookmarkStart w:id="403" w:name="Tc_JXtePj23NESc09BsKbB46A_17_3"/>
      <w:bookmarkStart w:id="404" w:name="Tc_cx2nK1gf8UK6gINsH8-I0g_17_0"/>
      <w:bookmarkStart w:id="405" w:name="Tc_B85eMlwW20-dxJBrajbDYw_16_12"/>
      <w:bookmarkStart w:id="406" w:name="Tc_wi6G5fgN90CKAl0PFGikGQ_16_6"/>
      <w:bookmarkStart w:id="407" w:name="Tc_Ee-96l9okUa4Y0jKhcBAlg_16_3"/>
      <w:bookmarkStart w:id="408" w:name="Tc_az8Z4heMLEuVXA6QpNySgg_16_0"/>
      <w:bookmarkStart w:id="409" w:name="Tc_ZRrh1ralUUePr7f5uJwiyw_15_15"/>
      <w:bookmarkStart w:id="410" w:name="Tc_zetWj7vhp02bbs2hHkw1FQ_15_12"/>
      <w:bookmarkStart w:id="411" w:name="Tc_vQsU6L0kpEiWaVVcGHotnA_15_9"/>
      <w:bookmarkStart w:id="412" w:name="Tc_h7xzYuxBf0u6Z34mAWOhiA_15_3"/>
      <w:bookmarkStart w:id="413" w:name="Tc_bwTvfu1UXUejL9uYhnj4Ig_15_0"/>
      <w:bookmarkStart w:id="414" w:name="Tc_7c3qtVnvUkO72lNWNO1eBg_14_17"/>
      <w:bookmarkStart w:id="415" w:name="Tc_hkdG8i-bfEm3r4cd1iqdYw_14_14"/>
      <w:bookmarkStart w:id="416" w:name="Tc_k_P5uPURakCiFGYnSVgZ7w_14_11"/>
      <w:bookmarkStart w:id="417" w:name="Tc_JynDd6oRYU-jwcLXgbX0uw_14_8"/>
      <w:bookmarkStart w:id="418" w:name="Tc_NncEKKF130u_4gYCgl7iHw_14_5"/>
      <w:bookmarkStart w:id="419" w:name="Tc_0yaec78G3k2YFLjYDOtSOQ_14_3"/>
      <w:bookmarkStart w:id="420" w:name="Tc_SlvZ9Xp8iECuzOFe2HSZeA_14_2"/>
      <w:bookmarkStart w:id="421" w:name="Tc__EQy22TVvkuTQg6dlpRCOA_14_0"/>
      <w:bookmarkStart w:id="422" w:name="Tc_TECQGVI7wEy5uKZczaHu2Q_13_9"/>
      <w:bookmarkStart w:id="423" w:name="Tc_zrwU28GKUEuL_5t0vS2e-Q_13_6"/>
      <w:bookmarkStart w:id="424" w:name="Tc_cnVCY2VN7E2BLqjBzbGx9w_13_3"/>
      <w:bookmarkStart w:id="425" w:name="Tc_og4pEV_8C0SgNkVPqnIECw_13_0"/>
      <w:bookmarkStart w:id="426" w:name="Tc_OTh1R8ak9EWemeTuEt_-Dw_12_12"/>
      <w:bookmarkStart w:id="427" w:name="Tc_zGYZPVFpXEy1q5BYwEPyHg_12_6"/>
      <w:bookmarkStart w:id="428" w:name="Tc_CNNx3XcN1kWHiUIUzdhVjA_12_3"/>
      <w:bookmarkStart w:id="429" w:name="Tc_ZaVEjffTN0SfsE7iCgqkpQ_12_0"/>
      <w:bookmarkStart w:id="430" w:name="Tc_v13SHpvRX0OyHIG3yvjtZg_11_15"/>
      <w:bookmarkStart w:id="431" w:name="Tc_AD5QIKflQEyVV7-SMeLAdw_11_12"/>
      <w:bookmarkStart w:id="432" w:name="Tc_LKH6JXj8PE2mLomTMjDqTA_11_9"/>
      <w:bookmarkStart w:id="433" w:name="Tc_0t_rr-0xmUuNx21_eAA64w_11_3"/>
      <w:bookmarkStart w:id="434" w:name="Tc_exdwRzmElUimrobdY7tASQ_11_0"/>
      <w:bookmarkStart w:id="435" w:name="Tc_oGWCc1lUmUy71mw0_nS8Ow_10_17"/>
      <w:bookmarkStart w:id="436" w:name="Tc_sB1N_1yzgkWiahKRWMrBBg_10_14"/>
      <w:bookmarkStart w:id="437" w:name="Tc_cNd__GhrikKXE1KOUL8d0w_10_11"/>
      <w:bookmarkStart w:id="438" w:name="Tc_TXbUmt5ZW06lIPPVAkTVew_10_8"/>
      <w:bookmarkStart w:id="439" w:name="Tc_Hmeccajm00WcZSdkNMnRcw_10_5"/>
      <w:bookmarkStart w:id="440" w:name="Tc_Ts8ucGKT3kWayRzrR70BQw_10_3"/>
      <w:bookmarkStart w:id="441" w:name="Tc_hMEBmEnK606QvNF1U8sWOA_10_2"/>
      <w:bookmarkStart w:id="442" w:name="Tc_lUZzRjXHPEOoyHBXYDgZ8w_10_0"/>
      <w:bookmarkStart w:id="443" w:name="Tc_1iqxftz90kWVUIE1LTjCBA_9_9"/>
      <w:bookmarkStart w:id="444" w:name="Tc_DwGBkFZ8tUug4_KZTcbtAg_9_6"/>
      <w:bookmarkStart w:id="445" w:name="Tc_OW_GyrW3tkGiIhNaq5Tr_w_9_3"/>
      <w:bookmarkStart w:id="446" w:name="Tc_xA6SuZ9O2EKkUcqORMxOBQ_9_0"/>
      <w:bookmarkStart w:id="447" w:name="Tc_S1vBMjwhkUme0F5Fqect3w_8_12"/>
      <w:bookmarkStart w:id="448" w:name="Tc_3yKBvP_QikW6yMVo6mJ2qw_8_6"/>
      <w:bookmarkStart w:id="449" w:name="Tc_gn8AnA1ubUyPoNRhnYCJAw_8_3"/>
      <w:bookmarkStart w:id="450" w:name="Tc_eGq5vfsRJk6qgCjOPC41rg_8_0"/>
      <w:bookmarkStart w:id="451" w:name="Tc_eLCromLy6k-eHm_8zs8mhA_7_15"/>
      <w:bookmarkStart w:id="452" w:name="Tc_CWCef_iY7EKUH_yF4O-cjA_7_9"/>
      <w:bookmarkStart w:id="453" w:name="Tc_gH7qFWt5ek2xW5wApaR69Q_7_6"/>
      <w:bookmarkStart w:id="454" w:name="Tc_W2NIqoB7Q0GYbGCMP0Rp7Q_7_3"/>
      <w:bookmarkStart w:id="455" w:name="Tc_S8xH989vYkSSMH0yX0zmWw_7_0"/>
      <w:bookmarkStart w:id="456" w:name="Tc_SUHSDaPJ2kWGO5aUaklv2g_6_15"/>
      <w:bookmarkStart w:id="457" w:name="Tc_VwXVhjT6RkyLlrTaPeTxyQ_6_12"/>
      <w:bookmarkStart w:id="458" w:name="Tc_iMtoJE7_9EKj-IcB0EwBxQ_6_9"/>
      <w:bookmarkStart w:id="459" w:name="Tc_lPvizoGm6ECnA5eduPgVIg_6_3"/>
      <w:bookmarkStart w:id="460" w:name="Tc_xfyXuj9v1UCbJBVAoTINfQ_6_0"/>
      <w:bookmarkStart w:id="461" w:name="Tc_REXq5F1iI02mgmobHOYvMw_5_17"/>
      <w:bookmarkStart w:id="462" w:name="Tc_aI9F5juvokGeywRx35VbcA_5_14"/>
      <w:bookmarkStart w:id="463" w:name="Tc_gAwQLCVFLUGxYF3cyZdaCA_5_11"/>
      <w:bookmarkStart w:id="464" w:name="Tc_JIKcmsolG0yhuRGgbMFMHA_5_8"/>
      <w:bookmarkStart w:id="465" w:name="Tc_T09SucXNMkqyF-WxlN26Mw_5_5"/>
      <w:bookmarkStart w:id="466" w:name="Tc_5wDRt9hZo0GozhvrEW0oqQ_5_3"/>
      <w:bookmarkStart w:id="467" w:name="Tc_IXdJQZxzikmG0J6V-qm4Jw_5_2"/>
      <w:bookmarkStart w:id="468" w:name="Tc_rk46itUnqE67iyn0ZoabSw_5_0"/>
      <w:bookmarkStart w:id="469" w:name="Tc_g0u2H7MqfkiiyCtWoKDNkw_4_17"/>
      <w:bookmarkStart w:id="470" w:name="Tc_ZNGDTnOLPEirvANswC7OuQ_4_14"/>
      <w:bookmarkStart w:id="471" w:name="Tc_nzKIdecEMkKykFzuc8iJHg_4_11"/>
      <w:bookmarkStart w:id="472" w:name="Tc_S9mhChN6N0eNm6IWVrywqw_4_8"/>
      <w:bookmarkStart w:id="473" w:name="Tc_YBLtOhv_NEKBCRARBppksQ_4_5"/>
      <w:bookmarkStart w:id="474" w:name="Tc_Rnc1Bwbka0-eXiNzbIzHCQ_4_2"/>
      <w:bookmarkStart w:id="475" w:name="Tc_3AWMcJUYsEWqmGGDVSbVyA_3_14"/>
      <w:bookmarkStart w:id="476" w:name="Tc_4VfnhYhRS02DyKrRLVV9bA_3_11"/>
      <w:bookmarkStart w:id="477" w:name="Tc_xdKrJ_CZmE2dg1Zzq-j_aQ_3_8"/>
      <w:bookmarkStart w:id="478" w:name="Tc_V385Ol9onk21bMGlFoYNow_3_5"/>
      <w:bookmarkStart w:id="479" w:name="Tc_zwNG0mkvcUOlO6AGudwnvg_3_2"/>
      <w:bookmarkStart w:id="480" w:name="Tc_e0vQCp4oM0uG3K0ACvV5Ig_2_11"/>
      <w:bookmarkStart w:id="481" w:name="Tc_FGU82Tq3AkmlFEZoU4rE8Q_2_8"/>
      <w:bookmarkStart w:id="482" w:name="Tc_TIwf6d0GCky3voVzbtl9YQ_2_5"/>
      <w:bookmarkStart w:id="483" w:name="Tc_JsQNvy9Dg0W1YOKmYJW21w_1_8"/>
      <w:bookmarkStart w:id="484" w:name="_422dd6cf_cc82_4ae2_a6da_80b853f18e35"/>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tbl>
      <w:tblPr>
        <w:tblW w:w="10205" w:type="dxa"/>
        <w:jc w:val="left"/>
        <w:tblInd w:w="0" w:type="dxa"/>
        <w:tblLayout w:type="fixed"/>
        <w:tblCellMar>
          <w:top w:w="0" w:type="dxa"/>
          <w:left w:w="0" w:type="dxa"/>
          <w:bottom w:w="0" w:type="dxa"/>
          <w:right w:w="0" w:type="dxa"/>
        </w:tblCellMar>
      </w:tblPr>
      <w:tblGrid>
        <w:gridCol w:w="2486"/>
        <w:gridCol w:w="326"/>
        <w:gridCol w:w="304"/>
        <w:gridCol w:w="537"/>
        <w:gridCol w:w="109"/>
        <w:gridCol w:w="196"/>
        <w:gridCol w:w="826"/>
        <w:gridCol w:w="109"/>
        <w:gridCol w:w="279"/>
        <w:gridCol w:w="1072"/>
        <w:gridCol w:w="109"/>
        <w:gridCol w:w="209"/>
        <w:gridCol w:w="947"/>
        <w:gridCol w:w="109"/>
        <w:gridCol w:w="321"/>
        <w:gridCol w:w="985"/>
        <w:gridCol w:w="109"/>
        <w:gridCol w:w="196"/>
        <w:gridCol w:w="976"/>
      </w:tblGrid>
      <w:tr>
        <w:trPr/>
        <w:tc>
          <w:tcPr>
            <w:tcW w:w="2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78610" cy="175260"/>
                      <wp:effectExtent l="0" t="0" r="0" b="0"/>
                      <wp:wrapNone/>
                      <wp:docPr id="22" name="Frame21"/>
                      <a:graphic xmlns:a="http://schemas.openxmlformats.org/drawingml/2006/main">
                        <a:graphicData uri="http://schemas.microsoft.com/office/word/2010/wordprocessingShape">
                          <wps:wsp>
                            <wps:cNvSpPr txBox="1"/>
                            <wps:spPr>
                              <a:xfrm>
                                <a:off x="0" y="0"/>
                                <a:ext cx="157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93040" cy="175260"/>
                      <wp:effectExtent l="0" t="0" r="0" b="0"/>
                      <wp:wrapNone/>
                      <wp:docPr id="24" name="Frame2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40995" cy="175260"/>
                      <wp:effectExtent l="0" t="0" r="0" b="0"/>
                      <wp:wrapNone/>
                      <wp:docPr id="25" name="Frame24"/>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77165" cy="175260"/>
                      <wp:effectExtent l="0" t="0" r="0" b="0"/>
                      <wp:wrapNone/>
                      <wp:docPr id="30" name="Frame2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80720" cy="175260"/>
                      <wp:effectExtent l="0" t="0" r="0" b="0"/>
                      <wp:wrapNone/>
                      <wp:docPr id="31" name="Frame30"/>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2715" cy="175260"/>
                      <wp:effectExtent l="0" t="0" r="0" b="0"/>
                      <wp:wrapNone/>
                      <wp:docPr id="33" name="Frame32"/>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01345" cy="175260"/>
                      <wp:effectExtent l="0" t="0" r="0" b="0"/>
                      <wp:wrapNone/>
                      <wp:docPr id="34" name="Frame33"/>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3835" cy="175260"/>
                      <wp:effectExtent l="0" t="0" r="0" b="0"/>
                      <wp:wrapNone/>
                      <wp:docPr id="36" name="Frame35"/>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25475" cy="175260"/>
                      <wp:effectExtent l="0" t="0" r="0" b="0"/>
                      <wp:wrapNone/>
                      <wp:docPr id="37" name="Frame36"/>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19760" cy="175260"/>
                      <wp:effectExtent l="0" t="0" r="0" b="0"/>
                      <wp:wrapNone/>
                      <wp:docPr id="40" name="Frame3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Other</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Earnings</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Noncontrolling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48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1,484,064</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(152,491)</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279,885</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67,631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1,679,089</w:t>
            </w:r>
          </w:p>
        </w:tc>
      </w:tr>
      <w:tr>
        <w:trPr/>
        <w:tc>
          <w:tcPr>
            <w:tcW w:w="24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993</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993</w:t>
            </w:r>
          </w:p>
        </w:tc>
      </w:tr>
      <w:tr>
        <w:trPr/>
        <w:tc>
          <w:tcPr>
            <w:tcW w:w="24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Dividends to EchoStar Corporation</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(1,029,000)</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(1,029,000)</w:t>
            </w:r>
          </w:p>
        </w:tc>
      </w:tr>
      <w:tr>
        <w:trPr/>
        <w:tc>
          <w:tcPr>
            <w:tcW w:w="24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(7,178)</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(8,296)</w:t>
            </w:r>
          </w:p>
        </w:tc>
      </w:tr>
      <w:tr>
        <w:trPr/>
        <w:tc>
          <w:tcPr>
            <w:tcW w:w="24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(45,619)</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(4,647)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(50,266)</w:t>
            </w:r>
          </w:p>
        </w:tc>
      </w:tr>
      <w:tr>
        <w:trPr/>
        <w:tc>
          <w:tcPr>
            <w:tcW w:w="248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2024</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1,485,057</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(159,669)</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(794,734)</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61,866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592,520</w:t>
            </w:r>
          </w:p>
        </w:tc>
      </w:tr>
      <w:tr>
        <w:trPr/>
        <w:tc>
          <w:tcPr>
            <w:tcW w:w="24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1,544</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1,544</w:t>
            </w:r>
          </w:p>
        </w:tc>
      </w:tr>
      <w:tr>
        <w:trPr/>
        <w:tc>
          <w:tcPr>
            <w:tcW w:w="24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(14,256)</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(3,222)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(17,478)</w:t>
            </w:r>
          </w:p>
        </w:tc>
      </w:tr>
      <w:tr>
        <w:trPr/>
        <w:tc>
          <w:tcPr>
            <w:tcW w:w="24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(55,982)</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(1,893)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(57,875)</w:t>
            </w:r>
          </w:p>
        </w:tc>
      </w:tr>
      <w:tr>
        <w:trPr/>
        <w:tc>
          <w:tcPr>
            <w:tcW w:w="248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June 30, 2024</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1,486,601</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(173,925)</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(850,716)</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56,751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518,711</w:t>
            </w:r>
          </w:p>
        </w:tc>
      </w:tr>
      <w:tr>
        <w:trPr/>
        <w:tc>
          <w:tcPr>
            <w:tcW w:w="24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562</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562</w:t>
            </w:r>
          </w:p>
        </w:tc>
      </w:tr>
      <w:tr>
        <w:trPr/>
        <w:tc>
          <w:tcPr>
            <w:tcW w:w="24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5,229</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5,679</w:t>
            </w:r>
          </w:p>
        </w:tc>
      </w:tr>
      <w:tr>
        <w:trPr/>
        <w:tc>
          <w:tcPr>
            <w:tcW w:w="24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(58,257)</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(60,260)</w:t>
            </w:r>
          </w:p>
        </w:tc>
      </w:tr>
      <w:tr>
        <w:trPr/>
        <w:tc>
          <w:tcPr>
            <w:tcW w:w="248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September 30, 2024</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1,487,163</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(168,696)</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(908,973)</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55,198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464,692</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85" w:name="Tc_L7r6IKUSqkGDOTj6r_hoeQ_17_17"/>
      <w:bookmarkStart w:id="486" w:name="Tc_-orKr6dh3k6a4hQcEfHLNw_17_14"/>
      <w:bookmarkStart w:id="487" w:name="Tc_9ZZARhrXH02K4P3X1Uxazg_17_11"/>
      <w:bookmarkStart w:id="488" w:name="Tc_n1ZpfhOfqkaRJ-nexVVacw_17_8"/>
      <w:bookmarkStart w:id="489" w:name="Tc_wBzITvIUP0yhEhZL6A6zGg_17_5"/>
      <w:bookmarkStart w:id="490" w:name="Tc_Bdbqkrdrfkm87epI1cEBow_17_3"/>
      <w:bookmarkStart w:id="491" w:name="Tc_ByPrw5WIu0W1Ug4P9HLVbQ_17_2"/>
      <w:bookmarkStart w:id="492" w:name="Tc_xr1EkwikPUOqrU0FFHJ2Pw_17_0"/>
      <w:bookmarkStart w:id="493" w:name="Tc_k29be4ibwUqGd7l3bJRwYw_16_9"/>
      <w:bookmarkStart w:id="494" w:name="Tc_xssrtUSam025gvGujsnXsQ_16_6"/>
      <w:bookmarkStart w:id="495" w:name="Tc_Oqo46DxM6UShyOSvoK9BXg_16_3"/>
      <w:bookmarkStart w:id="496" w:name="Tc_9pSNV5qsA02aPYrNbdHosQ_16_0"/>
      <w:bookmarkStart w:id="497" w:name="Tc_aRGZw-qZoESqn8qlWzuDYA_15_12"/>
      <w:bookmarkStart w:id="498" w:name="Tc_tBD6BZ_KH0ax0VtS3URqQQ_15_6"/>
      <w:bookmarkStart w:id="499" w:name="Tc_RxM4Fnv4NE2tP4nqZIBkPQ_15_3"/>
      <w:bookmarkStart w:id="500" w:name="Tc_7aJb4Qd_hUKB86i1QHk-7Q_15_0"/>
      <w:bookmarkStart w:id="501" w:name="Tc_vJd0UOzdBUWLZXQngi5Ryw_14_15"/>
      <w:bookmarkStart w:id="502" w:name="Tc_OM7tKEpa6E-JViTStkLhKw_14_12"/>
      <w:bookmarkStart w:id="503" w:name="Tc_zP9JxnoX_UesLccxk9ZMdg_14_9"/>
      <w:bookmarkStart w:id="504" w:name="Tc_tFqZgm1Cx0WZsWV_4VqThw_14_3"/>
      <w:bookmarkStart w:id="505" w:name="Tc_BBWYIhmzpkOJKPsfTCVYvg_14_0"/>
      <w:bookmarkStart w:id="506" w:name="Tc_knKl9NyoY0mIQ8Mr-CwHVQ_13_17"/>
      <w:bookmarkStart w:id="507" w:name="Tc_BnoC6fq6EU2XDSIjz2BDdA_13_14"/>
      <w:bookmarkStart w:id="508" w:name="Tc_8orq1WV0qE6Ci-hM9F_HMA_13_11"/>
      <w:bookmarkStart w:id="509" w:name="Tc_YMGEP3c3U0WDFivB_Lqy1g_13_8"/>
      <w:bookmarkStart w:id="510" w:name="Tc_ZHyjD1WfsU6Wh1Er6S9smw_13_5"/>
      <w:bookmarkStart w:id="511" w:name="Tc_Te7ijR3EDUiM2dJxAISoWQ_13_3"/>
      <w:bookmarkStart w:id="512" w:name="Tc_GcTddVN6m0ejImS3m4t8zg_13_2"/>
      <w:bookmarkStart w:id="513" w:name="Tc_jBZshMxWEEGMi-WxhzkyKg_13_0"/>
      <w:bookmarkStart w:id="514" w:name="Tc_KFENAJZuJkyofYhfTTLyjg_12_9"/>
      <w:bookmarkStart w:id="515" w:name="Tc_scM3RGDco0-PIJ1cCEjWkg_12_6"/>
      <w:bookmarkStart w:id="516" w:name="Tc_ltmmqFNQ9UiCIM-GMqAedg_12_3"/>
      <w:bookmarkStart w:id="517" w:name="Tc_7GzuoqvTLEqsNYPr4IfhHA_12_0"/>
      <w:bookmarkStart w:id="518" w:name="Tc_EwOMgkkmf0-axO4lL2Kgrw_11_12"/>
      <w:bookmarkStart w:id="519" w:name="Tc_r2QB15qPGkeIlBicuMIPoA_11_6"/>
      <w:bookmarkStart w:id="520" w:name="Tc_Lvs0VBgI1EWgCZql5WM9Ow_11_3"/>
      <w:bookmarkStart w:id="521" w:name="Tc_GsJxN9bgqEWAScGg3MEJog_11_0"/>
      <w:bookmarkStart w:id="522" w:name="Tc__svQg07IfkyZVOh1PFyU3w_10_15"/>
      <w:bookmarkStart w:id="523" w:name="Tc_ho9GeKoZVEeX7SpQmI56kg_10_12"/>
      <w:bookmarkStart w:id="524" w:name="Tc_nc6cF-5YVUC8r72ufaa4rw_10_9"/>
      <w:bookmarkStart w:id="525" w:name="Tc_XePLm3peAEmshgN8l-AKrA_10_3"/>
      <w:bookmarkStart w:id="526" w:name="Tc_J3CI8u9_J0SZ2k3Y9mGf3A_10_0"/>
      <w:bookmarkStart w:id="527" w:name="Tc_YcnvtSIDD0OsZ9t3oXwNQQ_9_17"/>
      <w:bookmarkStart w:id="528" w:name="Tc_vdsiFI7v6UeVGTQDOKFHLQ_9_14"/>
      <w:bookmarkStart w:id="529" w:name="Tc_Y8XQ8j1QhEa4X89jAtMMWg_9_11"/>
      <w:bookmarkStart w:id="530" w:name="Tc_KTbZyyjVf0ie-mHishoQ9w_9_8"/>
      <w:bookmarkStart w:id="531" w:name="Tc_L3yTGjRvi0iHfx7oxWD-Hw_9_5"/>
      <w:bookmarkStart w:id="532" w:name="Tc_j5wKnkuwOE66tIoWyzgx0g_9_3"/>
      <w:bookmarkStart w:id="533" w:name="Tc_nhEN-QMsR0q89a3WPuYY9Q_9_2"/>
      <w:bookmarkStart w:id="534" w:name="Tc_NYPzZQK6aEejEW0hoP4Jfg_9_0"/>
      <w:bookmarkStart w:id="535" w:name="Tc_ArKpPJQmPU6Dn34qoWUdiQ_8_9"/>
      <w:bookmarkStart w:id="536" w:name="Tc_fsGCQ6Pxjk6_xw53niun0w_8_6"/>
      <w:bookmarkStart w:id="537" w:name="Tc_l65ep5sExUm3ugR_WuK1Cg_8_3"/>
      <w:bookmarkStart w:id="538" w:name="Tc_InyBoKfRU02L6YCTLCRLoQ_8_0"/>
      <w:bookmarkStart w:id="539" w:name="Tc_-3H1kVow60OZtWdPvTEPmA_7_12"/>
      <w:bookmarkStart w:id="540" w:name="Tc_PlNqoMaYYUaw420j9rWjcw_7_6"/>
      <w:bookmarkStart w:id="541" w:name="Tc_YNkvYEr9oEmJ_3x3J8USGA_7_3"/>
      <w:bookmarkStart w:id="542" w:name="Tc_zQ3lE8VPJEyhlkwRU-ixcQ_7_0"/>
      <w:bookmarkStart w:id="543" w:name="Tc_rTxxxqUefU64DYNW-ny6XQ_6_15"/>
      <w:bookmarkStart w:id="544" w:name="Tc_Vme1or2Tc0am2hd8VMRMkw_6_12"/>
      <w:bookmarkStart w:id="545" w:name="Tc_SUku_ySP_0K7RbvWBw6DuA_6_9"/>
      <w:bookmarkStart w:id="546" w:name="Tc_bNlM5d2ZGkCbg9L4q7J7SQ_6_3"/>
      <w:bookmarkStart w:id="547" w:name="Tc_8S_HvFLbcUCsVCKQXefg1A_6_0"/>
      <w:bookmarkStart w:id="548" w:name="Tc_k2n9LVYQmkKbakVkJAhGuw_5_17"/>
      <w:bookmarkStart w:id="549" w:name="Tc_jo8eLh2dlEOGwyMIkurpbw_5_14"/>
      <w:bookmarkStart w:id="550" w:name="Tc_jBO1JkJsa0uHns0qVU1PLQ_5_11"/>
      <w:bookmarkStart w:id="551" w:name="Tc_gjmfApzZM0-xgSEBY-Rr2g_5_8"/>
      <w:bookmarkStart w:id="552" w:name="Tc_ccpY_WL1wkKQCyBO-UfWgA_5_5"/>
      <w:bookmarkStart w:id="553" w:name="Tc_cLuwBk9prkK2vWVyk3dhuQ_5_3"/>
      <w:bookmarkStart w:id="554" w:name="Tc_IZO4yo6-0Ui-fOm7mlrkbQ_5_2"/>
      <w:bookmarkStart w:id="555" w:name="Tc_tRG_oK_8pUGDdfBwunNZng_5_0"/>
      <w:bookmarkStart w:id="556" w:name="Tc_ExB9ETi3qUacHD-xb2BSjA_4_17"/>
      <w:bookmarkStart w:id="557" w:name="Tc_G-7QH_tnskuorUrh5lHNXw_4_14"/>
      <w:bookmarkStart w:id="558" w:name="Tc_i27gDir7jk6i2sq9cj30sA_4_11"/>
      <w:bookmarkStart w:id="559" w:name="Tc_gtR11LCPDEeequsHXOrjtw_4_8"/>
      <w:bookmarkStart w:id="560" w:name="Tc_hSMf2nS720u-hAd7R0dfzA_4_5"/>
      <w:bookmarkStart w:id="561" w:name="Tc_KwCweuYAQECuTkZvfNWpFg_4_2"/>
      <w:bookmarkStart w:id="562" w:name="Tc_KRm5Tb-X50eVjUhWRcNFWA_3_14"/>
      <w:bookmarkStart w:id="563" w:name="Tc_CiPuv9m43k-HZlUQAuXQqw_3_11"/>
      <w:bookmarkStart w:id="564" w:name="Tc_gpzEzmjyB0uagHGsaWgfJQ_3_8"/>
      <w:bookmarkStart w:id="565" w:name="Tc_CvtBWDdCd0-R9UNnP-XrKQ_3_5"/>
      <w:bookmarkStart w:id="566" w:name="Tc_fge_PxhXrU2rtvT4a5WAlg_3_2"/>
      <w:bookmarkStart w:id="567" w:name="Tc_iMqPdY9x9kmMXSSptfxanw_2_11"/>
      <w:bookmarkStart w:id="568" w:name="Tc_7uXXwFd8GE-Bst93sL5jpA_2_8"/>
      <w:bookmarkStart w:id="569" w:name="Tc_17oXu5CmSEeSuCSsWe8vQw_2_5"/>
      <w:bookmarkStart w:id="570" w:name="Tc_EzWRzuWPAk2SLKOMXuAQ0g_1_8"/>
      <w:bookmarkStart w:id="571" w:name="_ada90180_7e64_4f92_8627_ac7f56d8bc12"/>
      <w:bookmarkStart w:id="572" w:name="Tc_L7r6IKUSqkGDOTj6r_hoeQ_17_17"/>
      <w:bookmarkStart w:id="573" w:name="Tc_-orKr6dh3k6a4hQcEfHLNw_17_14"/>
      <w:bookmarkStart w:id="574" w:name="Tc_9ZZARhrXH02K4P3X1Uxazg_17_11"/>
      <w:bookmarkStart w:id="575" w:name="Tc_n1ZpfhOfqkaRJ-nexVVacw_17_8"/>
      <w:bookmarkStart w:id="576" w:name="Tc_wBzITvIUP0yhEhZL6A6zGg_17_5"/>
      <w:bookmarkStart w:id="577" w:name="Tc_Bdbqkrdrfkm87epI1cEBow_17_3"/>
      <w:bookmarkStart w:id="578" w:name="Tc_ByPrw5WIu0W1Ug4P9HLVbQ_17_2"/>
      <w:bookmarkStart w:id="579" w:name="Tc_xr1EkwikPUOqrU0FFHJ2Pw_17_0"/>
      <w:bookmarkStart w:id="580" w:name="Tc_k29be4ibwUqGd7l3bJRwYw_16_9"/>
      <w:bookmarkStart w:id="581" w:name="Tc_xssrtUSam025gvGujsnXsQ_16_6"/>
      <w:bookmarkStart w:id="582" w:name="Tc_Oqo46DxM6UShyOSvoK9BXg_16_3"/>
      <w:bookmarkStart w:id="583" w:name="Tc_9pSNV5qsA02aPYrNbdHosQ_16_0"/>
      <w:bookmarkStart w:id="584" w:name="Tc_aRGZw-qZoESqn8qlWzuDYA_15_12"/>
      <w:bookmarkStart w:id="585" w:name="Tc_tBD6BZ_KH0ax0VtS3URqQQ_15_6"/>
      <w:bookmarkStart w:id="586" w:name="Tc_RxM4Fnv4NE2tP4nqZIBkPQ_15_3"/>
      <w:bookmarkStart w:id="587" w:name="Tc_7aJb4Qd_hUKB86i1QHk-7Q_15_0"/>
      <w:bookmarkStart w:id="588" w:name="Tc_vJd0UOzdBUWLZXQngi5Ryw_14_15"/>
      <w:bookmarkStart w:id="589" w:name="Tc_OM7tKEpa6E-JViTStkLhKw_14_12"/>
      <w:bookmarkStart w:id="590" w:name="Tc_zP9JxnoX_UesLccxk9ZMdg_14_9"/>
      <w:bookmarkStart w:id="591" w:name="Tc_tFqZgm1Cx0WZsWV_4VqThw_14_3"/>
      <w:bookmarkStart w:id="592" w:name="Tc_BBWYIhmzpkOJKPsfTCVYvg_14_0"/>
      <w:bookmarkStart w:id="593" w:name="Tc_knKl9NyoY0mIQ8Mr-CwHVQ_13_17"/>
      <w:bookmarkStart w:id="594" w:name="Tc_BnoC6fq6EU2XDSIjz2BDdA_13_14"/>
      <w:bookmarkStart w:id="595" w:name="Tc_8orq1WV0qE6Ci-hM9F_HMA_13_11"/>
      <w:bookmarkStart w:id="596" w:name="Tc_YMGEP3c3U0WDFivB_Lqy1g_13_8"/>
      <w:bookmarkStart w:id="597" w:name="Tc_ZHyjD1WfsU6Wh1Er6S9smw_13_5"/>
      <w:bookmarkStart w:id="598" w:name="Tc_Te7ijR3EDUiM2dJxAISoWQ_13_3"/>
      <w:bookmarkStart w:id="599" w:name="Tc_GcTddVN6m0ejImS3m4t8zg_13_2"/>
      <w:bookmarkStart w:id="600" w:name="Tc_jBZshMxWEEGMi-WxhzkyKg_13_0"/>
      <w:bookmarkStart w:id="601" w:name="Tc_KFENAJZuJkyofYhfTTLyjg_12_9"/>
      <w:bookmarkStart w:id="602" w:name="Tc_scM3RGDco0-PIJ1cCEjWkg_12_6"/>
      <w:bookmarkStart w:id="603" w:name="Tc_ltmmqFNQ9UiCIM-GMqAedg_12_3"/>
      <w:bookmarkStart w:id="604" w:name="Tc_7GzuoqvTLEqsNYPr4IfhHA_12_0"/>
      <w:bookmarkStart w:id="605" w:name="Tc_EwOMgkkmf0-axO4lL2Kgrw_11_12"/>
      <w:bookmarkStart w:id="606" w:name="Tc_r2QB15qPGkeIlBicuMIPoA_11_6"/>
      <w:bookmarkStart w:id="607" w:name="Tc_Lvs0VBgI1EWgCZql5WM9Ow_11_3"/>
      <w:bookmarkStart w:id="608" w:name="Tc_GsJxN9bgqEWAScGg3MEJog_11_0"/>
      <w:bookmarkStart w:id="609" w:name="Tc__svQg07IfkyZVOh1PFyU3w_10_15"/>
      <w:bookmarkStart w:id="610" w:name="Tc_ho9GeKoZVEeX7SpQmI56kg_10_12"/>
      <w:bookmarkStart w:id="611" w:name="Tc_nc6cF-5YVUC8r72ufaa4rw_10_9"/>
      <w:bookmarkStart w:id="612" w:name="Tc_XePLm3peAEmshgN8l-AKrA_10_3"/>
      <w:bookmarkStart w:id="613" w:name="Tc_J3CI8u9_J0SZ2k3Y9mGf3A_10_0"/>
      <w:bookmarkStart w:id="614" w:name="Tc_YcnvtSIDD0OsZ9t3oXwNQQ_9_17"/>
      <w:bookmarkStart w:id="615" w:name="Tc_vdsiFI7v6UeVGTQDOKFHLQ_9_14"/>
      <w:bookmarkStart w:id="616" w:name="Tc_Y8XQ8j1QhEa4X89jAtMMWg_9_11"/>
      <w:bookmarkStart w:id="617" w:name="Tc_KTbZyyjVf0ie-mHishoQ9w_9_8"/>
      <w:bookmarkStart w:id="618" w:name="Tc_L3yTGjRvi0iHfx7oxWD-Hw_9_5"/>
      <w:bookmarkStart w:id="619" w:name="Tc_j5wKnkuwOE66tIoWyzgx0g_9_3"/>
      <w:bookmarkStart w:id="620" w:name="Tc_nhEN-QMsR0q89a3WPuYY9Q_9_2"/>
      <w:bookmarkStart w:id="621" w:name="Tc_NYPzZQK6aEejEW0hoP4Jfg_9_0"/>
      <w:bookmarkStart w:id="622" w:name="Tc_ArKpPJQmPU6Dn34qoWUdiQ_8_9"/>
      <w:bookmarkStart w:id="623" w:name="Tc_fsGCQ6Pxjk6_xw53niun0w_8_6"/>
      <w:bookmarkStart w:id="624" w:name="Tc_l65ep5sExUm3ugR_WuK1Cg_8_3"/>
      <w:bookmarkStart w:id="625" w:name="Tc_InyBoKfRU02L6YCTLCRLoQ_8_0"/>
      <w:bookmarkStart w:id="626" w:name="Tc_-3H1kVow60OZtWdPvTEPmA_7_12"/>
      <w:bookmarkStart w:id="627" w:name="Tc_PlNqoMaYYUaw420j9rWjcw_7_6"/>
      <w:bookmarkStart w:id="628" w:name="Tc_YNkvYEr9oEmJ_3x3J8USGA_7_3"/>
      <w:bookmarkStart w:id="629" w:name="Tc_zQ3lE8VPJEyhlkwRU-ixcQ_7_0"/>
      <w:bookmarkStart w:id="630" w:name="Tc_rTxxxqUefU64DYNW-ny6XQ_6_15"/>
      <w:bookmarkStart w:id="631" w:name="Tc_Vme1or2Tc0am2hd8VMRMkw_6_12"/>
      <w:bookmarkStart w:id="632" w:name="Tc_SUku_ySP_0K7RbvWBw6DuA_6_9"/>
      <w:bookmarkStart w:id="633" w:name="Tc_bNlM5d2ZGkCbg9L4q7J7SQ_6_3"/>
      <w:bookmarkStart w:id="634" w:name="Tc_8S_HvFLbcUCsVCKQXefg1A_6_0"/>
      <w:bookmarkStart w:id="635" w:name="Tc_k2n9LVYQmkKbakVkJAhGuw_5_17"/>
      <w:bookmarkStart w:id="636" w:name="Tc_jo8eLh2dlEOGwyMIkurpbw_5_14"/>
      <w:bookmarkStart w:id="637" w:name="Tc_jBO1JkJsa0uHns0qVU1PLQ_5_11"/>
      <w:bookmarkStart w:id="638" w:name="Tc_gjmfApzZM0-xgSEBY-Rr2g_5_8"/>
      <w:bookmarkStart w:id="639" w:name="Tc_ccpY_WL1wkKQCyBO-UfWgA_5_5"/>
      <w:bookmarkStart w:id="640" w:name="Tc_cLuwBk9prkK2vWVyk3dhuQ_5_3"/>
      <w:bookmarkStart w:id="641" w:name="Tc_IZO4yo6-0Ui-fOm7mlrkbQ_5_2"/>
      <w:bookmarkStart w:id="642" w:name="Tc_tRG_oK_8pUGDdfBwunNZng_5_0"/>
      <w:bookmarkStart w:id="643" w:name="Tc_ExB9ETi3qUacHD-xb2BSjA_4_17"/>
      <w:bookmarkStart w:id="644" w:name="Tc_G-7QH_tnskuorUrh5lHNXw_4_14"/>
      <w:bookmarkStart w:id="645" w:name="Tc_i27gDir7jk6i2sq9cj30sA_4_11"/>
      <w:bookmarkStart w:id="646" w:name="Tc_gtR11LCPDEeequsHXOrjtw_4_8"/>
      <w:bookmarkStart w:id="647" w:name="Tc_hSMf2nS720u-hAd7R0dfzA_4_5"/>
      <w:bookmarkStart w:id="648" w:name="Tc_KwCweuYAQECuTkZvfNWpFg_4_2"/>
      <w:bookmarkStart w:id="649" w:name="Tc_KRm5Tb-X50eVjUhWRcNFWA_3_14"/>
      <w:bookmarkStart w:id="650" w:name="Tc_CiPuv9m43k-HZlUQAuXQqw_3_11"/>
      <w:bookmarkStart w:id="651" w:name="Tc_gpzEzmjyB0uagHGsaWgfJQ_3_8"/>
      <w:bookmarkStart w:id="652" w:name="Tc_CvtBWDdCd0-R9UNnP-XrKQ_3_5"/>
      <w:bookmarkStart w:id="653" w:name="Tc_fge_PxhXrU2rtvT4a5WAlg_3_2"/>
      <w:bookmarkStart w:id="654" w:name="Tc_iMqPdY9x9kmMXSSptfxanw_2_11"/>
      <w:bookmarkStart w:id="655" w:name="Tc_7uXXwFd8GE-Bst93sL5jpA_2_8"/>
      <w:bookmarkStart w:id="656" w:name="Tc_17oXu5CmSEeSuCSsWe8vQw_2_5"/>
      <w:bookmarkStart w:id="657" w:name="Tc_EzWRzuWPAk2SLKOMXuAQ0g_1_8"/>
      <w:bookmarkStart w:id="658" w:name="_ada90180_7e64_4f92_8627_ac7f56d8bc12"/>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tbl>
      <w:tblPr>
        <w:tblW w:w="10205" w:type="dxa"/>
        <w:jc w:val="left"/>
        <w:tblInd w:w="0" w:type="dxa"/>
        <w:tblLayout w:type="fixed"/>
        <w:tblCellMar>
          <w:top w:w="0" w:type="dxa"/>
          <w:left w:w="0" w:type="dxa"/>
          <w:bottom w:w="0" w:type="dxa"/>
          <w:right w:w="0" w:type="dxa"/>
        </w:tblCellMar>
      </w:tblPr>
      <w:tblGrid>
        <w:gridCol w:w="2893"/>
        <w:gridCol w:w="109"/>
        <w:gridCol w:w="304"/>
        <w:gridCol w:w="537"/>
        <w:gridCol w:w="109"/>
        <w:gridCol w:w="196"/>
        <w:gridCol w:w="826"/>
        <w:gridCol w:w="109"/>
        <w:gridCol w:w="279"/>
        <w:gridCol w:w="1072"/>
        <w:gridCol w:w="109"/>
        <w:gridCol w:w="209"/>
        <w:gridCol w:w="947"/>
        <w:gridCol w:w="109"/>
        <w:gridCol w:w="321"/>
        <w:gridCol w:w="985"/>
        <w:gridCol w:w="109"/>
        <w:gridCol w:w="196"/>
        <w:gridCol w:w="786"/>
      </w:tblGrid>
      <w:tr>
        <w:trPr/>
        <w:tc>
          <w:tcPr>
            <w:tcW w:w="2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837055" cy="175260"/>
                      <wp:effectExtent l="0" t="0" r="0" b="0"/>
                      <wp:wrapNone/>
                      <wp:docPr id="41" name="Frame40"/>
                      <a:graphic xmlns:a="http://schemas.openxmlformats.org/drawingml/2006/main">
                        <a:graphicData uri="http://schemas.microsoft.com/office/word/2010/wordprocessingShape">
                          <wps:wsp>
                            <wps:cNvSpPr txBox="1"/>
                            <wps:spPr>
                              <a:xfrm>
                                <a:off x="0" y="0"/>
                                <a:ext cx="183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93040" cy="175260"/>
                      <wp:effectExtent l="0" t="0" r="0" b="0"/>
                      <wp:wrapNone/>
                      <wp:docPr id="43" name="Frame4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40995" cy="175260"/>
                      <wp:effectExtent l="0" t="0" r="0" b="0"/>
                      <wp:wrapNone/>
                      <wp:docPr id="44" name="Frame43"/>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4510" cy="175260"/>
                      <wp:effectExtent l="0" t="0" r="0" b="0"/>
                      <wp:wrapNone/>
                      <wp:docPr id="47" name="Frame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7165" cy="175260"/>
                      <wp:effectExtent l="0" t="0" r="0" b="0"/>
                      <wp:wrapNone/>
                      <wp:docPr id="49" name="Frame4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80720" cy="175260"/>
                      <wp:effectExtent l="0" t="0" r="0" b="0"/>
                      <wp:wrapNone/>
                      <wp:docPr id="50" name="Frame49"/>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2715" cy="175260"/>
                      <wp:effectExtent l="0" t="0" r="0" b="0"/>
                      <wp:wrapNone/>
                      <wp:docPr id="52" name="Frame51"/>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01345" cy="175260"/>
                      <wp:effectExtent l="0" t="0" r="0" b="0"/>
                      <wp:wrapNone/>
                      <wp:docPr id="53" name="Frame52"/>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3835" cy="175260"/>
                      <wp:effectExtent l="0" t="0" r="0" b="0"/>
                      <wp:wrapNone/>
                      <wp:docPr id="55" name="Frame54"/>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25475" cy="175260"/>
                      <wp:effectExtent l="0" t="0" r="0" b="0"/>
                      <wp:wrapNone/>
                      <wp:docPr id="56" name="Frame55"/>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9110" cy="175260"/>
                      <wp:effectExtent l="0" t="0" r="0" b="0"/>
                      <wp:wrapNone/>
                      <wp:docPr id="59" name="Frame5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Other</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Earnings</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Noncontrolling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89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1,487,758</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(190,810)</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(958,518)</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51,629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390,059</w:t>
            </w:r>
          </w:p>
        </w:tc>
      </w:tr>
      <w:tr>
        <w:trPr/>
        <w:tc>
          <w:tcPr>
            <w:tcW w:w="289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2,961</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2,961</w:t>
            </w:r>
          </w:p>
        </w:tc>
      </w:tr>
      <w:tr>
        <w:trPr/>
        <w:tc>
          <w:tcPr>
            <w:tcW w:w="289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10,637</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12,438</w:t>
            </w:r>
          </w:p>
        </w:tc>
      </w:tr>
      <w:tr>
        <w:trPr/>
        <w:tc>
          <w:tcPr>
            <w:tcW w:w="289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(48,395)</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(49,040)</w:t>
            </w:r>
          </w:p>
        </w:tc>
      </w:tr>
      <w:tr>
        <w:trPr/>
        <w:tc>
          <w:tcPr>
            <w:tcW w:w="289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1,490,719</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(180,173)</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(1,006,913)</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52,785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356,418</w:t>
            </w:r>
          </w:p>
        </w:tc>
      </w:tr>
      <w:tr>
        <w:trPr/>
        <w:tc>
          <w:tcPr>
            <w:tcW w:w="289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6,061</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6,061</w:t>
            </w:r>
          </w:p>
        </w:tc>
      </w:tr>
      <w:tr>
        <w:trPr/>
        <w:tc>
          <w:tcPr>
            <w:tcW w:w="289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12,667</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13,825</w:t>
            </w:r>
          </w:p>
        </w:tc>
      </w:tr>
      <w:tr>
        <w:trPr/>
        <w:tc>
          <w:tcPr>
            <w:tcW w:w="289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(57,086)</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(57,823)</w:t>
            </w:r>
          </w:p>
        </w:tc>
      </w:tr>
      <w:tr>
        <w:trPr/>
        <w:tc>
          <w:tcPr>
            <w:tcW w:w="289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1,496,780</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(167,506)</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(1,063,999)</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53,206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318,481</w:t>
            </w:r>
          </w:p>
        </w:tc>
      </w:tr>
      <w:tr>
        <w:trPr/>
        <w:tc>
          <w:tcPr>
            <w:tcW w:w="289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2,971</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2,971</w:t>
            </w:r>
          </w:p>
        </w:tc>
      </w:tr>
      <w:tr>
        <w:trPr/>
        <w:tc>
          <w:tcPr>
            <w:tcW w:w="289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1,788</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1,900</w:t>
            </w:r>
          </w:p>
        </w:tc>
      </w:tr>
      <w:tr>
        <w:trPr/>
        <w:tc>
          <w:tcPr>
            <w:tcW w:w="289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(59,808)</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(59,970)</w:t>
            </w:r>
          </w:p>
        </w:tc>
      </w:tr>
      <w:tr>
        <w:trPr/>
        <w:tc>
          <w:tcPr>
            <w:tcW w:w="289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1,499,751</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(165,718)</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(1,123,807)</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53,156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263,382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659" w:name="_8a4b4707_cd37_4398_89af_9fc7245c4d97"/>
      <w:bookmarkEnd w:id="659"/>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bookmarkStart w:id="660" w:name="CONDENSEDCONSOLIDATEDSTATEMENTSOFCASHFLO"/>
      <w:bookmarkEnd w:id="660"/>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661" w:name="Tc_P1WWgGIJ_kOHafan71vgiw_46_5"/>
      <w:bookmarkStart w:id="662" w:name="Tc_x1wPIdVPU0WlupB1gPmpCQ_46_2"/>
      <w:bookmarkStart w:id="663" w:name="Tc_n9XXgrJEQUmo60E_QA5F5w_46_0"/>
      <w:bookmarkStart w:id="664" w:name="Tc_snOrK0ZR_0KhHRce6tgvow_45_0"/>
      <w:bookmarkStart w:id="665" w:name="Tc_iCluXm5o8UuNwiWudW9hAw_44_0"/>
      <w:bookmarkStart w:id="666" w:name="Tc_IWjz7bUUuEGI5g22qvVx2g_42_0"/>
      <w:bookmarkStart w:id="667" w:name="Tc_g8m12009ak6ONF0k2WhL7A_40_0"/>
      <w:bookmarkStart w:id="668" w:name="Tc_-cJcHNvdiUOD-T2LPD1pGw_39_0"/>
      <w:bookmarkStart w:id="669" w:name="Tc_6_t6oXPjvUSwHCGJUOtv0Q_38_0"/>
      <w:bookmarkStart w:id="670" w:name="Tc_KKLcKFQfBk6y70TxsOZCFw_37_0"/>
      <w:bookmarkStart w:id="671" w:name="Tc_fj25scsjSEqGcKgXZF9Oew_36_0"/>
      <w:bookmarkStart w:id="672" w:name="Tc_AKTu3sCOgEyZdoiFGXy5qA_34_0"/>
      <w:bookmarkStart w:id="673" w:name="Tc_qBL5Q6bGvEWooDg9r0msMg_33_0"/>
      <w:bookmarkStart w:id="674" w:name="Tc_Qqhk_Empq0mGtXAAJB6xPQ_32_0"/>
      <w:bookmarkStart w:id="675" w:name="Tc_tHJF_uW050imCyNyAAEFXw_31_0"/>
      <w:bookmarkStart w:id="676" w:name="Tc_jftUJIK5A0WR9YhefvTkgw_30_0"/>
      <w:bookmarkStart w:id="677" w:name="Tc_bjDAKYZ44EeuZn1VD5683w_29_0"/>
      <w:bookmarkStart w:id="678" w:name="Tc_bcSebnbFE0icQKXpFCzHhQ_28_0"/>
      <w:bookmarkStart w:id="679" w:name="Tc_h57C8sc2V0OECpArdCDh4w_27_0"/>
      <w:bookmarkStart w:id="680" w:name="Tc_EbxnPxGFq0GXw3cc4IKUzw_26_0"/>
      <w:bookmarkStart w:id="681" w:name="Tc_FkpZ8qeS-ESuo7C2qeptXA_24_0"/>
      <w:bookmarkStart w:id="682" w:name="Tc_OeEi2p3uM0qjjB6qC93OHQ_23_0"/>
      <w:bookmarkStart w:id="683" w:name="Tc_ans3mVYLJEiAT9KdqVVE-Q_22_0"/>
      <w:bookmarkStart w:id="684" w:name="Tc_8wzxnn4YekWoh-uoSuMfDA_21_0"/>
      <w:bookmarkStart w:id="685" w:name="Tc_ODhcKLvHf0mbD7S_whAC9g_20_0"/>
      <w:bookmarkStart w:id="686" w:name="Tc_CkjSoAR1v068ynTgFWghNw_19_0"/>
      <w:bookmarkStart w:id="687" w:name="Tc_g1v9B4X530CcMGwIpIAA8g_18_0"/>
      <w:bookmarkStart w:id="688" w:name="Tc_JQBseA2vTkGcABowr8PT6w_17_0"/>
      <w:bookmarkStart w:id="689" w:name="Tc_9P9GGsHMckS9AI94qWfY0g_16_0"/>
      <w:bookmarkStart w:id="690" w:name="Tc_eTe3u08f_0GGx-cTk3bxLg_15_0"/>
      <w:bookmarkStart w:id="691" w:name="Tc_JC1SNJx5bUuYJhjh9BHCQA_14_0"/>
      <w:bookmarkStart w:id="692" w:name="Tc_x2sLf2zcMUGtcUTt-eYAoQ_13_0"/>
      <w:bookmarkStart w:id="693" w:name="Tc_Zw3Os_WQo0anzCQwAXq5-w_12_0"/>
      <w:bookmarkStart w:id="694" w:name="Tc_HZqdUVwsSk6DJhxKlUP4Jg_11_0"/>
      <w:bookmarkStart w:id="695" w:name="Tc_4VlaF1DXGkmsDYZxBW69MA_10_0"/>
      <w:bookmarkStart w:id="696" w:name="Tc__opIZZG6L0ug0QSpQPJvWg_9_0"/>
      <w:bookmarkStart w:id="697" w:name="Tc_O3BVcV55KEO8jc3poN0pPw_8_0"/>
      <w:bookmarkStart w:id="698" w:name="Tc_r7G-fTu0ekaFGabR6fgvOQ_7_0"/>
      <w:bookmarkStart w:id="699" w:name="Tc_1Ni5RV4AuUmWGqFry3JHkQ_6_0"/>
      <w:bookmarkStart w:id="700" w:name="Tc_4tRmL34MvE-yKf5XRpBd9w_5_5"/>
      <w:bookmarkStart w:id="701" w:name="Tc_BIPjppgt5Eq0WmTvfWyctw_5_2"/>
      <w:bookmarkStart w:id="702" w:name="Tc_K_rtt3jQgkuwBkc2eUDGLQ_5_0"/>
      <w:bookmarkStart w:id="703" w:name="Tc_WoH_6E_DXE-EHt7zyw8-qg_4_0"/>
      <w:bookmarkStart w:id="704" w:name="Tc_BEpJGXpc9ESon7DdkODodg_3_5"/>
      <w:bookmarkStart w:id="705" w:name="Tc__cdmDfMhzE2oROEgm5C10w_3_2"/>
      <w:bookmarkStart w:id="706" w:name="Tc_JVC5owVyY0eOiF2Ay_ySow_2_2"/>
      <w:bookmarkStart w:id="707" w:name="Tc_Esv6BaFJAU6iFJOrACDRjw_1_2"/>
      <w:bookmarkStart w:id="708" w:name="_1a869aa0_8db2_4dea_9f69_ef4d57324cdf"/>
      <w:bookmarkStart w:id="709" w:name="Tc_P1WWgGIJ_kOHafan71vgiw_46_5"/>
      <w:bookmarkStart w:id="710" w:name="Tc_x1wPIdVPU0WlupB1gPmpCQ_46_2"/>
      <w:bookmarkStart w:id="711" w:name="Tc_n9XXgrJEQUmo60E_QA5F5w_46_0"/>
      <w:bookmarkStart w:id="712" w:name="Tc_snOrK0ZR_0KhHRce6tgvow_45_0"/>
      <w:bookmarkStart w:id="713" w:name="Tc_iCluXm5o8UuNwiWudW9hAw_44_0"/>
      <w:bookmarkStart w:id="714" w:name="Tc_IWjz7bUUuEGI5g22qvVx2g_42_0"/>
      <w:bookmarkStart w:id="715" w:name="Tc_g8m12009ak6ONF0k2WhL7A_40_0"/>
      <w:bookmarkStart w:id="716" w:name="Tc_-cJcHNvdiUOD-T2LPD1pGw_39_0"/>
      <w:bookmarkStart w:id="717" w:name="Tc_6_t6oXPjvUSwHCGJUOtv0Q_38_0"/>
      <w:bookmarkStart w:id="718" w:name="Tc_KKLcKFQfBk6y70TxsOZCFw_37_0"/>
      <w:bookmarkStart w:id="719" w:name="Tc_fj25scsjSEqGcKgXZF9Oew_36_0"/>
      <w:bookmarkStart w:id="720" w:name="Tc_AKTu3sCOgEyZdoiFGXy5qA_34_0"/>
      <w:bookmarkStart w:id="721" w:name="Tc_qBL5Q6bGvEWooDg9r0msMg_33_0"/>
      <w:bookmarkStart w:id="722" w:name="Tc_Qqhk_Empq0mGtXAAJB6xPQ_32_0"/>
      <w:bookmarkStart w:id="723" w:name="Tc_tHJF_uW050imCyNyAAEFXw_31_0"/>
      <w:bookmarkStart w:id="724" w:name="Tc_jftUJIK5A0WR9YhefvTkgw_30_0"/>
      <w:bookmarkStart w:id="725" w:name="Tc_bjDAKYZ44EeuZn1VD5683w_29_0"/>
      <w:bookmarkStart w:id="726" w:name="Tc_bcSebnbFE0icQKXpFCzHhQ_28_0"/>
      <w:bookmarkStart w:id="727" w:name="Tc_h57C8sc2V0OECpArdCDh4w_27_0"/>
      <w:bookmarkStart w:id="728" w:name="Tc_EbxnPxGFq0GXw3cc4IKUzw_26_0"/>
      <w:bookmarkStart w:id="729" w:name="Tc_FkpZ8qeS-ESuo7C2qeptXA_24_0"/>
      <w:bookmarkStart w:id="730" w:name="Tc_OeEi2p3uM0qjjB6qC93OHQ_23_0"/>
      <w:bookmarkStart w:id="731" w:name="Tc_ans3mVYLJEiAT9KdqVVE-Q_22_0"/>
      <w:bookmarkStart w:id="732" w:name="Tc_8wzxnn4YekWoh-uoSuMfDA_21_0"/>
      <w:bookmarkStart w:id="733" w:name="Tc_ODhcKLvHf0mbD7S_whAC9g_20_0"/>
      <w:bookmarkStart w:id="734" w:name="Tc_CkjSoAR1v068ynTgFWghNw_19_0"/>
      <w:bookmarkStart w:id="735" w:name="Tc_g1v9B4X530CcMGwIpIAA8g_18_0"/>
      <w:bookmarkStart w:id="736" w:name="Tc_JQBseA2vTkGcABowr8PT6w_17_0"/>
      <w:bookmarkStart w:id="737" w:name="Tc_9P9GGsHMckS9AI94qWfY0g_16_0"/>
      <w:bookmarkStart w:id="738" w:name="Tc_eTe3u08f_0GGx-cTk3bxLg_15_0"/>
      <w:bookmarkStart w:id="739" w:name="Tc_JC1SNJx5bUuYJhjh9BHCQA_14_0"/>
      <w:bookmarkStart w:id="740" w:name="Tc_x2sLf2zcMUGtcUTt-eYAoQ_13_0"/>
      <w:bookmarkStart w:id="741" w:name="Tc_Zw3Os_WQo0anzCQwAXq5-w_12_0"/>
      <w:bookmarkStart w:id="742" w:name="Tc_HZqdUVwsSk6DJhxKlUP4Jg_11_0"/>
      <w:bookmarkStart w:id="743" w:name="Tc_4VlaF1DXGkmsDYZxBW69MA_10_0"/>
      <w:bookmarkStart w:id="744" w:name="Tc__opIZZG6L0ug0QSpQPJvWg_9_0"/>
      <w:bookmarkStart w:id="745" w:name="Tc_O3BVcV55KEO8jc3poN0pPw_8_0"/>
      <w:bookmarkStart w:id="746" w:name="Tc_r7G-fTu0ekaFGabR6fgvOQ_7_0"/>
      <w:bookmarkStart w:id="747" w:name="Tc_1Ni5RV4AuUmWGqFry3JHkQ_6_0"/>
      <w:bookmarkStart w:id="748" w:name="Tc_4tRmL34MvE-yKf5XRpBd9w_5_5"/>
      <w:bookmarkStart w:id="749" w:name="Tc_BIPjppgt5Eq0WmTvfWyctw_5_2"/>
      <w:bookmarkStart w:id="750" w:name="Tc_K_rtt3jQgkuwBkc2eUDGLQ_5_0"/>
      <w:bookmarkStart w:id="751" w:name="Tc_WoH_6E_DXE-EHt7zyw8-qg_4_0"/>
      <w:bookmarkStart w:id="752" w:name="Tc_BEpJGXpc9ESon7DdkODodg_3_5"/>
      <w:bookmarkStart w:id="753" w:name="Tc__cdmDfMhzE2oROEgm5C10w_3_2"/>
      <w:bookmarkStart w:id="754" w:name="Tc_JVC5owVyY0eOiF2Ay_ySow_2_2"/>
      <w:bookmarkStart w:id="755" w:name="Tc_Esv6BaFJAU6iFJOrACDRjw_1_2"/>
      <w:bookmarkStart w:id="756" w:name="_1a869aa0_8db2_4dea_9f69_ef4d57324cdf"/>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tbl>
      <w:tblPr>
        <w:tblW w:w="9837" w:type="dxa"/>
        <w:jc w:val="left"/>
        <w:tblInd w:w="0" w:type="dxa"/>
        <w:tblLayout w:type="fixed"/>
        <w:tblCellMar>
          <w:top w:w="0" w:type="dxa"/>
          <w:left w:w="0" w:type="dxa"/>
          <w:bottom w:w="0" w:type="dxa"/>
          <w:right w:w="0" w:type="dxa"/>
        </w:tblCellMar>
      </w:tblPr>
      <w:tblGrid>
        <w:gridCol w:w="6991"/>
        <w:gridCol w:w="326"/>
        <w:gridCol w:w="196"/>
        <w:gridCol w:w="811"/>
        <w:gridCol w:w="326"/>
        <w:gridCol w:w="196"/>
        <w:gridCol w:w="991"/>
      </w:tblGrid>
      <w:tr>
        <w:trPr/>
        <w:tc>
          <w:tcPr>
            <w:tcW w:w="6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439285" cy="175260"/>
                      <wp:effectExtent l="0" t="0" r="0" b="0"/>
                      <wp:wrapNone/>
                      <wp:docPr id="60" name="Frame59"/>
                      <a:graphic xmlns:a="http://schemas.openxmlformats.org/drawingml/2006/main">
                        <a:graphicData uri="http://schemas.microsoft.com/office/word/2010/wordprocessingShape">
                          <wps:wsp>
                            <wps:cNvSpPr txBox="1"/>
                            <wps:spPr>
                              <a:xfrm>
                                <a:off x="0" y="0"/>
                                <a:ext cx="443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14985" cy="175260"/>
                      <wp:effectExtent l="0" t="0" r="0" b="0"/>
                      <wp:wrapNone/>
                      <wp:docPr id="63" name="Frame6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29285" cy="175260"/>
                      <wp:effectExtent l="0" t="0" r="0" b="0"/>
                      <wp:wrapNone/>
                      <wp:docPr id="66" name="Frame6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Nine Months Ended </w:t>
            </w:r>
          </w:p>
        </w:tc>
      </w:tr>
      <w:tr>
        <w:trPr/>
        <w:tc>
          <w:tcPr>
            <w:tcW w:w="6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r>
      <w:tr>
        <w:trPr/>
        <w:tc>
          <w:tcPr>
            <w:tcW w:w="6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(166,833)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(168,401)</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Adjustments to reconcile net income (loss) to net 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251,033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277,594</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Impairments and other (Note 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Realized and unrealized losses (gains) on investments, impairments and 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3,099</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(49,990)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(64,538)</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Equity in (earnings) losses of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3,848</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Changes in allowance for credit losses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(5,036)</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transaction losses (gains),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2,323</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Amortization of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657</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Noncurrent assets and noncurrent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(23,089)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12,399</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(939)</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Changes in operating assets and operating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Trade accounts receivable and contract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(3,807)</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(45,704)</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Trade 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9,540</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(41,636)</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expenses and 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74,602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(305,355)</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24,505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(326,156)</w:t>
            </w:r>
          </w:p>
        </w:tc>
      </w:tr>
      <w:tr>
        <w:trPr/>
        <w:tc>
          <w:tcPr>
            <w:tcW w:w="6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marketable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(30,261)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Sales and maturities of marketable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30,305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414,323</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 (Note 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(90,101)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(168,097)</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Expenditures for externally marketed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(19,297)</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Return of equity investment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Dividend received from unconsolidated affiliate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4,500</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(107,122)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251,429</w:t>
            </w:r>
          </w:p>
        </w:tc>
      </w:tr>
      <w:tr>
        <w:trPr/>
        <w:tc>
          <w:tcPr>
            <w:tcW w:w="6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Payment of in-orbit incentive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(1,480)</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Dividends to EchoStar Corporation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(1,029,000)</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895</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(1,029,585)</w:t>
            </w:r>
          </w:p>
        </w:tc>
      </w:tr>
      <w:tr>
        <w:trPr/>
        <w:tc>
          <w:tcPr>
            <w:tcW w:w="6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Effect of exchange rates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(3,476)</w:t>
            </w:r>
          </w:p>
        </w:tc>
      </w:tr>
      <w:tr>
        <w:trPr/>
        <w:tc>
          <w:tcPr>
            <w:tcW w:w="6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increase (decrease) in cash, cash equivalents, restricted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(84,282)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(1,107,788)</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 including restricted amounts, beginning of period (Note 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205,813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1,277,741</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 including restricted amounts, end of period (Note 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121,531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169,953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The accompanying notes are an integral part of these condensed consolidated financial statements. </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bookmarkStart w:id="757" w:name="_NOTES_TO_CONDENSED"/>
      <w:bookmarkEnd w:id="757"/>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758" w:name="_Hlk213750400"/>
      <w:bookmarkStart w:id="759" w:name="Narr_FZ3QNtbjiEy4T4t5Dbz_5w"/>
      <w:bookmarkStart w:id="760" w:name="NOTE1ORGANIZATIONANDBUSINESSACTIVITIES_3"/>
      <w:bookmarkStart w:id="761" w:name="_Hlk213750400"/>
      <w:bookmarkStart w:id="762" w:name="Narr_FZ3QNtbjiEy4T4t5Dbz_5w"/>
      <w:bookmarkStart w:id="763" w:name="NOTE1ORGANIZATIONANDBUSINESSACTIVITIES_3"/>
      <w:bookmarkEnd w:id="761"/>
      <w:bookmarkEnd w:id="762"/>
      <w:bookmarkEnd w:id="763"/>
    </w:p>
    <w:tbl>
      <w:tblPr>
        <w:tblW w:w="3872" w:type="dxa"/>
        <w:jc w:val="left"/>
        <w:tblInd w:w="0" w:type="dxa"/>
        <w:tblLayout w:type="fixed"/>
        <w:tblCellMar>
          <w:top w:w="0" w:type="dxa"/>
          <w:left w:w="0" w:type="dxa"/>
          <w:bottom w:w="0" w:type="dxa"/>
          <w:right w:w="0" w:type="dxa"/>
        </w:tblCellMar>
      </w:tblPr>
      <w:tblGrid>
        <w:gridCol w:w="286"/>
        <w:gridCol w:w="358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w:t>
            </w:r>
          </w:p>
        </w:tc>
        <w:tc>
          <w:tcPr>
            <w:tcW w:w="358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Organization and Business Activities</w:t>
            </w:r>
          </w:p>
        </w:tc>
      </w:tr>
    </w:tbl>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Principal Business</w:t>
      </w:r>
    </w:p>
    <w:p>
      <w:pPr>
        <w:pStyle w:val="TextBody"/>
        <w:bidi w:val="0"/>
        <w:spacing w:lineRule="atLeast" w:line="212" w:before="0" w:after="0"/>
        <w:ind w:left="0" w:right="0" w:hanging="0"/>
        <w:jc w:val="both"/>
        <w:rPr/>
      </w:pPr>
      <w:r>
        <w:rPr/>
        <w:t>​</w:t>
      </w:r>
    </w:p>
    <w:p>
      <w:pPr>
        <w:pStyle w:val="TextBody"/>
        <w:bidi w:val="0"/>
        <w:spacing w:before="0" w:after="0"/>
        <w:ind w:left="0" w:right="59" w:hanging="0"/>
        <w:jc w:val="both"/>
        <w:rPr>
          <w:rFonts w:ascii="Arial;Helvetica;sans-serif" w:hAnsi="Arial;Helvetica;sans-serif"/>
          <w:sz w:val="20"/>
        </w:rPr>
      </w:pPr>
      <w:r>
        <w:rPr>
          <w:rFonts w:ascii="Arial;Helvetica;sans-serif" w:hAnsi="Arial;Helvetica;sans-serif"/>
          <w:sz w:val="20"/>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Substantially all of the voting power of the shares of EchoStar is owned beneficially by Charles W. Ergen, our Chairman, and by certain entities established for the benefit of his family.</w:t>
      </w:r>
    </w:p>
    <w:p>
      <w:pPr>
        <w:pStyle w:val="TextBody"/>
        <w:bidi w:val="0"/>
        <w:spacing w:lineRule="atLeast" w:line="180" w:before="0" w:after="0"/>
        <w:ind w:left="0" w:right="0" w:hanging="0"/>
        <w:jc w:val="both"/>
        <w:rPr/>
      </w:pPr>
      <w:r>
        <w:rPr/>
        <w:t>​</w:t>
      </w:r>
    </w:p>
    <w:p>
      <w:pPr>
        <w:pStyle w:val="TextBody"/>
        <w:bidi w:val="0"/>
        <w:spacing w:lineRule="auto" w:line="300" w:before="0" w:after="0"/>
        <w:ind w:left="0" w:right="59" w:hanging="0"/>
        <w:jc w:val="both"/>
        <w:rPr>
          <w:rFonts w:ascii="Arial;Helvetica;sans-serif" w:hAnsi="Arial;Helvetica;sans-serif"/>
          <w:sz w:val="20"/>
        </w:rPr>
      </w:pPr>
      <w:r>
        <w:rPr>
          <w:rFonts w:ascii="Arial;Helvetica;sans-serif" w:hAnsi="Arial;Helvetica;sans-serif"/>
          <w:sz w:val="20"/>
        </w:rPr>
        <w:t>We manage our business activities on a consolidated basis and operate as a single operating segment: Hughes. See Note 10 for information regarding our segment reporting.</w:t>
      </w:r>
    </w:p>
    <w:p>
      <w:pPr>
        <w:pStyle w:val="TextBody"/>
        <w:bidi w:val="0"/>
        <w:spacing w:lineRule="atLeast" w:line="169" w:before="0" w:after="0"/>
        <w:ind w:left="0" w:right="0"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 We currently lease all of the capacity of EchoStar XXIV from EchoStar, effective December 31, 2023. As of September 30, 2025, we had 783,000 Broadband subscribers.</w:t>
      </w:r>
    </w:p>
    <w:p>
      <w:pPr>
        <w:pStyle w:val="TextBody"/>
        <w:bidi w:val="0"/>
        <w:spacing w:lineRule="auto" w:line="302" w:before="0" w:after="0"/>
        <w:ind w:left="0" w:right="139" w:hanging="0"/>
        <w:jc w:val="both"/>
        <w:rPr>
          <w:shd w:fill="FFFF00" w:val="clear"/>
        </w:rPr>
      </w:pPr>
      <w:r>
        <w:rPr>
          <w:shd w:fill="FFFF00" w:val="clear"/>
        </w:rPr>
        <w:t>​</w:t>
      </w:r>
    </w:p>
    <w:p>
      <w:pPr>
        <w:pStyle w:val="TextBody"/>
        <w:bidi w:val="0"/>
        <w:spacing w:lineRule="auto" w:line="302" w:before="0" w:after="0"/>
        <w:ind w:left="0" w:right="139" w:hanging="0"/>
        <w:jc w:val="both"/>
        <w:rPr>
          <w:rFonts w:ascii="Arial;Helvetica;sans-serif" w:hAnsi="Arial;Helvetica;sans-serif"/>
          <w:b/>
          <w:sz w:val="20"/>
        </w:rPr>
      </w:pPr>
      <w:r>
        <w:rPr>
          <w:rFonts w:ascii="Arial;Helvetica;sans-serif" w:hAnsi="Arial;Helvetica;sans-serif"/>
          <w:b/>
          <w:sz w:val="20"/>
        </w:rPr>
        <w:t>Recent Developments</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b/>
          <w:i/>
          <w:sz w:val="20"/>
        </w:rPr>
      </w:pPr>
      <w:r>
        <w:rPr>
          <w:rFonts w:ascii="Arial;Helvetica;sans-serif" w:hAnsi="Arial;Helvetica;sans-serif"/>
          <w:b/>
          <w:i/>
          <w:sz w:val="20"/>
        </w:rPr>
        <w:t>FCC Review</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 xml:space="preserve">In the third quarter of 2025, our parent, EchoStar resolved the previously disclosed review by the Federal Communications Commission (the “FCC”) into EchoStar’s compliance with its buildout milestones and other obligations regarding EchoStar’s federal spectrum licenses. EchoStar previously </w:t>
      </w:r>
      <w:r>
        <w:rPr>
          <w:rFonts w:ascii="Arial;Helvetica;sans-serif" w:hAnsi="Arial;Helvetica;sans-serif"/>
          <w:color w:val="222222"/>
          <w:sz w:val="20"/>
        </w:rPr>
        <w:t>received a letter from the FCC on May 9, 2025, indicating that the FCC was beginning a review of their compliance with certain obligations to provide 5G broadband service and raising certain questions regarding the September 2024 buildout extension granted by the FCC and mobile-satellite service (“MSS”) utilization in the 2 GHz band (the “May 9 Letter”). EchoStar responded to the FCC’s subsequent public notices with filings on May 27, 2025 and June 6, 2025</w:t>
      </w:r>
      <w:r>
        <w:rPr>
          <w:rFonts w:ascii="Arial;Helvetica;sans-serif" w:hAnsi="Arial;Helvetica;sans-serif"/>
          <w:sz w:val="20"/>
        </w:rPr>
        <w:t>.</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 xml:space="preserve">During the second quarter and the beginning of the third quarter of 2025, the potential ramifications of the FCC review to EchoStar’s business required them to, among other things, reevaluate the deployment of their resources and as a result, EchoStar elected not to make interest payments on a certain portion of their long-term senior notes on their respective scheduled due dates. EchoStar subsequently made such payments, including interest on the defaulted interest, within the applicable </w:t>
      </w:r>
      <w:r>
        <w:rPr>
          <w:rFonts w:ascii="Arial;Helvetica;sans-serif" w:hAnsi="Arial;Helvetica;sans-serif"/>
          <w:b w:val="false"/>
          <w:i w:val="false"/>
          <w:caps w:val="false"/>
          <w:smallCaps w:val="false"/>
          <w:sz w:val="20"/>
        </w:rPr>
        <w:t>30-day</w:t>
      </w:r>
      <w:r>
        <w:rPr>
          <w:rFonts w:ascii="Arial;Helvetica;sans-serif" w:hAnsi="Arial;Helvetica;sans-serif"/>
          <w:sz w:val="20"/>
        </w:rPr>
        <w:t xml:space="preserve"> grace periods. See Note 9 of our parent EchoStar’s Quarterly Report on form 10-Q for the quarter ended September 30, 2025 for further information.</w:t>
      </w:r>
    </w:p>
    <w:p>
      <w:pPr>
        <w:pStyle w:val="TextBody"/>
        <w:bidi w:val="0"/>
        <w:spacing w:lineRule="auto" w:line="302" w:before="0" w:after="0"/>
        <w:ind w:left="0" w:right="139"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lineRule="auto" w:line="302" w:before="0" w:after="0"/>
        <w:ind w:left="0" w:right="139" w:hanging="0"/>
        <w:jc w:val="both"/>
        <w:rPr>
          <w:rFonts w:ascii="Arial;Helvetica;sans-serif" w:hAnsi="Arial;Helvetica;sans-serif"/>
          <w:sz w:val="20"/>
        </w:rPr>
      </w:pPr>
      <w:bookmarkStart w:id="764" w:name="Narr_zRPwkQvz-USdvS9cfylwvA"/>
      <w:bookmarkEnd w:id="764"/>
      <w:r>
        <w:rPr>
          <w:rFonts w:ascii="Arial;Helvetica;sans-serif" w:hAnsi="Arial;Helvetica;sans-serif"/>
          <w:sz w:val="20"/>
        </w:rPr>
        <w:t>The FCC review introduced the possibility of reversing prior FCC grants of authority to EchoStar. The FCC made it clear that it viewed EchoStar’s spectrum as being underutilized and deemed their continued ownership of such spectrum licenses inconsistent with the public interest, and that they must sell a material amount of spectrum licenses or face a wide-ranging license revocation. Accordingly, as a result of these unforeseeable actions by the FCC that were outside of EchoStar’s control, they entered into the AT&amp;T Transactions, as defined in EchoStar’s Quarterly Report on Form 10-Q for the quarter ended September 30, 2025 and the SpaceX Transactions, as defined below, whereby EchoStar agreed to sell a material amount of their spectrum licenses. In August 2025, following these transactions, EchoStar began the abandonment and decommission process for certain portions of their 5G Network that will not be utilized in their Hybrid MNO business. Furthermore, EchoStar believes the FCC’s actions and the resulting AT&amp;T Transactions and SpaceX Transactions constitute one or more force majeure events under certain of their 5G Network-related contracts.</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SpaceX License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“SpaceX Transactions”).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Pursuant to the terms and subject to the conditions set forth in the SpaceX License Purchase Agreement, our parent EchoStar, agreed to sell to SpaceX their rights and licenses related to an aggregate of 50 MHz of spectrum in frequency ranges 2000–2020, 2180–2200, 1915–1920 and 1995– 2000 (the “</w:t>
      </w:r>
      <w:r>
        <w:rPr>
          <w:rFonts w:ascii="Arial;Helvetica;sans-serif" w:hAnsi="Arial;Helvetica;sans-serif"/>
          <w:color w:val="222222"/>
          <w:sz w:val="20"/>
        </w:rPr>
        <w:t>AWS-4 and H-Block</w:t>
      </w:r>
      <w:r>
        <w:rPr>
          <w:rFonts w:ascii="Arial;Helvetica;sans-serif" w:hAnsi="Arial;Helvetica;sans-serif"/>
          <w:sz w:val="20"/>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transfer of the </w:t>
      </w:r>
      <w:r>
        <w:rPr>
          <w:rFonts w:ascii="Arial;Helvetica;sans-serif" w:hAnsi="Arial;Helvetica;sans-serif"/>
          <w:color w:val="222222"/>
          <w:sz w:val="20"/>
        </w:rPr>
        <w:t>AWS-4 and H-Block</w:t>
      </w:r>
      <w:r>
        <w:rPr>
          <w:rFonts w:ascii="Arial;Helvetica;sans-serif" w:hAnsi="Arial;Helvetica;sans-serif"/>
          <w:sz w:val="20"/>
        </w:rPr>
        <w:t xml:space="preserve"> Licenses will occur in two steps: first, the </w:t>
      </w:r>
      <w:r>
        <w:rPr>
          <w:rFonts w:ascii="Arial;Helvetica;sans-serif" w:hAnsi="Arial;Helvetica;sans-serif"/>
          <w:color w:val="222222"/>
          <w:sz w:val="20"/>
        </w:rPr>
        <w:t>AWS-4 and H-Block</w:t>
      </w:r>
      <w:r>
        <w:rPr>
          <w:rFonts w:ascii="Arial;Helvetica;sans-serif" w:hAnsi="Arial;Helvetica;sans-serif"/>
          <w:sz w:val="20"/>
        </w:rPr>
        <w:t xml:space="preserve"> Licenses will be transferred by EchoStar to the Trust (the “Spectrum Transfer Closing”), and second, the </w:t>
      </w:r>
      <w:r>
        <w:rPr>
          <w:rFonts w:ascii="Arial;Helvetica;sans-serif" w:hAnsi="Arial;Helvetica;sans-serif"/>
          <w:color w:val="222222"/>
          <w:sz w:val="20"/>
        </w:rPr>
        <w:t>AWS-4 and H-Block</w:t>
      </w:r>
      <w:r>
        <w:rPr>
          <w:rFonts w:ascii="Arial;Helvetica;sans-serif" w:hAnsi="Arial;Helvetica;sans-serif"/>
          <w:sz w:val="20"/>
        </w:rPr>
        <w:t xml:space="preserve">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consideration for the SpaceX Transactions payable at the Spectrum Acquisition Closing is $17 billion (the “Total Consideration Amount”). A portion of the Total Consideration Amount (such amount, the “Total Payoff Consideration Amount”) will be used to (i) fully pay off all outstanding amounts owed on EchoStar’s </w:t>
      </w:r>
      <w:r>
        <w:rPr>
          <w:rFonts w:ascii="Arial;Helvetica;sans-serif" w:hAnsi="Arial;Helvetica;sans-serif"/>
          <w:b w:val="false"/>
          <w:i w:val="false"/>
          <w:caps w:val="false"/>
          <w:smallCaps w:val="false"/>
          <w:sz w:val="20"/>
        </w:rPr>
        <w:t>10 3/4%</w:t>
      </w:r>
      <w:r>
        <w:rPr>
          <w:rFonts w:ascii="Arial;Helvetica;sans-serif" w:hAnsi="Arial;Helvetica;sans-serif"/>
          <w:sz w:val="20"/>
        </w:rPr>
        <w:t xml:space="preserve"> Senior Secured Notes due 2029 (the “</w:t>
      </w:r>
      <w:r>
        <w:rPr>
          <w:rFonts w:ascii="Arial;Helvetica;sans-serif" w:hAnsi="Arial;Helvetica;sans-serif"/>
          <w:b w:val="false"/>
          <w:i w:val="false"/>
          <w:caps w:val="false"/>
          <w:smallCaps w:val="false"/>
          <w:sz w:val="20"/>
        </w:rPr>
        <w:t>10 3/4%</w:t>
      </w:r>
      <w:r>
        <w:rPr>
          <w:rFonts w:ascii="Arial;Helvetica;sans-serif" w:hAnsi="Arial;Helvetica;sans-serif"/>
          <w:sz w:val="20"/>
        </w:rPr>
        <w:t xml:space="preserve"> Secured Notes”) and </w:t>
      </w:r>
      <w:r>
        <w:rPr>
          <w:rFonts w:ascii="Arial;Helvetica;sans-serif" w:hAnsi="Arial;Helvetica;sans-serif"/>
          <w:b w:val="false"/>
          <w:i w:val="false"/>
          <w:caps w:val="false"/>
          <w:smallCaps w:val="false"/>
          <w:sz w:val="20"/>
        </w:rPr>
        <w:t>6 3/4%</w:t>
      </w:r>
      <w:r>
        <w:rPr>
          <w:rFonts w:ascii="Arial;Helvetica;sans-serif" w:hAnsi="Arial;Helvetica;sans-serif"/>
          <w:sz w:val="20"/>
        </w:rPr>
        <w:t xml:space="preserve"> Senior Secured due 2030 (the “</w:t>
      </w:r>
      <w:r>
        <w:rPr>
          <w:rFonts w:ascii="Arial;Helvetica;sans-serif" w:hAnsi="Arial;Helvetica;sans-serif"/>
          <w:b w:val="false"/>
          <w:i w:val="false"/>
          <w:caps w:val="false"/>
          <w:smallCaps w:val="false"/>
          <w:sz w:val="20"/>
        </w:rPr>
        <w:t>6 3/4%</w:t>
      </w:r>
      <w:r>
        <w:rPr>
          <w:rFonts w:ascii="Arial;Helvetica;sans-serif" w:hAnsi="Arial;Helvetica;sans-serif"/>
          <w:sz w:val="20"/>
        </w:rPr>
        <w:t xml:space="preserve"> Secured Notes”) and (ii) settle the anticipated redemption and conversions of EchoStar’s </w:t>
      </w:r>
      <w:r>
        <w:rPr>
          <w:rFonts w:ascii="Arial;Helvetica;sans-serif" w:hAnsi="Arial;Helvetica;sans-serif"/>
          <w:b w:val="false"/>
          <w:i w:val="false"/>
          <w:caps w:val="false"/>
          <w:smallCaps w:val="false"/>
          <w:sz w:val="20"/>
        </w:rPr>
        <w:t>3 7/8%</w:t>
      </w:r>
      <w:r>
        <w:rPr>
          <w:rFonts w:ascii="Arial;Helvetica;sans-serif" w:hAnsi="Arial;Helvetica;sans-serif"/>
          <w:sz w:val="20"/>
        </w:rPr>
        <w:t xml:space="preserve"> Convertible Secured Notes due 2030 (the “Convertible Notes due 2030” and, together with the </w:t>
      </w:r>
      <w:r>
        <w:rPr>
          <w:rFonts w:ascii="Arial;Helvetica;sans-serif" w:hAnsi="Arial;Helvetica;sans-serif"/>
          <w:b w:val="false"/>
          <w:i w:val="false"/>
          <w:caps w:val="false"/>
          <w:smallCaps w:val="false"/>
          <w:sz w:val="20"/>
        </w:rPr>
        <w:t>10 3/4%</w:t>
      </w:r>
      <w:r>
        <w:rPr>
          <w:rFonts w:ascii="Arial;Helvetica;sans-serif" w:hAnsi="Arial;Helvetica;sans-serif"/>
          <w:sz w:val="20"/>
        </w:rPr>
        <w:t xml:space="preserve"> Secured Notes and the 6 3/4% Secured Notes, the “Seller Notes”). The remaining amount after paying off the Seller Notes (the “Purchase Price”) will be paid by SpaceX to EchoStar as follows: (i) up to $8.5 billion will be paid in SpaceX’s Class A Common Stock, valued at $212 per share (the “Equity Amount”); and (ii) any amount of the Purchase Price exceeding $8.5 billion will be paid in cash.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rFonts w:ascii="Arial;Helvetica;sans-serif" w:hAnsi="Arial;Helvetica;sans-serif"/>
          <w:sz w:val="20"/>
        </w:rPr>
      </w:pPr>
      <w:bookmarkStart w:id="765" w:name="_Hlk213159215"/>
      <w:bookmarkStart w:id="766" w:name="_Hlk213683027"/>
      <w:bookmarkEnd w:id="765"/>
      <w:bookmarkEnd w:id="766"/>
      <w:r>
        <w:rPr>
          <w:rFonts w:ascii="Arial;Helvetica;sans-serif" w:hAnsi="Arial;Helvetica;sans-serif"/>
          <w:sz w:val="20"/>
        </w:rPr>
        <w:t xml:space="preserve">If the Total Payoff Consideration Amount exceeds $8.5 billion, EchoStar may elect to pay the excess in cash, EchoStar’s Class A Common Stock (with respect to the Convertible Notes due 2030), or both, to maintain EchoStar’s receipt of the full Equity Amount. However, if EchoStar elects not to pay such excess amount, the Equity Amount will be reduced dollar-for-dollar to ensure that the combined Equity Amount and Total Payoff Consideration Amount do not exceed the Total Consideration Amount. As of September 30, 2025, the aggregate principal amount outstanding of the Seller Notes was $9.826 billion and is secured by the </w:t>
      </w:r>
      <w:r>
        <w:rPr>
          <w:rFonts w:ascii="Arial;Helvetica;sans-serif" w:hAnsi="Arial;Helvetica;sans-serif"/>
          <w:color w:val="222222"/>
          <w:sz w:val="20"/>
        </w:rPr>
        <w:t>AWS-4 and AWS-3</w:t>
      </w:r>
      <w:r>
        <w:rPr>
          <w:rFonts w:ascii="Arial;Helvetica;sans-serif" w:hAnsi="Arial;Helvetica;sans-serif"/>
          <w:sz w:val="20"/>
        </w:rPr>
        <w:t xml:space="preserve"> Licenses.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pStyle w:val="TextBody"/>
        <w:bidi w:val="0"/>
        <w:spacing w:lineRule="atLeast" w:line="180"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Additionally, in connection with the SpaceX License Purchase Agreement and the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DOJ. The SpaceX License Purchase Agreement also provides for specified termination rights.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SpaceX License Purchase Agreement also provides for future long-term commercial agreements that will enable EchoStar to offer their Wireless subscribers access to SpaceX’s next-generation Starlink Direct to Cell text and voice and broadband services utilizing certain rights and licenses related to the Spectrum that are to be conveyed by EchoStar to SpaceX at the Spectrum Acquisition Closing. The commercial agreements will also provide for a fee-based referral program that lets us refer existing HughesNet customers and new Starlink customers to SpaceX.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description of the SpaceX License Purchase Agreement is not complete and is qualified in its entirety by reference to the License Purchase Agreement filed as an exhibit in EchoStar’s Quarterly Report on Form 10-Q for the quarter ended September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Please see Note 13 for additional information on this transaction subsequent to September 30, 2025.</w:t>
      </w:r>
    </w:p>
    <w:p>
      <w:pPr>
        <w:pStyle w:val="TextBody"/>
        <w:bidi w:val="0"/>
        <w:spacing w:before="0" w:after="0"/>
        <w:ind w:left="0" w:right="0" w:hanging="0"/>
        <w:jc w:val="both"/>
        <w:rPr/>
      </w:pPr>
      <w:r>
        <w:rPr/>
        <w:t>​</w:t>
      </w:r>
    </w:p>
    <w:p>
      <w:pPr>
        <w:pStyle w:val="TextBody"/>
        <w:bidi w:val="0"/>
        <w:spacing w:lineRule="auto" w:line="302" w:before="0" w:after="0"/>
        <w:ind w:left="0" w:right="139" w:hanging="0"/>
        <w:jc w:val="both"/>
        <w:rPr>
          <w:rFonts w:ascii="Arial;Helvetica;sans-serif" w:hAnsi="Arial;Helvetica;sans-serif"/>
          <w:b/>
          <w:i/>
          <w:sz w:val="20"/>
        </w:rPr>
      </w:pPr>
      <w:r>
        <w:rPr>
          <w:rFonts w:ascii="Arial;Helvetica;sans-serif" w:hAnsi="Arial;Helvetica;sans-serif"/>
          <w:b/>
          <w:i/>
          <w:sz w:val="20"/>
        </w:rPr>
        <w:t>Future Capital Requirements</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pStyle w:val="TextBody"/>
        <w:bidi w:val="0"/>
        <w:spacing w:lineRule="auto" w:line="302" w:before="0" w:after="0"/>
        <w:ind w:left="0" w:right="139"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lineRule="auto" w:line="302" w:before="0" w:after="0"/>
        <w:ind w:left="0" w:right="139" w:hanging="0"/>
        <w:jc w:val="both"/>
        <w:rPr>
          <w:rFonts w:ascii="Arial;Helvetica;sans-serif" w:hAnsi="Arial;Helvetica;sans-serif"/>
          <w:sz w:val="20"/>
        </w:rPr>
      </w:pPr>
      <w:bookmarkStart w:id="767" w:name="_Hlk213143999"/>
      <w:bookmarkEnd w:id="767"/>
      <w:r>
        <w:rPr>
          <w:rFonts w:ascii="Arial;Helvetica;sans-serif" w:hAnsi="Arial;Helvetica;sans-serif"/>
          <w:sz w:val="20"/>
        </w:rPr>
        <w:t>Our cash and cash equivalents and marketable investment securities totaled $119 million as of September 30, 2025 (“Cash on Hand”). As reflected in the condensed consolidated financial statements as of September 30, 2025, we have $1.5 billion of debt maturing in August 2026.</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Because we do not currently have the necessary Cash on Hand and/or projected future cash flows or committed financing to fund our obligations, including our debt maturities, for at least twelve months from the issuance of these condensed consolidated financial statements, substantial doubt exists about our ability to continue as a going concern. To address our capital needs, we are in active discussions with funding sources to raise additional capital and/or restructure our outstanding debt. We cannot provide assurances that we will be successful in obtaining such new financing and/or restructuring the existing debt obligations necessary for us to have sufficient liquidity. In addition, our parent, EchoStar, may not provide additional liquidity in the future necessary to meet our obligations as they come due. The condensed consolidated financial statements do not include any adjustments to the amount and classification of assets and liabilities that may be necessary should we not continue as a going concern.</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b/>
          <w:i/>
          <w:sz w:val="20"/>
        </w:rPr>
      </w:pPr>
      <w:r>
        <w:rPr>
          <w:rFonts w:ascii="Arial;Helvetica;sans-serif" w:hAnsi="Arial;Helvetica;sans-serif"/>
          <w:b/>
          <w:i/>
          <w:sz w:val="20"/>
        </w:rPr>
        <w:t>Impairments and Other</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i/>
          <w:sz w:val="20"/>
        </w:rPr>
      </w:pPr>
      <w:r>
        <w:rPr>
          <w:rFonts w:ascii="Arial;Helvetica;sans-serif" w:hAnsi="Arial;Helvetica;sans-serif"/>
          <w:i/>
          <w:sz w:val="20"/>
        </w:rPr>
        <w:t>Impairment of Long-Lived Assets and Finite-Lived Intangible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review our long-lived assets and finite-lived intangible assets for impairment whenever events or changes in circumstances indicate that the carrying amount of an asset may not be recoverable. For assets which are held and used in operations, the asset may not be recoverable if the carrying amount of the asset (or asset group) exceeds its undiscounted future net cash flows. When an asset fails the recoverability test, the actual impairment recognized is the difference between the carrying amount and the fair value as estimated using one of the following approaches: income, cost and/or market. In the event of an impairment, a loss is recorded in “Impairments and other” on our Condensed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is determined by estimating the amount that a market participant would receive when selling the asset.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Under the SpaceX Transactions, SpaceX has the sole option to acquire certain satellite assets and certain regulatory authorizations from us and our parent, EchoStar. This option was considered a triggering event and resulted in our review for impairment of certain of our international licenses and ground equipment necessary to operate our and our parent’s assets included in the SpaceX Transactions. Additionally, we and our parent, EchoStar are no longer pursuing a business plan to utilize those complementary assets and as such our assets have no future use. Management determined based on our undiscounted future net cash flows that the carrying amount of certain assets, individually or as part of an asset group were not recoverable. This conclusion was made in connection with the preparation and review of the financial statements required to be included in this Quarterly Report on Form 10-Q. Management then determined the fair value of certain assets or asset groups using the market approach. Due to the specialized use and company specific nature of each asset or asset group, management determined the fair values to be nominal, resulting in non-cash impairment charges in “Impairments and other” on our Condensed Consolidated Statements of Operations and Comprehensive Income (Loss).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bookmarkStart w:id="768" w:name="Tc_4-onfLeR7EO1yFTHgVGlZg_7_2"/>
      <w:bookmarkStart w:id="769" w:name="Tc_5DBeMnAnn0i_zXQW1cUbgg_7_0"/>
      <w:bookmarkStart w:id="770" w:name="Tc_6tQldqxXtEC3lk-ptAucWg_6_0"/>
      <w:bookmarkStart w:id="771" w:name="Tc_CeCw6tZMiUCySVJNh_gp3g_5_0"/>
      <w:bookmarkStart w:id="772" w:name="Tc_NbvEBXbA8kqDUOLkgJBc2Q_4_2"/>
      <w:bookmarkStart w:id="773" w:name="Tc_VFbKldi5GUSAieUHYpNBIw_4_0"/>
      <w:bookmarkStart w:id="774" w:name="Tc_oPSeIpDW4ECtLkRLJUDc2w_3_2"/>
      <w:bookmarkStart w:id="775" w:name="Tc_VC7YUm3MsEWVt-FPU0cpdA_2_2"/>
      <w:bookmarkStart w:id="776" w:name="Tc_eVr6KuOqUkyb-FvlfUXE6Q_1_2"/>
      <w:bookmarkStart w:id="777" w:name="_5da45c55_8e67_4abd_8c47_6b8f68d9fad1"/>
      <w:bookmarkEnd w:id="768"/>
      <w:bookmarkEnd w:id="769"/>
      <w:bookmarkEnd w:id="770"/>
      <w:bookmarkEnd w:id="771"/>
      <w:bookmarkEnd w:id="772"/>
      <w:bookmarkEnd w:id="773"/>
      <w:bookmarkEnd w:id="774"/>
      <w:bookmarkEnd w:id="775"/>
      <w:bookmarkEnd w:id="776"/>
      <w:bookmarkEnd w:id="777"/>
      <w:r>
        <w:rPr/>
        <w:t>​</w:t>
      </w:r>
    </w:p>
    <w:p>
      <w:pPr>
        <w:pStyle w:val="TextBody"/>
        <w:bidi w:val="0"/>
        <w:spacing w:before="0" w:after="0"/>
        <w:ind w:left="0" w:right="0" w:hanging="0"/>
        <w:jc w:val="left"/>
        <w:rPr/>
      </w:pPr>
      <w:r>
        <w:rPr/>
        <w:t>“</w:t>
      </w:r>
      <w:r>
        <w:rPr>
          <w:rFonts w:ascii="Arial;Helvetica;sans-serif" w:hAnsi="Arial;Helvetica;sans-serif"/>
          <w:sz w:val="20"/>
        </w:rPr>
        <w:t>Impairments and other” recorded on our Condensed Consolidated Statements of Operations and Comprehensive Income (Loss) during the three and nine months ended September 30, 2025 consisted of the following:</w:t>
      </w:r>
    </w:p>
    <w:p>
      <w:pPr>
        <w:pStyle w:val="TextBody"/>
        <w:bidi w:val="0"/>
        <w:spacing w:before="0" w:after="0"/>
        <w:ind w:left="0" w:right="0" w:hanging="0"/>
        <w:jc w:val="left"/>
        <w:rPr/>
      </w:pPr>
      <w:r>
        <w:rPr/>
        <w:t>​</w:t>
      </w:r>
    </w:p>
    <w:tbl>
      <w:tblPr>
        <w:tblW w:w="6380" w:type="dxa"/>
        <w:jc w:val="left"/>
        <w:tblInd w:w="0" w:type="dxa"/>
        <w:tblLayout w:type="fixed"/>
        <w:tblCellMar>
          <w:top w:w="0" w:type="dxa"/>
          <w:left w:w="0" w:type="dxa"/>
          <w:bottom w:w="0" w:type="dxa"/>
          <w:right w:w="0" w:type="dxa"/>
        </w:tblCellMar>
      </w:tblPr>
      <w:tblGrid>
        <w:gridCol w:w="2581"/>
        <w:gridCol w:w="109"/>
        <w:gridCol w:w="765"/>
        <w:gridCol w:w="2925"/>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38935" cy="175260"/>
                      <wp:effectExtent l="0" t="0" r="0" b="0"/>
                      <wp:wrapNone/>
                      <wp:docPr id="67" name="Frame66"/>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85775" cy="175260"/>
                      <wp:effectExtent l="0" t="0" r="0" b="0"/>
                      <wp:wrapNone/>
                      <wp:docPr id="69" name="Frame68"/>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57375" cy="175260"/>
                      <wp:effectExtent l="0" t="0" r="0" b="0"/>
                      <wp:wrapNone/>
                      <wp:docPr id="70" name="Frame69"/>
                      <a:graphic xmlns:a="http://schemas.openxmlformats.org/drawingml/2006/main">
                        <a:graphicData uri="http://schemas.microsoft.com/office/word/2010/wordprocessingShape">
                          <wps:wsp>
                            <wps:cNvSpPr txBox="1"/>
                            <wps:spPr>
                              <a:xfrm>
                                <a:off x="0" y="0"/>
                                <a:ext cx="185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Three and Nine Months Ended</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2025</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5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Regulatory authorizations</w:t>
            </w:r>
          </w:p>
        </w:tc>
        <w:tc>
          <w:tcPr>
            <w:tcW w:w="109"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4,867</w:t>
            </w:r>
          </w:p>
        </w:tc>
      </w:tr>
      <w:tr>
        <w:trPr/>
        <w:tc>
          <w:tcPr>
            <w:tcW w:w="25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109"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29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3,985</w:t>
            </w:r>
          </w:p>
        </w:tc>
      </w:tr>
      <w:tr>
        <w:trPr/>
        <w:tc>
          <w:tcPr>
            <w:tcW w:w="25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Exit and disposal costs (1)</w:t>
            </w:r>
          </w:p>
        </w:tc>
        <w:tc>
          <w:tcPr>
            <w:tcW w:w="109" w:type="dxa"/>
            <w:tcBorders/>
            <w:shd w:fill="CCEEFF" w:val="cle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1,729</w:t>
            </w:r>
          </w:p>
        </w:tc>
      </w:tr>
      <w:tr>
        <w:trPr/>
        <w:tc>
          <w:tcPr>
            <w:tcW w:w="258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Impairments and other</w:t>
            </w:r>
          </w:p>
        </w:tc>
        <w:tc>
          <w:tcPr>
            <w:tcW w:w="109" w:type="dxa"/>
            <w:tcBorders/>
            <w:vAlign w:val="center"/>
          </w:tcPr>
          <w:p>
            <w:pPr>
              <w:pStyle w:val="TableContents"/>
              <w:bidi w:val="0"/>
              <w:spacing w:before="0" w:after="0"/>
              <w:ind w:left="0" w:right="0" w:hanging="0"/>
              <w:jc w:val="left"/>
              <w:rPr/>
            </w:pPr>
            <w:r>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925" w:type="dxa"/>
            <w:tcBorders>
              <w:bottom w:val="double" w:sz="6" w:space="0" w:color="000000"/>
            </w:tcBorders>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10,581</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Exit and disposal costs include, among other things, one-time employee termination benefits due to a reduction in work force.</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78" w:name="_Hlk195612338"/>
      <w:bookmarkStart w:id="779" w:name="_Hlk195612338"/>
      <w:bookmarkEnd w:id="779"/>
    </w:p>
    <w:tbl>
      <w:tblPr>
        <w:tblW w:w="4577" w:type="dxa"/>
        <w:jc w:val="left"/>
        <w:tblInd w:w="0" w:type="dxa"/>
        <w:tblLayout w:type="fixed"/>
        <w:tblCellMar>
          <w:top w:w="0" w:type="dxa"/>
          <w:left w:w="0" w:type="dxa"/>
          <w:bottom w:w="0" w:type="dxa"/>
          <w:right w:w="0" w:type="dxa"/>
        </w:tblCellMar>
      </w:tblPr>
      <w:tblGrid>
        <w:gridCol w:w="286"/>
        <w:gridCol w:w="429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w:t>
            </w:r>
          </w:p>
        </w:tc>
        <w:tc>
          <w:tcPr>
            <w:tcW w:w="429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Summary of Significant Accounting Policies</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further information, refer to the consolidated financial statements and notes thereto included in our Annual Report on Form 10-K for the year ended December 31, 2024. Certain prior period amounts have been reclassified to conform to the current period presentation.</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self-insurance obligations, deferred taxes and related valuation allowances, uncertain tax positions, loss contingencies, fair value of financial instruments, fair value of options granted under EchoStar’s stock-based compensation plans, fair value of assets and liabilities acquired in business combinations or as part of an asset acquisition, fair value of exit or disposal cost obligations, timing and amount of asset retirement obligations, inputs or outputs used to recognize revenue over time, including amortization periods for deferred contract acquisition costs and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and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Concentration of Credit Risk</w:t>
      </w:r>
    </w:p>
    <w:p>
      <w:pPr>
        <w:pStyle w:val="TextBody"/>
        <w:bidi w:val="0"/>
        <w:spacing w:lineRule="auto" w:line="290" w:before="0" w:after="0"/>
        <w:ind w:left="0" w:right="59" w:hanging="0"/>
        <w:jc w:val="both"/>
        <w:rPr>
          <w:rFonts w:ascii="Arial;Helvetica;sans-serif" w:hAnsi="Arial;Helvetica;sans-serif"/>
          <w:sz w:val="20"/>
        </w:rPr>
      </w:pPr>
      <w:r>
        <w:rPr>
          <w:rFonts w:ascii="Arial;Helvetica;sans-serif" w:hAnsi="Arial;Helvetica;sans-serif"/>
          <w:sz w:val="20"/>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 combined with the large number and geographical diversity of its customers, limits our concentration of risk with respect to receivables from contracts with customers. As of September 30, 2025, our concentration of credit risk is approximately evenly spread across our portfolio of customers.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defined as observable inputs being quoted prices in active markets for identical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defined as unobservable inputs for which little or no market data exists, consistent with reasonably available assumptions made by other participants therefore requiring assumptions based on the best information available.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and December 31, 2024, the carrying amount for cash and cash equivalents, trade accounts receivable (net of allowance for credit losses) and current liabilities (excluding the “Current portion of debt and other notes payable”) was equal to or approximated fair value due to their short-term nature or proximity to current market rates.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exit or disposal cost obligations and the assignment of purchase consideration to assets in a non-cash exchange of assets and for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Fair values for our publicly traded debt securities are based on quoted market prices, when available. The fair values of non-publicly traded debt are based on, among other things, available trade information, valuations performed by a third 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8 for the fair value of our debt.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Assets Recognized Related to the Costs to Obtain a Contract with a Customer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Advertising Costs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recognize advertising expense when incurred as a component of “Selling, general and administrative expenses” on our Condensed Consolidated Statements of Operations and Comprehensive Income (Loss). Advertising expenses totaled $9 million and $11 million for the three months ended September 30, 2025 and 2024, respectively. Advertising expenses totaled $28 million and $35 million for the nine months ended September 30,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Research and Development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 Additionally, customer-related research and development costs are incurred in connection with the specific requirements of a customer’s order; in such instances, the amounts for these customer funded development efforts are also included in “Cost of sales - equipment and other” on our Condensed Consolidated Statements of Operations and Comprehensive Income (Loss). Research and development costs totaled $12 million and $13 million for the three months ended September 30, 2025 and 2024, respectively. Research and development costs totaled $33 million and $49 million for the nine months ended September 30, 2025 and 2024, respectively.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New Accounting Pronouncements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Not Yet Adopted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Income Taxes</w:t>
      </w:r>
      <w:r>
        <w:rPr>
          <w:rFonts w:ascii="Arial;Helvetica;sans-serif" w:hAnsi="Arial;Helvetica;sans-serif"/>
          <w:sz w:val="20"/>
        </w:rPr>
        <w:t>. On December 14, 2023, the FASB issued ASU 2023-9</w:t>
      </w:r>
      <w:r>
        <w:rPr>
          <w:rFonts w:ascii="Arial;Helvetica;sans-serif" w:hAnsi="Arial;Helvetica;sans-serif"/>
          <w:i/>
          <w:sz w:val="20"/>
        </w:rPr>
        <w:t>,</w:t>
      </w:r>
      <w:r>
        <w:rPr>
          <w:rFonts w:ascii="Arial;Helvetica;sans-serif" w:hAnsi="Arial;Helvetica;sans-serif"/>
          <w:sz w:val="20"/>
        </w:rPr>
        <w:t xml:space="preserve"> </w:t>
      </w:r>
      <w:r>
        <w:rPr>
          <w:rFonts w:ascii="Arial;Helvetica;sans-serif" w:hAnsi="Arial;Helvetica;sans-serif"/>
          <w:i/>
          <w:sz w:val="20"/>
        </w:rPr>
        <w:t>Income Taxes (Topic 740): Improvements to Income Tax Disclosures</w:t>
      </w:r>
      <w:r>
        <w:rPr>
          <w:rFonts w:ascii="Arial;Helvetica;sans-serif" w:hAnsi="Arial;Helvetica;sans-serif"/>
          <w:sz w:val="20"/>
        </w:rPr>
        <w:t xml:space="preserve"> (“ASU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is effective for fiscal years beginning after December 15, 2024. We will adopt the standard when it becomes effective for us beginning in our fiscal year 2025 annual financial statements, and the adoption of the standard will impact certain of our income tax disclosures.</w:t>
      </w:r>
    </w:p>
    <w:p>
      <w:pPr>
        <w:pStyle w:val="TextBody"/>
        <w:bidi w:val="0"/>
        <w:spacing w:before="0" w:after="0"/>
        <w:ind w:left="0" w:right="59" w:hanging="0"/>
        <w:jc w:val="both"/>
        <w:rPr>
          <w:rFonts w:ascii="Arial;Helvetica;sans-serif" w:hAnsi="Arial;Helvetica;sans-serif"/>
          <w:sz w:val="20"/>
        </w:rPr>
      </w:pPr>
      <w:r>
        <w:rPr>
          <w:rFonts w:ascii="Arial;Helvetica;sans-serif" w:hAnsi="Arial;Helvetica;sans-serif"/>
          <w:i/>
          <w:sz w:val="20"/>
        </w:rPr>
        <w:t>Disaggregation of Income Statement Expenses</w:t>
      </w:r>
      <w:r>
        <w:rPr>
          <w:rFonts w:ascii="Arial;Helvetica;sans-serif" w:hAnsi="Arial;Helvetica;sans-serif"/>
          <w:sz w:val="20"/>
        </w:rPr>
        <w:t xml:space="preserve">. On November 5, 2024, the FASB issued ASU 2024-03, </w:t>
      </w:r>
      <w:r>
        <w:rPr>
          <w:rFonts w:ascii="Arial;Helvetica;sans-serif" w:hAnsi="Arial;Helvetica;sans-serif"/>
          <w:i/>
          <w:sz w:val="20"/>
        </w:rPr>
        <w:t xml:space="preserve">Income Statement – Reporting Comprehensive Income – Expense Disaggregation Disclosures (Subtopic 220-40) </w:t>
      </w:r>
      <w:r>
        <w:rPr>
          <w:rFonts w:ascii="Arial;Helvetica;sans-serif" w:hAnsi="Arial;Helvetica;sans-serif"/>
          <w:sz w:val="20"/>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pStyle w:val="TextBody"/>
        <w:bidi w:val="0"/>
        <w:spacing w:before="0" w:after="0"/>
        <w:ind w:left="0" w:right="59" w:hanging="0"/>
        <w:jc w:val="both"/>
        <w:rPr/>
      </w:pPr>
      <w:r>
        <w:rPr/>
        <w:t>​</w:t>
      </w:r>
    </w:p>
    <w:p>
      <w:pPr>
        <w:pStyle w:val="TextBody"/>
        <w:bidi w:val="0"/>
        <w:spacing w:before="0" w:after="0"/>
        <w:ind w:left="0" w:right="59" w:hanging="0"/>
        <w:jc w:val="both"/>
        <w:rPr>
          <w:rFonts w:ascii="Arial;Helvetica;sans-serif" w:hAnsi="Arial;Helvetica;sans-serif"/>
          <w:sz w:val="20"/>
        </w:rPr>
      </w:pPr>
      <w:r>
        <w:rPr>
          <w:rFonts w:ascii="Arial;Helvetica;sans-serif" w:hAnsi="Arial;Helvetica;sans-serif"/>
          <w:i/>
          <w:sz w:val="20"/>
        </w:rPr>
        <w:t>Financial Instruments – Credit Losses.</w:t>
      </w:r>
      <w:r>
        <w:rPr>
          <w:rFonts w:ascii="Arial;Helvetica;sans-serif" w:hAnsi="Arial;Helvetica;sans-serif"/>
          <w:sz w:val="20"/>
        </w:rPr>
        <w:t xml:space="preserve"> On July 30, 2025, the FASB issued ASU 2025-05, </w:t>
      </w:r>
      <w:r>
        <w:rPr>
          <w:rFonts w:ascii="Arial;Helvetica;sans-serif" w:hAnsi="Arial;Helvetica;sans-serif"/>
          <w:i/>
          <w:sz w:val="20"/>
        </w:rPr>
        <w:t>Financial Instruments – Credit Losses (Topic 326): Measurement of Credit Losses for Accounts Receivable and Contract Assets</w:t>
      </w:r>
      <w:r>
        <w:rPr>
          <w:rFonts w:ascii="Arial;Helvetica;sans-serif" w:hAnsi="Arial;Helvetica;sans-serif"/>
          <w:sz w:val="20"/>
        </w:rPr>
        <w:t xml:space="preserve"> (“ASU 2025-05”), which allows entities to elect a practical expedient to assume current conditions as of the balance sheet date do not change for the remaining life of current accounts receivable and current contract assets arising from transactions under Topic 606 on revenue from contracts with customers. This standard is effective for fiscal years beginning after December 15, 2025. Early adoption is permitted. We plan to adopt the standard in our 2025 annual financial statements, and we expect the adoption of the standard will have an immaterial impact on our allowance for credit losses.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59" w:hanging="0"/>
        <w:jc w:val="both"/>
        <w:rPr/>
      </w:pPr>
      <w:r>
        <w:rPr/>
        <w:t>​</w:t>
      </w:r>
    </w:p>
    <w:p>
      <w:pPr>
        <w:pStyle w:val="TextBody"/>
        <w:bidi w:val="0"/>
        <w:spacing w:before="0" w:after="0"/>
        <w:ind w:left="0" w:right="59" w:hanging="0"/>
        <w:jc w:val="both"/>
        <w:rPr>
          <w:rFonts w:ascii="Arial;Helvetica;sans-serif" w:hAnsi="Arial;Helvetica;sans-serif"/>
          <w:sz w:val="20"/>
        </w:rPr>
      </w:pPr>
      <w:r>
        <w:rPr>
          <w:rFonts w:ascii="Arial;Helvetica;sans-serif" w:hAnsi="Arial;Helvetica;sans-serif"/>
          <w:i/>
          <w:sz w:val="20"/>
        </w:rPr>
        <w:t>Intangibles – Goodwill and Other – Internal-Use Software.</w:t>
      </w:r>
      <w:r>
        <w:rPr>
          <w:rFonts w:ascii="Arial;Helvetica;sans-serif" w:hAnsi="Arial;Helvetica;sans-serif"/>
          <w:sz w:val="20"/>
        </w:rPr>
        <w:t xml:space="preserve"> On September 18, 2025, the FASB issued ASU 2025-06, </w:t>
      </w:r>
      <w:r>
        <w:rPr>
          <w:rFonts w:ascii="Arial;Helvetica;sans-serif" w:hAnsi="Arial;Helvetica;sans-serif"/>
          <w:i/>
          <w:sz w:val="20"/>
        </w:rPr>
        <w:t>Intangibles – Goodwill and Other – Internal-Use Software (Subtopic 350-40): Targeted Improvements to the Accounting for Internal-Use Software</w:t>
      </w:r>
      <w:r>
        <w:rPr>
          <w:rFonts w:ascii="Arial;Helvetica;sans-serif" w:hAnsi="Arial;Helvetica;sans-serif"/>
          <w:sz w:val="20"/>
        </w:rPr>
        <w:t xml:space="preserve"> (“ASU 2025-06”), which removes the references to the sequential software development stages from the guidance in Subtopic 350-40. Upon the adoption of ASU 2025-06,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condensed consolidated financial statements and related disclosures.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80" w:name="Tc_SR3JTHemvUCQ0NgfWCQ87w_7_0"/>
      <w:bookmarkStart w:id="781" w:name="Tc_DYMHhD57uECD4THg9_ir0w_6_0"/>
      <w:bookmarkStart w:id="782" w:name="Tc_4LDCxRpLnkqijT1epOnREw_5_5"/>
      <w:bookmarkStart w:id="783" w:name="Tc_FB-3L_AJpUKED95XmSfmgw_5_2"/>
      <w:bookmarkStart w:id="784" w:name="Tc__bz36u9avE6f_Wql85aNYw_5_0"/>
      <w:bookmarkStart w:id="785" w:name="Tc_UYg8Mu9-FUuEO0iu0aKaJw_4_2"/>
      <w:bookmarkStart w:id="786" w:name="Tc_Xw8KOYjsQ0qZpbwZAqg_CA_3_5"/>
      <w:bookmarkStart w:id="787" w:name="Tc_f6HaNqSYRk-MaMQxGhs11A_3_2"/>
      <w:bookmarkStart w:id="788" w:name="Tc_PxlYuy_5jkabdpMDb2982g_2_2"/>
      <w:bookmarkStart w:id="789" w:name="Tc_wrqq0xs640O9_BNdmaYung_1_2"/>
      <w:bookmarkStart w:id="790" w:name="Tc_SR3JTHemvUCQ0NgfWCQ87w_7_0"/>
      <w:bookmarkStart w:id="791" w:name="Tc_DYMHhD57uECD4THg9_ir0w_6_0"/>
      <w:bookmarkStart w:id="792" w:name="Tc_4LDCxRpLnkqijT1epOnREw_5_5"/>
      <w:bookmarkStart w:id="793" w:name="Tc_FB-3L_AJpUKED95XmSfmgw_5_2"/>
      <w:bookmarkStart w:id="794" w:name="Tc__bz36u9avE6f_Wql85aNYw_5_0"/>
      <w:bookmarkStart w:id="795" w:name="Tc_UYg8Mu9-FUuEO0iu0aKaJw_4_2"/>
      <w:bookmarkStart w:id="796" w:name="Tc_Xw8KOYjsQ0qZpbwZAqg_CA_3_5"/>
      <w:bookmarkStart w:id="797" w:name="Tc_f6HaNqSYRk-MaMQxGhs11A_3_2"/>
      <w:bookmarkStart w:id="798" w:name="Tc_PxlYuy_5jkabdpMDb2982g_2_2"/>
      <w:bookmarkStart w:id="799" w:name="Tc_wrqq0xs640O9_BNdmaYung_1_2"/>
      <w:bookmarkEnd w:id="790"/>
      <w:bookmarkEnd w:id="791"/>
      <w:bookmarkEnd w:id="792"/>
      <w:bookmarkEnd w:id="793"/>
      <w:bookmarkEnd w:id="794"/>
      <w:bookmarkEnd w:id="795"/>
      <w:bookmarkEnd w:id="796"/>
      <w:bookmarkEnd w:id="797"/>
      <w:bookmarkEnd w:id="798"/>
      <w:bookmarkEnd w:id="799"/>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w:t>
            </w:r>
          </w:p>
        </w:tc>
        <w:tc>
          <w:tcPr>
            <w:tcW w:w="450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Supplemental Data - Statements of Cash Flows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presents certain supplemental cash flow and other non-cash data. See Note 7 for supplemental cash flow and non-cash data related to leases.</w:t>
      </w:r>
    </w:p>
    <w:p>
      <w:pPr>
        <w:pStyle w:val="TextBody"/>
        <w:bidi w:val="0"/>
        <w:spacing w:before="0" w:after="0"/>
        <w:ind w:left="0" w:right="0" w:hanging="0"/>
        <w:jc w:val="left"/>
        <w:rPr/>
      </w:pPr>
      <w:r>
        <w:rPr/>
        <w:t>​</w:t>
      </w:r>
    </w:p>
    <w:tbl>
      <w:tblPr>
        <w:tblW w:w="7705" w:type="dxa"/>
        <w:jc w:val="left"/>
        <w:tblInd w:w="0" w:type="dxa"/>
        <w:tblLayout w:type="fixed"/>
        <w:tblCellMar>
          <w:top w:w="0" w:type="dxa"/>
          <w:left w:w="0" w:type="dxa"/>
          <w:bottom w:w="0" w:type="dxa"/>
          <w:right w:w="0" w:type="dxa"/>
        </w:tblCellMar>
      </w:tblPr>
      <w:tblGrid>
        <w:gridCol w:w="4621"/>
        <w:gridCol w:w="326"/>
        <w:gridCol w:w="255"/>
        <w:gridCol w:w="836"/>
        <w:gridCol w:w="394"/>
        <w:gridCol w:w="255"/>
        <w:gridCol w:w="1018"/>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934335" cy="175260"/>
                      <wp:effectExtent l="0" t="0" r="0" b="0"/>
                      <wp:wrapNone/>
                      <wp:docPr id="71" name="Frame70"/>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1925" cy="175260"/>
                      <wp:effectExtent l="0" t="0" r="0" b="0"/>
                      <wp:wrapNone/>
                      <wp:docPr id="73" name="Frame7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0860" cy="175260"/>
                      <wp:effectExtent l="0" t="0" r="0" b="0"/>
                      <wp:wrapNone/>
                      <wp:docPr id="74" name="Frame7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50190" cy="175260"/>
                      <wp:effectExtent l="0" t="0" r="0" b="0"/>
                      <wp:wrapNone/>
                      <wp:docPr id="75" name="Frame7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61925" cy="175260"/>
                      <wp:effectExtent l="0" t="0" r="0" b="0"/>
                      <wp:wrapNone/>
                      <wp:docPr id="76" name="Frame7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6430" cy="175260"/>
                      <wp:effectExtent l="0" t="0" r="0" b="0"/>
                      <wp:wrapNone/>
                      <wp:docPr id="77" name="Frame76"/>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94" w:type="dxa"/>
            <w:tcBorders/>
            <w:vAlign w:val="center"/>
          </w:tcPr>
          <w:p>
            <w:pPr>
              <w:pStyle w:val="TableContents"/>
              <w:bidi w:val="0"/>
              <w:spacing w:before="0" w:after="0"/>
              <w:ind w:left="0" w:right="0" w:hanging="0"/>
              <w:jc w:val="center"/>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77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8"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6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interest (including capitalized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95,902</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96,858</w:t>
            </w:r>
          </w:p>
        </w:tc>
      </w:tr>
      <w:tr>
        <w:trPr/>
        <w:tc>
          <w:tcPr>
            <w:tcW w:w="46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 net of (refunds) (1)</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1,995</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198,694</w:t>
            </w:r>
          </w:p>
        </w:tc>
      </w:tr>
      <w:tr>
        <w:trPr/>
        <w:tc>
          <w:tcPr>
            <w:tcW w:w="46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4,223</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4,356</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Amount paid for income taxes generally were remitted to our parent, EchoStar. See Note 12, for additional details on this related party transaction.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00" w:name="Tc_9imgKP9tpUGQFfVTlRLBjg_19_5"/>
      <w:bookmarkStart w:id="801" w:name="Tc_W0R7mU4REEGawWmMD7Z7NA_19_2"/>
      <w:bookmarkStart w:id="802" w:name="Tc_GjqUuYBN_kaLmekLPfoxCw_19_0"/>
      <w:bookmarkStart w:id="803" w:name="Tc_x1qcZO_wCEqivZhQjAftDA_17_0"/>
      <w:bookmarkStart w:id="804" w:name="Tc_9Gkqo4lN2kim_y4KjAmn1g_16_0"/>
      <w:bookmarkStart w:id="805" w:name="Tc_Ddwxb8CQbUSfpu3UT7Bgcw_15_0"/>
      <w:bookmarkStart w:id="806" w:name="Tc_kpYVbvW2j02eC5MvQXJfaQ_14_0"/>
      <w:bookmarkStart w:id="807" w:name="Tc_qNqlQIhn5kyefpkoska3zg_12_0"/>
      <w:bookmarkStart w:id="808" w:name="Tc_85ARATZ71EiLTykyfLJzAQ_10_6"/>
      <w:bookmarkStart w:id="809" w:name="Tc_8K96IuNWF0uBSgVO6EAIAg_10_3"/>
      <w:bookmarkStart w:id="810" w:name="Tc_YFzjhn-eV0-bpUv8iISDZA_10_0"/>
      <w:bookmarkStart w:id="811" w:name="Tc_bOTHbcvXA0mMOEMhNIM7DA_9_6"/>
      <w:bookmarkStart w:id="812" w:name="Tc_8IREPxPQ3UiBKfivYW_NEg_9_3"/>
      <w:bookmarkStart w:id="813" w:name="Tc_wgtrkBibqUWm0ElD1WLA4g_9_0"/>
      <w:bookmarkStart w:id="814" w:name="Tc_ZRWWTpVFM0yOWbo8B2v4jw_8_6"/>
      <w:bookmarkStart w:id="815" w:name="Tc_ecNuIzl-Ok6YMSYFPfWKKQ_8_3"/>
      <w:bookmarkStart w:id="816" w:name="Tc_Gi0ED4kMVUSFSS_ml8qVJw_8_0"/>
      <w:bookmarkStart w:id="817" w:name="Tc_yK_xmvJI70iNwz2fVpMwNQ_7_6"/>
      <w:bookmarkStart w:id="818" w:name="Tc_ZPLYVFdVSE6XwDl3-0FnyA_7_5"/>
      <w:bookmarkStart w:id="819" w:name="Tc_SPn1mBPTJEu6peeCNzOYpg_7_3"/>
      <w:bookmarkStart w:id="820" w:name="Tc_b5QD6fOSfE-20xFsRM8ItA_7_2"/>
      <w:bookmarkStart w:id="821" w:name="Tc_KvboCIn9Okm3npFHtcn57w_7_0"/>
      <w:bookmarkStart w:id="822" w:name="Tc_2Wyn0PjEYkSiKTBaJW9LFw_6_0"/>
      <w:bookmarkStart w:id="823" w:name="Tc_bN_sJr6LDEuNBM9H2m0o8Q_5_0"/>
      <w:bookmarkStart w:id="824" w:name="Tc_l0WqJDVUME6wJzQoefqmUQ_4_2"/>
      <w:bookmarkStart w:id="825" w:name="Tc_WEW5Yve_hEWcTDC0lYkKSg_3_5"/>
      <w:bookmarkStart w:id="826" w:name="Tc_9_k_FI_NrEuvkFIpJ0yPng_3_2"/>
      <w:bookmarkStart w:id="827" w:name="Tc_BT_Rouf4YEOzNQLIsB2VzQ_2_5"/>
      <w:bookmarkStart w:id="828" w:name="Tc_JMncXxGrPUarZBTtEeRHqQ_2_2"/>
      <w:bookmarkStart w:id="829" w:name="Tc_z1Wy-dbYFUW0rxuC1Mc4VA_1_2"/>
      <w:bookmarkStart w:id="830" w:name="_7880d208_3359_45d1_a79b_b7ad43359690"/>
      <w:bookmarkStart w:id="831" w:name="Tc_9imgKP9tpUGQFfVTlRLBjg_19_5"/>
      <w:bookmarkStart w:id="832" w:name="Tc_W0R7mU4REEGawWmMD7Z7NA_19_2"/>
      <w:bookmarkStart w:id="833" w:name="Tc_GjqUuYBN_kaLmekLPfoxCw_19_0"/>
      <w:bookmarkStart w:id="834" w:name="Tc_x1qcZO_wCEqivZhQjAftDA_17_0"/>
      <w:bookmarkStart w:id="835" w:name="Tc_9Gkqo4lN2kim_y4KjAmn1g_16_0"/>
      <w:bookmarkStart w:id="836" w:name="Tc_Ddwxb8CQbUSfpu3UT7Bgcw_15_0"/>
      <w:bookmarkStart w:id="837" w:name="Tc_kpYVbvW2j02eC5MvQXJfaQ_14_0"/>
      <w:bookmarkStart w:id="838" w:name="Tc_qNqlQIhn5kyefpkoska3zg_12_0"/>
      <w:bookmarkStart w:id="839" w:name="Tc_85ARATZ71EiLTykyfLJzAQ_10_6"/>
      <w:bookmarkStart w:id="840" w:name="Tc_8K96IuNWF0uBSgVO6EAIAg_10_3"/>
      <w:bookmarkStart w:id="841" w:name="Tc_YFzjhn-eV0-bpUv8iISDZA_10_0"/>
      <w:bookmarkStart w:id="842" w:name="Tc_bOTHbcvXA0mMOEMhNIM7DA_9_6"/>
      <w:bookmarkStart w:id="843" w:name="Tc_8IREPxPQ3UiBKfivYW_NEg_9_3"/>
      <w:bookmarkStart w:id="844" w:name="Tc_wgtrkBibqUWm0ElD1WLA4g_9_0"/>
      <w:bookmarkStart w:id="845" w:name="Tc_ZRWWTpVFM0yOWbo8B2v4jw_8_6"/>
      <w:bookmarkStart w:id="846" w:name="Tc_ecNuIzl-Ok6YMSYFPfWKKQ_8_3"/>
      <w:bookmarkStart w:id="847" w:name="Tc_Gi0ED4kMVUSFSS_ml8qVJw_8_0"/>
      <w:bookmarkStart w:id="848" w:name="Tc_yK_xmvJI70iNwz2fVpMwNQ_7_6"/>
      <w:bookmarkStart w:id="849" w:name="Tc_ZPLYVFdVSE6XwDl3-0FnyA_7_5"/>
      <w:bookmarkStart w:id="850" w:name="Tc_SPn1mBPTJEu6peeCNzOYpg_7_3"/>
      <w:bookmarkStart w:id="851" w:name="Tc_b5QD6fOSfE-20xFsRM8ItA_7_2"/>
      <w:bookmarkStart w:id="852" w:name="Tc_KvboCIn9Okm3npFHtcn57w_7_0"/>
      <w:bookmarkStart w:id="853" w:name="Tc_2Wyn0PjEYkSiKTBaJW9LFw_6_0"/>
      <w:bookmarkStart w:id="854" w:name="Tc_bN_sJr6LDEuNBM9H2m0o8Q_5_0"/>
      <w:bookmarkStart w:id="855" w:name="Tc_l0WqJDVUME6wJzQoefqmUQ_4_2"/>
      <w:bookmarkStart w:id="856" w:name="Tc_WEW5Yve_hEWcTDC0lYkKSg_3_5"/>
      <w:bookmarkStart w:id="857" w:name="Tc_9_k_FI_NrEuvkFIpJ0yPng_3_2"/>
      <w:bookmarkStart w:id="858" w:name="Tc_BT_Rouf4YEOzNQLIsB2VzQ_2_5"/>
      <w:bookmarkStart w:id="859" w:name="Tc_JMncXxGrPUarZBTtEeRHqQ_2_2"/>
      <w:bookmarkStart w:id="860" w:name="Tc_z1Wy-dbYFUW0rxuC1Mc4VA_1_2"/>
      <w:bookmarkStart w:id="861" w:name="_7880d208_3359_45d1_a79b_b7ad4335969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tbl>
      <w:tblPr>
        <w:tblW w:w="9392" w:type="dxa"/>
        <w:jc w:val="left"/>
        <w:tblInd w:w="0" w:type="dxa"/>
        <w:tblLayout w:type="fixed"/>
        <w:tblCellMar>
          <w:top w:w="0" w:type="dxa"/>
          <w:left w:w="0" w:type="dxa"/>
          <w:bottom w:w="0" w:type="dxa"/>
          <w:right w:w="0" w:type="dxa"/>
        </w:tblCellMar>
      </w:tblPr>
      <w:tblGrid>
        <w:gridCol w:w="286"/>
        <w:gridCol w:w="910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4.</w:t>
            </w:r>
          </w:p>
        </w:tc>
        <w:tc>
          <w:tcPr>
            <w:tcW w:w="910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Marketable Investment Securities, Restricted Cash and Cash Equivalents, and Other Investments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marketable investment securities, restricted cash and cash equivalents, and other investments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84"/>
        <w:gridCol w:w="109"/>
        <w:gridCol w:w="343"/>
        <w:gridCol w:w="1123"/>
        <w:gridCol w:w="109"/>
        <w:gridCol w:w="300"/>
        <w:gridCol w:w="1137"/>
      </w:tblGrid>
      <w:tr>
        <w:trPr/>
        <w:tc>
          <w:tcPr>
            <w:tcW w:w="7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498340" cy="175260"/>
                      <wp:effectExtent l="0" t="0" r="0" b="0"/>
                      <wp:wrapNone/>
                      <wp:docPr id="78" name="Frame77"/>
                      <a:graphic xmlns:a="http://schemas.openxmlformats.org/drawingml/2006/main">
                        <a:graphicData uri="http://schemas.microsoft.com/office/word/2010/wordprocessingShape">
                          <wps:wsp>
                            <wps:cNvSpPr txBox="1"/>
                            <wps:spPr>
                              <a:xfrm>
                                <a:off x="0" y="0"/>
                                <a:ext cx="4498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7805" cy="175260"/>
                      <wp:effectExtent l="0" t="0" r="0" b="0"/>
                      <wp:wrapNone/>
                      <wp:docPr id="80" name="Frame79"/>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13105" cy="175260"/>
                      <wp:effectExtent l="0" t="0" r="0" b="0"/>
                      <wp:wrapNone/>
                      <wp:docPr id="81" name="Frame80"/>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90500" cy="175260"/>
                      <wp:effectExtent l="0" t="0" r="0" b="0"/>
                      <wp:wrapNone/>
                      <wp:docPr id="83" name="Frame8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21995" cy="175260"/>
                      <wp:effectExtent l="0" t="0" r="0" b="0"/>
                      <wp:wrapNone/>
                      <wp:docPr id="84" name="Frame83"/>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1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70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6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center"/>
              <w:rPr/>
            </w:pPr>
            <w:r>
              <w:rPr/>
              <w:t>​</w:t>
            </w:r>
          </w:p>
        </w:tc>
        <w:tc>
          <w:tcPr>
            <w:tcW w:w="143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70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center"/>
              <w:rPr/>
            </w:pPr>
            <w:r>
              <w:rPr/>
              <w:t>​</w:t>
            </w:r>
          </w:p>
        </w:tc>
        <w:tc>
          <w:tcPr>
            <w:tcW w:w="14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0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12"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7084"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Marketable investment securities:</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112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pPr>
            <w:r>
              <w:rPr/>
              <w:t>​</w:t>
            </w:r>
          </w:p>
        </w:tc>
      </w:tr>
      <w:tr>
        <w:trPr/>
        <w:tc>
          <w:tcPr>
            <w:tcW w:w="708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marketable investment securities:</w:t>
            </w:r>
          </w:p>
        </w:tc>
        <w:tc>
          <w:tcPr>
            <w:tcW w:w="109"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pPr>
            <w:r>
              <w:rPr/>
              <w:t>​</w:t>
            </w:r>
          </w:p>
        </w:tc>
      </w:tr>
      <w:tr>
        <w:trPr/>
        <w:tc>
          <w:tcPr>
            <w:tcW w:w="708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37" w:type="dxa"/>
            <w:tcBorders/>
            <w:shd w:fill="CCEEFF" w:val="clear"/>
            <w:vAlign w:val="center"/>
          </w:tcPr>
          <w:p>
            <w:pPr>
              <w:pStyle w:val="TableContents"/>
              <w:bidi w:val="0"/>
              <w:spacing w:before="0" w:after="0"/>
              <w:ind w:left="0" w:right="0" w:hanging="0"/>
              <w:jc w:val="right"/>
              <w:rPr/>
            </w:pPr>
            <w:r>
              <w:rPr/>
              <w:t>—</w:t>
            </w:r>
          </w:p>
        </w:tc>
      </w:tr>
      <w:tr>
        <w:trPr/>
        <w:tc>
          <w:tcPr>
            <w:tcW w:w="708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Commercial paper</w:t>
            </w:r>
          </w:p>
        </w:tc>
        <w:tc>
          <w:tcPr>
            <w:tcW w:w="109"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right"/>
              <w:rPr/>
            </w:pPr>
            <w:r>
              <w:rPr/>
              <w:t>—</w:t>
            </w:r>
          </w:p>
        </w:tc>
      </w:tr>
      <w:tr>
        <w:trPr/>
        <w:tc>
          <w:tcPr>
            <w:tcW w:w="708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debt securities</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08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current marketable investment securities</w:t>
            </w:r>
          </w:p>
        </w:tc>
        <w:tc>
          <w:tcPr>
            <w:tcW w:w="109" w:type="dxa"/>
            <w:tcBorders/>
            <w:vAlign w:val="center"/>
          </w:tcPr>
          <w:p>
            <w:pPr>
              <w:pStyle w:val="TableContents"/>
              <w:bidi w:val="0"/>
              <w:spacing w:before="0" w:after="0"/>
              <w:ind w:left="0" w:right="0" w:hanging="0"/>
              <w:jc w:val="center"/>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0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11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left"/>
              <w:rPr/>
            </w:pPr>
            <w:r>
              <w:rPr/>
              <w:t>​</w:t>
            </w:r>
          </w:p>
        </w:tc>
      </w:tr>
      <w:tr>
        <w:trPr/>
        <w:tc>
          <w:tcPr>
            <w:tcW w:w="708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Restricted cash and cash equivalents (1)</w:t>
            </w:r>
          </w:p>
        </w:tc>
        <w:tc>
          <w:tcPr>
            <w:tcW w:w="109"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2,511</w:t>
            </w:r>
          </w:p>
        </w:tc>
        <w:tc>
          <w:tcPr>
            <w:tcW w:w="109"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1,615</w:t>
            </w:r>
          </w:p>
        </w:tc>
      </w:tr>
      <w:tr>
        <w:trPr/>
        <w:tc>
          <w:tcPr>
            <w:tcW w:w="70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11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left"/>
              <w:rPr/>
            </w:pPr>
            <w:r>
              <w:rPr/>
              <w:t>​</w:t>
            </w:r>
          </w:p>
        </w:tc>
      </w:tr>
      <w:tr>
        <w:trPr/>
        <w:tc>
          <w:tcPr>
            <w:tcW w:w="708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 investments</w:t>
            </w:r>
          </w:p>
        </w:tc>
        <w:tc>
          <w:tcPr>
            <w:tcW w:w="109"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left"/>
              <w:rPr/>
            </w:pPr>
            <w:r>
              <w:rPr/>
              <w:t>​</w:t>
            </w:r>
          </w:p>
        </w:tc>
      </w:tr>
      <w:tr>
        <w:trPr/>
        <w:tc>
          <w:tcPr>
            <w:tcW w:w="708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method investments</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112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10,495</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12,238</w:t>
            </w:r>
          </w:p>
        </w:tc>
      </w:tr>
      <w:tr>
        <w:trPr/>
        <w:tc>
          <w:tcPr>
            <w:tcW w:w="708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investments</w:t>
            </w:r>
          </w:p>
        </w:tc>
        <w:tc>
          <w:tcPr>
            <w:tcW w:w="109" w:type="dxa"/>
            <w:tcBorders/>
            <w:vAlign w:val="center"/>
          </w:tcPr>
          <w:p>
            <w:pPr>
              <w:pStyle w:val="TableContents"/>
              <w:bidi w:val="0"/>
              <w:spacing w:before="0" w:after="0"/>
              <w:ind w:left="0" w:right="0" w:hanging="0"/>
              <w:jc w:val="center"/>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11,278</w:t>
            </w:r>
          </w:p>
        </w:tc>
        <w:tc>
          <w:tcPr>
            <w:tcW w:w="109" w:type="dxa"/>
            <w:tcBorders/>
            <w:vAlign w:val="center"/>
          </w:tcPr>
          <w:p>
            <w:pPr>
              <w:pStyle w:val="TableContents"/>
              <w:bidi w:val="0"/>
              <w:spacing w:before="0" w:after="0"/>
              <w:ind w:left="0" w:right="0" w:hanging="0"/>
              <w:jc w:val="center"/>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11,278</w:t>
            </w:r>
          </w:p>
        </w:tc>
      </w:tr>
      <w:tr>
        <w:trPr/>
        <w:tc>
          <w:tcPr>
            <w:tcW w:w="7084"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other investments</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21,773</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23,516</w:t>
            </w:r>
          </w:p>
        </w:tc>
      </w:tr>
      <w:tr>
        <w:trPr/>
        <w:tc>
          <w:tcPr>
            <w:tcW w:w="70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left"/>
              <w:rPr/>
            </w:pPr>
            <w:r>
              <w:rPr/>
              <w:t>​</w:t>
            </w:r>
          </w:p>
        </w:tc>
      </w:tr>
      <w:tr>
        <w:trPr/>
        <w:tc>
          <w:tcPr>
            <w:tcW w:w="7084"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marketable investment securities, restricted cash and cash equivalents, and other investments</w:t>
            </w:r>
          </w:p>
        </w:tc>
        <w:tc>
          <w:tcPr>
            <w:tcW w:w="109" w:type="dxa"/>
            <w:tcBorders/>
            <w:shd w:fill="CCEEFF" w:val="clear"/>
            <w:vAlign w:val="center"/>
          </w:tcPr>
          <w:p>
            <w:pPr>
              <w:pStyle w:val="TableContents"/>
              <w:bidi w:val="0"/>
              <w:spacing w:before="0" w:after="0"/>
              <w:ind w:left="0" w:right="0" w:hanging="0"/>
              <w:jc w:val="center"/>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24,284</w:t>
            </w:r>
          </w:p>
        </w:tc>
        <w:tc>
          <w:tcPr>
            <w:tcW w:w="109" w:type="dxa"/>
            <w:tcBorders/>
            <w:shd w:fill="CCEEFF" w:val="clear"/>
            <w:vAlign w:val="center"/>
          </w:tcPr>
          <w:p>
            <w:pPr>
              <w:pStyle w:val="TableContents"/>
              <w:bidi w:val="0"/>
              <w:spacing w:before="0" w:after="0"/>
              <w:ind w:left="0" w:right="0" w:hanging="0"/>
              <w:jc w:val="center"/>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25,131</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cash and cash equivalents are included in “Other noncurrent assets, net” on our Condensed Consolidated Balance Sheets.</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Equity Method Investments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Deluxe/EchoStar LLC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own 50% of Deluxe/EchoStar LLC (“Deluxe”), a joint venture that we entered into in 2010 to build an advanced digital cinema satellite distribution network targeting delivery to digitally equipped theaters in the U.S. and Canada.</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Broadband Connectivity Solutions (Restricted) Limited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The Al Yah 3 Ka-band satellite is no longer in service.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b/>
          <w:i/>
          <w:sz w:val="20"/>
        </w:rPr>
      </w:pPr>
      <w:bookmarkStart w:id="862" w:name="Tc_4agWO4s480mTY2A7iA1rtQ_9_11"/>
      <w:bookmarkStart w:id="863" w:name="Tc_oBV8cbmgI0SDE_xyPymnsQ_9_8"/>
      <w:bookmarkStart w:id="864" w:name="Tc_4PLY5JaXGUi58WoYF9XsbA_9_5"/>
      <w:bookmarkStart w:id="865" w:name="Tc__KfbfL4NUk2whfFYQ8OPFg_9_2"/>
      <w:bookmarkStart w:id="866" w:name="Tc_hocJoZ5VvEGlTyRwxhcolg_9_0"/>
      <w:bookmarkStart w:id="867" w:name="Tc_WqDmVirPm06PLE_vpWaWbQ_8_0"/>
      <w:bookmarkStart w:id="868" w:name="Tc_Bvlmvb34uUuQjN6SBegKRQ_7_0"/>
      <w:bookmarkStart w:id="869" w:name="Tc_cIHsrOfwvkaHTHvURHiL4Q_6_0"/>
      <w:bookmarkStart w:id="870" w:name="Tc_ylKZ4dsRAkW76MmP2g7vkg_5_11"/>
      <w:bookmarkStart w:id="871" w:name="Tc_ePUO0K9v50-WIpmdIj2VOQ_5_8"/>
      <w:bookmarkStart w:id="872" w:name="Tc_wqOQQyOcIESXr64O3mdDAw_5_6"/>
      <w:bookmarkStart w:id="873" w:name="Tc_aUe2DNk6KU-bg7wOzT9r8w_5_5"/>
      <w:bookmarkStart w:id="874" w:name="Tc_XKPLSPkUX0KKBJssWYZKaw_5_2"/>
      <w:bookmarkStart w:id="875" w:name="Tc_NKQud-aWnUiWUSQrXwqZRA_5_0"/>
      <w:bookmarkStart w:id="876" w:name="Tc_56q5GkcgFk6DA5q0a6t7WA_4_2"/>
      <w:bookmarkStart w:id="877" w:name="Tc_56OoqJPtIUS0Vzdhn4BDxQ_3_11"/>
      <w:bookmarkStart w:id="878" w:name="Tc_a89D99Ubw0GwOfbXGJ27Fw_3_8"/>
      <w:bookmarkStart w:id="879" w:name="Tc_g_CUHZ25qketDW_n4ZBblw_3_5"/>
      <w:bookmarkStart w:id="880" w:name="Tc_LiX3xo3L0E6AX2LMGhpo1A_3_2"/>
      <w:bookmarkStart w:id="881" w:name="Tc_QayWrKayBE6-TbId8G0IMw_3_0"/>
      <w:bookmarkStart w:id="882" w:name="Tc_5NrSMnooUkSxr67aYQvIjQ_2_8"/>
      <w:bookmarkStart w:id="883" w:name="Tc_k6aku4PWikW1pQgLpuaTBQ_2_2"/>
      <w:bookmarkStart w:id="884" w:name="Tc_is92p5njFEGMc3XAa2HGkg_1_8"/>
      <w:bookmarkStart w:id="885" w:name="Tc__oNPm5iHfEmykF4datrI2Q_1_2"/>
      <w:bookmarkStart w:id="886" w:name="Tc_CDHdX5r6hU-a29kZC3B0eg_14_18"/>
      <w:bookmarkStart w:id="887" w:name="Tc_gQyuRXMXvU-FGfgL3HRhPw_14_17"/>
      <w:bookmarkStart w:id="888" w:name="Tc_YeRf3uj3kUiufGElrAZClg_14_15"/>
      <w:bookmarkStart w:id="889" w:name="Tc_b85BQYaZq0qKVnknZ0Yj4A_14_14"/>
      <w:bookmarkStart w:id="890" w:name="Tc_jgupzSKEsEu7_oJzc4KydQ_14_12"/>
      <w:bookmarkStart w:id="891" w:name="Tc_wBws4QFzVUieINegNAip0Q_14_11"/>
      <w:bookmarkStart w:id="892" w:name="Tc_QM0jNs7FsEyGC-N2_eg9sQ_14_9"/>
      <w:bookmarkStart w:id="893" w:name="Tc_aY2h3FrNhEe2gApzkMs6PA_14_8"/>
      <w:bookmarkStart w:id="894" w:name="Tc_xBC7j3v-1kutnmS3xZ_KaQ_14_6"/>
      <w:bookmarkStart w:id="895" w:name="Tc_Cal0GIPO8EO9AA9N28amMQ_14_5"/>
      <w:bookmarkStart w:id="896" w:name="Tc_yPjMW9APIUmkiHgtCgKeiQ_14_3"/>
      <w:bookmarkStart w:id="897" w:name="Tc_KRfO2d0d5EeBZsQLGN_BXw_14_2"/>
      <w:bookmarkStart w:id="898" w:name="Tc_wXGvtyy-lESxDQV3VlehnQ_14_0"/>
      <w:bookmarkStart w:id="899" w:name="Tc_V0MA5UGNk0i4KmbLBsWryQ_13_18"/>
      <w:bookmarkStart w:id="900" w:name="Tc_eYk-aAODHUitPO193xxNCg_13_15"/>
      <w:bookmarkStart w:id="901" w:name="Tc_CEq9soDfY0Sw8u6wTwKQ7w_13_12"/>
      <w:bookmarkStart w:id="902" w:name="Tc_TucHOykyE0a4_bVr3GtsDA_13_9"/>
      <w:bookmarkStart w:id="903" w:name="Tc_ZH6LMeOXtkmXLJt6t9tgTA_13_6"/>
      <w:bookmarkStart w:id="904" w:name="Tc_a8e6w5KW3UudCxRRe0mPNQ_13_3"/>
      <w:bookmarkStart w:id="905" w:name="Tc_CSWVtf2Hc0iwnqpmtAmMRQ_13_0"/>
      <w:bookmarkStart w:id="906" w:name="Tc_nibqnh_lREechNcbt1_uEw_12_18"/>
      <w:bookmarkStart w:id="907" w:name="Tc_LooOH-BIOESjjg2tWz60Ig_12_15"/>
      <w:bookmarkStart w:id="908" w:name="Tc_yuBDiKTctESUUns9tHyJcA_12_12"/>
      <w:bookmarkStart w:id="909" w:name="Tc_iEkGF27sQkmY6OoNSsZYUg_12_9"/>
      <w:bookmarkStart w:id="910" w:name="Tc_KYqODoj0sU2nHU6VIGub3A_12_6"/>
      <w:bookmarkStart w:id="911" w:name="Tc_5kuEi3_pQEWmHlLaNFukfw_12_3"/>
      <w:bookmarkStart w:id="912" w:name="Tc_FR4H4_zBmk6mwZPWiQEq0Q_12_0"/>
      <w:bookmarkStart w:id="913" w:name="Tc_mBu444q5IUOTjUttspFs6A_11_18"/>
      <w:bookmarkStart w:id="914" w:name="Tc_8sW95CiPMkGx2hpwFRcepA_11_17"/>
      <w:bookmarkStart w:id="915" w:name="Tc_6ujcI8rcm0GyzaLfiOwD-g_11_15"/>
      <w:bookmarkStart w:id="916" w:name="Tc_SfSROgOOkEuX1j2QdpZyIg_11_14"/>
      <w:bookmarkStart w:id="917" w:name="Tc_ZkCWfK-osU-ILpQJ2DnOtA_11_12"/>
      <w:bookmarkStart w:id="918" w:name="Tc_vYQIMfm92UKuL1epSC-oUA_11_11"/>
      <w:bookmarkStart w:id="919" w:name="Tc_5q2SCJVGO06JEwsw-ZNskQ_11_9"/>
      <w:bookmarkStart w:id="920" w:name="Tc_twksK-kyGUirx-XNtt6yLQ_11_8"/>
      <w:bookmarkStart w:id="921" w:name="Tc_w70PDqGF7EePsBK9Yg_Exw_11_6"/>
      <w:bookmarkStart w:id="922" w:name="Tc_Lf34pR4DYk-ecsshiYE_YQ_11_5"/>
      <w:bookmarkStart w:id="923" w:name="Tc_yBN0j0SPx0q6SJiG0YkaOA_11_3"/>
      <w:bookmarkStart w:id="924" w:name="Tc_9W2WFJi6FkuALaqt51JacQ_11_2"/>
      <w:bookmarkStart w:id="925" w:name="Tc_X7UNLTTGXEKDieXiEhdkkA_11_0"/>
      <w:bookmarkStart w:id="926" w:name="Tc_VO6WjxItU0WpXvAZ3pNWvg_10_0"/>
      <w:bookmarkStart w:id="927" w:name="Tc_tMH-9Yrs_06yzf7gYjegzA_8_17"/>
      <w:bookmarkStart w:id="928" w:name="Tc_oLCTVOxkcUuFvk0VAsJfBg_8_14"/>
      <w:bookmarkStart w:id="929" w:name="Tc_cU3H0eP6rUGHK2IHEE45Hg_8_11"/>
      <w:bookmarkStart w:id="930" w:name="Tc_Gz3eRRcR_E-6IMvAlmhCOA_8_8"/>
      <w:bookmarkStart w:id="931" w:name="Tc_DJAUYarR3Ee9ywqkoDcaoQ_8_5"/>
      <w:bookmarkStart w:id="932" w:name="Tc_01V2Yh8bfEyjSp14YSrf6A_8_2"/>
      <w:bookmarkStart w:id="933" w:name="Tc_wmwkYkQsW0KQ1D2GkHmDbA_8_0"/>
      <w:bookmarkStart w:id="934" w:name="Tc_H52aTFrw0UmIPjRDVLTgtA_7_0"/>
      <w:bookmarkStart w:id="935" w:name="Tc_H26rabUNskqxPsuyovTcIw_6_17"/>
      <w:bookmarkStart w:id="936" w:name="Tc_Q8iFxUD-Ykyc20EkIs6LAw_6_15"/>
      <w:bookmarkStart w:id="937" w:name="Tc_uiROMGfShE6M_0GZAq_ePw_6_14"/>
      <w:bookmarkStart w:id="938" w:name="Tc_0PB5Zk42EEWBXRXC70wuDg_6_11"/>
      <w:bookmarkStart w:id="939" w:name="Tc_fOnwaztQ6U6Pft2ChCHe8g_6_8"/>
      <w:bookmarkStart w:id="940" w:name="Tc_8T94XLmvN0m1m3vTvvJ0-g_6_6"/>
      <w:bookmarkStart w:id="941" w:name="Tc_1CLTq7jsPkuJ5i3UILkp6Q_6_5"/>
      <w:bookmarkStart w:id="942" w:name="Tc_OF20fO2xrEOwplgfdjJh4g_6_2"/>
      <w:bookmarkStart w:id="943" w:name="Tc_R6lLWVEhNE6tkf5QnUF67A_6_0"/>
      <w:bookmarkStart w:id="944" w:name="Tc_BUg2CgCVr0qKX9chnKfsRA_5_0"/>
      <w:bookmarkStart w:id="945" w:name="Tc_i_8NWpHqik6xLzhgwE5b3A_4_2"/>
      <w:bookmarkStart w:id="946" w:name="Tc_q_vjm6PUeUGw0CNfStp-RQ_3_17"/>
      <w:bookmarkStart w:id="947" w:name="Tc_cR5_FqFbsUSQeemSaE5Kog_3_16"/>
      <w:bookmarkStart w:id="948" w:name="Tc_grkGVJrlX0u8ZfdjFdds3A_3_14"/>
      <w:bookmarkStart w:id="949" w:name="Tc_2pSSChCEMUGuW6h7LgK3Yw_3_13"/>
      <w:bookmarkStart w:id="950" w:name="Tc_HQ2aZgkUREW6gUsF79IEbA_3_11"/>
      <w:bookmarkStart w:id="951" w:name="Tc_ujYEI0wANUSCzNyBmg4WtQ_3_10"/>
      <w:bookmarkStart w:id="952" w:name="Tc_y_zV7s3bs0WCCHzAspae3Q_3_8"/>
      <w:bookmarkStart w:id="953" w:name="Tc_L0hZm2naPUqkQybzg1ks6g_3_7"/>
      <w:bookmarkStart w:id="954" w:name="Tc_qYa0swHb2Eq5_i7HX5UM3Q_3_5"/>
      <w:bookmarkStart w:id="955" w:name="Tc_Y-MK97zf1ESltMm53to76A_3_4"/>
      <w:bookmarkStart w:id="956" w:name="Tc_cybdkw-QVEK5tfSOjSBLlg_3_2"/>
      <w:bookmarkStart w:id="957" w:name="Tc_roIuryfoiUSEBbVZ_6jCGw_2_11"/>
      <w:bookmarkStart w:id="958" w:name="Tc_c8dHz0-hwkWNC3lS2inS5g_2_10"/>
      <w:bookmarkStart w:id="959" w:name="Tc_UXp2oU7DHEOxjtTRjORpUg_2_2"/>
      <w:bookmarkStart w:id="960" w:name="Tc_toPYSpyl0UCCdQ6nvb_5Lg_1_2"/>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Arial;Helvetica;sans-serif" w:hAnsi="Arial;Helvetica;sans-serif"/>
          <w:b/>
          <w:i/>
          <w:sz w:val="20"/>
        </w:rPr>
        <w:t>Fair Value Measurements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presents our marketable investment securities categorized by the fair value hierarchy, certain of which have historically experienced volatility:</w:t>
      </w:r>
    </w:p>
    <w:p>
      <w:pPr>
        <w:pStyle w:val="TextBody"/>
        <w:bidi w:val="0"/>
        <w:spacing w:before="0" w:after="24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35"/>
        <w:gridCol w:w="109"/>
        <w:gridCol w:w="211"/>
        <w:gridCol w:w="796"/>
        <w:gridCol w:w="257"/>
        <w:gridCol w:w="211"/>
        <w:gridCol w:w="586"/>
        <w:gridCol w:w="257"/>
        <w:gridCol w:w="211"/>
        <w:gridCol w:w="796"/>
        <w:gridCol w:w="257"/>
        <w:gridCol w:w="211"/>
        <w:gridCol w:w="796"/>
        <w:gridCol w:w="257"/>
        <w:gridCol w:w="211"/>
        <w:gridCol w:w="691"/>
        <w:gridCol w:w="257"/>
        <w:gridCol w:w="211"/>
        <w:gridCol w:w="845"/>
      </w:tblGrid>
      <w:tr>
        <w:trPr/>
        <w:tc>
          <w:tcPr>
            <w:tcW w:w="3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927225" cy="175260"/>
                      <wp:effectExtent l="0" t="0" r="0" b="0"/>
                      <wp:wrapNone/>
                      <wp:docPr id="85" name="Frame84"/>
                      <a:graphic xmlns:a="http://schemas.openxmlformats.org/drawingml/2006/main">
                        <a:graphicData uri="http://schemas.microsoft.com/office/word/2010/wordprocessingShape">
                          <wps:wsp>
                            <wps:cNvSpPr txBox="1"/>
                            <wps:spPr>
                              <a:xfrm>
                                <a:off x="0" y="0"/>
                                <a:ext cx="192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5460" cy="175260"/>
                      <wp:effectExtent l="0" t="0" r="0" b="0"/>
                      <wp:wrapNone/>
                      <wp:docPr id="88" name="Frame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3195" cy="175260"/>
                      <wp:effectExtent l="0" t="0" r="0" b="0"/>
                      <wp:wrapNone/>
                      <wp:docPr id="89" name="Frame8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72110" cy="175260"/>
                      <wp:effectExtent l="0" t="0" r="0" b="0"/>
                      <wp:wrapNone/>
                      <wp:docPr id="91" name="Frame9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63195" cy="175260"/>
                      <wp:effectExtent l="0" t="0" r="0" b="0"/>
                      <wp:wrapNone/>
                      <wp:docPr id="92" name="Frame9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5460" cy="175260"/>
                      <wp:effectExtent l="0" t="0" r="0" b="0"/>
                      <wp:wrapNone/>
                      <wp:docPr id="94" name="Frame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3195" cy="175260"/>
                      <wp:effectExtent l="0" t="0" r="0" b="0"/>
                      <wp:wrapNone/>
                      <wp:docPr id="95" name="Frame9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05460" cy="175260"/>
                      <wp:effectExtent l="0" t="0" r="0" b="0"/>
                      <wp:wrapNone/>
                      <wp:docPr id="97" name="Frame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3195" cy="175260"/>
                      <wp:effectExtent l="0" t="0" r="0" b="0"/>
                      <wp:wrapNone/>
                      <wp:docPr id="98" name="Frame9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38785" cy="175260"/>
                      <wp:effectExtent l="0" t="0" r="0" b="0"/>
                      <wp:wrapNone/>
                      <wp:docPr id="100" name="Frame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3195" cy="175260"/>
                      <wp:effectExtent l="0" t="0" r="0" b="0"/>
                      <wp:wrapNone/>
                      <wp:docPr id="101" name="Frame10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36575" cy="175260"/>
                      <wp:effectExtent l="0" t="0" r="0" b="0"/>
                      <wp:wrapNone/>
                      <wp:docPr id="103" name="Frame102"/>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061" w:type="dxa"/>
            <w:gridSpan w:val="17"/>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30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3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2025</w:t>
            </w:r>
          </w:p>
        </w:tc>
        <w:tc>
          <w:tcPr>
            <w:tcW w:w="257" w:type="dxa"/>
            <w:tcBorders/>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w:t>
            </w:r>
          </w:p>
        </w:tc>
        <w:tc>
          <w:tcPr>
            <w:tcW w:w="347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2024</w:t>
            </w:r>
          </w:p>
        </w:tc>
      </w:tr>
      <w:tr>
        <w:trPr/>
        <w:tc>
          <w:tcPr>
            <w:tcW w:w="30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Level 1</w:t>
            </w:r>
          </w:p>
        </w:tc>
        <w:tc>
          <w:tcPr>
            <w:tcW w:w="257" w:type="dxa"/>
            <w:tcBorders/>
            <w:vAlign w:val="center"/>
          </w:tcPr>
          <w:p>
            <w:pPr>
              <w:pStyle w:val="TableContents"/>
              <w:bidi w:val="0"/>
              <w:spacing w:before="0" w:after="0"/>
              <w:ind w:left="0" w:right="0" w:hanging="0"/>
              <w:jc w:val="left"/>
              <w:rPr>
                <w:rFonts w:ascii="Arial;Helvetica;sans-serif" w:hAnsi="Arial;Helvetica;sans-serif"/>
                <w:color w:val="FFFFFF"/>
                <w:sz w:val="20"/>
              </w:rPr>
            </w:pPr>
            <w:r>
              <w:rPr>
                <w:rFonts w:ascii="Arial;Helvetica;sans-serif" w:hAnsi="Arial;Helvetica;sans-serif"/>
                <w:color w:val="FFFFFF"/>
                <w:sz w:val="20"/>
              </w:rPr>
              <w:t>__</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Level 2</w:t>
            </w:r>
          </w:p>
        </w:tc>
        <w:tc>
          <w:tcPr>
            <w:tcW w:w="257" w:type="dxa"/>
            <w:tcBorders/>
            <w:vAlign w:val="center"/>
          </w:tcPr>
          <w:p>
            <w:pPr>
              <w:pStyle w:val="TableContents"/>
              <w:bidi w:val="0"/>
              <w:spacing w:before="0" w:after="0"/>
              <w:ind w:left="0" w:right="0" w:hanging="0"/>
              <w:jc w:val="left"/>
              <w:rPr>
                <w:rFonts w:ascii="Arial;Helvetica;sans-serif" w:hAnsi="Arial;Helvetica;sans-serif"/>
                <w:color w:val="FFFFFF"/>
                <w:sz w:val="20"/>
              </w:rPr>
            </w:pPr>
            <w:r>
              <w:rPr>
                <w:rFonts w:ascii="Arial;Helvetica;sans-serif" w:hAnsi="Arial;Helvetica;sans-serif"/>
                <w:color w:val="FFFFFF"/>
                <w:sz w:val="20"/>
              </w:rPr>
              <w:t>__</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c>
          <w:tcPr>
            <w:tcW w:w="257" w:type="dxa"/>
            <w:tcBorders/>
            <w:vAlign w:val="center"/>
          </w:tcPr>
          <w:p>
            <w:pPr>
              <w:pStyle w:val="TableContents"/>
              <w:bidi w:val="0"/>
              <w:spacing w:before="0" w:after="0"/>
              <w:ind w:left="0" w:right="0" w:hanging="0"/>
              <w:jc w:val="left"/>
              <w:rPr>
                <w:rFonts w:ascii="Arial;Helvetica;sans-serif" w:hAnsi="Arial;Helvetica;sans-serif"/>
                <w:color w:val="FFFFFF"/>
                <w:sz w:val="20"/>
              </w:rPr>
            </w:pPr>
            <w:r>
              <w:rPr>
                <w:rFonts w:ascii="Arial;Helvetica;sans-serif" w:hAnsi="Arial;Helvetica;sans-serif"/>
                <w:color w:val="FFFFFF"/>
                <w:sz w:val="20"/>
              </w:rPr>
              <w:t>__</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Level 1</w:t>
            </w:r>
          </w:p>
        </w:tc>
        <w:tc>
          <w:tcPr>
            <w:tcW w:w="257" w:type="dxa"/>
            <w:tcBorders/>
            <w:vAlign w:val="center"/>
          </w:tcPr>
          <w:p>
            <w:pPr>
              <w:pStyle w:val="TableContents"/>
              <w:bidi w:val="0"/>
              <w:spacing w:before="0" w:after="0"/>
              <w:ind w:left="0" w:right="0" w:hanging="0"/>
              <w:jc w:val="left"/>
              <w:rPr>
                <w:rFonts w:ascii="Arial;Helvetica;sans-serif" w:hAnsi="Arial;Helvetica;sans-serif"/>
                <w:color w:val="FFFFFF"/>
                <w:sz w:val="20"/>
              </w:rPr>
            </w:pPr>
            <w:r>
              <w:rPr>
                <w:rFonts w:ascii="Arial;Helvetica;sans-serif" w:hAnsi="Arial;Helvetica;sans-serif"/>
                <w:color w:val="FFFFFF"/>
                <w:sz w:val="20"/>
              </w:rPr>
              <w:t>__</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Level 2</w:t>
            </w:r>
          </w:p>
        </w:tc>
        <w:tc>
          <w:tcPr>
            <w:tcW w:w="257" w:type="dxa"/>
            <w:tcBorders/>
            <w:vAlign w:val="center"/>
          </w:tcPr>
          <w:p>
            <w:pPr>
              <w:pStyle w:val="TableContents"/>
              <w:bidi w:val="0"/>
              <w:spacing w:before="0" w:after="0"/>
              <w:ind w:left="0" w:right="0" w:hanging="0"/>
              <w:jc w:val="left"/>
              <w:rPr>
                <w:rFonts w:ascii="Arial;Helvetica;sans-serif" w:hAnsi="Arial;Helvetica;sans-serif"/>
                <w:color w:val="FFFFFF"/>
                <w:sz w:val="20"/>
              </w:rPr>
            </w:pPr>
            <w:r>
              <w:rPr>
                <w:rFonts w:ascii="Arial;Helvetica;sans-serif" w:hAnsi="Arial;Helvetica;sans-serif"/>
                <w:color w:val="FFFFFF"/>
                <w:sz w:val="20"/>
              </w:rPr>
              <w:t>__</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0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61" w:type="dxa"/>
            <w:gridSpan w:val="17"/>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035"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and cash equivalents (including restricted):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5" w:type="dxa"/>
            <w:tcBorders/>
            <w:shd w:fill="CCEEFF" w:val="clear"/>
            <w:vAlign w:val="center"/>
          </w:tcPr>
          <w:p>
            <w:pPr>
              <w:pStyle w:val="TableContents"/>
              <w:bidi w:val="0"/>
              <w:spacing w:before="0" w:after="0"/>
              <w:ind w:left="0" w:right="0" w:hanging="0"/>
              <w:jc w:val="center"/>
              <w:rPr/>
            </w:pPr>
            <w:r>
              <w:rPr/>
              <w:t>​</w:t>
            </w:r>
          </w:p>
        </w:tc>
      </w:tr>
      <w:tr>
        <w:trPr/>
        <w:tc>
          <w:tcPr>
            <w:tcW w:w="30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107,489</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107,489</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115,409</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115,409</w:t>
            </w:r>
          </w:p>
        </w:tc>
      </w:tr>
      <w:tr>
        <w:trPr/>
        <w:tc>
          <w:tcPr>
            <w:tcW w:w="30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11,344</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2,698</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14,042</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1,819</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88,585</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90,404</w:t>
            </w:r>
          </w:p>
        </w:tc>
      </w:tr>
      <w:tr>
        <w:trPr/>
        <w:tc>
          <w:tcPr>
            <w:tcW w:w="303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118,833</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2,698</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121,531</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117,228</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88,585</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205,813</w:t>
            </w:r>
          </w:p>
        </w:tc>
      </w:tr>
      <w:tr>
        <w:trPr/>
        <w:tc>
          <w:tcPr>
            <w:tcW w:w="30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5" w:type="dxa"/>
            <w:tcBorders/>
            <w:shd w:fill="CCEEFF" w:val="clear"/>
            <w:vAlign w:val="center"/>
          </w:tcPr>
          <w:p>
            <w:pPr>
              <w:pStyle w:val="TableContents"/>
              <w:bidi w:val="0"/>
              <w:spacing w:before="0" w:after="0"/>
              <w:ind w:left="0" w:right="0" w:hanging="0"/>
              <w:jc w:val="right"/>
              <w:rPr/>
            </w:pPr>
            <w:r>
              <w:rPr/>
              <w:t>​</w:t>
            </w:r>
          </w:p>
        </w:tc>
      </w:tr>
      <w:tr>
        <w:trPr/>
        <w:tc>
          <w:tcPr>
            <w:tcW w:w="303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Available-for-sale debt securities: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5" w:type="dxa"/>
            <w:tcBorders/>
            <w:vAlign w:val="center"/>
          </w:tcPr>
          <w:p>
            <w:pPr>
              <w:pStyle w:val="TableContents"/>
              <w:bidi w:val="0"/>
              <w:spacing w:before="0" w:after="0"/>
              <w:ind w:left="0" w:right="0" w:hanging="0"/>
              <w:jc w:val="right"/>
              <w:rPr/>
            </w:pPr>
            <w:r>
              <w:rPr/>
              <w:t>​</w:t>
            </w:r>
          </w:p>
        </w:tc>
      </w:tr>
      <w:tr>
        <w:trPr/>
        <w:tc>
          <w:tcPr>
            <w:tcW w:w="30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845" w:type="dxa"/>
            <w:tcBorders/>
            <w:shd w:fill="CCEEFF" w:val="clear"/>
            <w:vAlign w:val="center"/>
          </w:tcPr>
          <w:p>
            <w:pPr>
              <w:pStyle w:val="TableContents"/>
              <w:bidi w:val="0"/>
              <w:spacing w:before="0" w:after="0"/>
              <w:ind w:left="0" w:right="0" w:hanging="0"/>
              <w:jc w:val="right"/>
              <w:rPr/>
            </w:pPr>
            <w:r>
              <w:rPr/>
              <w:t>—</w:t>
            </w:r>
          </w:p>
        </w:tc>
      </w:tr>
      <w:tr>
        <w:trPr/>
        <w:tc>
          <w:tcPr>
            <w:tcW w:w="30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Commercial paper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5" w:type="dxa"/>
            <w:tcBorders/>
            <w:vAlign w:val="center"/>
          </w:tcPr>
          <w:p>
            <w:pPr>
              <w:pStyle w:val="TableContents"/>
              <w:bidi w:val="0"/>
              <w:spacing w:before="0" w:after="0"/>
              <w:ind w:left="0" w:right="0" w:hanging="0"/>
              <w:jc w:val="right"/>
              <w:rPr/>
            </w:pPr>
            <w:r>
              <w:rPr/>
              <w:t>—</w:t>
            </w:r>
          </w:p>
        </w:tc>
      </w:tr>
      <w:tr>
        <w:trPr/>
        <w:tc>
          <w:tcPr>
            <w:tcW w:w="30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debt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3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57"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and December 31, 2024, we did not have any investments that were categorized within, or transferred into or out of, Level 3 of the fair value hierarchy.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Gains and Losses on Sales and Changes in Carrying Amounts of Investments and Other</w:t>
      </w:r>
    </w:p>
    <w:p>
      <w:pPr>
        <w:pStyle w:val="TextBody"/>
        <w:bidi w:val="0"/>
        <w:spacing w:before="0" w:after="240"/>
        <w:ind w:left="0" w:right="0" w:hanging="0"/>
        <w:jc w:val="both"/>
        <w:rPr/>
      </w:pPr>
      <w:r>
        <w:rPr/>
        <w:t>“</w:t>
      </w:r>
      <w:r>
        <w:rPr>
          <w:rFonts w:ascii="Arial;Helvetica;sans-serif" w:hAnsi="Arial;Helvetica;sans-serif"/>
          <w:sz w:val="20"/>
        </w:rPr>
        <w:t>Other, net” within “Other Income (Expense)” included on our Condensed Consolidated Statements of Operations and Comprehensive Income (Loss)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81"/>
        <w:gridCol w:w="109"/>
        <w:gridCol w:w="276"/>
        <w:gridCol w:w="766"/>
        <w:gridCol w:w="142"/>
        <w:gridCol w:w="276"/>
        <w:gridCol w:w="898"/>
        <w:gridCol w:w="109"/>
        <w:gridCol w:w="267"/>
        <w:gridCol w:w="744"/>
        <w:gridCol w:w="138"/>
        <w:gridCol w:w="267"/>
        <w:gridCol w:w="932"/>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353435" cy="175260"/>
                      <wp:effectExtent l="0" t="0" r="0" b="0"/>
                      <wp:wrapNone/>
                      <wp:docPr id="104" name="Frame103"/>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5260" cy="175260"/>
                      <wp:effectExtent l="0" t="0" r="0" b="0"/>
                      <wp:wrapNone/>
                      <wp:docPr id="106" name="Frame105"/>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86410" cy="175260"/>
                      <wp:effectExtent l="0" t="0" r="0" b="0"/>
                      <wp:wrapNone/>
                      <wp:docPr id="107" name="Frame10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90170" cy="175260"/>
                      <wp:effectExtent l="0" t="0" r="0" b="0"/>
                      <wp:wrapNone/>
                      <wp:docPr id="108" name="Frame107"/>
                      <a:graphic xmlns:a="http://schemas.openxmlformats.org/drawingml/2006/main">
                        <a:graphicData uri="http://schemas.microsoft.com/office/word/2010/wordprocessingShape">
                          <wps:wsp>
                            <wps:cNvSpPr txBox="1"/>
                            <wps:spPr>
                              <a:xfrm>
                                <a:off x="0" y="0"/>
                                <a:ext cx="90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75260" cy="175260"/>
                      <wp:effectExtent l="0" t="0" r="0" b="0"/>
                      <wp:wrapNone/>
                      <wp:docPr id="109" name="Frame108"/>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0230" cy="175260"/>
                      <wp:effectExtent l="0" t="0" r="0" b="0"/>
                      <wp:wrapNone/>
                      <wp:docPr id="110" name="Frame10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9545" cy="175260"/>
                      <wp:effectExtent l="0" t="0" r="0" b="0"/>
                      <wp:wrapNone/>
                      <wp:docPr id="112" name="Frame11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72440" cy="175260"/>
                      <wp:effectExtent l="0" t="0" r="0" b="0"/>
                      <wp:wrapNone/>
                      <wp:docPr id="113" name="Frame112"/>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7630" cy="175260"/>
                      <wp:effectExtent l="0" t="0" r="0" b="0"/>
                      <wp:wrapNone/>
                      <wp:docPr id="114" name="Frame113"/>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69545" cy="175260"/>
                      <wp:effectExtent l="0" t="0" r="0" b="0"/>
                      <wp:wrapNone/>
                      <wp:docPr id="115" name="Frame11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820" cy="175260"/>
                      <wp:effectExtent l="0" t="0" r="0" b="0"/>
                      <wp:wrapNone/>
                      <wp:docPr id="116" name="Frame115"/>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5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34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5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5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234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 net:</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42" w:type="dxa"/>
            <w:tcBorders/>
            <w:vAlign w:val="center"/>
          </w:tcPr>
          <w:p>
            <w:pPr>
              <w:pStyle w:val="TableContents"/>
              <w:bidi w:val="0"/>
              <w:spacing w:before="0" w:after="0"/>
              <w:ind w:left="0" w:right="0" w:hanging="0"/>
              <w:jc w:val="center"/>
              <w:rPr/>
            </w:pPr>
            <w:r>
              <w:rPr/>
              <w:t>​</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center"/>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38" w:type="dxa"/>
            <w:tcBorders/>
            <w:vAlign w:val="center"/>
          </w:tcPr>
          <w:p>
            <w:pPr>
              <w:pStyle w:val="TableContents"/>
              <w:bidi w:val="0"/>
              <w:spacing w:before="0" w:after="0"/>
              <w:ind w:left="0" w:right="0" w:hanging="0"/>
              <w:jc w:val="center"/>
              <w:rPr/>
            </w:pPr>
            <w:r>
              <w:rPr/>
              <w:t>​</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815"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52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Marketable and non-marketable investment securities - realized and unrealized gains (losses)</w:t>
            </w:r>
          </w:p>
        </w:tc>
        <w:tc>
          <w:tcPr>
            <w:tcW w:w="109"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142"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138"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w:t>
            </w:r>
          </w:p>
        </w:tc>
      </w:tr>
      <w:tr>
        <w:trPr/>
        <w:tc>
          <w:tcPr>
            <w:tcW w:w="52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in earnings (losses) of affiliates</w:t>
            </w:r>
          </w:p>
        </w:tc>
        <w:tc>
          <w:tcPr>
            <w:tcW w:w="109"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w:t>
            </w:r>
          </w:p>
        </w:tc>
        <w:tc>
          <w:tcPr>
            <w:tcW w:w="142"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(1,325)</w:t>
            </w:r>
          </w:p>
        </w:tc>
        <w:tc>
          <w:tcPr>
            <w:tcW w:w="109"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center"/>
              <w:rPr/>
            </w:pPr>
            <w:r>
              <w:rPr/>
              <w:t>​</w:t>
            </w:r>
          </w:p>
        </w:tc>
        <w:tc>
          <w:tcPr>
            <w:tcW w:w="7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w:t>
            </w:r>
          </w:p>
        </w:tc>
        <w:tc>
          <w:tcPr>
            <w:tcW w:w="138"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(3,848)</w:t>
            </w:r>
          </w:p>
        </w:tc>
      </w:tr>
      <w:tr>
        <w:trPr/>
        <w:tc>
          <w:tcPr>
            <w:tcW w:w="52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transaction gains (losses)</w:t>
            </w:r>
          </w:p>
        </w:tc>
        <w:tc>
          <w:tcPr>
            <w:tcW w:w="109"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1,285</w:t>
            </w:r>
          </w:p>
        </w:tc>
        <w:tc>
          <w:tcPr>
            <w:tcW w:w="142"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8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w:t>
            </w:r>
          </w:p>
        </w:tc>
        <w:tc>
          <w:tcPr>
            <w:tcW w:w="109"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center"/>
              <w:rPr/>
            </w:pPr>
            <w:r>
              <w:rPr/>
              <w:t>​</w:t>
            </w:r>
          </w:p>
        </w:tc>
        <w:tc>
          <w:tcPr>
            <w:tcW w:w="7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5,501</w:t>
            </w:r>
          </w:p>
        </w:tc>
        <w:tc>
          <w:tcPr>
            <w:tcW w:w="138"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(2,323)</w:t>
            </w:r>
          </w:p>
        </w:tc>
      </w:tr>
      <w:tr>
        <w:trPr/>
        <w:tc>
          <w:tcPr>
            <w:tcW w:w="52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109" w:type="dxa"/>
            <w:tcBorders/>
            <w:vAlign w:val="center"/>
          </w:tcPr>
          <w:p>
            <w:pPr>
              <w:pStyle w:val="TableContents"/>
              <w:bidi w:val="0"/>
              <w:spacing w:before="0" w:after="0"/>
              <w:ind w:left="0" w:right="0" w:hanging="0"/>
              <w:jc w:val="center"/>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142" w:type="dxa"/>
            <w:tcBorders/>
            <w:vAlign w:val="center"/>
          </w:tcPr>
          <w:p>
            <w:pPr>
              <w:pStyle w:val="TableContents"/>
              <w:bidi w:val="0"/>
              <w:spacing w:before="0" w:after="0"/>
              <w:ind w:left="0" w:right="0" w:hanging="0"/>
              <w:jc w:val="center"/>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w:t>
            </w:r>
          </w:p>
        </w:tc>
        <w:tc>
          <w:tcPr>
            <w:tcW w:w="109" w:type="dxa"/>
            <w:tcBorders/>
            <w:vAlign w:val="center"/>
          </w:tcPr>
          <w:p>
            <w:pPr>
              <w:pStyle w:val="TableContents"/>
              <w:bidi w:val="0"/>
              <w:spacing w:before="0" w:after="0"/>
              <w:ind w:left="0" w:right="0" w:hanging="0"/>
              <w:jc w:val="center"/>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c>
          <w:tcPr>
            <w:tcW w:w="138" w:type="dxa"/>
            <w:tcBorders/>
            <w:vAlign w:val="center"/>
          </w:tcPr>
          <w:p>
            <w:pPr>
              <w:pStyle w:val="TableContents"/>
              <w:bidi w:val="0"/>
              <w:spacing w:before="0" w:after="0"/>
              <w:ind w:left="0" w:right="0" w:hanging="0"/>
              <w:jc w:val="center"/>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w:t>
            </w:r>
          </w:p>
        </w:tc>
      </w:tr>
      <w:tr>
        <w:trPr/>
        <w:tc>
          <w:tcPr>
            <w:tcW w:w="528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1,013</w:t>
            </w:r>
          </w:p>
        </w:tc>
        <w:tc>
          <w:tcPr>
            <w:tcW w:w="142"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(979)</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5,712</w:t>
            </w:r>
          </w:p>
        </w:tc>
        <w:tc>
          <w:tcPr>
            <w:tcW w:w="138"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(6,085)</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61" w:name="Tc_CsBYww3c60SkjEUAoVNOHQ_8_5"/>
      <w:bookmarkStart w:id="962" w:name="Tc_xhi5IUqodkqGwPzj17umrg_8_2"/>
      <w:bookmarkStart w:id="963" w:name="Tc_gfPtrb9Ch0i7n8j3jEoKEA_8_0"/>
      <w:bookmarkStart w:id="964" w:name="Tc_PnQTBGEqIki2WR_AbZ06lQ_7_0"/>
      <w:bookmarkStart w:id="965" w:name="Tc_X8RStK2eNkqebj9qoGT6Gw_6_0"/>
      <w:bookmarkStart w:id="966" w:name="Tc_X5PfCUAG1EGOlqmdD49-aw_5_5"/>
      <w:bookmarkStart w:id="967" w:name="Tc_YvvkxN1JKESXqrhspZEcMg_5_2"/>
      <w:bookmarkStart w:id="968" w:name="Tc_vyJW7u4plUqYEgkE7s7LcQ_5_0"/>
      <w:bookmarkStart w:id="969" w:name="Tc_pmUKOGTssUOBMfv2azJXKQ_4_2"/>
      <w:bookmarkStart w:id="970" w:name="Tc_ghIjafhDM0qE_Kro6uUYfA_3_5"/>
      <w:bookmarkStart w:id="971" w:name="Tc_qPXyseJIvUuC-exSTCMAqQ_3_2"/>
      <w:bookmarkStart w:id="972" w:name="Tc_L8OyphpnHE6Xyl7jC_aGbg_2_5"/>
      <w:bookmarkStart w:id="973" w:name="Tc_ywpxbt2juEaE0_HvXtxe0Q_2_2"/>
      <w:bookmarkStart w:id="974" w:name="Tc_9YRyNwpZlkCtGZZyYCkovw_1_2"/>
      <w:bookmarkStart w:id="975" w:name="Tc_CsBYww3c60SkjEUAoVNOHQ_8_5"/>
      <w:bookmarkStart w:id="976" w:name="Tc_xhi5IUqodkqGwPzj17umrg_8_2"/>
      <w:bookmarkStart w:id="977" w:name="Tc_gfPtrb9Ch0i7n8j3jEoKEA_8_0"/>
      <w:bookmarkStart w:id="978" w:name="Tc_PnQTBGEqIki2WR_AbZ06lQ_7_0"/>
      <w:bookmarkStart w:id="979" w:name="Tc_X8RStK2eNkqebj9qoGT6Gw_6_0"/>
      <w:bookmarkStart w:id="980" w:name="Tc_X5PfCUAG1EGOlqmdD49-aw_5_5"/>
      <w:bookmarkStart w:id="981" w:name="Tc_YvvkxN1JKESXqrhspZEcMg_5_2"/>
      <w:bookmarkStart w:id="982" w:name="Tc_vyJW7u4plUqYEgkE7s7LcQ_5_0"/>
      <w:bookmarkStart w:id="983" w:name="Tc_pmUKOGTssUOBMfv2azJXKQ_4_2"/>
      <w:bookmarkStart w:id="984" w:name="Tc_ghIjafhDM0qE_Kro6uUYfA_3_5"/>
      <w:bookmarkStart w:id="985" w:name="Tc_qPXyseJIvUuC-exSTCMAqQ_3_2"/>
      <w:bookmarkStart w:id="986" w:name="Tc_L8OyphpnHE6Xyl7jC_aGbg_2_5"/>
      <w:bookmarkStart w:id="987" w:name="Tc_ywpxbt2juEaE0_HvXtxe0Q_2_2"/>
      <w:bookmarkStart w:id="988" w:name="Tc_9YRyNwpZlkCtGZZyYCkovw_1_2"/>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tbl>
      <w:tblPr>
        <w:tblW w:w="1307" w:type="dxa"/>
        <w:jc w:val="left"/>
        <w:tblInd w:w="0" w:type="dxa"/>
        <w:tblLayout w:type="fixed"/>
        <w:tblCellMar>
          <w:top w:w="0" w:type="dxa"/>
          <w:left w:w="0" w:type="dxa"/>
          <w:bottom w:w="0" w:type="dxa"/>
          <w:right w:w="0" w:type="dxa"/>
        </w:tblCellMar>
      </w:tblPr>
      <w:tblGrid>
        <w:gridCol w:w="286"/>
        <w:gridCol w:w="102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5.</w:t>
            </w:r>
          </w:p>
        </w:tc>
        <w:tc>
          <w:tcPr>
            <w:tcW w:w="102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Inventory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Inventory consisted of the following: </w:t>
      </w:r>
    </w:p>
    <w:p>
      <w:pPr>
        <w:pStyle w:val="TextBody"/>
        <w:bidi w:val="0"/>
        <w:spacing w:before="0" w:after="0"/>
        <w:ind w:left="0" w:right="0" w:hanging="0"/>
        <w:jc w:val="left"/>
        <w:rPr/>
      </w:pPr>
      <w:r>
        <w:rPr/>
        <w:t>​</w:t>
      </w:r>
    </w:p>
    <w:tbl>
      <w:tblPr>
        <w:tblW w:w="4719" w:type="dxa"/>
        <w:jc w:val="left"/>
        <w:tblInd w:w="0" w:type="dxa"/>
        <w:tblLayout w:type="fixed"/>
        <w:tblCellMar>
          <w:top w:w="0" w:type="dxa"/>
          <w:left w:w="0" w:type="dxa"/>
          <w:bottom w:w="0" w:type="dxa"/>
          <w:right w:w="0" w:type="dxa"/>
        </w:tblCellMar>
      </w:tblPr>
      <w:tblGrid>
        <w:gridCol w:w="1531"/>
        <w:gridCol w:w="109"/>
        <w:gridCol w:w="314"/>
        <w:gridCol w:w="1186"/>
        <w:gridCol w:w="109"/>
        <w:gridCol w:w="278"/>
        <w:gridCol w:w="1192"/>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972185" cy="175260"/>
                      <wp:effectExtent l="0" t="0" r="0" b="0"/>
                      <wp:wrapNone/>
                      <wp:docPr id="117" name="Frame11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99390" cy="175260"/>
                      <wp:effectExtent l="0" t="0" r="0" b="0"/>
                      <wp:wrapNone/>
                      <wp:docPr id="119" name="Frame118"/>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53110" cy="175260"/>
                      <wp:effectExtent l="0" t="0" r="0" b="0"/>
                      <wp:wrapNone/>
                      <wp:docPr id="120" name="Frame11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6530" cy="175260"/>
                      <wp:effectExtent l="0" t="0" r="0" b="0"/>
                      <wp:wrapNone/>
                      <wp:docPr id="122" name="Frame12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56920" cy="175260"/>
                      <wp:effectExtent l="0" t="0" r="0" b="0"/>
                      <wp:wrapNone/>
                      <wp:docPr id="123" name="Frame122"/>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As of </w: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471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79"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15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Finished goods</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110,154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90,147</w:t>
            </w:r>
          </w:p>
        </w:tc>
      </w:tr>
      <w:tr>
        <w:trPr/>
        <w:tc>
          <w:tcPr>
            <w:tcW w:w="1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Work-in-process</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46,968</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11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30,302</w:t>
            </w:r>
          </w:p>
        </w:tc>
      </w:tr>
      <w:tr>
        <w:trPr/>
        <w:tc>
          <w:tcPr>
            <w:tcW w:w="15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Raw materials</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33,975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30,594</w:t>
            </w:r>
          </w:p>
        </w:tc>
      </w:tr>
      <w:tr>
        <w:trPr/>
        <w:tc>
          <w:tcPr>
            <w:tcW w:w="153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inventory</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191,097</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151,043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89" w:name="Tc_MZiJliOdGkyQrbAvN7RKGg_15_11"/>
      <w:bookmarkStart w:id="990" w:name="Tc_jShdiFiAB0GLEWQr65cMPQ_15_8"/>
      <w:bookmarkStart w:id="991" w:name="Tc_pF9AdRZStEOpU0rChmxTPQ_15_0"/>
      <w:bookmarkStart w:id="992" w:name="Tc_yiOuUH7Cfkm__cgcO0TEWw_14_0"/>
      <w:bookmarkStart w:id="993" w:name="Tc_5JX3DDR540GhpJsiCBwiaA_13_0"/>
      <w:bookmarkStart w:id="994" w:name="Tc_XbR_OayfFEGv7C0entR9CA_12_4"/>
      <w:bookmarkStart w:id="995" w:name="Tc_nBaW6xmIgUaXEmHwkvO7sg_12_0"/>
      <w:bookmarkStart w:id="996" w:name="Tc_JMtUowpKYESblhAeSN1qZA_11_4"/>
      <w:bookmarkStart w:id="997" w:name="Tc_yIpe_u-hLECsSG1UsvC-Tw_11_0"/>
      <w:bookmarkStart w:id="998" w:name="Tc_-BmFC8pqkUWDR5krqAwOCg_10_4"/>
      <w:bookmarkStart w:id="999" w:name="Tc_cosh4e8Z2keefr9gSEy9cg_10_0"/>
      <w:bookmarkStart w:id="1000" w:name="Tc_V7Wcp_Pv00KOmhGWdp-_qA_9_4"/>
      <w:bookmarkStart w:id="1001" w:name="Tc_7-y7ZJnXFU20mXL3yl1z0g_9_0"/>
      <w:bookmarkStart w:id="1002" w:name="Tc_xC6DvYIzCk2PSqKaeZFo_g_8_4"/>
      <w:bookmarkStart w:id="1003" w:name="Tc_89z64Hu8n0uDYSZOKnvGFg_8_0"/>
      <w:bookmarkStart w:id="1004" w:name="Tc_MzMxxh2Lokuowfj5UJx57g_7_0"/>
      <w:bookmarkStart w:id="1005" w:name="Tc_F8ohNLAHokiycJhir9d_EQ_6_4"/>
      <w:bookmarkStart w:id="1006" w:name="Tc_Yk9XHMNUWkW8XPM6kzLUEw_6_0"/>
      <w:bookmarkStart w:id="1007" w:name="Tc_P7ODNd1k-kWnV2FOvQFb5A_5_11"/>
      <w:bookmarkStart w:id="1008" w:name="Tc_3psijptcAkiGbkoV9npi5Q_5_8"/>
      <w:bookmarkStart w:id="1009" w:name="Tc_bhCVkU-KL0WeWXg58qLRcQ_5_4"/>
      <w:bookmarkStart w:id="1010" w:name="Tc_ZXZQ2NuF-0qWGEBaoz4_yQ_5_0"/>
      <w:bookmarkStart w:id="1011" w:name="Tc_2WhU8nLFO0OCK3ivKXTAzw_4_8"/>
      <w:bookmarkStart w:id="1012" w:name="Tc_8iDGbBAoz0iryhdddcxv4Q_3_11"/>
      <w:bookmarkStart w:id="1013" w:name="Tc_X_RvwnpGSUSawQ_A8LhI-A_3_8"/>
      <w:bookmarkStart w:id="1014" w:name="Tc_XHhG5dylhUuUWBJsLKARdw_3_2"/>
      <w:bookmarkStart w:id="1015" w:name="Tc_mbvhLVRK_kOoAZEj5HfiHw_2_11"/>
      <w:bookmarkStart w:id="1016" w:name="Tc_UpOzWpuYuk6tmNL7nR4kwA_2_8"/>
      <w:bookmarkStart w:id="1017" w:name="Tc_6VBWK4I510WSr_2yGm1cLA_2_4"/>
      <w:bookmarkStart w:id="1018" w:name="Tc_DMurGfuUi06m92GWyqfXQg_1_8"/>
      <w:bookmarkStart w:id="1019" w:name="Tc_C2Vu6jzR8EeP00XnKizadw_1_4"/>
      <w:bookmarkStart w:id="1020" w:name="_ed2b7cdd_39ef_42a9_9e46_d8dea77bf8e6"/>
      <w:bookmarkStart w:id="1021" w:name="Tc_MZiJliOdGkyQrbAvN7RKGg_15_11"/>
      <w:bookmarkStart w:id="1022" w:name="Tc_jShdiFiAB0GLEWQr65cMPQ_15_8"/>
      <w:bookmarkStart w:id="1023" w:name="Tc_pF9AdRZStEOpU0rChmxTPQ_15_0"/>
      <w:bookmarkStart w:id="1024" w:name="Tc_yiOuUH7Cfkm__cgcO0TEWw_14_0"/>
      <w:bookmarkStart w:id="1025" w:name="Tc_5JX3DDR540GhpJsiCBwiaA_13_0"/>
      <w:bookmarkStart w:id="1026" w:name="Tc_XbR_OayfFEGv7C0entR9CA_12_4"/>
      <w:bookmarkStart w:id="1027" w:name="Tc_nBaW6xmIgUaXEmHwkvO7sg_12_0"/>
      <w:bookmarkStart w:id="1028" w:name="Tc_JMtUowpKYESblhAeSN1qZA_11_4"/>
      <w:bookmarkStart w:id="1029" w:name="Tc_yIpe_u-hLECsSG1UsvC-Tw_11_0"/>
      <w:bookmarkStart w:id="1030" w:name="Tc_-BmFC8pqkUWDR5krqAwOCg_10_4"/>
      <w:bookmarkStart w:id="1031" w:name="Tc_cosh4e8Z2keefr9gSEy9cg_10_0"/>
      <w:bookmarkStart w:id="1032" w:name="Tc_V7Wcp_Pv00KOmhGWdp-_qA_9_4"/>
      <w:bookmarkStart w:id="1033" w:name="Tc_7-y7ZJnXFU20mXL3yl1z0g_9_0"/>
      <w:bookmarkStart w:id="1034" w:name="Tc_xC6DvYIzCk2PSqKaeZFo_g_8_4"/>
      <w:bookmarkStart w:id="1035" w:name="Tc_89z64Hu8n0uDYSZOKnvGFg_8_0"/>
      <w:bookmarkStart w:id="1036" w:name="Tc_MzMxxh2Lokuowfj5UJx57g_7_0"/>
      <w:bookmarkStart w:id="1037" w:name="Tc_F8ohNLAHokiycJhir9d_EQ_6_4"/>
      <w:bookmarkStart w:id="1038" w:name="Tc_Yk9XHMNUWkW8XPM6kzLUEw_6_0"/>
      <w:bookmarkStart w:id="1039" w:name="Tc_P7ODNd1k-kWnV2FOvQFb5A_5_11"/>
      <w:bookmarkStart w:id="1040" w:name="Tc_3psijptcAkiGbkoV9npi5Q_5_8"/>
      <w:bookmarkStart w:id="1041" w:name="Tc_bhCVkU-KL0WeWXg58qLRcQ_5_4"/>
      <w:bookmarkStart w:id="1042" w:name="Tc_ZXZQ2NuF-0qWGEBaoz4_yQ_5_0"/>
      <w:bookmarkStart w:id="1043" w:name="Tc_2WhU8nLFO0OCK3ivKXTAzw_4_8"/>
      <w:bookmarkStart w:id="1044" w:name="Tc_8iDGbBAoz0iryhdddcxv4Q_3_11"/>
      <w:bookmarkStart w:id="1045" w:name="Tc_X_RvwnpGSUSawQ_A8LhI-A_3_8"/>
      <w:bookmarkStart w:id="1046" w:name="Tc_XHhG5dylhUuUWBJsLKARdw_3_2"/>
      <w:bookmarkStart w:id="1047" w:name="Tc_mbvhLVRK_kOoAZEj5HfiHw_2_11"/>
      <w:bookmarkStart w:id="1048" w:name="Tc_UpOzWpuYuk6tmNL7nR4kwA_2_8"/>
      <w:bookmarkStart w:id="1049" w:name="Tc_6VBWK4I510WSr_2yGm1cLA_2_4"/>
      <w:bookmarkStart w:id="1050" w:name="Tc_DMurGfuUi06m92GWyqfXQg_1_8"/>
      <w:bookmarkStart w:id="1051" w:name="Tc_C2Vu6jzR8EeP00XnKizadw_1_4"/>
      <w:bookmarkStart w:id="1052" w:name="_ed2b7cdd_39ef_42a9_9e46_d8dea77bf8e6"/>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6.</w:t>
            </w:r>
          </w:p>
        </w:tc>
        <w:tc>
          <w:tcPr>
            <w:tcW w:w="450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Property and Equipment and Intangible Assets</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Property and Equipment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Property and equipment consisted of the following: </w:t>
      </w:r>
    </w:p>
    <w:p>
      <w:pPr>
        <w:pStyle w:val="TextBody"/>
        <w:bidi w:val="0"/>
        <w:spacing w:before="0" w:after="0"/>
        <w:ind w:left="0" w:right="0" w:hanging="0"/>
        <w:jc w:val="left"/>
        <w:rPr/>
      </w:pPr>
      <w:r>
        <w:rPr/>
        <w:t>​</w:t>
      </w:r>
    </w:p>
    <w:tbl>
      <w:tblPr>
        <w:tblW w:w="9804" w:type="dxa"/>
        <w:jc w:val="left"/>
        <w:tblInd w:w="0" w:type="dxa"/>
        <w:tblLayout w:type="fixed"/>
        <w:tblCellMar>
          <w:top w:w="0" w:type="dxa"/>
          <w:left w:w="0" w:type="dxa"/>
          <w:bottom w:w="0" w:type="dxa"/>
          <w:right w:w="0" w:type="dxa"/>
        </w:tblCellMar>
      </w:tblPr>
      <w:tblGrid>
        <w:gridCol w:w="4561"/>
        <w:gridCol w:w="109"/>
        <w:gridCol w:w="109"/>
        <w:gridCol w:w="211"/>
        <w:gridCol w:w="1201"/>
        <w:gridCol w:w="316"/>
        <w:gridCol w:w="109"/>
        <w:gridCol w:w="109"/>
        <w:gridCol w:w="256"/>
        <w:gridCol w:w="1244"/>
        <w:gridCol w:w="109"/>
        <w:gridCol w:w="240"/>
        <w:gridCol w:w="1230"/>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896235" cy="175260"/>
                      <wp:effectExtent l="0" t="0" r="0" b="0"/>
                      <wp:wrapNone/>
                      <wp:docPr id="124" name="Frame123"/>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62635" cy="175260"/>
                      <wp:effectExtent l="0" t="0" r="0" b="0"/>
                      <wp:wrapNone/>
                      <wp:docPr id="128" name="Frame12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0660" cy="175260"/>
                      <wp:effectExtent l="0" t="0" r="0" b="0"/>
                      <wp:wrapNone/>
                      <wp:docPr id="129" name="Frame1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2560" cy="175260"/>
                      <wp:effectExtent l="0" t="0" r="0" b="0"/>
                      <wp:wrapNone/>
                      <wp:docPr id="132" name="Frame13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89940" cy="175260"/>
                      <wp:effectExtent l="0" t="0" r="0" b="0"/>
                      <wp:wrapNone/>
                      <wp:docPr id="133" name="Frame132"/>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2400" cy="175260"/>
                      <wp:effectExtent l="0" t="0" r="0" b="0"/>
                      <wp:wrapNone/>
                      <wp:docPr id="135" name="Frame13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81050" cy="175260"/>
                      <wp:effectExtent l="0" t="0" r="0" b="0"/>
                      <wp:wrapNone/>
                      <wp:docPr id="136" name="Frame135"/>
                      <a:graphic xmlns:a="http://schemas.openxmlformats.org/drawingml/2006/main">
                        <a:graphicData uri="http://schemas.microsoft.com/office/word/2010/wordprocessingShape">
                          <wps:wsp>
                            <wps:cNvSpPr txBox="1"/>
                            <wps:spPr>
                              <a:xfrm>
                                <a:off x="0" y="0"/>
                                <a:ext cx="781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Depreciable</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Life</w:t>
            </w:r>
          </w:p>
        </w:tc>
        <w:tc>
          <w:tcPr>
            <w:tcW w:w="3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5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Years)</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980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79"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Equipment leased to customers (1)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tc>
        <w:tc>
          <w:tcPr>
            <w:tcW w:w="120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3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795,926</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865,003</w:t>
            </w:r>
          </w:p>
        </w:tc>
      </w:tr>
      <w:tr>
        <w:trPr/>
        <w:tc>
          <w:tcPr>
            <w:tcW w:w="4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Satellites (2)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c>
          <w:tcPr>
            <w:tcW w:w="12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3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12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1,088,593</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1,210,437</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Satellites acquired under finance lease agreements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w:t>
            </w:r>
          </w:p>
        </w:tc>
        <w:tc>
          <w:tcPr>
            <w:tcW w:w="31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358,754</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2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344,972</w:t>
            </w:r>
          </w:p>
        </w:tc>
      </w:tr>
      <w:tr>
        <w:trPr/>
        <w:tc>
          <w:tcPr>
            <w:tcW w:w="4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Furniture, fixtures, equipment and other</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12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3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12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713,418</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682,614</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Software and computer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120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3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351,798</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2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300,255</w:t>
            </w:r>
          </w:p>
        </w:tc>
      </w:tr>
      <w:tr>
        <w:trPr/>
        <w:tc>
          <w:tcPr>
            <w:tcW w:w="4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Buildings and improvements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12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3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12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131,699</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129,779</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Land</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31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13,603</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2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13,460</w:t>
            </w:r>
          </w:p>
        </w:tc>
      </w:tr>
      <w:tr>
        <w:trPr/>
        <w:tc>
          <w:tcPr>
            <w:tcW w:w="4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Construction in progress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31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3,599</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7,980</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3,457,390</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2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3,554,500</w:t>
            </w:r>
          </w:p>
        </w:tc>
      </w:tr>
      <w:tr>
        <w:trPr/>
        <w:tc>
          <w:tcPr>
            <w:tcW w:w="4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(2,478,213)</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(2,457,310)</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Property and equipment, net (3)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979,177</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1,097,190</w:t>
            </w:r>
          </w:p>
        </w:tc>
      </w:tr>
    </w:tbl>
    <w:tbl>
      <w:tblPr>
        <w:tblW w:w="9377" w:type="dxa"/>
        <w:jc w:val="left"/>
        <w:tblInd w:w="0" w:type="dxa"/>
        <w:tblLayout w:type="fixed"/>
        <w:tblCellMar>
          <w:top w:w="0" w:type="dxa"/>
          <w:left w:w="0" w:type="dxa"/>
          <w:bottom w:w="0" w:type="dxa"/>
          <w:right w:w="0" w:type="dxa"/>
        </w:tblCellMar>
      </w:tblPr>
      <w:tblGrid>
        <w:gridCol w:w="346"/>
        <w:gridCol w:w="90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0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change includes the non-cash impairment of long-lived assets. See Note 1 for further information.</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commercial traffic on the EchoStar IX satellite has been transferred to other satellites in our fleet and the EchoStar IX satellite is no longer in service. During the second quarter of 2025, we began the disposal process for the EchoStar IX satellite and the disposal process was completed in the third quarter of 2025.</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As of September 30, 2025 and December 31, 2024, there were no</w:t>
            </w:r>
            <w:r>
              <w:rPr>
                <w:caps w:val="false"/>
                <w:smallCaps w:val="false"/>
              </w:rPr>
              <w:t xml:space="preserve"> </w:t>
            </w:r>
            <w:r>
              <w:rPr>
                <w:rFonts w:ascii="Arial;Helvetica;sans-serif" w:hAnsi="Arial;Helvetica;sans-serif"/>
                <w:b w:val="false"/>
                <w:i w:val="false"/>
                <w:caps w:val="false"/>
                <w:smallCaps w:val="false"/>
                <w:sz w:val="20"/>
              </w:rPr>
              <w:t>refunds and other receipts of purchases of property and equipment.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bookmarkStart w:id="1053" w:name="Tc_UG0oGQCOJ06Lk-8bcs1f2w_10_11"/>
      <w:bookmarkStart w:id="1054" w:name="Tc_EEx6sCNO6E2F8RNug9pp4Q_10_8"/>
      <w:bookmarkStart w:id="1055" w:name="Tc_u6KL3atv9EyvVNfNkdf1YQ_10_5"/>
      <w:bookmarkStart w:id="1056" w:name="Tc_EIb_SrwTHUm4xhZ4YwVyew_10_2"/>
      <w:bookmarkStart w:id="1057" w:name="Tc_1TL18AEoqU-e8ObwOlFOfQ_10_0"/>
      <w:bookmarkStart w:id="1058" w:name="Tc_Oejeac5ppUW_NrJLZH3mDg_9_0"/>
      <w:bookmarkStart w:id="1059" w:name="Tc_5_p3AXeyxEaZy7_n_aCQig_8_0"/>
      <w:bookmarkStart w:id="1060" w:name="Tc_m4jYaiIy3USQ8a5sZwDBQw_7_0"/>
      <w:bookmarkStart w:id="1061" w:name="Tc_xzykN_YnR06HA2gOCf7HRQ_6_0"/>
      <w:bookmarkStart w:id="1062" w:name="Tc_frkDugmiek2TZCmAeJUFMw_5_11"/>
      <w:bookmarkStart w:id="1063" w:name="Tc_OJEukl-lj0WBU45rC-_hGg_5_8"/>
      <w:bookmarkStart w:id="1064" w:name="Tc_u3egvPDVDkeZgR5-fVqEVA_5_5"/>
      <w:bookmarkStart w:id="1065" w:name="Tc_6capYV9gqUOpZalHZ4TsAQ_5_2"/>
      <w:bookmarkStart w:id="1066" w:name="Tc_N0Adzh7elUm6Q-4p3NX0JA_5_0"/>
      <w:bookmarkStart w:id="1067" w:name="Tc_hQko4HCYcEechWfpqC6UyA_4_2"/>
      <w:bookmarkStart w:id="1068" w:name="Tc_vEfJihd4S0KevARYfo_t6A_3_11"/>
      <w:bookmarkStart w:id="1069" w:name="Tc_qm_tYtLZ20Cdd5yg9mBD8Q_3_8"/>
      <w:bookmarkStart w:id="1070" w:name="Tc_QDEfMAou8EmNJEX4Ts9vFA_3_5"/>
      <w:bookmarkStart w:id="1071" w:name="Tc_aDVdanpiYEWdZHeBd65jnA_3_2"/>
      <w:bookmarkStart w:id="1072" w:name="Tc_ygr04WMOxk64K_C4gG4Dcg_2_8"/>
      <w:bookmarkStart w:id="1073" w:name="Tc_HUhuK0PM-0CIHG6eTdTgWQ_2_2"/>
      <w:bookmarkStart w:id="1074" w:name="Tc_31Ahztm7OEeOx33a7PHVxQ_1_8"/>
      <w:bookmarkStart w:id="1075" w:name="Tc_W9Tat2i3bEO4KjSQOCx85A_1_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r>
        <w:rPr>
          <w:rFonts w:ascii="Arial;Helvetica;sans-serif" w:hAnsi="Arial;Helvetica;sans-serif"/>
          <w:sz w:val="20"/>
        </w:rPr>
        <w:t xml:space="preserve">Depreciation and amortization expense consisted of the following: </w:t>
      </w:r>
    </w:p>
    <w:p>
      <w:pPr>
        <w:pStyle w:val="TextBody"/>
        <w:bidi w:val="0"/>
        <w:spacing w:before="0" w:after="0"/>
        <w:ind w:left="0" w:right="0" w:hanging="0"/>
        <w:jc w:val="left"/>
        <w:rPr/>
      </w:pPr>
      <w:r>
        <w:rPr/>
        <w:t>​</w:t>
      </w:r>
    </w:p>
    <w:tbl>
      <w:tblPr>
        <w:tblW w:w="10191" w:type="dxa"/>
        <w:jc w:val="left"/>
        <w:tblInd w:w="0" w:type="dxa"/>
        <w:tblLayout w:type="fixed"/>
        <w:tblCellMar>
          <w:top w:w="0" w:type="dxa"/>
          <w:left w:w="0" w:type="dxa"/>
          <w:bottom w:w="0" w:type="dxa"/>
          <w:right w:w="0" w:type="dxa"/>
        </w:tblCellMar>
      </w:tblPr>
      <w:tblGrid>
        <w:gridCol w:w="4396"/>
        <w:gridCol w:w="109"/>
        <w:gridCol w:w="311"/>
        <w:gridCol w:w="1018"/>
        <w:gridCol w:w="160"/>
        <w:gridCol w:w="311"/>
        <w:gridCol w:w="1018"/>
        <w:gridCol w:w="109"/>
        <w:gridCol w:w="261"/>
        <w:gridCol w:w="986"/>
        <w:gridCol w:w="135"/>
        <w:gridCol w:w="261"/>
        <w:gridCol w:w="111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91460" cy="175260"/>
                      <wp:effectExtent l="0" t="0" r="0" b="0"/>
                      <wp:wrapNone/>
                      <wp:docPr id="137" name="Frame136"/>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97485" cy="175260"/>
                      <wp:effectExtent l="0" t="0" r="0" b="0"/>
                      <wp:wrapNone/>
                      <wp:docPr id="139" name="Frame138"/>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6430" cy="175260"/>
                      <wp:effectExtent l="0" t="0" r="0" b="0"/>
                      <wp:wrapNone/>
                      <wp:docPr id="140" name="Frame139"/>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01600" cy="175260"/>
                      <wp:effectExtent l="0" t="0" r="0" b="0"/>
                      <wp:wrapNone/>
                      <wp:docPr id="141" name="Frame14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7485" cy="175260"/>
                      <wp:effectExtent l="0" t="0" r="0" b="0"/>
                      <wp:wrapNone/>
                      <wp:docPr id="142" name="Frame141"/>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6430" cy="175260"/>
                      <wp:effectExtent l="0" t="0" r="0" b="0"/>
                      <wp:wrapNone/>
                      <wp:docPr id="143" name="Frame142"/>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5735" cy="175260"/>
                      <wp:effectExtent l="0" t="0" r="0" b="0"/>
                      <wp:wrapNone/>
                      <wp:docPr id="145" name="Frame14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26110" cy="175260"/>
                      <wp:effectExtent l="0" t="0" r="0" b="0"/>
                      <wp:wrapNone/>
                      <wp:docPr id="146" name="Frame145"/>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85725" cy="175260"/>
                      <wp:effectExtent l="0" t="0" r="0" b="0"/>
                      <wp:wrapNone/>
                      <wp:docPr id="147" name="Frame146"/>
                      <a:graphic xmlns:a="http://schemas.openxmlformats.org/drawingml/2006/main">
                        <a:graphicData uri="http://schemas.microsoft.com/office/word/2010/wordprocessingShape">
                          <wps:wsp>
                            <wps:cNvSpPr txBox="1"/>
                            <wps:spPr>
                              <a:xfrm>
                                <a:off x="0" y="0"/>
                                <a:ext cx="85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5735" cy="175260"/>
                      <wp:effectExtent l="0" t="0" r="0" b="0"/>
                      <wp:wrapNone/>
                      <wp:docPr id="148" name="Frame14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08660" cy="175260"/>
                      <wp:effectExtent l="0" t="0" r="0" b="0"/>
                      <wp:wrapNone/>
                      <wp:docPr id="149" name="Frame148"/>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1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4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1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4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60" w:type="dxa"/>
            <w:tcBorders/>
            <w:vAlign w:val="center"/>
          </w:tcPr>
          <w:p>
            <w:pPr>
              <w:pStyle w:val="TableContents"/>
              <w:bidi w:val="0"/>
              <w:spacing w:before="0" w:after="0"/>
              <w:ind w:left="0" w:right="0" w:hanging="0"/>
              <w:jc w:val="center"/>
              <w:rPr/>
            </w:pPr>
            <w:r>
              <w:rPr/>
              <w:t>​</w:t>
            </w:r>
          </w:p>
        </w:tc>
        <w:tc>
          <w:tcPr>
            <w:tcW w:w="13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35" w:type="dxa"/>
            <w:tcBorders/>
            <w:vAlign w:val="center"/>
          </w:tcPr>
          <w:p>
            <w:pPr>
              <w:pStyle w:val="TableContents"/>
              <w:bidi w:val="0"/>
              <w:spacing w:before="0" w:after="0"/>
              <w:ind w:left="0" w:right="0" w:hanging="0"/>
              <w:jc w:val="center"/>
              <w:rPr/>
            </w:pPr>
            <w:r>
              <w:rPr/>
              <w:t>​</w:t>
            </w:r>
          </w:p>
        </w:tc>
        <w:tc>
          <w:tcPr>
            <w:tcW w:w="13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1019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86"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3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Equipment leased to customers</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28,630</w:t>
            </w:r>
          </w:p>
        </w:tc>
        <w:tc>
          <w:tcPr>
            <w:tcW w:w="160"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15,375</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83,761</w:t>
            </w:r>
          </w:p>
        </w:tc>
        <w:tc>
          <w:tcPr>
            <w:tcW w:w="135"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87,075</w:t>
            </w:r>
          </w:p>
        </w:tc>
      </w:tr>
      <w:tr>
        <w:trPr/>
        <w:tc>
          <w:tcPr>
            <w:tcW w:w="43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Satellites </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23,432</w:t>
            </w:r>
          </w:p>
        </w:tc>
        <w:tc>
          <w:tcPr>
            <w:tcW w:w="160"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26,357</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70,124</w:t>
            </w:r>
          </w:p>
        </w:tc>
        <w:tc>
          <w:tcPr>
            <w:tcW w:w="13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79,902</w:t>
            </w:r>
          </w:p>
        </w:tc>
      </w:tr>
      <w:tr>
        <w:trPr/>
        <w:tc>
          <w:tcPr>
            <w:tcW w:w="43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Buildings, furniture, fixtures, equipment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14,740</w:t>
            </w:r>
          </w:p>
        </w:tc>
        <w:tc>
          <w:tcPr>
            <w:tcW w:w="160"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33,690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47,513</w:t>
            </w:r>
          </w:p>
        </w:tc>
        <w:tc>
          <w:tcPr>
            <w:tcW w:w="135"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63,767</w:t>
            </w:r>
          </w:p>
        </w:tc>
      </w:tr>
      <w:tr>
        <w:trPr/>
        <w:tc>
          <w:tcPr>
            <w:tcW w:w="43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Software and computer equipment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6,886</w:t>
            </w:r>
          </w:p>
        </w:tc>
        <w:tc>
          <w:tcPr>
            <w:tcW w:w="160"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6,471</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20,977</w:t>
            </w:r>
          </w:p>
        </w:tc>
        <w:tc>
          <w:tcPr>
            <w:tcW w:w="13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19,674</w:t>
            </w:r>
          </w:p>
        </w:tc>
      </w:tr>
      <w:tr>
        <w:trPr/>
        <w:tc>
          <w:tcPr>
            <w:tcW w:w="43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Intangible assets and other 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9,530</w:t>
            </w:r>
          </w:p>
        </w:tc>
        <w:tc>
          <w:tcPr>
            <w:tcW w:w="160"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8,826</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28,658</w:t>
            </w:r>
          </w:p>
        </w:tc>
        <w:tc>
          <w:tcPr>
            <w:tcW w:w="135"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27,176</w:t>
            </w:r>
          </w:p>
        </w:tc>
      </w:tr>
      <w:tr>
        <w:trPr/>
        <w:tc>
          <w:tcPr>
            <w:tcW w:w="439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depreciation and amortization</w:t>
            </w:r>
          </w:p>
        </w:tc>
        <w:tc>
          <w:tcPr>
            <w:tcW w:w="109"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83,218</w:t>
            </w:r>
          </w:p>
        </w:tc>
        <w:tc>
          <w:tcPr>
            <w:tcW w:w="160"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90,719</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251,033</w:t>
            </w:r>
          </w:p>
        </w:tc>
        <w:tc>
          <w:tcPr>
            <w:tcW w:w="135"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277,594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Cost of sales and operating expense categories included in our accompanying Condensed Consolidated Statements of Operations and Comprehensive Income (Loss) do not include depreciation and amortization expense related to satellites, equipment leased to customers, and amortization of development costs of externally marketed software.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Satellites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our satellite fleet consisted of six satellites in geosynchronous orbit approximately 22,300 miles above the equator, two of which we own and depreciate over their estimated useful life. We also lease four satellites, three of which we lease from third parties and are accounted for as finance leases and are depreciated over their economic life and one of which we lease from EchoStar which is accounted for as an operating lease.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As of September 30, 2025, our satellite fleet consisted of the following: </w:t>
      </w:r>
    </w:p>
    <w:tbl>
      <w:tblPr>
        <w:tblW w:w="6802" w:type="dxa"/>
        <w:jc w:val="left"/>
        <w:tblInd w:w="0" w:type="dxa"/>
        <w:tblLayout w:type="fixed"/>
        <w:tblCellMar>
          <w:top w:w="0" w:type="dxa"/>
          <w:left w:w="0" w:type="dxa"/>
          <w:bottom w:w="0" w:type="dxa"/>
          <w:right w:w="0" w:type="dxa"/>
        </w:tblCellMar>
      </w:tblPr>
      <w:tblGrid>
        <w:gridCol w:w="2041"/>
        <w:gridCol w:w="146"/>
        <w:gridCol w:w="1471"/>
        <w:gridCol w:w="326"/>
        <w:gridCol w:w="976"/>
        <w:gridCol w:w="326"/>
        <w:gridCol w:w="15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96035" cy="175260"/>
                      <wp:effectExtent l="0" t="0" r="0" b="0"/>
                      <wp:wrapNone/>
                      <wp:docPr id="150" name="Frame149"/>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2710" cy="175260"/>
                      <wp:effectExtent l="0" t="0" r="0" b="0"/>
                      <wp:wrapNone/>
                      <wp:docPr id="151" name="Frame1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34085" cy="175260"/>
                      <wp:effectExtent l="0" t="0" r="0" b="0"/>
                      <wp:wrapNone/>
                      <wp:docPr id="152" name="Frame15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19760" cy="175260"/>
                      <wp:effectExtent l="0" t="0" r="0" b="0"/>
                      <wp:wrapNone/>
                      <wp:docPr id="154" name="Frame15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62660" cy="175260"/>
                      <wp:effectExtent l="0" t="0" r="0" b="0"/>
                      <wp:wrapNone/>
                      <wp:docPr id="156" name="Frame15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Degree</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Lease</w:t>
            </w:r>
          </w:p>
        </w:tc>
      </w:tr>
      <w:tr>
        <w:trPr/>
        <w:tc>
          <w:tcPr>
            <w:tcW w:w="20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Orbital</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Termination</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Satellites</w:t>
            </w:r>
          </w:p>
        </w:tc>
        <w:tc>
          <w:tcPr>
            <w:tcW w:w="146" w:type="dxa"/>
            <w:tcBorders/>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Launch Date</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20"/>
              </w:rPr>
              <w:t>Location</w:t>
            </w:r>
          </w:p>
        </w:tc>
        <w:tc>
          <w:tcPr>
            <w:tcW w:w="326" w:type="dxa"/>
            <w:tcBorders/>
            <w:vAlign w:val="center"/>
          </w:tcPr>
          <w:p>
            <w:pPr>
              <w:pStyle w:val="TableContents"/>
              <w:bidi w:val="0"/>
              <w:spacing w:before="0" w:after="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w:t>
            </w:r>
          </w:p>
        </w:tc>
      </w:tr>
      <w:tr>
        <w:trPr/>
        <w:tc>
          <w:tcPr>
            <w:tcW w:w="204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Owned:</w:t>
            </w:r>
          </w:p>
        </w:tc>
        <w:tc>
          <w:tcPr>
            <w:tcW w:w="146" w:type="dxa"/>
            <w:tcBorders/>
            <w:shd w:fill="CCEEFF" w:val="clear"/>
            <w:vAlign w:val="center"/>
          </w:tcPr>
          <w:p>
            <w:pPr>
              <w:pStyle w:val="TableContents"/>
              <w:bidi w:val="0"/>
              <w:spacing w:before="0" w:after="0"/>
              <w:ind w:left="0" w:right="0" w:hanging="0"/>
              <w:jc w:val="left"/>
              <w:rPr/>
            </w:pPr>
            <w:r>
              <w:rPr/>
              <w:t> </w:t>
            </w:r>
          </w:p>
        </w:tc>
        <w:tc>
          <w:tcPr>
            <w:tcW w:w="14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XVII</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2012</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107</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0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XIX</w:t>
            </w:r>
          </w:p>
        </w:tc>
        <w:tc>
          <w:tcPr>
            <w:tcW w:w="146" w:type="dxa"/>
            <w:tcBorders/>
            <w:shd w:fill="CCEEFF" w:val="clear"/>
            <w:vAlign w:val="center"/>
          </w:tcPr>
          <w:p>
            <w:pPr>
              <w:pStyle w:val="TableContents"/>
              <w:bidi w:val="0"/>
              <w:spacing w:before="0" w:after="0"/>
              <w:ind w:left="0" w:right="0" w:hanging="0"/>
              <w:jc w:val="left"/>
              <w:rPr/>
            </w:pPr>
            <w:r>
              <w:rPr/>
              <w:t> </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December 2016</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97.1</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0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pPr>
            <w:r>
              <w:rPr/>
              <w:t>​</w:t>
            </w:r>
          </w:p>
        </w:tc>
      </w:tr>
      <w:tr>
        <w:trPr/>
        <w:tc>
          <w:tcPr>
            <w:tcW w:w="204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Finance leases:</w:t>
            </w:r>
          </w:p>
        </w:tc>
        <w:tc>
          <w:tcPr>
            <w:tcW w:w="146" w:type="dxa"/>
            <w:tcBorders/>
            <w:shd w:fill="CCEEFF" w:val="clear"/>
            <w:vAlign w:val="center"/>
          </w:tcPr>
          <w:p>
            <w:pPr>
              <w:pStyle w:val="TableContents"/>
              <w:bidi w:val="0"/>
              <w:spacing w:before="0" w:after="0"/>
              <w:ind w:left="0" w:right="0" w:hanging="0"/>
              <w:jc w:val="left"/>
              <w:rPr/>
            </w:pPr>
            <w:r>
              <w:rPr/>
              <w:t> </w:t>
            </w:r>
          </w:p>
        </w:tc>
        <w:tc>
          <w:tcPr>
            <w:tcW w:w="14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Eutelsat 65 West A</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March 2016</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65</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2031</w:t>
            </w:r>
          </w:p>
        </w:tc>
      </w:tr>
      <w:tr>
        <w:trPr/>
        <w:tc>
          <w:tcPr>
            <w:tcW w:w="20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Telesat T19V</w:t>
            </w:r>
          </w:p>
        </w:tc>
        <w:tc>
          <w:tcPr>
            <w:tcW w:w="146" w:type="dxa"/>
            <w:tcBorders/>
            <w:shd w:fill="CCEEFF" w:val="clear"/>
            <w:vAlign w:val="center"/>
          </w:tcPr>
          <w:p>
            <w:pPr>
              <w:pStyle w:val="TableContents"/>
              <w:bidi w:val="0"/>
              <w:spacing w:before="0" w:after="0"/>
              <w:ind w:left="0" w:right="0" w:hanging="0"/>
              <w:jc w:val="left"/>
              <w:rPr/>
            </w:pPr>
            <w:r>
              <w:rPr/>
              <w:t> </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2018</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63</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August 2033</w:t>
            </w:r>
          </w:p>
        </w:tc>
      </w:tr>
      <w:tr>
        <w:trPr/>
        <w:tc>
          <w:tcPr>
            <w:tcW w:w="20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105/SES</w:t>
              <w:noBreakHyphen/>
              <w:t>11</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October 2017</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105</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November 2030</w:t>
            </w:r>
          </w:p>
        </w:tc>
      </w:tr>
      <w:tr>
        <w:trPr/>
        <w:tc>
          <w:tcPr>
            <w:tcW w:w="204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Operating leases:</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pPr>
            <w:r>
              <w:rPr/>
              <w:t>​</w:t>
            </w:r>
          </w:p>
        </w:tc>
      </w:tr>
      <w:tr>
        <w:trPr/>
        <w:tc>
          <w:tcPr>
            <w:tcW w:w="20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XXIV</w:t>
            </w:r>
          </w:p>
        </w:tc>
        <w:tc>
          <w:tcPr>
            <w:tcW w:w="1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2023</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95.2</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December 2030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2025, all commercial traffic on the Al Yah 3 satellite had been transferred to other satellites in our fleet and the Al Yah 3 satellite is no longer operational and is no longer in service.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Satellite-Related Commitments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and December 31, 2024 our satellite-related commitments, excluding in-orbit incentives and related party satellite lease commitments, were $38 million and $43 million, respectively. These include payments pursuant to regulatory authorizations, non-lease costs associated with our finance lease satellites, and commitments for satellite service arrangements.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certain circumstances, the dates on which we are obligated to pay our contractual obligations could change.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Satellite Anomalies and Impairments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satellites may experience anomalies from time to time, some of which may have a significant adverse effect on their remaining useful lives, the commercial operation of the satellites or our operating results or financial position.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can be no assurance that future anomalies will not impact the remaining useful life and/or commercial operation of any of the owned and leased satellites in our fleet. There can be no assurance that we can recover critical transmission capacity in the event one or more of our owned or leased in-orbit satellites were to fail. We are not aware of any anomalies with respect to our owned or leased satellites that have had any such significant adverse effect during the three and nine months ended September 30, 2025.</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generally do not carry commercial in-orbit insurance on any of the satellites that we own and therefore, we will bear the risk associated with any uninsured in-orbit satellite failures. However, 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During the</w:t>
      </w:r>
      <w:r>
        <w:rPr>
          <w:rFonts w:ascii="Arial;Helvetica;sans-serif" w:hAnsi="Arial;Helvetica;sans-serif"/>
          <w:color w:val="FF0000"/>
          <w:sz w:val="20"/>
        </w:rPr>
        <w:t xml:space="preserve"> </w:t>
      </w:r>
      <w:r>
        <w:rPr>
          <w:rFonts w:ascii="Arial;Helvetica;sans-serif" w:hAnsi="Arial;Helvetica;sans-serif"/>
          <w:sz w:val="20"/>
        </w:rPr>
        <w:t xml:space="preserve">nine months ended September 30, 2025, we received a commitment from the insurance carrier for $5 million, of which we received $4 million in proceeds.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Fair Value of In-Orbit Incentives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of September 30, 2025 and December 31, 2024, the fair values of our in-orbit incentive obligations approximated their carrying amounts of $36 million and $41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076" w:name="Tc_f0b3lsEKTUuhE1P1fEHC2w_14_11"/>
      <w:bookmarkStart w:id="1077" w:name="Tc_-xj_UgJ8x0OwXzDb5z3wow_14_8"/>
      <w:bookmarkStart w:id="1078" w:name="Tc_TY2PDbfJF0udcDoaJUAyqA_14_5"/>
      <w:bookmarkStart w:id="1079" w:name="Tc_xkWinG4JTUuooo4Kbvn0LQ_14_2"/>
      <w:bookmarkStart w:id="1080" w:name="Tc_Y8aisyb3SkutR4C5oNvINA_14_0"/>
      <w:bookmarkStart w:id="1081" w:name="Tc_9s3hyz1F1UGP3kmiTVPB4A_13_0"/>
      <w:bookmarkStart w:id="1082" w:name="Tc_cyaW_VzqskaMcP_mgchfyQ_12_0"/>
      <w:bookmarkStart w:id="1083" w:name="Tc_V916y3HYokav1YdGGH-qcg_11_0"/>
      <w:bookmarkStart w:id="1084" w:name="Tc_jAceSHECV0i8pvsrvbHM1A_10_0"/>
      <w:bookmarkStart w:id="1085" w:name="Tc_TDxL2dPoyEuU4VfNjBCCKg_8_0"/>
      <w:bookmarkStart w:id="1086" w:name="Tc_dIdOtxMYS0mx0GPTvp5BZg_7_0"/>
      <w:bookmarkStart w:id="1087" w:name="Tc_nYAfAr7VhkmuXed03fV5vQ_6_11"/>
      <w:bookmarkStart w:id="1088" w:name="Tc_x3om-3iZ3kCW_KlkOnSJeQ_6_8"/>
      <w:bookmarkStart w:id="1089" w:name="Tc_fT8KNmJx9kWBURpWY8rLpA_6_5"/>
      <w:bookmarkStart w:id="1090" w:name="Tc_9DsaOEx1WkSrc11yrvrqDg_6_2"/>
      <w:bookmarkStart w:id="1091" w:name="Tc_Me1CxBD2D0yyq3uffzBFeA_6_0"/>
      <w:bookmarkStart w:id="1092" w:name="Tc_CaBzBmMAuEW862vR9ULXZg_5_0"/>
      <w:bookmarkStart w:id="1093" w:name="Tc_zoLZwRWtaUqThaPtZPtwlg_4_2"/>
      <w:bookmarkStart w:id="1094" w:name="Tc_NA-DKcelt0W4MNk_VtirdA_3_11"/>
      <w:bookmarkStart w:id="1095" w:name="Tc_vOvUHTg2IkC3P4tn_WXoaA_3_8"/>
      <w:bookmarkStart w:id="1096" w:name="Tc_YmoLyGTT5UGWlnxi3rUGRQ_3_5"/>
      <w:bookmarkStart w:id="1097" w:name="Tc_x89AOBLlkUWZnTwg3ySRGA_3_2"/>
      <w:bookmarkStart w:id="1098" w:name="Tc_KpsdwXTWskS7nQP_a-C-qQ_2_8"/>
      <w:bookmarkStart w:id="1099" w:name="Tc_PFfxIjifo0OEYvo0WiTJpg_2_2"/>
      <w:bookmarkStart w:id="1100" w:name="Tc_GS8uvy80ZUKwyI_gMSVn8A_1_8"/>
      <w:bookmarkStart w:id="1101" w:name="Tc_wI_rEolmaUKS50v_yoqV4Q_1_2"/>
      <w:bookmarkStart w:id="1102" w:name="Tc_f0b3lsEKTUuhE1P1fEHC2w_14_11"/>
      <w:bookmarkStart w:id="1103" w:name="Tc_-xj_UgJ8x0OwXzDb5z3wow_14_8"/>
      <w:bookmarkStart w:id="1104" w:name="Tc_TY2PDbfJF0udcDoaJUAyqA_14_5"/>
      <w:bookmarkStart w:id="1105" w:name="Tc_xkWinG4JTUuooo4Kbvn0LQ_14_2"/>
      <w:bookmarkStart w:id="1106" w:name="Tc_Y8aisyb3SkutR4C5oNvINA_14_0"/>
      <w:bookmarkStart w:id="1107" w:name="Tc_9s3hyz1F1UGP3kmiTVPB4A_13_0"/>
      <w:bookmarkStart w:id="1108" w:name="Tc_cyaW_VzqskaMcP_mgchfyQ_12_0"/>
      <w:bookmarkStart w:id="1109" w:name="Tc_V916y3HYokav1YdGGH-qcg_11_0"/>
      <w:bookmarkStart w:id="1110" w:name="Tc_jAceSHECV0i8pvsrvbHM1A_10_0"/>
      <w:bookmarkStart w:id="1111" w:name="Tc_TDxL2dPoyEuU4VfNjBCCKg_8_0"/>
      <w:bookmarkStart w:id="1112" w:name="Tc_dIdOtxMYS0mx0GPTvp5BZg_7_0"/>
      <w:bookmarkStart w:id="1113" w:name="Tc_nYAfAr7VhkmuXed03fV5vQ_6_11"/>
      <w:bookmarkStart w:id="1114" w:name="Tc_x3om-3iZ3kCW_KlkOnSJeQ_6_8"/>
      <w:bookmarkStart w:id="1115" w:name="Tc_fT8KNmJx9kWBURpWY8rLpA_6_5"/>
      <w:bookmarkStart w:id="1116" w:name="Tc_9DsaOEx1WkSrc11yrvrqDg_6_2"/>
      <w:bookmarkStart w:id="1117" w:name="Tc_Me1CxBD2D0yyq3uffzBFeA_6_0"/>
      <w:bookmarkStart w:id="1118" w:name="Tc_CaBzBmMAuEW862vR9ULXZg_5_0"/>
      <w:bookmarkStart w:id="1119" w:name="Tc_zoLZwRWtaUqThaPtZPtwlg_4_2"/>
      <w:bookmarkStart w:id="1120" w:name="Tc_NA-DKcelt0W4MNk_VtirdA_3_11"/>
      <w:bookmarkStart w:id="1121" w:name="Tc_vOvUHTg2IkC3P4tn_WXoaA_3_8"/>
      <w:bookmarkStart w:id="1122" w:name="Tc_YmoLyGTT5UGWlnxi3rUGRQ_3_5"/>
      <w:bookmarkStart w:id="1123" w:name="Tc_x89AOBLlkUWZnTwg3ySRGA_3_2"/>
      <w:bookmarkStart w:id="1124" w:name="Tc_KpsdwXTWskS7nQP_a-C-qQ_2_8"/>
      <w:bookmarkStart w:id="1125" w:name="Tc_PFfxIjifo0OEYvo0WiTJpg_2_2"/>
      <w:bookmarkStart w:id="1126" w:name="Tc_GS8uvy80ZUKwyI_gMSVn8A_1_8"/>
      <w:bookmarkStart w:id="1127" w:name="Tc_wI_rEolmaUKS50v_yoqV4Q_1_2"/>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tbl>
      <w:tblPr>
        <w:tblW w:w="1082" w:type="dxa"/>
        <w:jc w:val="left"/>
        <w:tblInd w:w="0" w:type="dxa"/>
        <w:tblLayout w:type="fixed"/>
        <w:tblCellMar>
          <w:top w:w="0" w:type="dxa"/>
          <w:left w:w="0" w:type="dxa"/>
          <w:bottom w:w="0" w:type="dxa"/>
          <w:right w:w="0" w:type="dxa"/>
        </w:tblCellMar>
      </w:tblPr>
      <w:tblGrid>
        <w:gridCol w:w="286"/>
        <w:gridCol w:w="79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7.</w:t>
            </w:r>
          </w:p>
        </w:tc>
        <w:tc>
          <w:tcPr>
            <w:tcW w:w="79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Leases</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Lessee Accounting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enter into non-cancelable operating and finance leases for, among other things, satellites, satellite-related ground infrastructure, data centers, office space, warehouses and distribution centers. Substantially all of our leases have remaining lease terms from</w:t>
      </w:r>
      <w:r>
        <w:rPr>
          <w:rFonts w:ascii="Arial;Helvetica;sans-serif" w:hAnsi="Arial;Helvetica;sans-serif"/>
          <w:color w:val="FF0000"/>
          <w:sz w:val="20"/>
        </w:rPr>
        <w:t xml:space="preserve"> </w:t>
      </w:r>
      <w:r>
        <w:rPr>
          <w:rFonts w:ascii="Arial;Helvetica;sans-serif" w:hAnsi="Arial;Helvetica;sans-serif"/>
          <w:b w:val="false"/>
          <w:i w:val="false"/>
          <w:caps w:val="false"/>
          <w:smallCaps w:val="false"/>
          <w:sz w:val="20"/>
        </w:rPr>
        <w:t>one</w:t>
      </w:r>
      <w:r>
        <w:rPr>
          <w:rFonts w:ascii="Arial;Helvetica;sans-serif" w:hAnsi="Arial;Helvetica;sans-serif"/>
          <w:sz w:val="20"/>
        </w:rPr>
        <w:t xml:space="preserve"> to 13 years, with a weighted average remaining lease term of 5.8 years, some of which include renewal options, and some of which include options to terminate the leases within one year. For certain arrangements, the lease term includes the non-cancelable period plus the renewal period that we are reasonably certain to exercise.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Eutelsat 65 West A, Telesat T19V and EchoStar 105/SES-11 satellites are accounted for as finance leases. Substantially all of our remaining leases are accounted for as operating leases, including our EchoStar XXIV satellite lease. Refer to Note 12 for further details on the EchoStar XXIV operating lease.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components of lease expense were as follows: </w:t>
      </w:r>
    </w:p>
    <w:p>
      <w:pPr>
        <w:pStyle w:val="TextBody"/>
        <w:bidi w:val="0"/>
        <w:spacing w:before="0" w:after="0"/>
        <w:ind w:left="0" w:right="0" w:hanging="0"/>
        <w:jc w:val="left"/>
        <w:rPr/>
      </w:pPr>
      <w:r>
        <w:rPr/>
        <w:t>​</w:t>
      </w:r>
    </w:p>
    <w:tbl>
      <w:tblPr>
        <w:tblW w:w="9231" w:type="dxa"/>
        <w:jc w:val="left"/>
        <w:tblInd w:w="0" w:type="dxa"/>
        <w:tblLayout w:type="fixed"/>
        <w:tblCellMar>
          <w:top w:w="0" w:type="dxa"/>
          <w:left w:w="0" w:type="dxa"/>
          <w:bottom w:w="0" w:type="dxa"/>
          <w:right w:w="0" w:type="dxa"/>
        </w:tblCellMar>
      </w:tblPr>
      <w:tblGrid>
        <w:gridCol w:w="3436"/>
        <w:gridCol w:w="109"/>
        <w:gridCol w:w="311"/>
        <w:gridCol w:w="1018"/>
        <w:gridCol w:w="160"/>
        <w:gridCol w:w="311"/>
        <w:gridCol w:w="1018"/>
        <w:gridCol w:w="109"/>
        <w:gridCol w:w="261"/>
        <w:gridCol w:w="986"/>
        <w:gridCol w:w="135"/>
        <w:gridCol w:w="261"/>
        <w:gridCol w:w="111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81860" cy="175260"/>
                      <wp:effectExtent l="0" t="0" r="0" b="0"/>
                      <wp:wrapNone/>
                      <wp:docPr id="157" name="Frame15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7485" cy="175260"/>
                      <wp:effectExtent l="0" t="0" r="0" b="0"/>
                      <wp:wrapNone/>
                      <wp:docPr id="159" name="Frame158"/>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6430" cy="175260"/>
                      <wp:effectExtent l="0" t="0" r="0" b="0"/>
                      <wp:wrapNone/>
                      <wp:docPr id="160" name="Frame159"/>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01600" cy="175260"/>
                      <wp:effectExtent l="0" t="0" r="0" b="0"/>
                      <wp:wrapNone/>
                      <wp:docPr id="161" name="Frame16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7485" cy="175260"/>
                      <wp:effectExtent l="0" t="0" r="0" b="0"/>
                      <wp:wrapNone/>
                      <wp:docPr id="162" name="Frame161"/>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6430" cy="175260"/>
                      <wp:effectExtent l="0" t="0" r="0" b="0"/>
                      <wp:wrapNone/>
                      <wp:docPr id="163" name="Frame162"/>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5735" cy="175260"/>
                      <wp:effectExtent l="0" t="0" r="0" b="0"/>
                      <wp:wrapNone/>
                      <wp:docPr id="165" name="Frame16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26110" cy="175260"/>
                      <wp:effectExtent l="0" t="0" r="0" b="0"/>
                      <wp:wrapNone/>
                      <wp:docPr id="166" name="Frame165"/>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85725" cy="175260"/>
                      <wp:effectExtent l="0" t="0" r="0" b="0"/>
                      <wp:wrapNone/>
                      <wp:docPr id="167" name="Frame166"/>
                      <a:graphic xmlns:a="http://schemas.openxmlformats.org/drawingml/2006/main">
                        <a:graphicData uri="http://schemas.microsoft.com/office/word/2010/wordprocessingShape">
                          <wps:wsp>
                            <wps:cNvSpPr txBox="1"/>
                            <wps:spPr>
                              <a:xfrm>
                                <a:off x="0" y="0"/>
                                <a:ext cx="85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5735" cy="175260"/>
                      <wp:effectExtent l="0" t="0" r="0" b="0"/>
                      <wp:wrapNone/>
                      <wp:docPr id="168" name="Frame16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08660" cy="175260"/>
                      <wp:effectExtent l="0" t="0" r="0" b="0"/>
                      <wp:wrapNone/>
                      <wp:docPr id="169" name="Frame168"/>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818"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1"/>
              <w:ind w:left="0" w:right="0" w:hanging="0"/>
              <w:jc w:val="left"/>
              <w:rPr/>
            </w:pPr>
            <w:r>
              <w:rPr/>
              <w:t>​</w:t>
            </w:r>
          </w:p>
        </w:tc>
        <w:tc>
          <w:tcPr>
            <w:tcW w:w="2759"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81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left"/>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60" w:type="dxa"/>
            <w:tcBorders/>
            <w:vAlign w:val="center"/>
          </w:tcPr>
          <w:p>
            <w:pPr>
              <w:pStyle w:val="TableContents"/>
              <w:bidi w:val="0"/>
              <w:spacing w:before="0" w:after="1"/>
              <w:ind w:left="0" w:right="0" w:hanging="0"/>
              <w:jc w:val="left"/>
              <w:rPr/>
            </w:pPr>
            <w:r>
              <w:rPr/>
              <w:t>​</w:t>
            </w:r>
          </w:p>
        </w:tc>
        <w:tc>
          <w:tcPr>
            <w:tcW w:w="13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35" w:type="dxa"/>
            <w:tcBorders/>
            <w:vAlign w:val="center"/>
          </w:tcPr>
          <w:p>
            <w:pPr>
              <w:pStyle w:val="TableContents"/>
              <w:bidi w:val="0"/>
              <w:spacing w:before="0" w:after="1"/>
              <w:ind w:left="0" w:right="0" w:hanging="0"/>
              <w:jc w:val="left"/>
              <w:rPr/>
            </w:pPr>
            <w:r>
              <w:rPr/>
              <w:t>​</w:t>
            </w:r>
          </w:p>
        </w:tc>
        <w:tc>
          <w:tcPr>
            <w:tcW w:w="13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923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86" w:type="dxa"/>
            <w:gridSpan w:val="11"/>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center"/>
              <w:rPr/>
            </w:pPr>
            <w:r>
              <w:rPr/>
              <w:t>​</w:t>
            </w:r>
          </w:p>
        </w:tc>
        <w:tc>
          <w:tcPr>
            <w:tcW w:w="1018" w:type="dxa"/>
            <w:tcBorders/>
            <w:shd w:fill="CCEEFF" w:val="clear"/>
            <w:vAlign w:val="center"/>
          </w:tcPr>
          <w:p>
            <w:pPr>
              <w:pStyle w:val="TableContents"/>
              <w:bidi w:val="0"/>
              <w:spacing w:before="0" w:after="1"/>
              <w:ind w:left="0" w:right="0" w:hanging="0"/>
              <w:jc w:val="center"/>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center"/>
              <w:rPr/>
            </w:pPr>
            <w:r>
              <w:rPr/>
              <w:t>​</w:t>
            </w:r>
          </w:p>
        </w:tc>
        <w:tc>
          <w:tcPr>
            <w:tcW w:w="1018"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center"/>
              <w:rPr/>
            </w:pPr>
            <w:r>
              <w:rPr/>
              <w:t>​</w:t>
            </w:r>
          </w:p>
        </w:tc>
        <w:tc>
          <w:tcPr>
            <w:tcW w:w="986" w:type="dxa"/>
            <w:tcBorders/>
            <w:shd w:fill="CCEEFF" w:val="clear"/>
            <w:vAlign w:val="center"/>
          </w:tcPr>
          <w:p>
            <w:pPr>
              <w:pStyle w:val="TableContents"/>
              <w:bidi w:val="0"/>
              <w:spacing w:before="0" w:after="1"/>
              <w:ind w:left="0" w:right="0" w:hanging="0"/>
              <w:jc w:val="center"/>
              <w:rPr/>
            </w:pPr>
            <w:r>
              <w:rPr/>
              <w:t>​</w:t>
            </w:r>
          </w:p>
        </w:tc>
        <w:tc>
          <w:tcPr>
            <w:tcW w:w="135"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center"/>
              <w:rPr/>
            </w:pPr>
            <w:r>
              <w:rPr/>
              <w:t>​</w:t>
            </w:r>
          </w:p>
        </w:tc>
        <w:tc>
          <w:tcPr>
            <w:tcW w:w="1116" w:type="dxa"/>
            <w:tcBorders/>
            <w:shd w:fill="CCEEFF" w:val="clear"/>
            <w:vAlign w:val="center"/>
          </w:tcPr>
          <w:p>
            <w:pPr>
              <w:pStyle w:val="TableContents"/>
              <w:bidi w:val="0"/>
              <w:spacing w:before="0" w:after="1"/>
              <w:ind w:left="0" w:right="0" w:hanging="0"/>
              <w:jc w:val="center"/>
              <w:rPr/>
            </w:pPr>
            <w:r>
              <w:rPr/>
              <w:t>​</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109"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6,707</w:t>
            </w:r>
          </w:p>
        </w:tc>
        <w:tc>
          <w:tcPr>
            <w:tcW w:w="160"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6,538</w:t>
            </w:r>
          </w:p>
        </w:tc>
        <w:tc>
          <w:tcPr>
            <w:tcW w:w="109"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19,932</w:t>
            </w:r>
          </w:p>
        </w:tc>
        <w:tc>
          <w:tcPr>
            <w:tcW w:w="135"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18,733</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 - EchoStar XXIV</w:t>
            </w:r>
          </w:p>
        </w:tc>
        <w:tc>
          <w:tcPr>
            <w:tcW w:w="109"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47,675</w:t>
            </w:r>
          </w:p>
        </w:tc>
        <w:tc>
          <w:tcPr>
            <w:tcW w:w="160"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47,675</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143,025</w:t>
            </w:r>
          </w:p>
        </w:tc>
        <w:tc>
          <w:tcPr>
            <w:tcW w:w="135"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143,025</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cost</w:t>
            </w:r>
          </w:p>
        </w:tc>
        <w:tc>
          <w:tcPr>
            <w:tcW w:w="109"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54,382</w:t>
            </w:r>
          </w:p>
        </w:tc>
        <w:tc>
          <w:tcPr>
            <w:tcW w:w="160"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54,213</w:t>
            </w:r>
          </w:p>
        </w:tc>
        <w:tc>
          <w:tcPr>
            <w:tcW w:w="109"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162,957</w:t>
            </w:r>
          </w:p>
        </w:tc>
        <w:tc>
          <w:tcPr>
            <w:tcW w:w="135"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11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161,758</w:t>
            </w:r>
          </w:p>
        </w:tc>
      </w:tr>
      <w:tr>
        <w:trPr/>
        <w:tc>
          <w:tcPr>
            <w:tcW w:w="34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pPr>
            <w:r>
              <w:rPr/>
              <w:t>​</w:t>
            </w:r>
          </w:p>
        </w:tc>
        <w:tc>
          <w:tcPr>
            <w:tcW w:w="135"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1116" w:type="dxa"/>
            <w:tcBorders/>
            <w:shd w:fill="CCEEFF" w:val="clear"/>
            <w:vAlign w:val="center"/>
          </w:tcPr>
          <w:p>
            <w:pPr>
              <w:pStyle w:val="TableContents"/>
              <w:bidi w:val="0"/>
              <w:spacing w:before="0" w:after="1"/>
              <w:ind w:left="0" w:right="0" w:hanging="0"/>
              <w:jc w:val="right"/>
              <w:rPr/>
            </w:pPr>
            <w:r>
              <w:rPr/>
              <w:t>​</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Finance lease cost:</w:t>
            </w:r>
          </w:p>
        </w:tc>
        <w:tc>
          <w:tcPr>
            <w:tcW w:w="109"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 </w:t>
            </w:r>
          </w:p>
        </w:tc>
        <w:tc>
          <w:tcPr>
            <w:tcW w:w="1018"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 </w:t>
            </w:r>
          </w:p>
        </w:tc>
        <w:tc>
          <w:tcPr>
            <w:tcW w:w="10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w:t>
            </w:r>
          </w:p>
        </w:tc>
        <w:tc>
          <w:tcPr>
            <w:tcW w:w="135"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1116" w:type="dxa"/>
            <w:tcBorders/>
            <w:vAlign w:val="center"/>
          </w:tcPr>
          <w:p>
            <w:pPr>
              <w:pStyle w:val="TableContents"/>
              <w:bidi w:val="0"/>
              <w:spacing w:before="0" w:after="1"/>
              <w:ind w:left="0" w:right="0" w:hanging="0"/>
              <w:jc w:val="right"/>
              <w:rPr/>
            </w:pPr>
            <w:r>
              <w:rPr/>
              <w:t>​</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Amortization of right-of-use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5,943</w:t>
            </w:r>
          </w:p>
        </w:tc>
        <w:tc>
          <w:tcPr>
            <w:tcW w:w="160"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12,714</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17,655</w:t>
            </w:r>
          </w:p>
        </w:tc>
        <w:tc>
          <w:tcPr>
            <w:tcW w:w="135"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11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18,027</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on lease liabilities</w:t>
            </w:r>
          </w:p>
        </w:tc>
        <w:tc>
          <w:tcPr>
            <w:tcW w:w="109"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5"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finance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5,943</w:t>
            </w:r>
          </w:p>
        </w:tc>
        <w:tc>
          <w:tcPr>
            <w:tcW w:w="160"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12,714</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17,655</w:t>
            </w:r>
          </w:p>
        </w:tc>
        <w:tc>
          <w:tcPr>
            <w:tcW w:w="135"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18,027</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costs</w:t>
            </w:r>
          </w:p>
        </w:tc>
        <w:tc>
          <w:tcPr>
            <w:tcW w:w="109"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60,325</w:t>
            </w:r>
          </w:p>
        </w:tc>
        <w:tc>
          <w:tcPr>
            <w:tcW w:w="160"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66,927</w:t>
            </w:r>
          </w:p>
        </w:tc>
        <w:tc>
          <w:tcPr>
            <w:tcW w:w="109"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180,612</w:t>
            </w:r>
          </w:p>
        </w:tc>
        <w:tc>
          <w:tcPr>
            <w:tcW w:w="135"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179,785</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bookmarkStart w:id="1128" w:name="Tc_e5re0rlCFE6fwpOgtRRqnQ_27_7"/>
      <w:bookmarkStart w:id="1129" w:name="Tc_oI8J4FWv3UmR6VJ_q5tP3w_27_4"/>
      <w:bookmarkStart w:id="1130" w:name="Tc_K0VcFcFOoE6c2CsSPHKgCg_27_0"/>
      <w:bookmarkStart w:id="1131" w:name="Tc_SbSWJOzzSU-G6WvyikIfaA_26_7"/>
      <w:bookmarkStart w:id="1132" w:name="Tc_DQDCb49l80aUjxMK4uzWrA_26_4"/>
      <w:bookmarkStart w:id="1133" w:name="Tc_fRte8vqQCEOCC30ib7mmfQ_26_0"/>
      <w:bookmarkStart w:id="1134" w:name="Tc_WS0TAbMw-E2IglaA2w2yng_25_0"/>
      <w:bookmarkStart w:id="1135" w:name="Tc_x3U-KfD-SkGVDLd8t6D7-Q_23_6"/>
      <w:bookmarkStart w:id="1136" w:name="Tc_6kP1cULjZ0CFUHyRjchoKA_23_3"/>
      <w:bookmarkStart w:id="1137" w:name="Tc_Cc4wAbRzREuNCcYaj22WkQ_23_0"/>
      <w:bookmarkStart w:id="1138" w:name="Tc_wpC-GvCUFkij3y3qd2RYCA_22_6"/>
      <w:bookmarkStart w:id="1139" w:name="Tc_NJYcws_dG0-grn9yWQ-RAg_22_3"/>
      <w:bookmarkStart w:id="1140" w:name="Tc_QQ8aRJDL_kGEmOFA_11V7w_22_0"/>
      <w:bookmarkStart w:id="1141" w:name="Tc_ZElkxU1BuU-fK1O3Pl6M0A_21_0"/>
      <w:bookmarkStart w:id="1142" w:name="Tc_qAhG3FA8bkGi9OerMpNCvQ_19_5"/>
      <w:bookmarkStart w:id="1143" w:name="Tc_cnjlIBwBi0eWhvEGsoRgnQ_19_2"/>
      <w:bookmarkStart w:id="1144" w:name="Tc_AcdF3UsFDEmJtgTIL1ATJQ_19_0"/>
      <w:bookmarkStart w:id="1145" w:name="Tc_lvrdZdhdkEyzFiuPHyeGaw_18_0"/>
      <w:bookmarkStart w:id="1146" w:name="Tc_Svt9YKDIv0WVYqvVWrR0Og_17_0"/>
      <w:bookmarkStart w:id="1147" w:name="Tc_uBS04Sdy5EKa-r6aITvL8A_16_0"/>
      <w:bookmarkStart w:id="1148" w:name="Tc_t-HI_yy07UyHQH3LZYw2bg_15_0"/>
      <w:bookmarkStart w:id="1149" w:name="Tc_Uq8HHDmWLkW1pemepZ80ZA_14_0"/>
      <w:bookmarkStart w:id="1150" w:name="Tc_YjWnCHuqpE-wr97949advg_13_0"/>
      <w:bookmarkStart w:id="1151" w:name="Tc_yPuf2swFdUq58gxXSNh4tg_12_5"/>
      <w:bookmarkStart w:id="1152" w:name="Tc_3Q1H2rUhYk2t2iHIoBanRg_12_2"/>
      <w:bookmarkStart w:id="1153" w:name="Tc_uA5lvvc4wUCGm4koGBM6TQ_12_0"/>
      <w:bookmarkStart w:id="1154" w:name="Tc_gpWffY_ZGkai9ATPSUDIPQ_11_0"/>
      <w:bookmarkStart w:id="1155" w:name="Tc_BEukb5wYAkeOs1TK48rxSw_10_0"/>
      <w:bookmarkStart w:id="1156" w:name="Tc_rN0kjNj-GEmh-C-kUNvHHQ_8_5"/>
      <w:bookmarkStart w:id="1157" w:name="Tc_XMjIjZiXfkegIMnvbbD3Og_8_2"/>
      <w:bookmarkStart w:id="1158" w:name="Tc__mgzwDAyBUW852In4cDoGg_8_0"/>
      <w:bookmarkStart w:id="1159" w:name="Tc_i_OEbMjXSUaESATIoFocvQ_6_5"/>
      <w:bookmarkStart w:id="1160" w:name="Tc_Dj4CDxxtFk2zggGXSkPAJA_6_2"/>
      <w:bookmarkStart w:id="1161" w:name="Tc_VWfPeD7-MU65Ygpvn3Fxnw_6_0"/>
      <w:bookmarkStart w:id="1162" w:name="Tc_lNT4sBtGs0m2F2-5aO6XOA_5_0"/>
      <w:bookmarkStart w:id="1163" w:name="Tc_0RBY1nssiEeVEAgZuM5O4A_4_2"/>
      <w:bookmarkStart w:id="1164" w:name="Tc_oYNCd6cflkqPyr9sKxbIOw_3_5"/>
      <w:bookmarkStart w:id="1165" w:name="Tc_nprRfNuX4UGhjkSiPYrSFg_3_2"/>
      <w:bookmarkStart w:id="1166" w:name="Tc_uZgPhJWYWUeW4N8n4VvppQ_2_5"/>
      <w:bookmarkStart w:id="1167" w:name="Tc_TpNtvUiFRESZ2B1UD1-wQg_2_2"/>
      <w:bookmarkStart w:id="1168" w:name="Tc_y3rAUcHwXEy6pD2ce40KUw_1_2"/>
      <w:bookmarkStart w:id="1169" w:name="_eea87c28_0c7f_4bc2_9690_35bae975cfea"/>
      <w:bookmarkStart w:id="1170" w:name="Tc_yHkVNVKjvEy2QX6O1BOlSw_12_5"/>
      <w:bookmarkStart w:id="1171" w:name="Tc_GR673dlxwE-w1Zjn6dPHGQ_12_2"/>
      <w:bookmarkStart w:id="1172" w:name="Tc_-0Wb5gHdukWbOXCTUKwtqg_12_0"/>
      <w:bookmarkStart w:id="1173" w:name="Tc_LJi3vvh4rkue2MaMd7mX8g_11_5"/>
      <w:bookmarkStart w:id="1174" w:name="Tc_FHs4ddQyoE-a3z82yiPCOg_11_2"/>
      <w:bookmarkStart w:id="1175" w:name="Tc_ZNuy_xZwGEWPFqXNe6krKA_11_0"/>
      <w:bookmarkStart w:id="1176" w:name="Tc_aqEo4yhTSE258awhM6LV0g_10_0"/>
      <w:bookmarkStart w:id="1177" w:name="Tc_XQU7QK2KwEudjsvQQEkzMQ_8_5"/>
      <w:bookmarkStart w:id="1178" w:name="Tc_1RQcOib2CkaXyLZrVmcyhg_8_2"/>
      <w:bookmarkStart w:id="1179" w:name="Tc_ZXf5NbH3okaUUv6cB6Z3jQ_8_0"/>
      <w:bookmarkStart w:id="1180" w:name="Tc_dGxn4Zp4D02xNXtqUfRZzw_7_5"/>
      <w:bookmarkStart w:id="1181" w:name="Tc_ddAXnOoyP0u8LkTq6qCjfA_7_2"/>
      <w:bookmarkStart w:id="1182" w:name="Tc_EtvzkJkTf0efoRnM-PW-tA_7_0"/>
      <w:bookmarkStart w:id="1183" w:name="Tc_SgM18v-ylUetoVHQeyefXA_6_5"/>
      <w:bookmarkStart w:id="1184" w:name="Tc_sANHzcmIOkm-jBz4DkheXQ_6_2"/>
      <w:bookmarkStart w:id="1185" w:name="Tc_kXHWPU9NjEG8szgLR_50iA_6_0"/>
      <w:bookmarkStart w:id="1186" w:name="Tc_XWgJ_Gila0C1pdlkSFrwAQ_5_0"/>
      <w:bookmarkStart w:id="1187" w:name="Tc_5PODsrlry0yADJpka4lL9g_4_2"/>
      <w:bookmarkStart w:id="1188" w:name="Tc_ZoZVozOdCE6j_Hm9q53mYg_3_5"/>
      <w:bookmarkStart w:id="1189" w:name="Tc_k7-QF95KnUmVqwBZD-D-JA_3_2"/>
      <w:bookmarkStart w:id="1190" w:name="Tc_1CeuiqZxzU-nCi5zMdYSDQ_2_2"/>
      <w:bookmarkStart w:id="1191" w:name="Tc_n3fWtcmqfUCR7WlC-t4iIQ_1_2"/>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r>
        <w:rPr>
          <w:rFonts w:ascii="Arial;Helvetica;sans-serif" w:hAnsi="Arial;Helvetica;sans-serif"/>
          <w:sz w:val="20"/>
        </w:rPr>
        <w:t>Supplemental cash flow information related to leases was as follows:</w:t>
      </w:r>
    </w:p>
    <w:p>
      <w:pPr>
        <w:pStyle w:val="TextBody"/>
        <w:bidi w:val="0"/>
        <w:spacing w:before="0" w:after="0"/>
        <w:ind w:left="0" w:right="0" w:hanging="0"/>
        <w:jc w:val="left"/>
        <w:rPr/>
      </w:pPr>
      <w:r>
        <w:rPr/>
        <w:t>​</w:t>
      </w:r>
    </w:p>
    <w:tbl>
      <w:tblPr>
        <w:tblW w:w="9633" w:type="dxa"/>
        <w:jc w:val="left"/>
        <w:tblInd w:w="0" w:type="dxa"/>
        <w:tblLayout w:type="fixed"/>
        <w:tblCellMar>
          <w:top w:w="0" w:type="dxa"/>
          <w:left w:w="0" w:type="dxa"/>
          <w:bottom w:w="0" w:type="dxa"/>
          <w:right w:w="0" w:type="dxa"/>
        </w:tblCellMar>
      </w:tblPr>
      <w:tblGrid>
        <w:gridCol w:w="6766"/>
        <w:gridCol w:w="109"/>
        <w:gridCol w:w="282"/>
        <w:gridCol w:w="924"/>
        <w:gridCol w:w="145"/>
        <w:gridCol w:w="282"/>
        <w:gridCol w:w="1125"/>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6410" cy="175260"/>
                      <wp:effectExtent l="0" t="0" r="0" b="0"/>
                      <wp:wrapNone/>
                      <wp:docPr id="170" name="Frame169"/>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9070" cy="175260"/>
                      <wp:effectExtent l="0" t="0" r="0" b="0"/>
                      <wp:wrapNone/>
                      <wp:docPr id="172" name="Frame171"/>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86740" cy="175260"/>
                      <wp:effectExtent l="0" t="0" r="0" b="0"/>
                      <wp:wrapNone/>
                      <wp:docPr id="173" name="Frame172"/>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2075" cy="175260"/>
                      <wp:effectExtent l="0" t="0" r="0" b="0"/>
                      <wp:wrapNone/>
                      <wp:docPr id="174" name="Frame173"/>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9070" cy="175260"/>
                      <wp:effectExtent l="0" t="0" r="0" b="0"/>
                      <wp:wrapNone/>
                      <wp:docPr id="175" name="Frame17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14375" cy="175260"/>
                      <wp:effectExtent l="0" t="0" r="0" b="0"/>
                      <wp:wrapNone/>
                      <wp:docPr id="176" name="Frame175"/>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5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6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5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6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45" w:type="dxa"/>
            <w:tcBorders/>
            <w:vAlign w:val="center"/>
          </w:tcPr>
          <w:p>
            <w:pPr>
              <w:pStyle w:val="TableContents"/>
              <w:bidi w:val="0"/>
              <w:spacing w:before="0" w:after="0"/>
              <w:ind w:left="0" w:right="0" w:hanging="0"/>
              <w:jc w:val="left"/>
              <w:rPr/>
            </w:pPr>
            <w:r>
              <w:rPr/>
              <w:t>​</w:t>
            </w:r>
          </w:p>
        </w:tc>
        <w:tc>
          <w:tcPr>
            <w:tcW w:w="14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963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58"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676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71,714</w:t>
            </w:r>
          </w:p>
        </w:tc>
        <w:tc>
          <w:tcPr>
            <w:tcW w:w="145"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267,244</w:t>
            </w:r>
          </w:p>
        </w:tc>
      </w:tr>
      <w:tr>
        <w:trPr/>
        <w:tc>
          <w:tcPr>
            <w:tcW w:w="67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cash flows from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5"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cash flows from finance leases</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5"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Right-of-use assets obtained in exchange for lease obligations:</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1,543</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5"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Finance leases</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5"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Refer to Note 12 for further details on EchoStar XXIV operating lease.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presents the amounts for ROU assets, lease liabilities, weighted-average lease terms and discount rates for operating and finance leases:</w:t>
      </w:r>
    </w:p>
    <w:p>
      <w:pPr>
        <w:pStyle w:val="TextBody"/>
        <w:bidi w:val="0"/>
        <w:spacing w:before="0" w:after="0"/>
        <w:ind w:left="0" w:right="0" w:hanging="0"/>
        <w:jc w:val="left"/>
        <w:rPr/>
      </w:pPr>
      <w:r>
        <w:rPr/>
        <w:t>​</w:t>
      </w:r>
    </w:p>
    <w:tbl>
      <w:tblPr>
        <w:tblW w:w="7754" w:type="dxa"/>
        <w:jc w:val="left"/>
        <w:tblInd w:w="0" w:type="dxa"/>
        <w:tblLayout w:type="fixed"/>
        <w:tblCellMar>
          <w:top w:w="0" w:type="dxa"/>
          <w:left w:w="0" w:type="dxa"/>
          <w:bottom w:w="0" w:type="dxa"/>
          <w:right w:w="0" w:type="dxa"/>
        </w:tblCellMar>
      </w:tblPr>
      <w:tblGrid>
        <w:gridCol w:w="4066"/>
        <w:gridCol w:w="146"/>
        <w:gridCol w:w="269"/>
        <w:gridCol w:w="1231"/>
        <w:gridCol w:w="286"/>
        <w:gridCol w:w="256"/>
        <w:gridCol w:w="1169"/>
        <w:gridCol w:w="33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81910" cy="175260"/>
                      <wp:effectExtent l="0" t="0" r="0" b="0"/>
                      <wp:wrapNone/>
                      <wp:docPr id="177" name="Frame176"/>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92710" cy="175260"/>
                      <wp:effectExtent l="0" t="0" r="0" b="0"/>
                      <wp:wrapNone/>
                      <wp:docPr id="178" name="Frame1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0815" cy="175260"/>
                      <wp:effectExtent l="0" t="0" r="0" b="0"/>
                      <wp:wrapNone/>
                      <wp:docPr id="179" name="Frame178"/>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81685" cy="175260"/>
                      <wp:effectExtent l="0" t="0" r="0" b="0"/>
                      <wp:wrapNone/>
                      <wp:docPr id="180" name="Frame179"/>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1610" cy="175260"/>
                      <wp:effectExtent l="0" t="0" r="0" b="0"/>
                      <wp:wrapNone/>
                      <wp:docPr id="181" name="Frame1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2560" cy="175260"/>
                      <wp:effectExtent l="0" t="0" r="0" b="0"/>
                      <wp:wrapNone/>
                      <wp:docPr id="182" name="Frame18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42315" cy="175260"/>
                      <wp:effectExtent l="0" t="0" r="0" b="0"/>
                      <wp:wrapNone/>
                      <wp:docPr id="183" name="Frame182"/>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0185" cy="175260"/>
                      <wp:effectExtent l="0" t="0" r="0" b="0"/>
                      <wp:wrapNone/>
                      <wp:docPr id="184" name="Frame18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3211"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 of</w:t>
            </w:r>
          </w:p>
        </w:tc>
        <w:tc>
          <w:tcPr>
            <w:tcW w:w="331" w:type="dxa"/>
            <w:tcBorders/>
            <w:vAlign w:val="center"/>
          </w:tcPr>
          <w:p>
            <w:pPr>
              <w:pStyle w:val="TableContents"/>
              <w:bidi w:val="0"/>
              <w:spacing w:before="0" w:after="1"/>
              <w:ind w:left="0" w:right="0" w:hanging="0"/>
              <w:jc w:val="center"/>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50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28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c>
          <w:tcPr>
            <w:tcW w:w="331" w:type="dxa"/>
            <w:tcBorders/>
            <w:vAlign w:val="center"/>
          </w:tcPr>
          <w:p>
            <w:pPr>
              <w:pStyle w:val="TableContents"/>
              <w:bidi w:val="0"/>
              <w:spacing w:before="0" w:after="1"/>
              <w:ind w:left="0" w:right="0" w:hanging="0"/>
              <w:jc w:val="center"/>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286" w:type="dxa"/>
            <w:tcBorders/>
            <w:vAlign w:val="center"/>
          </w:tcPr>
          <w:p>
            <w:pPr>
              <w:pStyle w:val="TableContents"/>
              <w:bidi w:val="0"/>
              <w:spacing w:before="0" w:after="1"/>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31" w:type="dxa"/>
            <w:tcBorders/>
            <w:vAlign w:val="center"/>
          </w:tcPr>
          <w:p>
            <w:pPr>
              <w:pStyle w:val="TableContents"/>
              <w:bidi w:val="0"/>
              <w:spacing w:before="0" w:after="1"/>
              <w:ind w:left="0" w:right="0" w:hanging="0"/>
              <w:jc w:val="center"/>
              <w:rPr/>
            </w:pPr>
            <w:r>
              <w:rPr/>
              <w:t>​</w:t>
            </w:r>
          </w:p>
        </w:tc>
      </w:tr>
      <w:tr>
        <w:trPr/>
        <w:tc>
          <w:tcPr>
            <w:tcW w:w="7754"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0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3211" w:type="dxa"/>
            <w:gridSpan w:val="5"/>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c>
          <w:tcPr>
            <w:tcW w:w="331" w:type="dxa"/>
            <w:tcBorders/>
            <w:vAlign w:val="center"/>
          </w:tcPr>
          <w:p>
            <w:pPr>
              <w:pStyle w:val="TableContents"/>
              <w:bidi w:val="0"/>
              <w:spacing w:before="0" w:after="1"/>
              <w:ind w:left="0" w:right="0" w:hanging="0"/>
              <w:jc w:val="center"/>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Right-of-use assets:</w:t>
            </w:r>
          </w:p>
        </w:tc>
        <w:tc>
          <w:tcPr>
            <w:tcW w:w="146" w:type="dxa"/>
            <w:tcBorders/>
            <w:shd w:fill="CCEEFF" w:val="clear"/>
            <w:vAlign w:val="center"/>
          </w:tcPr>
          <w:p>
            <w:pPr>
              <w:pStyle w:val="TableContents"/>
              <w:bidi w:val="0"/>
              <w:spacing w:before="0" w:after="1"/>
              <w:ind w:left="0" w:right="0" w:hanging="0"/>
              <w:jc w:val="left"/>
              <w:rPr/>
            </w:pPr>
            <w:r>
              <w:rPr/>
              <w:t> </w:t>
            </w:r>
          </w:p>
        </w:tc>
        <w:tc>
          <w:tcPr>
            <w:tcW w:w="269"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169"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w:t>
            </w:r>
          </w:p>
        </w:tc>
        <w:tc>
          <w:tcPr>
            <w:tcW w:w="1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859,763</w:t>
            </w:r>
          </w:p>
        </w:tc>
        <w:tc>
          <w:tcPr>
            <w:tcW w:w="28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939,896</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Finance</w:t>
            </w:r>
          </w:p>
        </w:tc>
        <w:tc>
          <w:tcPr>
            <w:tcW w:w="14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171,840</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183,391</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right-of-use assets</w:t>
            </w:r>
          </w:p>
        </w:tc>
        <w:tc>
          <w:tcPr>
            <w:tcW w:w="146" w:type="dxa"/>
            <w:tcBorders/>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1,031,603</w:t>
            </w:r>
          </w:p>
        </w:tc>
        <w:tc>
          <w:tcPr>
            <w:tcW w:w="28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1,123,287</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6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Lease liabilities:</w:t>
            </w:r>
          </w:p>
        </w:tc>
        <w:tc>
          <w:tcPr>
            <w:tcW w:w="1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169"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Current:</w:t>
            </w:r>
          </w:p>
        </w:tc>
        <w:tc>
          <w:tcPr>
            <w:tcW w:w="14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169"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w:t>
            </w:r>
          </w:p>
        </w:tc>
        <w:tc>
          <w:tcPr>
            <w:tcW w:w="1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172,960</w:t>
            </w:r>
          </w:p>
        </w:tc>
        <w:tc>
          <w:tcPr>
            <w:tcW w:w="28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72,393</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Finance</w:t>
            </w:r>
          </w:p>
        </w:tc>
        <w:tc>
          <w:tcPr>
            <w:tcW w:w="14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w:t>
            </w:r>
          </w:p>
        </w:tc>
        <w:tc>
          <w:tcPr>
            <w:tcW w:w="146"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172,960</w:t>
            </w:r>
          </w:p>
        </w:tc>
        <w:tc>
          <w:tcPr>
            <w:tcW w:w="28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72,393</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Noncurrent:</w:t>
            </w:r>
          </w:p>
        </w:tc>
        <w:tc>
          <w:tcPr>
            <w:tcW w:w="14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1169"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w:t>
            </w:r>
          </w:p>
        </w:tc>
        <w:tc>
          <w:tcPr>
            <w:tcW w:w="1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741,219</w:t>
            </w:r>
          </w:p>
        </w:tc>
        <w:tc>
          <w:tcPr>
            <w:tcW w:w="28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16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830,629</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Finance</w:t>
            </w:r>
          </w:p>
        </w:tc>
        <w:tc>
          <w:tcPr>
            <w:tcW w:w="14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noncurrent</w:t>
            </w:r>
          </w:p>
        </w:tc>
        <w:tc>
          <w:tcPr>
            <w:tcW w:w="146"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741,219</w:t>
            </w:r>
          </w:p>
        </w:tc>
        <w:tc>
          <w:tcPr>
            <w:tcW w:w="28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830,629</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914,179</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903,022</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Weighted Average Remaining Lease Term:</w:t>
            </w:r>
          </w:p>
        </w:tc>
        <w:tc>
          <w:tcPr>
            <w:tcW w:w="146" w:type="dxa"/>
            <w:tcBorders/>
            <w:shd w:fill="CCEEFF" w:val="clear"/>
            <w:vAlign w:val="center"/>
          </w:tcPr>
          <w:p>
            <w:pPr>
              <w:pStyle w:val="TableContents"/>
              <w:bidi w:val="0"/>
              <w:spacing w:before="0" w:after="1"/>
              <w:ind w:left="0" w:right="0" w:hanging="0"/>
              <w:jc w:val="left"/>
              <w:rPr/>
            </w:pPr>
            <w:r>
              <w:rPr/>
              <w:t> </w:t>
            </w:r>
          </w:p>
        </w:tc>
        <w:tc>
          <w:tcPr>
            <w:tcW w:w="269"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56" w:type="dxa"/>
            <w:tcBorders/>
            <w:shd w:fill="CCEEFF" w:val="clear"/>
            <w:vAlign w:val="center"/>
          </w:tcPr>
          <w:p>
            <w:pPr>
              <w:pStyle w:val="TableContents"/>
              <w:bidi w:val="0"/>
              <w:spacing w:before="0" w:after="1"/>
              <w:ind w:left="0" w:right="0" w:hanging="0"/>
              <w:jc w:val="right"/>
              <w:rPr/>
            </w:pPr>
            <w:r>
              <w:rPr/>
              <w:t>  </w:t>
            </w:r>
          </w:p>
        </w:tc>
        <w:tc>
          <w:tcPr>
            <w:tcW w:w="116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Finance leases</w:t>
            </w:r>
          </w:p>
        </w:tc>
        <w:tc>
          <w:tcPr>
            <w:tcW w:w="146" w:type="dxa"/>
            <w:tcBorders/>
            <w:vAlign w:val="center"/>
          </w:tcPr>
          <w:p>
            <w:pPr>
              <w:pStyle w:val="TableContents"/>
              <w:bidi w:val="0"/>
              <w:spacing w:before="0" w:after="1"/>
              <w:ind w:left="0" w:right="0" w:hanging="0"/>
              <w:jc w:val="left"/>
              <w:rPr/>
            </w:pPr>
            <w:r>
              <w:rPr/>
              <w:t> </w:t>
            </w:r>
          </w:p>
        </w:tc>
        <w:tc>
          <w:tcPr>
            <w:tcW w:w="269"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 years</w:t>
            </w:r>
          </w:p>
        </w:tc>
        <w:tc>
          <w:tcPr>
            <w:tcW w:w="286" w:type="dxa"/>
            <w:tcBorders/>
            <w:vAlign w:val="center"/>
          </w:tcPr>
          <w:p>
            <w:pPr>
              <w:pStyle w:val="TableContents"/>
              <w:bidi w:val="0"/>
              <w:spacing w:before="0" w:after="1"/>
              <w:ind w:left="0" w:right="0" w:hanging="0"/>
              <w:jc w:val="left"/>
              <w:rPr/>
            </w:pPr>
            <w:r>
              <w:rPr/>
              <w:t> </w:t>
            </w:r>
          </w:p>
        </w:tc>
        <w:tc>
          <w:tcPr>
            <w:tcW w:w="256"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 years</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leases</w:t>
            </w:r>
          </w:p>
        </w:tc>
        <w:tc>
          <w:tcPr>
            <w:tcW w:w="146" w:type="dxa"/>
            <w:tcBorders/>
            <w:shd w:fill="CCEEFF" w:val="clear"/>
            <w:vAlign w:val="center"/>
          </w:tcPr>
          <w:p>
            <w:pPr>
              <w:pStyle w:val="TableContents"/>
              <w:bidi w:val="0"/>
              <w:spacing w:before="0" w:after="1"/>
              <w:ind w:left="0" w:right="0" w:hanging="0"/>
              <w:jc w:val="left"/>
              <w:rPr/>
            </w:pPr>
            <w:r>
              <w:rPr/>
              <w:t> </w:t>
            </w:r>
          </w:p>
        </w:tc>
        <w:tc>
          <w:tcPr>
            <w:tcW w:w="269"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 years</w:t>
            </w:r>
          </w:p>
        </w:tc>
        <w:tc>
          <w:tcPr>
            <w:tcW w:w="286" w:type="dxa"/>
            <w:tcBorders/>
            <w:shd w:fill="CCEEFF" w:val="clear"/>
            <w:vAlign w:val="center"/>
          </w:tcPr>
          <w:p>
            <w:pPr>
              <w:pStyle w:val="TableContents"/>
              <w:bidi w:val="0"/>
              <w:spacing w:before="0" w:after="1"/>
              <w:ind w:left="0" w:right="0" w:hanging="0"/>
              <w:jc w:val="lef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16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 years</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Weighted Average Discount Rate:</w:t>
            </w:r>
          </w:p>
        </w:tc>
        <w:tc>
          <w:tcPr>
            <w:tcW w:w="146" w:type="dxa"/>
            <w:tcBorders/>
            <w:shd w:fill="CCEEFF" w:val="clear"/>
            <w:vAlign w:val="center"/>
          </w:tcPr>
          <w:p>
            <w:pPr>
              <w:pStyle w:val="TableContents"/>
              <w:bidi w:val="0"/>
              <w:spacing w:before="0" w:after="1"/>
              <w:ind w:left="0" w:right="0" w:hanging="0"/>
              <w:jc w:val="left"/>
              <w:rPr/>
            </w:pPr>
            <w:r>
              <w:rPr/>
              <w:t> </w:t>
            </w:r>
          </w:p>
        </w:tc>
        <w:tc>
          <w:tcPr>
            <w:tcW w:w="269"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1169"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Finance leases</w:t>
            </w:r>
          </w:p>
        </w:tc>
        <w:tc>
          <w:tcPr>
            <w:tcW w:w="146" w:type="dxa"/>
            <w:tcBorders/>
            <w:vAlign w:val="center"/>
          </w:tcPr>
          <w:p>
            <w:pPr>
              <w:pStyle w:val="TableContents"/>
              <w:bidi w:val="0"/>
              <w:spacing w:before="0" w:after="1"/>
              <w:ind w:left="0" w:right="0" w:hanging="0"/>
              <w:jc w:val="left"/>
              <w:rPr/>
            </w:pPr>
            <w:r>
              <w:rPr/>
              <w:t> </w:t>
            </w:r>
          </w:p>
        </w:tc>
        <w:tc>
          <w:tcPr>
            <w:tcW w:w="269"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56"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0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leases</w:t>
            </w:r>
          </w:p>
        </w:tc>
        <w:tc>
          <w:tcPr>
            <w:tcW w:w="146" w:type="dxa"/>
            <w:tcBorders/>
            <w:shd w:fill="CCEEFF" w:val="clear"/>
            <w:vAlign w:val="center"/>
          </w:tcPr>
          <w:p>
            <w:pPr>
              <w:pStyle w:val="TableContents"/>
              <w:bidi w:val="0"/>
              <w:spacing w:before="0" w:after="1"/>
              <w:ind w:left="0" w:right="0" w:hanging="0"/>
              <w:jc w:val="left"/>
              <w:rPr/>
            </w:pPr>
            <w:r>
              <w:rPr/>
              <w:t> </w:t>
            </w:r>
          </w:p>
        </w:tc>
        <w:tc>
          <w:tcPr>
            <w:tcW w:w="269"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6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bookmarkStart w:id="1192" w:name="Tc_FGAGSEVlL0e6yHeuEeShDA_9_11"/>
      <w:bookmarkStart w:id="1193" w:name="Tc_Do5sfC9eCUWForZPqikFcw_9_8"/>
      <w:bookmarkStart w:id="1194" w:name="Tc_4smrkivzRkq50d-Co5CV2Q_9_5"/>
      <w:bookmarkStart w:id="1195" w:name="Tc_1FmujJ-c3km3vwHnLqVzgg_9_2"/>
      <w:bookmarkStart w:id="1196" w:name="Tc_gvLNiSvqCEWAJTsRnpYYmA_9_0"/>
      <w:bookmarkStart w:id="1197" w:name="Tc_akRzZbPXgUe0i62nw1yv4Q_6_0"/>
      <w:bookmarkStart w:id="1198" w:name="Tc_PK9xQ1GCvk2H3Ji-wF8_TA_5_11"/>
      <w:bookmarkStart w:id="1199" w:name="Tc_pdL--E8bLEKxSa6IuvVBoQ_5_8"/>
      <w:bookmarkStart w:id="1200" w:name="Tc_NNru1bwrw0aA3zGmIV6mJQ_5_5"/>
      <w:bookmarkStart w:id="1201" w:name="Tc_Hr7wt9q1MkW9QlgclVtwqA_5_2"/>
      <w:bookmarkStart w:id="1202" w:name="Tc_LWvxeDXs2U-Y8ZVBWS0RBA_5_0"/>
      <w:bookmarkStart w:id="1203" w:name="Tc_1TQ7GeI5GkGPnrDIUlbX3Q_4_2"/>
      <w:bookmarkStart w:id="1204" w:name="Tc_BRDJBYzO30qyokEF4pYOcQ_4_0"/>
      <w:bookmarkStart w:id="1205" w:name="Tc_UpsGES1BrUajoNuf_fh2dQ_3_11"/>
      <w:bookmarkStart w:id="1206" w:name="Tc_D3W2nnxtR0W9IxrDtnmJLQ_3_8"/>
      <w:bookmarkStart w:id="1207" w:name="Tc_zO-E5KSfzUK0eEnPYFOrvg_3_5"/>
      <w:bookmarkStart w:id="1208" w:name="Tc_iPYRIDFzC0O-AUAsQ9yJ_w_3_2"/>
      <w:bookmarkStart w:id="1209" w:name="Tc_BXWa-9A_wU2_nD_t1jLfxA_2_8"/>
      <w:bookmarkStart w:id="1210" w:name="Tc_hZw21VUj9kOwdUJLdhO1fg_2_2"/>
      <w:bookmarkStart w:id="1211" w:name="Tc_vdtuGly5l0OT9Zr97m1AJg_1_8"/>
      <w:bookmarkStart w:id="1212" w:name="Tc_uaU5Lq_wuU-Oyy9nYuoALA_1_2"/>
      <w:bookmarkStart w:id="1213" w:name="_155673a1_f08e_45fc_ad2a_f6171708ecbf"/>
      <w:bookmarkStart w:id="1214" w:name="Tc_DVzwk2PYIUWDw9-7lvNDPg_13_2"/>
      <w:bookmarkStart w:id="1215" w:name="Tc_F1wjFBAmyUWYP_--CHcryA_13_0"/>
      <w:bookmarkStart w:id="1216" w:name="Tc_G8IHsnnNX0WUWIMJJ32Jaw_12_0"/>
      <w:bookmarkStart w:id="1217" w:name="Tc_XwlOlBWh9EaIeJEKqF-jkg_11_0"/>
      <w:bookmarkStart w:id="1218" w:name="Tc_v2qVKp7oKE2EJ4Ckr_MwAw_10_0"/>
      <w:bookmarkStart w:id="1219" w:name="Tc_hPeaJNyH2kOdV0GaUbKjdA_9_0"/>
      <w:bookmarkStart w:id="1220" w:name="Tc_gR2UeXifDUKrAfhzKwJZFQ_8_0"/>
      <w:bookmarkStart w:id="1221" w:name="Tc_Vp_4pRI67kGyIUkNwtqPsg_7_0"/>
      <w:bookmarkStart w:id="1222" w:name="Tc_E10acjtZR0SUOylCgN2crw_6_0"/>
      <w:bookmarkStart w:id="1223" w:name="Tc_d3A79XLtFEaI-NB4EIZqxA_5_0"/>
      <w:bookmarkStart w:id="1224" w:name="Tc_PwZePJNjOUSRdcGEd8hijA_4_0"/>
      <w:bookmarkStart w:id="1225" w:name="Tc_aD-xQDDm_EejKI396_R_eQ_3_2"/>
      <w:bookmarkStart w:id="1226" w:name="Tc_ErRqNeqN7Eew21CtsSg7vQ_3_0"/>
      <w:bookmarkStart w:id="1227" w:name="Tc_GeK_e94XcUaR_hTYQwRUSA_2_3"/>
      <w:bookmarkStart w:id="1228" w:name="Tc_rzEMCcIpzU-fTxmnD4lRRw_1_2"/>
      <w:bookmarkStart w:id="1229" w:name="Tc_ZURu2dl500e3SFdZHC_ooQ_1_0"/>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r>
        <w:rPr>
          <w:rFonts w:ascii="Arial;Helvetica;sans-serif" w:hAnsi="Arial;Helvetica;sans-serif"/>
          <w:sz w:val="20"/>
        </w:rPr>
        <w:t>As of September 30, 2025 and December 31, 2024, we have prepaid our obligations regarding all of our finance ROU assets. Finance lease assets are reported net of accumulated amortization of $187 million and $162 million as of September 30, 2025 and December 31, 2024, respectively. Certain of our finance leases are subject to fluctuations in exchange rates.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Maturities of lease liabilities as of September 30, 2025 were as follows:</w:t>
      </w:r>
    </w:p>
    <w:p>
      <w:pPr>
        <w:pStyle w:val="TextBody"/>
        <w:bidi w:val="0"/>
        <w:spacing w:before="0" w:after="0"/>
        <w:ind w:left="0" w:right="0" w:hanging="0"/>
        <w:jc w:val="left"/>
        <w:rPr/>
      </w:pPr>
      <w:r>
        <w:rPr/>
        <w:t>​</w:t>
      </w:r>
    </w:p>
    <w:tbl>
      <w:tblPr>
        <w:tblW w:w="5174" w:type="dxa"/>
        <w:jc w:val="left"/>
        <w:tblInd w:w="0" w:type="dxa"/>
        <w:tblLayout w:type="fixed"/>
        <w:tblCellMar>
          <w:top w:w="0" w:type="dxa"/>
          <w:left w:w="0" w:type="dxa"/>
          <w:bottom w:w="0" w:type="dxa"/>
          <w:right w:w="0" w:type="dxa"/>
        </w:tblCellMar>
      </w:tblPr>
      <w:tblGrid>
        <w:gridCol w:w="3421"/>
        <w:gridCol w:w="146"/>
        <w:gridCol w:w="211"/>
        <w:gridCol w:w="139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72335" cy="175260"/>
                      <wp:effectExtent l="0" t="0" r="0" b="0"/>
                      <wp:wrapNone/>
                      <wp:docPr id="185" name="Frame18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2710" cy="175260"/>
                      <wp:effectExtent l="0" t="0" r="0" b="0"/>
                      <wp:wrapNone/>
                      <wp:docPr id="186" name="Frame18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86460" cy="175260"/>
                      <wp:effectExtent l="0" t="0" r="0" b="0"/>
                      <wp:wrapNone/>
                      <wp:docPr id="188" name="Frame187"/>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For the Years Ending December 31,</w:t>
            </w:r>
          </w:p>
        </w:tc>
        <w:tc>
          <w:tcPr>
            <w:tcW w:w="146" w:type="dxa"/>
            <w:tcBorders/>
            <w:vAlign w:val="center"/>
          </w:tcPr>
          <w:p>
            <w:pPr>
              <w:pStyle w:val="TableContents"/>
              <w:bidi w:val="0"/>
              <w:spacing w:before="0" w:after="0"/>
              <w:ind w:left="0" w:right="0" w:hanging="0"/>
              <w:jc w:val="center"/>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 (remaining three months)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102,126</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217,017</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215,495</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213,225</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212,240</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Thereafter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272,823</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1,232,926</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(318,747)</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914,179</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(172,960)</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portion of lease obligations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6" w:type="dxa"/>
            <w:tcBorders>
              <w:bottom w:val="double" w:sz="6" w:space="0" w:color="000000"/>
            </w:tcBorders>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741,219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Lessor Accounting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lease satellite capacity, communications equipment and real estate to certain of our customers. The following table presents our lease revenue by type of lease:</w:t>
      </w:r>
    </w:p>
    <w:p>
      <w:pPr>
        <w:pStyle w:val="TextBody"/>
        <w:bidi w:val="0"/>
        <w:spacing w:before="0" w:after="0"/>
        <w:ind w:left="0" w:right="0" w:hanging="0"/>
        <w:jc w:val="left"/>
        <w:rPr/>
      </w:pPr>
      <w:r>
        <w:rPr/>
        <w:t>​</w:t>
      </w:r>
    </w:p>
    <w:tbl>
      <w:tblPr>
        <w:tblW w:w="9103" w:type="dxa"/>
        <w:jc w:val="left"/>
        <w:tblInd w:w="0" w:type="dxa"/>
        <w:tblLayout w:type="fixed"/>
        <w:tblCellMar>
          <w:top w:w="0" w:type="dxa"/>
          <w:left w:w="0" w:type="dxa"/>
          <w:bottom w:w="0" w:type="dxa"/>
          <w:right w:w="0" w:type="dxa"/>
        </w:tblCellMar>
      </w:tblPr>
      <w:tblGrid>
        <w:gridCol w:w="3091"/>
        <w:gridCol w:w="326"/>
        <w:gridCol w:w="349"/>
        <w:gridCol w:w="970"/>
        <w:gridCol w:w="180"/>
        <w:gridCol w:w="349"/>
        <w:gridCol w:w="970"/>
        <w:gridCol w:w="109"/>
        <w:gridCol w:w="288"/>
        <w:gridCol w:w="945"/>
        <w:gridCol w:w="149"/>
        <w:gridCol w:w="288"/>
        <w:gridCol w:w="1089"/>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962785" cy="175260"/>
                      <wp:effectExtent l="0" t="0" r="0" b="0"/>
                      <wp:wrapNone/>
                      <wp:docPr id="189" name="Frame18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1615" cy="175260"/>
                      <wp:effectExtent l="0" t="0" r="0" b="0"/>
                      <wp:wrapNone/>
                      <wp:docPr id="191" name="Frame19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15950" cy="175260"/>
                      <wp:effectExtent l="0" t="0" r="0" b="0"/>
                      <wp:wrapNone/>
                      <wp:docPr id="192" name="Frame191"/>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14300" cy="175260"/>
                      <wp:effectExtent l="0" t="0" r="0" b="0"/>
                      <wp:wrapNone/>
                      <wp:docPr id="193" name="Frame192"/>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21615" cy="175260"/>
                      <wp:effectExtent l="0" t="0" r="0" b="0"/>
                      <wp:wrapNone/>
                      <wp:docPr id="194" name="Frame19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15950" cy="175260"/>
                      <wp:effectExtent l="0" t="0" r="0" b="0"/>
                      <wp:wrapNone/>
                      <wp:docPr id="195" name="Frame194"/>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2880" cy="175260"/>
                      <wp:effectExtent l="0" t="0" r="0" b="0"/>
                      <wp:wrapNone/>
                      <wp:docPr id="197" name="Frame19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00075" cy="175260"/>
                      <wp:effectExtent l="0" t="0" r="0" b="0"/>
                      <wp:wrapNone/>
                      <wp:docPr id="198" name="Frame197"/>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4615" cy="175260"/>
                      <wp:effectExtent l="0" t="0" r="0" b="0"/>
                      <wp:wrapNone/>
                      <wp:docPr id="199" name="Frame198"/>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2880" cy="175260"/>
                      <wp:effectExtent l="0" t="0" r="0" b="0"/>
                      <wp:wrapNone/>
                      <wp:docPr id="200" name="Frame19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1515" cy="175260"/>
                      <wp:effectExtent l="0" t="0" r="0" b="0"/>
                      <wp:wrapNone/>
                      <wp:docPr id="201" name="Frame200"/>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818"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1"/>
              <w:ind w:left="0" w:right="0" w:hanging="0"/>
              <w:jc w:val="left"/>
              <w:rPr/>
            </w:pPr>
            <w:r>
              <w:rPr/>
              <w:t>​</w:t>
            </w:r>
          </w:p>
        </w:tc>
        <w:tc>
          <w:tcPr>
            <w:tcW w:w="2759"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left"/>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80" w:type="dxa"/>
            <w:tcBorders/>
            <w:vAlign w:val="center"/>
          </w:tcPr>
          <w:p>
            <w:pPr>
              <w:pStyle w:val="TableContents"/>
              <w:bidi w:val="0"/>
              <w:spacing w:before="0" w:after="1"/>
              <w:ind w:left="0" w:right="0" w:hanging="0"/>
              <w:jc w:val="left"/>
              <w:rPr/>
            </w:pPr>
            <w:r>
              <w:rPr/>
              <w:t>​</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2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49" w:type="dxa"/>
            <w:tcBorders/>
            <w:vAlign w:val="center"/>
          </w:tcPr>
          <w:p>
            <w:pPr>
              <w:pStyle w:val="TableContents"/>
              <w:bidi w:val="0"/>
              <w:spacing w:before="0" w:after="1"/>
              <w:ind w:left="0" w:right="0" w:hanging="0"/>
              <w:jc w:val="left"/>
              <w:rPr/>
            </w:pPr>
            <w:r>
              <w:rPr/>
              <w:t>​</w:t>
            </w:r>
          </w:p>
        </w:tc>
        <w:tc>
          <w:tcPr>
            <w:tcW w:w="13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910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Sales-type lease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5686" w:type="dxa"/>
            <w:gridSpan w:val="11"/>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 at lease commencement</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726</w:t>
            </w:r>
          </w:p>
        </w:tc>
        <w:tc>
          <w:tcPr>
            <w:tcW w:w="180"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2,508</w:t>
            </w:r>
          </w:p>
        </w:tc>
        <w:tc>
          <w:tcPr>
            <w:tcW w:w="109"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3,885</w:t>
            </w:r>
          </w:p>
        </w:tc>
        <w:tc>
          <w:tcPr>
            <w:tcW w:w="149"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4,052</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426</w:t>
            </w:r>
          </w:p>
        </w:tc>
        <w:tc>
          <w:tcPr>
            <w:tcW w:w="180"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w:t>
            </w:r>
          </w:p>
        </w:tc>
        <w:tc>
          <w:tcPr>
            <w:tcW w:w="109"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1,251</w:t>
            </w:r>
          </w:p>
        </w:tc>
        <w:tc>
          <w:tcPr>
            <w:tcW w:w="149"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1,555</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sales-type lease revenue</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1,152</w:t>
            </w:r>
          </w:p>
        </w:tc>
        <w:tc>
          <w:tcPr>
            <w:tcW w:w="180"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2,984</w:t>
            </w:r>
          </w:p>
        </w:tc>
        <w:tc>
          <w:tcPr>
            <w:tcW w:w="109"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5,136</w:t>
            </w:r>
          </w:p>
        </w:tc>
        <w:tc>
          <w:tcPr>
            <w:tcW w:w="149"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5,607</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Operating lease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7,378</w:t>
            </w:r>
          </w:p>
        </w:tc>
        <w:tc>
          <w:tcPr>
            <w:tcW w:w="180"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4,998</w:t>
            </w:r>
          </w:p>
        </w:tc>
        <w:tc>
          <w:tcPr>
            <w:tcW w:w="109"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11,970</w:t>
            </w:r>
          </w:p>
        </w:tc>
        <w:tc>
          <w:tcPr>
            <w:tcW w:w="149"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15,858</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revenue (1)</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8,530</w:t>
            </w:r>
          </w:p>
        </w:tc>
        <w:tc>
          <w:tcPr>
            <w:tcW w:w="180" w:type="dxa"/>
            <w:tcBorders/>
            <w:vAlign w:val="center"/>
          </w:tcPr>
          <w:p>
            <w:pPr>
              <w:pStyle w:val="TableContents"/>
              <w:bidi w:val="0"/>
              <w:spacing w:before="0" w:after="1"/>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7,982</w:t>
            </w:r>
          </w:p>
        </w:tc>
        <w:tc>
          <w:tcPr>
            <w:tcW w:w="109" w:type="dxa"/>
            <w:tcBorders/>
            <w:vAlign w:val="center"/>
          </w:tcPr>
          <w:p>
            <w:pPr>
              <w:pStyle w:val="TableContents"/>
              <w:bidi w:val="0"/>
              <w:spacing w:before="0"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17,106</w:t>
            </w:r>
          </w:p>
        </w:tc>
        <w:tc>
          <w:tcPr>
            <w:tcW w:w="149" w:type="dxa"/>
            <w:tcBorders/>
            <w:vAlign w:val="center"/>
          </w:tcPr>
          <w:p>
            <w:pPr>
              <w:pStyle w:val="TableContents"/>
              <w:bidi w:val="0"/>
              <w:spacing w:before="0"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89"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21,465</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reduction in total lease revenue for the nine months ended September 30, 2025 relates to the loss of a single significant customer.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Substantially all of our net investment in sales-type leases consisted of lease receivables totaling $21 million and $26 million as of September 30, 2025 and December 31,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bookmarkStart w:id="1230" w:name="Tc_cQU1n6hYFEGgRKZdJpmYwg_9_2"/>
      <w:bookmarkStart w:id="1231" w:name="Tc_kSZfX4pF3UGXeOIxZLLnYw_9_0"/>
      <w:bookmarkStart w:id="1232" w:name="Tc_HGORU7spc0u13fyEWk4BAg_8_0"/>
      <w:bookmarkStart w:id="1233" w:name="Tc_OirxWV88SESlTiSdlDwHfA_7_0"/>
      <w:bookmarkStart w:id="1234" w:name="Tc_LnpT33LwdE6Rq0RIRH7Xaw_6_0"/>
      <w:bookmarkStart w:id="1235" w:name="Tc_zg2GhL-fA0KD5CRxC3jUMw_5_0"/>
      <w:bookmarkStart w:id="1236" w:name="Tc_fG_MhMqXCkmxjhbBKTjjpA_4_0"/>
      <w:bookmarkStart w:id="1237" w:name="Tc_PEbSFsoSikm932p1tNJxVw_3_2"/>
      <w:bookmarkStart w:id="1238" w:name="Tc_tHj2cpLsEEeUh291MjzNdQ_3_0"/>
      <w:bookmarkStart w:id="1239" w:name="Tc_Y3y4DTzNTUyeWZamRQv3RA_2_2"/>
      <w:bookmarkStart w:id="1240" w:name="Tc_eAqCj34OuU2Ek3rHCL79TA_1_2"/>
      <w:bookmarkStart w:id="1241" w:name="Tc_3a8LacluFkGJgS2D_LsY4g_1_0"/>
      <w:bookmarkEnd w:id="1230"/>
      <w:bookmarkEnd w:id="1231"/>
      <w:bookmarkEnd w:id="1232"/>
      <w:bookmarkEnd w:id="1233"/>
      <w:bookmarkEnd w:id="1234"/>
      <w:bookmarkEnd w:id="1235"/>
      <w:bookmarkEnd w:id="1236"/>
      <w:bookmarkEnd w:id="1237"/>
      <w:bookmarkEnd w:id="1238"/>
      <w:bookmarkEnd w:id="1239"/>
      <w:bookmarkEnd w:id="1240"/>
      <w:bookmarkEnd w:id="1241"/>
      <w:r>
        <w:rPr>
          <w:rFonts w:ascii="Arial;Helvetica;sans-serif" w:hAnsi="Arial;Helvetica;sans-serif"/>
          <w:sz w:val="20"/>
        </w:rPr>
        <w:t>The following table presents future operating lease payments to be received as of September 30, 2025:</w:t>
      </w:r>
    </w:p>
    <w:p>
      <w:pPr>
        <w:pStyle w:val="TextBody"/>
        <w:bidi w:val="0"/>
        <w:spacing w:before="0" w:after="0"/>
        <w:ind w:left="0" w:right="0" w:hanging="0"/>
        <w:jc w:val="left"/>
        <w:rPr/>
      </w:pPr>
      <w:r>
        <w:rPr/>
        <w:t>​</w:t>
      </w:r>
    </w:p>
    <w:tbl>
      <w:tblPr>
        <w:tblW w:w="4962" w:type="dxa"/>
        <w:jc w:val="left"/>
        <w:tblInd w:w="0" w:type="dxa"/>
        <w:tblLayout w:type="fixed"/>
        <w:tblCellMar>
          <w:top w:w="0" w:type="dxa"/>
          <w:left w:w="0" w:type="dxa"/>
          <w:bottom w:w="0" w:type="dxa"/>
          <w:right w:w="0" w:type="dxa"/>
        </w:tblCellMar>
      </w:tblPr>
      <w:tblGrid>
        <w:gridCol w:w="3421"/>
        <w:gridCol w:w="146"/>
        <w:gridCol w:w="292"/>
        <w:gridCol w:w="1103"/>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72335" cy="175260"/>
                      <wp:effectExtent l="0" t="0" r="0" b="0"/>
                      <wp:wrapNone/>
                      <wp:docPr id="202" name="Frame20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2710" cy="175260"/>
                      <wp:effectExtent l="0" t="0" r="0" b="0"/>
                      <wp:wrapNone/>
                      <wp:docPr id="203" name="Frame2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85420" cy="175260"/>
                      <wp:effectExtent l="0" t="0" r="0" b="0"/>
                      <wp:wrapNone/>
                      <wp:docPr id="204" name="Frame20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00405" cy="175260"/>
                      <wp:effectExtent l="0" t="0" r="0" b="0"/>
                      <wp:wrapNone/>
                      <wp:docPr id="205" name="Frame204"/>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For the Years Ending December 31,</w:t>
            </w:r>
          </w:p>
        </w:tc>
        <w:tc>
          <w:tcPr>
            <w:tcW w:w="146"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395"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 (remaining three months)</w:t>
            </w:r>
          </w:p>
        </w:tc>
        <w:tc>
          <w:tcPr>
            <w:tcW w:w="1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4,078</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1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10,074</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1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6,450</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1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4,152</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1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3,303</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Thereafter</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1,997</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 to be received</w:t>
            </w:r>
          </w:p>
        </w:tc>
        <w:tc>
          <w:tcPr>
            <w:tcW w:w="14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3"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30,054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42" w:name="Tc_BG27riYdEUS19JsArGK9Ng_12_8"/>
      <w:bookmarkStart w:id="1243" w:name="Tc_WPGXxrDEjk-4i5sXeSHyOw_12_2"/>
      <w:bookmarkStart w:id="1244" w:name="Tc_GcxJYaRNQ0Cdm5Sg_iOMbw_12_0"/>
      <w:bookmarkStart w:id="1245" w:name="Tc_T4mSuusUbEOTH60gEpSwGg_11_0"/>
      <w:bookmarkStart w:id="1246" w:name="Tc_2RyLZBFz-E6Q4MRwGHFkbA_10_0"/>
      <w:bookmarkStart w:id="1247" w:name="Tc_eSA4RN3YYkmijZWNqRu6Aw_9_0"/>
      <w:bookmarkStart w:id="1248" w:name="Tc_BUj8-5TsRkekBl4cfx9s3w_8_11"/>
      <w:bookmarkStart w:id="1249" w:name="Tc_1ww-N8mm9E-JwldZTFsFdQ_8_5"/>
      <w:bookmarkStart w:id="1250" w:name="Tc_G94icdo_t02a4vErT1wUjw_8_0"/>
      <w:bookmarkStart w:id="1251" w:name="Tc_We98RzdRA0eJ9F7I9L6c7w_7_0"/>
      <w:bookmarkStart w:id="1252" w:name="Tc_yS67vIkrs0yJZ-YC0VIqpw_6_0"/>
      <w:bookmarkStart w:id="1253" w:name="Tc_V2XNSayliUajT4d3TzV5JA_5_11"/>
      <w:bookmarkStart w:id="1254" w:name="Tc_9SmYRTwrpU2C6lLvYXJ4gA_5_8"/>
      <w:bookmarkStart w:id="1255" w:name="Tc_NrKyXUSODUOB9StVnp3u7g_5_5"/>
      <w:bookmarkStart w:id="1256" w:name="Tc_htJjl8K7nUGggWCrVFZF-w_5_2"/>
      <w:bookmarkStart w:id="1257" w:name="Tc_6olN1LA_nUeiuwNDY4AVvA_5_0"/>
      <w:bookmarkStart w:id="1258" w:name="Tc_Z7ee808p90qPMlZ5M-aUUQ_4_2"/>
      <w:bookmarkStart w:id="1259" w:name="Tc_heCyrp2Ep0aOfWZeY0nGAg_3_11"/>
      <w:bookmarkStart w:id="1260" w:name="Tc__6traDAjsE65GfO1nHeVfQ_3_8"/>
      <w:bookmarkStart w:id="1261" w:name="Tc_11rtTcbJgk6s1eyBD05fsQ_3_5"/>
      <w:bookmarkStart w:id="1262" w:name="Tc_6DRUeTq9e0mxcp6DqPkY7w_3_2"/>
      <w:bookmarkStart w:id="1263" w:name="Tc_VDifveHsIEGYxTOEzwoKNg_2_8"/>
      <w:bookmarkStart w:id="1264" w:name="Tc_Gmjm2o2AaEKCxx2uatwh_Q_2_2"/>
      <w:bookmarkStart w:id="1265" w:name="Tc_BMO9kcCy30Wt5FBC8Y3dBg_1_2"/>
      <w:bookmarkStart w:id="1266" w:name="_48ff7313_2118_49b5_a3d5_8c9dfad8cd55"/>
      <w:bookmarkStart w:id="1267" w:name="Tc_BG27riYdEUS19JsArGK9Ng_12_8"/>
      <w:bookmarkStart w:id="1268" w:name="Tc_WPGXxrDEjk-4i5sXeSHyOw_12_2"/>
      <w:bookmarkStart w:id="1269" w:name="Tc_GcxJYaRNQ0Cdm5Sg_iOMbw_12_0"/>
      <w:bookmarkStart w:id="1270" w:name="Tc_T4mSuusUbEOTH60gEpSwGg_11_0"/>
      <w:bookmarkStart w:id="1271" w:name="Tc_2RyLZBFz-E6Q4MRwGHFkbA_10_0"/>
      <w:bookmarkStart w:id="1272" w:name="Tc_eSA4RN3YYkmijZWNqRu6Aw_9_0"/>
      <w:bookmarkStart w:id="1273" w:name="Tc_BUj8-5TsRkekBl4cfx9s3w_8_11"/>
      <w:bookmarkStart w:id="1274" w:name="Tc_1ww-N8mm9E-JwldZTFsFdQ_8_5"/>
      <w:bookmarkStart w:id="1275" w:name="Tc_G94icdo_t02a4vErT1wUjw_8_0"/>
      <w:bookmarkStart w:id="1276" w:name="Tc_We98RzdRA0eJ9F7I9L6c7w_7_0"/>
      <w:bookmarkStart w:id="1277" w:name="Tc_yS67vIkrs0yJZ-YC0VIqpw_6_0"/>
      <w:bookmarkStart w:id="1278" w:name="Tc_V2XNSayliUajT4d3TzV5JA_5_11"/>
      <w:bookmarkStart w:id="1279" w:name="Tc_9SmYRTwrpU2C6lLvYXJ4gA_5_8"/>
      <w:bookmarkStart w:id="1280" w:name="Tc_NrKyXUSODUOB9StVnp3u7g_5_5"/>
      <w:bookmarkStart w:id="1281" w:name="Tc_htJjl8K7nUGggWCrVFZF-w_5_2"/>
      <w:bookmarkStart w:id="1282" w:name="Tc_6olN1LA_nUeiuwNDY4AVvA_5_0"/>
      <w:bookmarkStart w:id="1283" w:name="Tc_Z7ee808p90qPMlZ5M-aUUQ_4_2"/>
      <w:bookmarkStart w:id="1284" w:name="Tc_heCyrp2Ep0aOfWZeY0nGAg_3_11"/>
      <w:bookmarkStart w:id="1285" w:name="Tc__6traDAjsE65GfO1nHeVfQ_3_8"/>
      <w:bookmarkStart w:id="1286" w:name="Tc_11rtTcbJgk6s1eyBD05fsQ_3_5"/>
      <w:bookmarkStart w:id="1287" w:name="Tc_6DRUeTq9e0mxcp6DqPkY7w_3_2"/>
      <w:bookmarkStart w:id="1288" w:name="Tc_VDifveHsIEGYxTOEzwoKNg_2_8"/>
      <w:bookmarkStart w:id="1289" w:name="Tc_Gmjm2o2AaEKCxx2uatwh_Q_2_2"/>
      <w:bookmarkStart w:id="1290" w:name="Tc_BMO9kcCy30Wt5FBC8Y3dBg_1_2"/>
      <w:bookmarkStart w:id="1291" w:name="_48ff7313_2118_49b5_a3d5_8c9dfad8cd55"/>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p>
    <w:tbl>
      <w:tblPr>
        <w:tblW w:w="4292" w:type="dxa"/>
        <w:jc w:val="left"/>
        <w:tblInd w:w="0" w:type="dxa"/>
        <w:tblLayout w:type="fixed"/>
        <w:tblCellMar>
          <w:top w:w="0" w:type="dxa"/>
          <w:left w:w="0" w:type="dxa"/>
          <w:bottom w:w="0" w:type="dxa"/>
          <w:right w:w="0" w:type="dxa"/>
        </w:tblCellMar>
      </w:tblPr>
      <w:tblGrid>
        <w:gridCol w:w="286"/>
        <w:gridCol w:w="400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8.</w:t>
            </w:r>
          </w:p>
        </w:tc>
        <w:tc>
          <w:tcPr>
            <w:tcW w:w="400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Long-Term Debt and Other Notes Payable</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Fair Value of our Debt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the carrying amount and fair value of our debt facilities as of September 30, 2025 and December 31,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29"/>
        <w:gridCol w:w="109"/>
        <w:gridCol w:w="211"/>
        <w:gridCol w:w="1068"/>
        <w:gridCol w:w="109"/>
        <w:gridCol w:w="211"/>
        <w:gridCol w:w="961"/>
        <w:gridCol w:w="109"/>
        <w:gridCol w:w="211"/>
        <w:gridCol w:w="961"/>
        <w:gridCol w:w="109"/>
        <w:gridCol w:w="211"/>
        <w:gridCol w:w="1006"/>
      </w:tblGrid>
      <w:tr>
        <w:trPr/>
        <w:tc>
          <w:tcPr>
            <w:tcW w:w="49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78180" cy="175260"/>
                      <wp:effectExtent l="0" t="0" r="0" b="0"/>
                      <wp:wrapNone/>
                      <wp:docPr id="208" name="Frame207"/>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10235" cy="175260"/>
                      <wp:effectExtent l="0" t="0" r="0" b="0"/>
                      <wp:wrapNone/>
                      <wp:docPr id="211" name="Frame21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10235" cy="175260"/>
                      <wp:effectExtent l="0" t="0" r="0" b="0"/>
                      <wp:wrapNone/>
                      <wp:docPr id="214" name="Frame21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38810" cy="175260"/>
                      <wp:effectExtent l="0" t="0" r="0" b="0"/>
                      <wp:wrapNone/>
                      <wp:docPr id="217" name="Frame21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67"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49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2025</w:t>
            </w:r>
          </w:p>
        </w:tc>
        <w:tc>
          <w:tcPr>
            <w:tcW w:w="109" w:type="dxa"/>
            <w:tcBorders/>
            <w:vAlign w:val="center"/>
          </w:tcPr>
          <w:p>
            <w:pPr>
              <w:pStyle w:val="TableContents"/>
              <w:bidi w:val="0"/>
              <w:spacing w:before="0" w:after="0"/>
              <w:ind w:left="0" w:right="0" w:hanging="0"/>
              <w:jc w:val="left"/>
              <w:rPr/>
            </w:pPr>
            <w:r>
              <w:rPr/>
              <w:t>​</w:t>
            </w:r>
          </w:p>
        </w:tc>
        <w:tc>
          <w:tcPr>
            <w:tcW w:w="24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2024</w:t>
            </w:r>
          </w:p>
        </w:tc>
      </w:tr>
      <w:tr>
        <w:trPr/>
        <w:tc>
          <w:tcPr>
            <w:tcW w:w="49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Carrying</w:t>
              <w:br/>
              <w:t>Amount</w:t>
            </w:r>
          </w:p>
        </w:tc>
        <w:tc>
          <w:tcPr>
            <w:tcW w:w="109" w:type="dxa"/>
            <w:tcBorders/>
            <w:vAlign w:val="center"/>
          </w:tcPr>
          <w:p>
            <w:pPr>
              <w:pStyle w:val="TableContents"/>
              <w:bidi w:val="0"/>
              <w:spacing w:before="0" w:after="0"/>
              <w:ind w:left="0" w:right="0" w:hanging="0"/>
              <w:jc w:val="lef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Fair</w:t>
              <w:br/>
              <w:t>Value</w:t>
            </w:r>
          </w:p>
        </w:tc>
        <w:tc>
          <w:tcPr>
            <w:tcW w:w="109" w:type="dxa"/>
            <w:tcBorders/>
            <w:vAlign w:val="center"/>
          </w:tcPr>
          <w:p>
            <w:pPr>
              <w:pStyle w:val="TableContents"/>
              <w:bidi w:val="0"/>
              <w:spacing w:before="0" w:after="0"/>
              <w:ind w:left="0" w:right="0" w:hanging="0"/>
              <w:jc w:val="lef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Carrying</w:t>
              <w:br/>
              <w:t>Amount</w:t>
            </w:r>
          </w:p>
        </w:tc>
        <w:tc>
          <w:tcPr>
            <w:tcW w:w="109" w:type="dxa"/>
            <w:tcBorders/>
            <w:vAlign w:val="center"/>
          </w:tcPr>
          <w:p>
            <w:pPr>
              <w:pStyle w:val="TableContents"/>
              <w:bidi w:val="0"/>
              <w:spacing w:before="0" w:after="0"/>
              <w:ind w:left="0" w:right="0" w:hanging="0"/>
              <w:jc w:val="left"/>
              <w:rPr/>
            </w:pPr>
            <w:r>
              <w:rPr/>
              <w:t>​</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Fair</w:t>
              <w:b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92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67" w:type="dxa"/>
            <w:gridSpan w:val="11"/>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92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2026 (1) (2)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736,485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686,475</w:t>
            </w:r>
          </w:p>
        </w:tc>
      </w:tr>
      <w:tr>
        <w:trPr/>
        <w:tc>
          <w:tcPr>
            <w:tcW w:w="492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6 5/8%</w:t>
            </w:r>
            <w:r>
              <w:rPr>
                <w:rFonts w:ascii="Arial;Helvetica;sans-serif" w:hAnsi="Arial;Helvetica;sans-serif"/>
                <w:sz w:val="20"/>
              </w:rPr>
              <w:t xml:space="preserve"> Senior Notes due 2026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715,380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595,725</w:t>
            </w:r>
          </w:p>
        </w:tc>
      </w:tr>
      <w:tr>
        <w:trPr/>
        <w:tc>
          <w:tcPr>
            <w:tcW w:w="492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notes payable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44,774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44,774</w:t>
            </w:r>
          </w:p>
        </w:tc>
      </w:tr>
      <w:tr>
        <w:trPr/>
        <w:tc>
          <w:tcPr>
            <w:tcW w:w="4929"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Subtotal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1,540,140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1,492,005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1,544,774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1,326,974</w:t>
            </w:r>
          </w:p>
        </w:tc>
      </w:tr>
      <w:tr>
        <w:trPr/>
        <w:tc>
          <w:tcPr>
            <w:tcW w:w="492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Unamortized deferred financing costs and other debt discounts,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929"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1,539,328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1,543,265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92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(1,510,952)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92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 and other notes payable,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1,533,717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nine months ended September 30, 2025, our parent, EchoStar, purchased approximately $123</w:t>
            </w:r>
            <w:r>
              <w:rPr>
                <w:caps w:val="false"/>
                <w:smallCaps w:val="false"/>
              </w:rPr>
              <w:t xml:space="preserve"> </w:t>
            </w:r>
            <w:r>
              <w:rPr>
                <w:rFonts w:ascii="Arial;Helvetica;sans-serif" w:hAnsi="Arial;Helvetica;sans-serif"/>
                <w:b w:val="false"/>
                <w:i w:val="false"/>
                <w:caps w:val="false"/>
                <w:smallCaps w:val="false"/>
                <w:sz w:val="20"/>
              </w:rPr>
              <w:t>million of our 5 1/4%</w:t>
            </w:r>
            <w:r>
              <w:rPr>
                <w:caps w:val="false"/>
                <w:smallCaps w:val="false"/>
              </w:rPr>
              <w:t xml:space="preserve"> </w:t>
            </w:r>
            <w:r>
              <w:rPr>
                <w:rFonts w:ascii="Arial;Helvetica;sans-serif" w:hAnsi="Arial;Helvetica;sans-serif"/>
                <w:b w:val="false"/>
                <w:i w:val="false"/>
                <w:caps w:val="false"/>
                <w:smallCaps w:val="false"/>
                <w:sz w:val="20"/>
              </w:rPr>
              <w:t>Senior Secured Notes due 2026 in open market trades. The repurchase is held at EchoStar.</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notes have been reclassified to “Current portion of debt and other notes payable” on our Condensed Consolidated Balance Sheets as of September 30, 2025.</w:t>
            </w:r>
          </w:p>
        </w:tc>
      </w:tr>
    </w:tbl>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estimated the fair value of our publicly traded long-term debt using market prices in less active markets (Level 2).</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tbl>
      <w:tblPr>
        <w:tblW w:w="3542" w:type="dxa"/>
        <w:jc w:val="left"/>
        <w:tblInd w:w="0" w:type="dxa"/>
        <w:tblLayout w:type="fixed"/>
        <w:tblCellMar>
          <w:top w:w="0" w:type="dxa"/>
          <w:left w:w="0" w:type="dxa"/>
          <w:bottom w:w="0" w:type="dxa"/>
          <w:right w:w="0" w:type="dxa"/>
        </w:tblCellMar>
      </w:tblPr>
      <w:tblGrid>
        <w:gridCol w:w="286"/>
        <w:gridCol w:w="325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9.</w:t>
            </w:r>
          </w:p>
        </w:tc>
        <w:tc>
          <w:tcPr>
            <w:tcW w:w="325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Commitments and Contingencies</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Litigation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License Fee Dispute with Government of India, Department of Telecommunications</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 xml:space="preserve">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 </w:t>
      </w:r>
    </w:p>
    <w:p>
      <w:pPr>
        <w:pStyle w:val="TextBody"/>
        <w:pBdr/>
        <w:bidi w:val="0"/>
        <w:spacing w:before="0" w:after="240"/>
        <w:ind w:left="0" w:right="0" w:hanging="9"/>
        <w:jc w:val="both"/>
        <w:rPr/>
      </w:pPr>
      <w:r>
        <w:rPr/>
        <w:t>​</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September 1, 2020, the Supreme Court issued a judgment permitting a </w:t>
      </w:r>
      <w:r>
        <w:rPr>
          <w:rFonts w:ascii="Arial;Helvetica;sans-serif" w:hAnsi="Arial;Helvetica;sans-serif"/>
          <w:b w:val="false"/>
          <w:i w:val="false"/>
          <w:caps w:val="false"/>
          <w:smallCaps w:val="false"/>
          <w:sz w:val="20"/>
        </w:rPr>
        <w:t>10-year</w:t>
      </w:r>
      <w:r>
        <w:rPr>
          <w:rFonts w:ascii="Arial;Helvetica;sans-serif" w:hAnsi="Arial;Helvetica;sans-serif"/>
          <w:sz w:val="20"/>
        </w:rPr>
        <w:t xml:space="preserve">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September 30, 2025, the gross amount of fees, penalties and interest owed was approximately $91 million with $46 million </w:t>
      </w:r>
      <w:r>
        <w:rPr>
          <w:rFonts w:ascii="Arial;Helvetica;sans-serif" w:hAnsi="Arial;Helvetica;sans-serif"/>
          <w:color w:val="222222"/>
          <w:sz w:val="20"/>
        </w:rPr>
        <w:t>remaining outstanding as a result of historical payments</w:t>
      </w:r>
      <w:r>
        <w:rPr>
          <w:rFonts w:ascii="Arial;Helvetica;sans-serif" w:hAnsi="Arial;Helvetica;sans-serif"/>
          <w:sz w:val="20"/>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 The parties reached a conditional agreement to settle the matter, but the conditions were not met, so the stay entered on October 3, 2024 was lifted on November 22, 2024. On July 8, 2025, a magistrate judge issued a report and recommendation that DirecTV should have to indemnify HCIPL only for license fees, penalties and interest that would have been owing to the DOT as of the April 22, 2005 closing date of the spinoff, but not the penalties and interest that compounded on such pre-closing amounts during the course of the litigation in India. By agreement of the parties, the case was dismissed on September 2, 2025. This matter is now concluded.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rFonts w:ascii="Arial;Helvetica;sans-serif" w:hAnsi="Arial;Helvetica;sans-serif"/>
          <w:sz w:val="20"/>
        </w:rPr>
      </w:pPr>
      <w:bookmarkStart w:id="1292" w:name="Tc_-eSJFIf7PkOmAHCf7ErErA_11_5"/>
      <w:bookmarkStart w:id="1293" w:name="Tc_mLcD9euW6kSIieHleNNamQ_11_2"/>
      <w:bookmarkStart w:id="1294" w:name="Tc_MPEcYA_KVUq3vvpPmAGY_Q_11_0"/>
      <w:bookmarkStart w:id="1295" w:name="Tc_DuEDQqImlkCk5d7SAH_GRw_10_0"/>
      <w:bookmarkStart w:id="1296" w:name="Tc_yiNOQSzahEakEBknki7ZEQ_9_0"/>
      <w:bookmarkStart w:id="1297" w:name="Tc_OkWf4ThPhU-m6QglLnltAA_8_0"/>
      <w:bookmarkStart w:id="1298" w:name="Tc_MWLRI54beU65XxItVqVRJQ_7_0"/>
      <w:bookmarkStart w:id="1299" w:name="Tc_H5kP0hp_xEy8XpzldGKELQ_6_0"/>
      <w:bookmarkStart w:id="1300" w:name="Tc_C_a05o7iiUa7CDPSZi5Fpw_5_5"/>
      <w:bookmarkStart w:id="1301" w:name="Tc_GHcZhv5AgUSiUBONVkMddg_5_2"/>
      <w:bookmarkStart w:id="1302" w:name="Tc_gobaK1-Wdki6TMPsWhi2WA_5_0"/>
      <w:bookmarkStart w:id="1303" w:name="Tc_r3vdDmpGp0mwgpanbeLxiw_4_2"/>
      <w:bookmarkStart w:id="1304" w:name="Tc_lyp8Jlcgo0usBbDTOrqczQ_3_5"/>
      <w:bookmarkStart w:id="1305" w:name="Tc_hgHvaXMthk68nTcEF3xuTw_3_2"/>
      <w:bookmarkStart w:id="1306" w:name="Tc_USfkARldfE20kn8W3aZx7Q_2_5"/>
      <w:bookmarkStart w:id="1307" w:name="Tc_ILwlr2rgBkeVJLiWCmg99g_2_2"/>
      <w:bookmarkStart w:id="1308" w:name="Tc_579JEVZmOEKQZUhQ_xwloA_1_2"/>
      <w:bookmarkStart w:id="1309" w:name="_576f89ae_67f7_43aa_962d_f7828b8ed983"/>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r>
        <w:rPr>
          <w:rFonts w:ascii="Arial;Helvetica;sans-serif" w:hAnsi="Arial;Helvetica;sans-serif"/>
          <w:sz w:val="20"/>
        </w:rPr>
        <w:t>The following table presents the components of the accrual:</w:t>
      </w:r>
    </w:p>
    <w:p>
      <w:pPr>
        <w:pStyle w:val="TextBody"/>
        <w:bidi w:val="0"/>
        <w:spacing w:before="0" w:after="0"/>
        <w:ind w:left="0" w:right="0" w:hanging="0"/>
        <w:jc w:val="left"/>
        <w:rPr/>
      </w:pPr>
      <w:r>
        <w:rPr/>
        <w:t>​</w:t>
      </w:r>
    </w:p>
    <w:tbl>
      <w:tblPr>
        <w:tblW w:w="6564" w:type="dxa"/>
        <w:jc w:val="left"/>
        <w:tblInd w:w="0" w:type="dxa"/>
        <w:tblLayout w:type="fixed"/>
        <w:tblCellMar>
          <w:top w:w="0" w:type="dxa"/>
          <w:left w:w="0" w:type="dxa"/>
          <w:bottom w:w="0" w:type="dxa"/>
          <w:right w:w="0" w:type="dxa"/>
        </w:tblCellMar>
      </w:tblPr>
      <w:tblGrid>
        <w:gridCol w:w="3376"/>
        <w:gridCol w:w="109"/>
        <w:gridCol w:w="328"/>
        <w:gridCol w:w="1172"/>
        <w:gridCol w:w="109"/>
        <w:gridCol w:w="308"/>
        <w:gridCol w:w="1162"/>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43760" cy="175260"/>
                      <wp:effectExtent l="0" t="0" r="0" b="0"/>
                      <wp:wrapNone/>
                      <wp:docPr id="218" name="Frame217"/>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8280" cy="175260"/>
                      <wp:effectExtent l="0" t="0" r="0" b="0"/>
                      <wp:wrapNone/>
                      <wp:docPr id="220" name="Frame21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44220" cy="175260"/>
                      <wp:effectExtent l="0" t="0" r="0" b="0"/>
                      <wp:wrapNone/>
                      <wp:docPr id="221" name="Frame220"/>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95580" cy="175260"/>
                      <wp:effectExtent l="0" t="0" r="0" b="0"/>
                      <wp:wrapNone/>
                      <wp:docPr id="223" name="Frame222"/>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737870" cy="175260"/>
                      <wp:effectExtent l="0" t="0" r="0" b="0"/>
                      <wp:wrapNone/>
                      <wp:docPr id="224" name="Frame223"/>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3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center"/>
              <w:rPr>
                <w:color w:val="FFFFFF"/>
              </w:rPr>
            </w:pPr>
            <w:r>
              <w:rPr>
                <w:color w:val="FFFFFF"/>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center"/>
              <w:rPr>
                <w:color w:val="FFFFFF"/>
              </w:rPr>
            </w:pPr>
            <w:r>
              <w:rPr>
                <w:color w:val="FFFFFF"/>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656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79"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license fees</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3,195</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3,314</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Penalties</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3,279</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3,402</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on license fees and penalties</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17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84,326</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84,643</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Payments</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(45,100)</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(36,929)</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accrual</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17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45,700</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54,430</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 (1)</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9,504</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9,860</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long-term accrual (2)(3)</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36,196</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44,570</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current portion of the accrual is included in “Accrued expenses” on our Condensed Consolidated Balance Sheets.</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long-term portion of the accrual is included in “Other noncurrent liabilities” on our Condensed Consolidated Balance Sheets.</w:t>
            </w:r>
          </w:p>
        </w:tc>
      </w:tr>
    </w:tbl>
    <w:tbl>
      <w:tblPr>
        <w:tblW w:w="4862" w:type="dxa"/>
        <w:jc w:val="left"/>
        <w:tblInd w:w="0" w:type="dxa"/>
        <w:tblLayout w:type="fixed"/>
        <w:tblCellMar>
          <w:top w:w="0" w:type="dxa"/>
          <w:left w:w="0" w:type="dxa"/>
          <w:bottom w:w="0" w:type="dxa"/>
          <w:right w:w="0" w:type="dxa"/>
        </w:tblCellMar>
      </w:tblPr>
      <w:tblGrid>
        <w:gridCol w:w="346"/>
        <w:gridCol w:w="451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51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amount owed must be paid in Indian Rupees.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eventual payments made with respect to the ultimate outcome of this matter may be different from our accrual and such differences could be significant.</w:t>
      </w:r>
    </w:p>
    <w:p>
      <w:pPr>
        <w:pStyle w:val="TextBody"/>
        <w:bidi w:val="0"/>
        <w:spacing w:lineRule="auto" w:line="319" w:before="0" w:after="0"/>
        <w:ind w:left="0" w:right="779" w:hanging="0"/>
        <w:jc w:val="left"/>
        <w:rPr>
          <w:rFonts w:ascii="Arial;Helvetica;sans-serif" w:hAnsi="Arial;Helvetica;sans-serif"/>
          <w:i/>
          <w:sz w:val="20"/>
        </w:rPr>
      </w:pPr>
      <w:r>
        <w:rPr>
          <w:rFonts w:ascii="Arial;Helvetica;sans-serif" w:hAnsi="Arial;Helvetica;sans-serif"/>
          <w:i/>
          <w:sz w:val="20"/>
        </w:rPr>
        <w:t>Hughes Telecomunicações do Brasil v. State of São Paulo Treasury Department</w:t>
      </w:r>
    </w:p>
    <w:p>
      <w:pPr>
        <w:pStyle w:val="TextBody"/>
        <w:bidi w:val="0"/>
        <w:spacing w:lineRule="auto" w:line="319" w:before="0" w:after="0"/>
        <w:ind w:left="0" w:right="779"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 On March 14, 2025, HTB filed a motion seeking clarification, but that motion was denied on October 24, 2025.</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addition to the above actions, we are subject to various other legal proceedings and claims that arise in the ordinary course of business.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pStyle w:val="TextBody"/>
        <w:bidi w:val="0"/>
        <w:spacing w:before="0" w:after="240"/>
        <w:ind w:left="0" w:right="0" w:hanging="0"/>
        <w:jc w:val="both"/>
        <w:rPr/>
      </w:pPr>
      <w:r>
        <w:rPr/>
        <w:t>​</w:t>
      </w:r>
    </w:p>
    <w:tbl>
      <w:tblPr>
        <w:tblW w:w="2342" w:type="dxa"/>
        <w:jc w:val="left"/>
        <w:tblInd w:w="0" w:type="dxa"/>
        <w:tblLayout w:type="fixed"/>
        <w:tblCellMar>
          <w:top w:w="0" w:type="dxa"/>
          <w:left w:w="0" w:type="dxa"/>
          <w:bottom w:w="0" w:type="dxa"/>
          <w:right w:w="0" w:type="dxa"/>
        </w:tblCellMar>
      </w:tblPr>
      <w:tblGrid>
        <w:gridCol w:w="391"/>
        <w:gridCol w:w="1951"/>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10.</w:t>
            </w:r>
          </w:p>
        </w:tc>
        <w:tc>
          <w:tcPr>
            <w:tcW w:w="195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Segment Reporting</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Our chief operating decision maker (“CODM”) is our President and Chief Executive Officer. “OIBDA,” defined as “Operating income (loss)” plus “Depreciation and amortization,” is the primary measure used by our CODM to evaluate segment operating performance.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bookmarkStart w:id="1310" w:name="Tc_RRaQ4NskvkOjPUGGuoTEvw_39_11"/>
      <w:bookmarkStart w:id="1311" w:name="Tc_5qjuoD6NMkOGHl-je6mo5A_39_8"/>
      <w:bookmarkStart w:id="1312" w:name="Tc_PmI51HxFN0SXXXn_gOO68Q_39_5"/>
      <w:bookmarkStart w:id="1313" w:name="Tc_zATwrA-SRE27lOan3cmhgQ_39_2"/>
      <w:bookmarkStart w:id="1314" w:name="Tc_tJ7-_IHz50agrzw3okfsgg_39_0"/>
      <w:bookmarkStart w:id="1315" w:name="Tc_rYdVfn7EfUKrhur5imIjTA_37_11"/>
      <w:bookmarkStart w:id="1316" w:name="Tc_yGxUE6OZfEGgXmBXR-G5bw_37_8"/>
      <w:bookmarkStart w:id="1317" w:name="Tc_DdNUT1ujE0yoeFHcoajq0Q_37_5"/>
      <w:bookmarkStart w:id="1318" w:name="Tc_Bhy1NzXTGkGzf34c2gkqqQ_37_2"/>
      <w:bookmarkStart w:id="1319" w:name="Tc_mBe30wBN5USDV2OLDP6F3A_37_0"/>
      <w:bookmarkStart w:id="1320" w:name="Tc_btJjMQXxY0eR3nxmwdpryg_36_0"/>
      <w:bookmarkStart w:id="1321" w:name="Tc_eu9S9p_Me0y9rQD4bKjA5w_35_0"/>
      <w:bookmarkStart w:id="1322" w:name="Tc_l6vWR89SZUWmlsnC42Jo4A_33_0"/>
      <w:bookmarkStart w:id="1323" w:name="Tc_sHKRc7jBe0q34SIubVmLVQ_32_0"/>
      <w:bookmarkStart w:id="1324" w:name="Tc_C7NjKfIvQ0CaUSR4NnIDjQ_31_0"/>
      <w:bookmarkStart w:id="1325" w:name="Tc_16Hvhh1ejkys_pL9uXV23A_30_0"/>
      <w:bookmarkStart w:id="1326" w:name="Tc_IodVRbHEwUWhWif04ACHwQ_28_11"/>
      <w:bookmarkStart w:id="1327" w:name="Tc_8LGzb39OMESTl5I4G5iykg_28_8"/>
      <w:bookmarkStart w:id="1328" w:name="Tc_qjdD7JIQhUuLtY0DiW0FaQ_28_5"/>
      <w:bookmarkStart w:id="1329" w:name="Tc_pY_bLiZ0okqFENiCGBpthQ_28_2"/>
      <w:bookmarkStart w:id="1330" w:name="Tc_7nOXYzZfckC5vZBFTTto-w_28_0"/>
      <w:bookmarkStart w:id="1331" w:name="Tc_6lB9LvC9t0-29_QLIN4SWA_26_0"/>
      <w:bookmarkStart w:id="1332" w:name="Tc_c2RVWWtEtEGzEMEcyhADQQ_25_0"/>
      <w:bookmarkStart w:id="1333" w:name="Tc_x3fkT6YpDEKiOqVLQVltiQ_23_0"/>
      <w:bookmarkStart w:id="1334" w:name="Tc_CeUB6cupbEKrY_9MwELaOg_21_12"/>
      <w:bookmarkStart w:id="1335" w:name="Tc_H2sZ6EV-BEea6briO8InvA_21_6"/>
      <w:bookmarkStart w:id="1336" w:name="Tc_T5VlLIqkvkyKDysdaiRD-Q_21_0"/>
      <w:bookmarkStart w:id="1337" w:name="Tc_EENqdkFr70iQn-guAGpxvA_19_0"/>
      <w:bookmarkStart w:id="1338" w:name="Tc_1YA2sFrrJ0m-oXJrPFlSYQ_18_0"/>
      <w:bookmarkStart w:id="1339" w:name="Tc_Hisnq_HDCUSZSMcU7HwJMw_17_0"/>
      <w:bookmarkStart w:id="1340" w:name="Tc_h64Y-RcGFEWbF4uD8ckusw_16_0"/>
      <w:bookmarkStart w:id="1341" w:name="Tc_rNB2iDTQHUSmcdQkxOBghw_15_0"/>
      <w:bookmarkStart w:id="1342" w:name="Tc_soJpzRCEKEKCI-GVySzkJg_14_0"/>
      <w:bookmarkStart w:id="1343" w:name="Tc_qZqO9Kw1-0CBeNkmxpCmzw_13_0"/>
      <w:bookmarkStart w:id="1344" w:name="Tc_NACLCf_ZAUife7nB9RdisQ_12_0"/>
      <w:bookmarkStart w:id="1345" w:name="Tc_a9d-okLumEKAO7KVHvy8ww_11_0"/>
      <w:bookmarkStart w:id="1346" w:name="Tc_TNXrYuC8CEqKF-ySXmVH4w_10_0"/>
      <w:bookmarkStart w:id="1347" w:name="Tc_4kDUziwqekuruU9zrfvIkA_8_0"/>
      <w:bookmarkStart w:id="1348" w:name="Tc_KxsCnxnHyU21bpVy1rUmOQ_7_0"/>
      <w:bookmarkStart w:id="1349" w:name="Tc_iHcRvIAIVkm8Ic0gryTnXw_6_11"/>
      <w:bookmarkStart w:id="1350" w:name="Tc_n30fzj7Yq0miyTA6o4g3QA_6_8"/>
      <w:bookmarkStart w:id="1351" w:name="Tc_uO0CkWXYgUCPYIQPfGRQHg_6_5"/>
      <w:bookmarkStart w:id="1352" w:name="Tc_GvfV1RWr4UC7RKkWF5PSxw_6_2"/>
      <w:bookmarkStart w:id="1353" w:name="Tc_ymvXO72R7kaAQlSHT9g0hA_6_0"/>
      <w:bookmarkStart w:id="1354" w:name="Tc_wSixyDr01kiTNqZ3O4VevA_5_0"/>
      <w:bookmarkStart w:id="1355" w:name="Tc_zqamii7HjUm6lhSgy4AlrA_4_2"/>
      <w:bookmarkStart w:id="1356" w:name="Tc_8DqUQ0Uz80iTMD7eU82wFQ_3_11"/>
      <w:bookmarkStart w:id="1357" w:name="Tc_pWASCeUY8UK8PQ5vOkK8Ag_3_8"/>
      <w:bookmarkStart w:id="1358" w:name="Tc_wHSOlaAleUuDMyEmbBVYmQ_3_5"/>
      <w:bookmarkStart w:id="1359" w:name="Tc_va73nw9V-Uew7igqb3ZnVw_3_2"/>
      <w:bookmarkStart w:id="1360" w:name="Tc__W9ulVpn8Uuu8h7dvgMYrg_3_0"/>
      <w:bookmarkStart w:id="1361" w:name="Tc_zkohMwQsv0iWGTlA4opN8w_2_8"/>
      <w:bookmarkStart w:id="1362" w:name="Tc_xtB4DYuGLk6RUlTM3lkhjg_2_2"/>
      <w:bookmarkStart w:id="1363" w:name="Tc_TmS39sFaakyuBBDoM98hoA_1_8"/>
      <w:bookmarkStart w:id="1364" w:name="Tc_x-8_dLA7akWczHQaR8SsNQ_1_2"/>
      <w:bookmarkStart w:id="1365" w:name="_63e05ebb_90de_4a5f_abdd_bdfbae993df3"/>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Pr>
          <w:rFonts w:ascii="Arial;Helvetica;sans-serif" w:hAnsi="Arial;Helvetica;sans-serif"/>
          <w:sz w:val="20"/>
        </w:rPr>
        <w:t>The CODM regularly reviews budget-to-actual variances of OIBDA when evaluating segment performance and allocating resources to each segment. The CODM is not regularly provided assets in evaluating the results of our Hughes segment; therefore, such information is not presented.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manage our business activities on a consolidated basis and operate as a </w:t>
      </w:r>
      <w:r>
        <w:rPr>
          <w:rFonts w:ascii="Arial;Helvetica;sans-serif" w:hAnsi="Arial;Helvetica;sans-serif"/>
          <w:b w:val="false"/>
          <w:i w:val="false"/>
          <w:caps w:val="false"/>
          <w:smallCaps w:val="false"/>
          <w:sz w:val="20"/>
        </w:rPr>
        <w:t>single</w:t>
      </w:r>
      <w:r>
        <w:rPr>
          <w:rFonts w:ascii="Arial;Helvetica;sans-serif" w:hAnsi="Arial;Helvetica;sans-serif"/>
          <w:sz w:val="20"/>
        </w:rPr>
        <w:t xml:space="preserve"> operating segment, Hughes.</w:t>
      </w:r>
    </w:p>
    <w:tbl>
      <w:tblPr>
        <w:tblW w:w="10205" w:type="dxa"/>
        <w:jc w:val="left"/>
        <w:tblInd w:w="0" w:type="dxa"/>
        <w:tblLayout w:type="fixed"/>
        <w:tblCellMar>
          <w:top w:w="0" w:type="dxa"/>
          <w:left w:w="0" w:type="dxa"/>
          <w:bottom w:w="0" w:type="dxa"/>
          <w:right w:w="0" w:type="dxa"/>
        </w:tblCellMar>
      </w:tblPr>
      <w:tblGrid>
        <w:gridCol w:w="4424"/>
        <w:gridCol w:w="109"/>
        <w:gridCol w:w="275"/>
        <w:gridCol w:w="1058"/>
        <w:gridCol w:w="141"/>
        <w:gridCol w:w="275"/>
        <w:gridCol w:w="1058"/>
        <w:gridCol w:w="109"/>
        <w:gridCol w:w="232"/>
        <w:gridCol w:w="1060"/>
        <w:gridCol w:w="119"/>
        <w:gridCol w:w="232"/>
        <w:gridCol w:w="1113"/>
      </w:tblGrid>
      <w:tr>
        <w:trPr/>
        <w:tc>
          <w:tcPr>
            <w:tcW w:w="4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809240" cy="175260"/>
                      <wp:effectExtent l="0" t="0" r="0" b="0"/>
                      <wp:wrapNone/>
                      <wp:docPr id="225" name="Frame224"/>
                      <a:graphic xmlns:a="http://schemas.openxmlformats.org/drawingml/2006/main">
                        <a:graphicData uri="http://schemas.microsoft.com/office/word/2010/wordprocessingShape">
                          <wps:wsp>
                            <wps:cNvSpPr txBox="1"/>
                            <wps:spPr>
                              <a:xfrm>
                                <a:off x="0" y="0"/>
                                <a:ext cx="280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4625" cy="175260"/>
                      <wp:effectExtent l="0" t="0" r="0" b="0"/>
                      <wp:wrapNone/>
                      <wp:docPr id="227" name="Frame22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71830" cy="175260"/>
                      <wp:effectExtent l="0" t="0" r="0" b="0"/>
                      <wp:wrapNone/>
                      <wp:docPr id="228" name="Frame227"/>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89535" cy="175260"/>
                      <wp:effectExtent l="0" t="0" r="0" b="0"/>
                      <wp:wrapNone/>
                      <wp:docPr id="229" name="Frame228"/>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74625" cy="175260"/>
                      <wp:effectExtent l="0" t="0" r="0" b="0"/>
                      <wp:wrapNone/>
                      <wp:docPr id="230" name="Frame22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71830" cy="175260"/>
                      <wp:effectExtent l="0" t="0" r="0" b="0"/>
                      <wp:wrapNone/>
                      <wp:docPr id="231" name="Frame230"/>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7320" cy="175260"/>
                      <wp:effectExtent l="0" t="0" r="0" b="0"/>
                      <wp:wrapNone/>
                      <wp:docPr id="233" name="Frame23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73100" cy="175260"/>
                      <wp:effectExtent l="0" t="0" r="0" b="0"/>
                      <wp:wrapNone/>
                      <wp:docPr id="234" name="Frame233"/>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5565" cy="175260"/>
                      <wp:effectExtent l="0" t="0" r="0" b="0"/>
                      <wp:wrapNone/>
                      <wp:docPr id="235" name="Frame234"/>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7320" cy="175260"/>
                      <wp:effectExtent l="0" t="0" r="0" b="0"/>
                      <wp:wrapNone/>
                      <wp:docPr id="236" name="Frame23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06755" cy="175260"/>
                      <wp:effectExtent l="0" t="0" r="0" b="0"/>
                      <wp:wrapNone/>
                      <wp:docPr id="237" name="Frame236"/>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7"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756"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center"/>
              <w:rPr/>
            </w:pPr>
            <w:r>
              <w:rPr/>
              <w:t>​</w:t>
            </w:r>
          </w:p>
        </w:tc>
        <w:tc>
          <w:tcPr>
            <w:tcW w:w="275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442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Hughes</w:t>
            </w:r>
          </w:p>
        </w:tc>
        <w:tc>
          <w:tcPr>
            <w:tcW w:w="109" w:type="dxa"/>
            <w:tcBorders/>
            <w:vAlign w:val="center"/>
          </w:tcPr>
          <w:p>
            <w:pPr>
              <w:pStyle w:val="TableContents"/>
              <w:bidi w:val="0"/>
              <w:spacing w:before="0" w:after="0"/>
              <w:ind w:left="0" w:right="0" w:hanging="0"/>
              <w:jc w:val="left"/>
              <w:rPr/>
            </w:pPr>
            <w:r>
              <w:rPr/>
              <w:t>​</w:t>
            </w:r>
          </w:p>
        </w:tc>
        <w:tc>
          <w:tcPr>
            <w:tcW w:w="13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41" w:type="dxa"/>
            <w:tcBorders/>
            <w:vAlign w:val="center"/>
          </w:tcPr>
          <w:p>
            <w:pPr>
              <w:pStyle w:val="TableContents"/>
              <w:bidi w:val="0"/>
              <w:spacing w:before="0" w:after="0"/>
              <w:ind w:left="0" w:right="0" w:hanging="0"/>
              <w:jc w:val="left"/>
              <w:rPr/>
            </w:pPr>
            <w:r>
              <w:rPr/>
              <w:t>​</w:t>
            </w:r>
          </w:p>
        </w:tc>
        <w:tc>
          <w:tcPr>
            <w:tcW w:w="13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center"/>
              <w:rPr/>
            </w:pPr>
            <w:r>
              <w:rPr/>
              <w:t>​</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19" w:type="dxa"/>
            <w:tcBorders/>
            <w:vAlign w:val="center"/>
          </w:tcPr>
          <w:p>
            <w:pPr>
              <w:pStyle w:val="TableContents"/>
              <w:bidi w:val="0"/>
              <w:spacing w:before="0" w:after="0"/>
              <w:ind w:left="0" w:right="0" w:hanging="0"/>
              <w:jc w:val="left"/>
              <w:rPr/>
            </w:pPr>
            <w:r>
              <w:rPr/>
              <w:t>​</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72"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lef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lef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left"/>
              <w:rPr/>
            </w:pPr>
            <w:r>
              <w:rPr/>
              <w:t>​</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Service revenue</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268,294</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295,935</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820,249</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919,344</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Equipment sales and 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71,821</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86,461</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220,954</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232,675</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340,115</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382,396</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1,041,203</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1,152,019</w:t>
            </w:r>
          </w:p>
        </w:tc>
      </w:tr>
      <w:tr>
        <w:trPr/>
        <w:tc>
          <w:tcPr>
            <w:tcW w:w="44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Cost of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Connectivity services (1)</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97,318</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99,164</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291,838</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297,795</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(2)</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62,699</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72,716</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188,265</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216,649</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cost of services</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160,017</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171,880</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480,103</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514,444</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 - equipment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67,830</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74,242</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212,825</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208,905</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right"/>
              <w:rPr/>
            </w:pPr>
            <w:r>
              <w:rPr/>
              <w:t>​</w:t>
            </w:r>
          </w:p>
        </w:tc>
        <w:tc>
          <w:tcPr>
            <w:tcW w:w="1058"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10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1060"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Subscriber acquisition costs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42,868</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46,000</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130,864</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140,449</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36,210</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52,285</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111,435</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154,544</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79,078</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98,285</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242,299</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294,993</w:t>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Impairments and other (Note 1)</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10,581</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10,581</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OIBDA (3)</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22,609</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37,989</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95,395</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133,677</w:t>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83,218</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90,719</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251,033</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277,594</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costs and expenses</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400,724</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435,126</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1,196,841</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1,295,936</w:t>
            </w:r>
          </w:p>
        </w:tc>
      </w:tr>
      <w:tr>
        <w:trPr/>
        <w:tc>
          <w:tcPr>
            <w:tcW w:w="44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income (loss)</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(60,609)</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(52,730)</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(155,638)</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(143,917)</w:t>
            </w:r>
          </w:p>
        </w:tc>
      </w:tr>
      <w:tr>
        <w:trPr/>
        <w:tc>
          <w:tcPr>
            <w:tcW w:w="44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2,522</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2,322</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7,269</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22,892</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 net of amounts capitalized</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(24,386)</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(24,695)</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(74,697)</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1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(74,139)</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net</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1,013</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(979)</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5,712</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(6,085)</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income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(20,851)</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(23,352)</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(61,716)</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(57,332)</w:t>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center"/>
              <w:rPr/>
            </w:pPr>
            <w:r>
              <w:rPr/>
              <w:t>​</w:t>
            </w:r>
          </w:p>
        </w:tc>
        <w:tc>
          <w:tcPr>
            <w:tcW w:w="1058"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center"/>
              <w:rPr/>
            </w:pPr>
            <w:r>
              <w:rPr/>
              <w:t>​</w:t>
            </w:r>
          </w:p>
        </w:tc>
        <w:tc>
          <w:tcPr>
            <w:tcW w:w="10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center"/>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(81,460)</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(76,082)</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(217,354)</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(201,249)</w:t>
            </w:r>
          </w:p>
        </w:tc>
      </w:tr>
      <w:tr>
        <w:trPr/>
        <w:tc>
          <w:tcPr>
            <w:tcW w:w="44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benefit (provision), net</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21,490</w:t>
            </w:r>
          </w:p>
        </w:tc>
        <w:tc>
          <w:tcPr>
            <w:tcW w:w="141" w:type="dxa"/>
            <w:tcBorders/>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15,822</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50,521</w:t>
            </w:r>
          </w:p>
        </w:tc>
        <w:tc>
          <w:tcPr>
            <w:tcW w:w="11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32,848</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(59,970)</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(60,260)</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(166,833)</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(168,401)</w:t>
            </w:r>
          </w:p>
        </w:tc>
      </w:tr>
      <w:tr>
        <w:trPr/>
        <w:tc>
          <w:tcPr>
            <w:tcW w:w="4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44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(28,760)</w:t>
            </w:r>
          </w:p>
        </w:tc>
        <w:tc>
          <w:tcPr>
            <w:tcW w:w="141" w:type="dxa"/>
            <w:tcBorders/>
            <w:shd w:fill="CCEEFF" w:val="clear"/>
            <w:vAlign w:val="center"/>
          </w:tcPr>
          <w:p>
            <w:pPr>
              <w:pStyle w:val="TableContents"/>
              <w:bidi w:val="0"/>
              <w:spacing w:before="0" w:after="0"/>
              <w:ind w:left="0" w:right="0" w:hanging="0"/>
              <w:jc w:val="righ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(44,448)</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(90,101)</w:t>
            </w:r>
          </w:p>
        </w:tc>
        <w:tc>
          <w:tcPr>
            <w:tcW w:w="119" w:type="dxa"/>
            <w:tcBorders/>
            <w:shd w:fill="CCEEFF" w:val="clear"/>
            <w:vAlign w:val="center"/>
          </w:tcPr>
          <w:p>
            <w:pPr>
              <w:pStyle w:val="TableContents"/>
              <w:bidi w:val="0"/>
              <w:spacing w:before="0" w:after="0"/>
              <w:ind w:left="0" w:right="0" w:hanging="0"/>
              <w:jc w:val="righ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(168,097)</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774"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Connectivity services” is the cost to deliver our services and products to customers, which includes, among other things, satellite and transmission and other related costs.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7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Other” primarily consists of variable costs including call center, manufacturing, dealer incentive, bad debt, billing and other variable costs, as well as costs to retain our subscribers.</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79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on a more variable cost basis as it excludes depreciation and amortization expenses related primarily to capital expenditures and acquisitions, as well as in evaluating operating performance in relation to our competitors.</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66" w:name="Tc_IO9LYT38ME-lVmY1YJ1RMA_9_5"/>
      <w:bookmarkStart w:id="1367" w:name="Tc_xG9jP23iy02ZtTKtGUaOqQ_9_2"/>
      <w:bookmarkStart w:id="1368" w:name="Tc_9khP-5nsEk2EU9z9ZN9seA_9_0"/>
      <w:bookmarkStart w:id="1369" w:name="Tc_aLXeeeUa2USkYwBAjcpDFQ_8_0"/>
      <w:bookmarkStart w:id="1370" w:name="Tc_VH1hA6q06E6A9PKs5clA0A_7_0"/>
      <w:bookmarkStart w:id="1371" w:name="Tc_-0WwK1AkJEC7K4EH4adllw_6_0"/>
      <w:bookmarkStart w:id="1372" w:name="Tc_FJ4pk-F220CyF2lCBa_byw_5_5"/>
      <w:bookmarkStart w:id="1373" w:name="Tc_BBinEKBJjUmoI3uI9mPI0w_5_2"/>
      <w:bookmarkStart w:id="1374" w:name="Tc_Hyy5IJ_5A0-tBAwdKJAV8A_5_0"/>
      <w:bookmarkStart w:id="1375" w:name="Tc_ybIsI9RPjUOvQvp2cFPf2g_4_2"/>
      <w:bookmarkStart w:id="1376" w:name="Tc_KnbMaayPlEehKljoFbPHdA_3_5"/>
      <w:bookmarkStart w:id="1377" w:name="Tc_PwYy_XDNa0G4VMmqeyVm-w_3_2"/>
      <w:bookmarkStart w:id="1378" w:name="Tc_LD8OilCHR0-D1uX-BPU5fA_2_2"/>
      <w:bookmarkStart w:id="1379" w:name="Tc_ke5MJmX31UCDBhWH9HZNNw_1_2"/>
      <w:bookmarkStart w:id="1380" w:name="Tc_IO9LYT38ME-lVmY1YJ1RMA_9_5"/>
      <w:bookmarkStart w:id="1381" w:name="Tc_xG9jP23iy02ZtTKtGUaOqQ_9_2"/>
      <w:bookmarkStart w:id="1382" w:name="Tc_9khP-5nsEk2EU9z9ZN9seA_9_0"/>
      <w:bookmarkStart w:id="1383" w:name="Tc_aLXeeeUa2USkYwBAjcpDFQ_8_0"/>
      <w:bookmarkStart w:id="1384" w:name="Tc_VH1hA6q06E6A9PKs5clA0A_7_0"/>
      <w:bookmarkStart w:id="1385" w:name="Tc_-0WwK1AkJEC7K4EH4adllw_6_0"/>
      <w:bookmarkStart w:id="1386" w:name="Tc_FJ4pk-F220CyF2lCBa_byw_5_5"/>
      <w:bookmarkStart w:id="1387" w:name="Tc_BBinEKBJjUmoI3uI9mPI0w_5_2"/>
      <w:bookmarkStart w:id="1388" w:name="Tc_Hyy5IJ_5A0-tBAwdKJAV8A_5_0"/>
      <w:bookmarkStart w:id="1389" w:name="Tc_ybIsI9RPjUOvQvp2cFPf2g_4_2"/>
      <w:bookmarkStart w:id="1390" w:name="Tc_KnbMaayPlEehKljoFbPHdA_3_5"/>
      <w:bookmarkStart w:id="1391" w:name="Tc_PwYy_XDNa0G4VMmqeyVm-w_3_2"/>
      <w:bookmarkStart w:id="1392" w:name="Tc_LD8OilCHR0-D1uX-BPU5fA_2_2"/>
      <w:bookmarkStart w:id="1393" w:name="Tc_ke5MJmX31UCDBhWH9HZNNw_1_2"/>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p>
    <w:tbl>
      <w:tblPr>
        <w:tblW w:w="2522" w:type="dxa"/>
        <w:jc w:val="left"/>
        <w:tblInd w:w="0" w:type="dxa"/>
        <w:tblLayout w:type="fixed"/>
        <w:tblCellMar>
          <w:top w:w="0" w:type="dxa"/>
          <w:left w:w="0" w:type="dxa"/>
          <w:bottom w:w="0" w:type="dxa"/>
          <w:right w:w="0" w:type="dxa"/>
        </w:tblCellMar>
      </w:tblPr>
      <w:tblGrid>
        <w:gridCol w:w="391"/>
        <w:gridCol w:w="2131"/>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11.</w:t>
            </w:r>
          </w:p>
        </w:tc>
        <w:tc>
          <w:tcPr>
            <w:tcW w:w="213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Revenue Recognition</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presents the activity in our allowance for credit losses:</w:t>
      </w:r>
    </w:p>
    <w:p>
      <w:pPr>
        <w:pStyle w:val="TextBody"/>
        <w:bidi w:val="0"/>
        <w:spacing w:before="0" w:after="0"/>
        <w:ind w:left="0" w:right="0" w:hanging="0"/>
        <w:jc w:val="left"/>
        <w:rPr/>
      </w:pPr>
      <w:r>
        <w:rPr/>
        <w:t>​</w:t>
      </w:r>
    </w:p>
    <w:tbl>
      <w:tblPr>
        <w:tblW w:w="7571" w:type="dxa"/>
        <w:jc w:val="left"/>
        <w:tblInd w:w="0" w:type="dxa"/>
        <w:tblLayout w:type="fixed"/>
        <w:tblCellMar>
          <w:top w:w="0" w:type="dxa"/>
          <w:left w:w="0" w:type="dxa"/>
          <w:bottom w:w="0" w:type="dxa"/>
          <w:right w:w="0" w:type="dxa"/>
        </w:tblCellMar>
      </w:tblPr>
      <w:tblGrid>
        <w:gridCol w:w="4486"/>
        <w:gridCol w:w="326"/>
        <w:gridCol w:w="265"/>
        <w:gridCol w:w="1018"/>
        <w:gridCol w:w="136"/>
        <w:gridCol w:w="265"/>
        <w:gridCol w:w="1075"/>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848610" cy="175260"/>
                      <wp:effectExtent l="0" t="0" r="0" b="0"/>
                      <wp:wrapNone/>
                      <wp:docPr id="238" name="Frame23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8275" cy="175260"/>
                      <wp:effectExtent l="0" t="0" r="0" b="0"/>
                      <wp:wrapNone/>
                      <wp:docPr id="240" name="Frame23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6430" cy="175260"/>
                      <wp:effectExtent l="0" t="0" r="0" b="0"/>
                      <wp:wrapNone/>
                      <wp:docPr id="241" name="Frame240"/>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86360" cy="175260"/>
                      <wp:effectExtent l="0" t="0" r="0" b="0"/>
                      <wp:wrapNone/>
                      <wp:docPr id="242" name="Frame241"/>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8275" cy="175260"/>
                      <wp:effectExtent l="0" t="0" r="0" b="0"/>
                      <wp:wrapNone/>
                      <wp:docPr id="243" name="Frame24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82625" cy="175260"/>
                      <wp:effectExtent l="0" t="0" r="0" b="0"/>
                      <wp:wrapNone/>
                      <wp:docPr id="244" name="Frame243"/>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36" w:type="dxa"/>
            <w:tcBorders/>
            <w:vAlign w:val="center"/>
          </w:tcPr>
          <w:p>
            <w:pPr>
              <w:pStyle w:val="TableContents"/>
              <w:bidi w:val="0"/>
              <w:spacing w:before="0" w:after="0"/>
              <w:ind w:left="0" w:right="0" w:hanging="0"/>
              <w:jc w:val="center"/>
              <w:rPr/>
            </w:pPr>
            <w:r>
              <w:rPr/>
              <w:t>​</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757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4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11,314</w:t>
            </w:r>
          </w:p>
        </w:tc>
        <w:tc>
          <w:tcPr>
            <w:tcW w:w="13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20,399</w:t>
            </w:r>
          </w:p>
        </w:tc>
      </w:tr>
      <w:tr>
        <w:trPr/>
        <w:tc>
          <w:tcPr>
            <w:tcW w:w="44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period provision for expected credit losses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11,579</w:t>
            </w:r>
          </w:p>
        </w:tc>
        <w:tc>
          <w:tcPr>
            <w:tcW w:w="13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21,107</w:t>
            </w:r>
          </w:p>
        </w:tc>
      </w:tr>
      <w:tr>
        <w:trPr/>
        <w:tc>
          <w:tcPr>
            <w:tcW w:w="44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Write-offs charged against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(11,002)</w:t>
            </w:r>
          </w:p>
        </w:tc>
        <w:tc>
          <w:tcPr>
            <w:tcW w:w="13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(25,880)</w:t>
            </w:r>
          </w:p>
        </w:tc>
      </w:tr>
      <w:tr>
        <w:trPr/>
        <w:tc>
          <w:tcPr>
            <w:tcW w:w="44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c>
          <w:tcPr>
            <w:tcW w:w="136" w:type="dxa"/>
            <w:tcBorders/>
            <w:vAlign w:val="center"/>
          </w:tcPr>
          <w:p>
            <w:pPr>
              <w:pStyle w:val="TableContents"/>
              <w:bidi w:val="0"/>
              <w:spacing w:before="0" w:after="0"/>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w:t>
            </w:r>
          </w:p>
        </w:tc>
      </w:tr>
      <w:tr>
        <w:trPr/>
        <w:tc>
          <w:tcPr>
            <w:tcW w:w="44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11,988</w:t>
            </w:r>
          </w:p>
        </w:tc>
        <w:tc>
          <w:tcPr>
            <w:tcW w:w="136" w:type="dxa"/>
            <w:tcBorders/>
            <w:shd w:fill="CCEEFF" w:val="clear"/>
            <w:vAlign w:val="center"/>
          </w:tcPr>
          <w:p>
            <w:pPr>
              <w:pStyle w:val="TableContents"/>
              <w:bidi w:val="0"/>
              <w:spacing w:before="0" w:after="0"/>
              <w:ind w:left="0" w:right="0" w:hanging="0"/>
              <w:jc w:val="righ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15,363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September 30, 2025, we have accounts receivable balances of $18 million for certain customers in Mexico and Brazil, a portion of which have been fully reserved in “Other noncurrent assets, net” on our Condensed Consolidated Balance Sheets.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Contract assets arise when we recognize revenue for providing goods or services in advance of billing our customers. Our contract assets typically relate to our long-term contracts where we recognize revenue using the cost-based input method and the revenue recognized exceeds the amount billed to the customer.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contract assets also include receivables related to sales-type leases recognized over the lease term as the customer is billed. Contract assets are amortized as the customer is billed for services. Contract assets are recorded in “Trade accounts receivable and contract assets, net” on our Condensed Consolidated Balance Sheets.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Contract liabilities arise when we bill our customers and receive consideration in advance of providing the goods or service. Contract liabilities are recognized as revenue when the service or equipment has been provided to the customer. Contract liabilities are recorded in “Contract liabilities” or “Other noncurrent liabilities” on our Condensed Consolidated Balance Sheets.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bookmarkStart w:id="1394" w:name="Tc_CT6AWW9MrEi_syro148unw_9_10"/>
      <w:bookmarkStart w:id="1395" w:name="Tc_FClDCf2wa0yoqztjlfLkVg_9_7"/>
      <w:bookmarkStart w:id="1396" w:name="Tc_lk3oCaPqn0OsisCEAVZPng_9_4"/>
      <w:bookmarkStart w:id="1397" w:name="Tc_pphm7guTSUSIRzPK59kt8A_9_1"/>
      <w:bookmarkStart w:id="1398" w:name="Tc_6NWqbSarf0SUsOcTsOA1Ow_9_0"/>
      <w:bookmarkStart w:id="1399" w:name="Tc_8JkwkeuDakaoUF5PFkIfAg_8_0"/>
      <w:bookmarkStart w:id="1400" w:name="Tc_GV-VEAppT0qGxFWBLHJYRA_7_0"/>
      <w:bookmarkStart w:id="1401" w:name="Tc_1wbyJwTczky3HisDC6iAVQ_6_0"/>
      <w:bookmarkStart w:id="1402" w:name="Tc_LHPdznJRykiX7WKXNZwWZg_5_10"/>
      <w:bookmarkStart w:id="1403" w:name="Tc_ehcEdXbN-0OCMV4uE3vOLQ_5_7"/>
      <w:bookmarkStart w:id="1404" w:name="Tc__4j__jItBkS8yECBrcyNUw_5_4"/>
      <w:bookmarkStart w:id="1405" w:name="Tc_il5Vnl_TBUqfC4nSdGPGpA_5_1"/>
      <w:bookmarkStart w:id="1406" w:name="Tc_B7nvUrkCpUubD9DIrxMMDw_5_0"/>
      <w:bookmarkStart w:id="1407" w:name="Tc_oRRspcXvRk6hlUbbbqv9QA_4_1"/>
      <w:bookmarkStart w:id="1408" w:name="Tc_OLVS2-cNHkG64TZdxgGCIQ_3_10"/>
      <w:bookmarkStart w:id="1409" w:name="Tc_Zakl65kiBk-F935eJ_YWSw_3_7"/>
      <w:bookmarkStart w:id="1410" w:name="Tc_G2f23u6VCEqEUuCFTKrrfw_3_4"/>
      <w:bookmarkStart w:id="1411" w:name="Tc_CdlE-QLN_Eq-nBxG9Sslng_3_1"/>
      <w:bookmarkStart w:id="1412" w:name="Tc_uOFb8amN7UulmmhoYpeT5Q_2_7"/>
      <w:bookmarkStart w:id="1413" w:name="Tc_URL-M2Zy2UuOdPmkWrVEKg_2_1"/>
      <w:bookmarkStart w:id="1414" w:name="Tc_A5kTxXCMNUKz31d67eEeDA_1_7"/>
      <w:bookmarkStart w:id="1415" w:name="Tc_33lso0NTa0eyRiRSaqjKOw_1_1"/>
      <w:bookmarkStart w:id="1416" w:name="Tc_8zCdrRMJZkysAgDXch47kQ_10_5"/>
      <w:bookmarkStart w:id="1417" w:name="Tc_5gS6saDQ5EK_l12tM8uJGQ_10_2"/>
      <w:bookmarkStart w:id="1418" w:name="Tc_SrZiq_dDl0GJrubzCravGg_10_0"/>
      <w:bookmarkStart w:id="1419" w:name="Tc_X-BwOz8ZNUKTGMsu20pkKg_9_0"/>
      <w:bookmarkStart w:id="1420" w:name="Tc_rMxnplT8wEye2busnBVkDA_8_5"/>
      <w:bookmarkStart w:id="1421" w:name="Tc_bkXOc7KuTkaCZLTbv_2-Yw_8_2"/>
      <w:bookmarkStart w:id="1422" w:name="Tc_qbrbO7TDOUmV_l575eyg6A_8_0"/>
      <w:bookmarkStart w:id="1423" w:name="Tc_7OI83GxqNkKHCwMdOvd3aw_7_0"/>
      <w:bookmarkStart w:id="1424" w:name="Tc_FOEnwr2OykSoo4sQR_UhuA_5_5"/>
      <w:bookmarkStart w:id="1425" w:name="Tc_Xch2tHR-pkuWHb0YmktzGg_5_2"/>
      <w:bookmarkStart w:id="1426" w:name="Tc_UPI68Gq_CUG6a6MN5dpNSw_5_0"/>
      <w:bookmarkStart w:id="1427" w:name="Tc_sWpMTp7qNk-11Qs8bPVMXQ_4_2"/>
      <w:bookmarkStart w:id="1428" w:name="Tc_pm81aSg9FE6MSRCVITAX-g_3_5"/>
      <w:bookmarkStart w:id="1429" w:name="Tc_3OqHVx0LekyD_IREt6MNDw_3_2"/>
      <w:bookmarkStart w:id="1430" w:name="Tc_SP8Rw4gWwEWUU7oU-kpE-g_2_5"/>
      <w:bookmarkStart w:id="1431" w:name="Tc_m3tKM9hR2EyYHTWgynxEaA_2_2"/>
      <w:bookmarkStart w:id="1432" w:name="Tc__h-KLSqeY0C3Q8j5YQ3U6w_1_2"/>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r>
        <w:rPr>
          <w:rFonts w:ascii="Arial;Helvetica;sans-serif" w:hAnsi="Arial;Helvetica;sans-serif"/>
          <w:sz w:val="20"/>
        </w:rPr>
        <w:t>The following table summarizes our contract asset and liability balances:</w:t>
      </w:r>
    </w:p>
    <w:p>
      <w:pPr>
        <w:pStyle w:val="TextBody"/>
        <w:bidi w:val="0"/>
        <w:spacing w:before="0" w:after="0"/>
        <w:ind w:left="0" w:right="0" w:hanging="0"/>
        <w:jc w:val="left"/>
        <w:rPr/>
      </w:pPr>
      <w:r>
        <w:rPr/>
        <w:t>​</w:t>
      </w:r>
    </w:p>
    <w:tbl>
      <w:tblPr>
        <w:tblW w:w="5319" w:type="dxa"/>
        <w:jc w:val="left"/>
        <w:tblInd w:w="0" w:type="dxa"/>
        <w:tblLayout w:type="fixed"/>
        <w:tblCellMar>
          <w:top w:w="0" w:type="dxa"/>
          <w:left w:w="0" w:type="dxa"/>
          <w:bottom w:w="0" w:type="dxa"/>
          <w:right w:w="0" w:type="dxa"/>
        </w:tblCellMar>
      </w:tblPr>
      <w:tblGrid>
        <w:gridCol w:w="2131"/>
        <w:gridCol w:w="109"/>
        <w:gridCol w:w="314"/>
        <w:gridCol w:w="1186"/>
        <w:gridCol w:w="109"/>
        <w:gridCol w:w="293"/>
        <w:gridCol w:w="1177"/>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53185" cy="175260"/>
                      <wp:effectExtent l="0" t="0" r="0" b="0"/>
                      <wp:wrapNone/>
                      <wp:docPr id="245" name="Frame24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9390" cy="175260"/>
                      <wp:effectExtent l="0" t="0" r="0" b="0"/>
                      <wp:wrapNone/>
                      <wp:docPr id="247" name="Frame246"/>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53110" cy="175260"/>
                      <wp:effectExtent l="0" t="0" r="0" b="0"/>
                      <wp:wrapNone/>
                      <wp:docPr id="248" name="Frame24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86055" cy="175260"/>
                      <wp:effectExtent l="0" t="0" r="0" b="0"/>
                      <wp:wrapNone/>
                      <wp:docPr id="250" name="Frame24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47395" cy="175260"/>
                      <wp:effectExtent l="0" t="0" r="0" b="0"/>
                      <wp:wrapNone/>
                      <wp:docPr id="251" name="Frame250"/>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531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79"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13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Contract assets</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154,829</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108,007</w: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77" w:type="dxa"/>
            <w:tcBorders/>
            <w:vAlign w:val="center"/>
          </w:tcPr>
          <w:p>
            <w:pPr>
              <w:pStyle w:val="TableContents"/>
              <w:bidi w:val="0"/>
              <w:spacing w:before="0" w:after="0"/>
              <w:ind w:left="0" w:right="0" w:hanging="0"/>
              <w:jc w:val="right"/>
              <w:rPr/>
            </w:pPr>
            <w:r>
              <w:rPr/>
              <w:t>​</w:t>
            </w:r>
          </w:p>
        </w:tc>
      </w:tr>
      <w:tr>
        <w:trPr/>
        <w:tc>
          <w:tcPr>
            <w:tcW w:w="213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77" w:type="dxa"/>
            <w:tcBorders/>
            <w:shd w:fill="CCEEFF" w:val="clear"/>
            <w:vAlign w:val="center"/>
          </w:tcPr>
          <w:p>
            <w:pPr>
              <w:pStyle w:val="TableContents"/>
              <w:bidi w:val="0"/>
              <w:spacing w:before="0" w:after="0"/>
              <w:ind w:left="0" w:right="0" w:hanging="0"/>
              <w:jc w:val="right"/>
              <w:rPr/>
            </w:pPr>
            <w:r>
              <w:rPr/>
              <w:t>​</w:t>
            </w:r>
          </w:p>
        </w:tc>
      </w:tr>
      <w:tr>
        <w:trPr/>
        <w:tc>
          <w:tcPr>
            <w:tcW w:w="21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87,100</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81,558</w:t>
            </w:r>
          </w:p>
        </w:tc>
      </w:tr>
      <w:tr>
        <w:trPr/>
        <w:tc>
          <w:tcPr>
            <w:tcW w:w="21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434</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w:t>
            </w:r>
          </w:p>
        </w:tc>
      </w:tr>
      <w:tr>
        <w:trPr/>
        <w:tc>
          <w:tcPr>
            <w:tcW w:w="21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contract liabilities</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87,534</w:t>
            </w:r>
          </w:p>
        </w:tc>
        <w:tc>
          <w:tcPr>
            <w:tcW w:w="109"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82,626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Our beginning of period contract liability recorded as customer contract revenue during 2025 was $60 million. </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September 30, 2025, the remaining performance obligations for our customer contracts was approximately $1.5 billion. Performance obligations expected to be satisfied within one year and greater than one year are 29% and 71%, </w:t>
      </w:r>
      <w:r>
        <w:rPr>
          <w:rFonts w:ascii="Arial;Helvetica;sans-serif" w:hAnsi="Arial;Helvetica;sans-serif"/>
          <w:b w:val="false"/>
          <w:i w:val="false"/>
          <w:caps w:val="false"/>
          <w:smallCaps w:val="false"/>
          <w:sz w:val="20"/>
        </w:rPr>
        <w:t>respectively</w:t>
      </w:r>
      <w:r>
        <w:rPr>
          <w:rFonts w:ascii="Arial;Helvetica;sans-serif" w:hAnsi="Arial;Helvetica;sans-serif"/>
          <w:sz w:val="20"/>
        </w:rPr>
        <w:t>. This amount and percentages exclude leasing arrangements and agreements with consumer customers.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Contract Acquisition Costs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presents the activity in our contract acquisition costs, net:</w:t>
      </w:r>
    </w:p>
    <w:p>
      <w:pPr>
        <w:pStyle w:val="TextBody"/>
        <w:bidi w:val="0"/>
        <w:spacing w:before="0" w:after="0"/>
        <w:ind w:left="0" w:right="0" w:hanging="0"/>
        <w:jc w:val="left"/>
        <w:rPr/>
      </w:pPr>
      <w:r>
        <w:rPr/>
        <w:t>​</w:t>
      </w:r>
    </w:p>
    <w:tbl>
      <w:tblPr>
        <w:tblW w:w="8545" w:type="dxa"/>
        <w:jc w:val="left"/>
        <w:tblInd w:w="0" w:type="dxa"/>
        <w:tblLayout w:type="fixed"/>
        <w:tblCellMar>
          <w:top w:w="0" w:type="dxa"/>
          <w:left w:w="0" w:type="dxa"/>
          <w:bottom w:w="0" w:type="dxa"/>
          <w:right w:w="0" w:type="dxa"/>
        </w:tblCellMar>
      </w:tblPr>
      <w:tblGrid>
        <w:gridCol w:w="2821"/>
        <w:gridCol w:w="262"/>
        <w:gridCol w:w="1010"/>
        <w:gridCol w:w="406"/>
        <w:gridCol w:w="262"/>
        <w:gridCol w:w="879"/>
        <w:gridCol w:w="146"/>
        <w:gridCol w:w="241"/>
        <w:gridCol w:w="927"/>
        <w:gridCol w:w="372"/>
        <w:gridCol w:w="241"/>
        <w:gridCol w:w="978"/>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791335" cy="175260"/>
                      <wp:effectExtent l="0" t="0" r="0" b="0"/>
                      <wp:wrapNone/>
                      <wp:docPr id="252" name="Frame251"/>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6370" cy="175260"/>
                      <wp:effectExtent l="0" t="0" r="0" b="0"/>
                      <wp:wrapNone/>
                      <wp:docPr id="253" name="Frame25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1350" cy="175260"/>
                      <wp:effectExtent l="0" t="0" r="0" b="0"/>
                      <wp:wrapNone/>
                      <wp:docPr id="254" name="Frame25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57810" cy="175260"/>
                      <wp:effectExtent l="0" t="0" r="0" b="0"/>
                      <wp:wrapNone/>
                      <wp:docPr id="255" name="Frame25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66370" cy="175260"/>
                      <wp:effectExtent l="0" t="0" r="0" b="0"/>
                      <wp:wrapNone/>
                      <wp:docPr id="256" name="Frame255"/>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58165" cy="175260"/>
                      <wp:effectExtent l="0" t="0" r="0" b="0"/>
                      <wp:wrapNone/>
                      <wp:docPr id="257" name="Frame25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2710" cy="175260"/>
                      <wp:effectExtent l="0" t="0" r="0" b="0"/>
                      <wp:wrapNone/>
                      <wp:docPr id="258" name="Frame2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53035" cy="175260"/>
                      <wp:effectExtent l="0" t="0" r="0" b="0"/>
                      <wp:wrapNone/>
                      <wp:docPr id="259" name="Frame25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88645" cy="175260"/>
                      <wp:effectExtent l="0" t="0" r="0" b="0"/>
                      <wp:wrapNone/>
                      <wp:docPr id="260" name="Frame259"/>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36220" cy="175260"/>
                      <wp:effectExtent l="0" t="0" r="0" b="0"/>
                      <wp:wrapNone/>
                      <wp:docPr id="261" name="Frame260"/>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3035" cy="175260"/>
                      <wp:effectExtent l="0" t="0" r="0" b="0"/>
                      <wp:wrapNone/>
                      <wp:docPr id="262" name="Frame26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21030" cy="175260"/>
                      <wp:effectExtent l="0" t="0" r="0" b="0"/>
                      <wp:wrapNone/>
                      <wp:docPr id="263" name="Frame262"/>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281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46" w:type="dxa"/>
            <w:tcBorders/>
            <w:vAlign w:val="center"/>
          </w:tcPr>
          <w:p>
            <w:pPr>
              <w:pStyle w:val="TableContents"/>
              <w:bidi w:val="0"/>
              <w:spacing w:before="0" w:after="0"/>
              <w:ind w:left="0" w:right="0" w:hanging="0"/>
              <w:jc w:val="left"/>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2821" w:type="dxa"/>
            <w:tcBorders/>
            <w:vAlign w:val="center"/>
          </w:tcPr>
          <w:p>
            <w:pPr>
              <w:pStyle w:val="TableContents"/>
              <w:bidi w:val="0"/>
              <w:spacing w:before="0" w:after="0"/>
              <w:ind w:left="0" w:right="0" w:hanging="0"/>
              <w:jc w:val="left"/>
              <w:rPr/>
            </w:pPr>
            <w:r>
              <w:rPr/>
              <w:t>​</w:t>
            </w:r>
          </w:p>
        </w:tc>
        <w:tc>
          <w:tcPr>
            <w:tcW w:w="281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46" w:type="dxa"/>
            <w:tcBorders/>
            <w:vAlign w:val="center"/>
          </w:tcPr>
          <w:p>
            <w:pPr>
              <w:pStyle w:val="TableContents"/>
              <w:bidi w:val="0"/>
              <w:spacing w:before="0" w:after="0"/>
              <w:ind w:left="0" w:right="0" w:hanging="0"/>
              <w:jc w:val="left"/>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2821" w:type="dxa"/>
            <w:tcBorders/>
            <w:vAlign w:val="center"/>
          </w:tcPr>
          <w:p>
            <w:pPr>
              <w:pStyle w:val="TableContents"/>
              <w:bidi w:val="0"/>
              <w:spacing w:before="0" w:after="0"/>
              <w:ind w:left="0" w:right="0" w:hanging="0"/>
              <w:jc w:val="left"/>
              <w:rPr/>
            </w:pPr>
            <w:r>
              <w:rPr/>
              <w:t>​</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40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46" w:type="dxa"/>
            <w:tcBorders/>
            <w:vAlign w:val="center"/>
          </w:tcPr>
          <w:p>
            <w:pPr>
              <w:pStyle w:val="TableContents"/>
              <w:bidi w:val="0"/>
              <w:spacing w:before="0" w:after="0"/>
              <w:ind w:left="0" w:right="0" w:hanging="0"/>
              <w:jc w:val="left"/>
              <w:rPr/>
            </w:pPr>
            <w:r>
              <w:rPr/>
              <w:t>​</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72" w:type="dxa"/>
            <w:tcBorders/>
            <w:vAlign w:val="center"/>
          </w:tcPr>
          <w:p>
            <w:pPr>
              <w:pStyle w:val="TableContents"/>
              <w:bidi w:val="0"/>
              <w:spacing w:before="0" w:after="0"/>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854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left"/>
              <w:rPr/>
            </w:pPr>
            <w:r>
              <w:rPr/>
              <w:t>​</w:t>
            </w:r>
          </w:p>
        </w:tc>
        <w:tc>
          <w:tcPr>
            <w:tcW w:w="5724"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82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beginning of period</w:t>
            </w:r>
          </w:p>
        </w:tc>
        <w:tc>
          <w:tcPr>
            <w:tcW w:w="26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56,340</w:t>
            </w:r>
          </w:p>
        </w:tc>
        <w:tc>
          <w:tcPr>
            <w:tcW w:w="406"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55,519</w:t>
            </w:r>
          </w:p>
        </w:tc>
        <w:tc>
          <w:tcPr>
            <w:tcW w:w="14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2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57,337</w:t>
            </w:r>
          </w:p>
        </w:tc>
        <w:tc>
          <w:tcPr>
            <w:tcW w:w="372"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49,343</w:t>
            </w:r>
          </w:p>
        </w:tc>
      </w:tr>
      <w:tr>
        <w:trPr/>
        <w:tc>
          <w:tcPr>
            <w:tcW w:w="2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Additions</w:t>
            </w:r>
          </w:p>
        </w:tc>
        <w:tc>
          <w:tcPr>
            <w:tcW w:w="262"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7,814</w:t>
            </w:r>
          </w:p>
        </w:tc>
        <w:tc>
          <w:tcPr>
            <w:tcW w:w="40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11,999</w:t>
            </w:r>
          </w:p>
        </w:tc>
        <w:tc>
          <w:tcPr>
            <w:tcW w:w="1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25,940</w:t>
            </w:r>
          </w:p>
        </w:tc>
        <w:tc>
          <w:tcPr>
            <w:tcW w:w="37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37,919</w:t>
            </w:r>
          </w:p>
        </w:tc>
      </w:tr>
      <w:tr>
        <w:trPr/>
        <w:tc>
          <w:tcPr>
            <w:tcW w:w="28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expense</w:t>
            </w:r>
          </w:p>
        </w:tc>
        <w:tc>
          <w:tcPr>
            <w:tcW w:w="262"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(10,145)</w:t>
            </w:r>
          </w:p>
        </w:tc>
        <w:tc>
          <w:tcPr>
            <w:tcW w:w="40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(9,675)</w:t>
            </w:r>
          </w:p>
        </w:tc>
        <w:tc>
          <w:tcPr>
            <w:tcW w:w="1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(30,041)</w:t>
            </w:r>
          </w:p>
        </w:tc>
        <w:tc>
          <w:tcPr>
            <w:tcW w:w="37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(28,518)</w:t>
            </w:r>
          </w:p>
        </w:tc>
      </w:tr>
      <w:tr>
        <w:trPr/>
        <w:tc>
          <w:tcPr>
            <w:tcW w:w="2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translation</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w:t>
            </w:r>
          </w:p>
        </w:tc>
        <w:tc>
          <w:tcPr>
            <w:tcW w:w="40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1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945</w:t>
            </w:r>
          </w:p>
        </w:tc>
        <w:tc>
          <w:tcPr>
            <w:tcW w:w="372"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(865)</w:t>
            </w:r>
          </w:p>
        </w:tc>
      </w:tr>
      <w:tr>
        <w:trPr/>
        <w:tc>
          <w:tcPr>
            <w:tcW w:w="282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end of period</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54,181</w:t>
            </w:r>
          </w:p>
        </w:tc>
        <w:tc>
          <w:tcPr>
            <w:tcW w:w="406" w:type="dxa"/>
            <w:tcBorders/>
            <w:shd w:fill="CCEEFF" w:val="clear"/>
            <w:vAlign w:val="center"/>
          </w:tcPr>
          <w:p>
            <w:pPr>
              <w:pStyle w:val="TableContents"/>
              <w:bidi w:val="0"/>
              <w:spacing w:before="0" w:after="0"/>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57,879</w:t>
            </w:r>
          </w:p>
        </w:tc>
        <w:tc>
          <w:tcPr>
            <w:tcW w:w="146"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54,181</w:t>
            </w:r>
          </w:p>
        </w:tc>
        <w:tc>
          <w:tcPr>
            <w:tcW w:w="372"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57,879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b/>
          <w:i/>
          <w:sz w:val="20"/>
        </w:rPr>
      </w:pPr>
      <w:bookmarkStart w:id="1433" w:name="Tc_dlr5TgG9RkmzAFIed3sNsg_14_11"/>
      <w:bookmarkStart w:id="1434" w:name="Tc_p9Zx0-a41U6NLhzKv8MbxQ_14_8"/>
      <w:bookmarkStart w:id="1435" w:name="Tc_h0WvWXDglE-uhhrDqoPRwg_14_5"/>
      <w:bookmarkStart w:id="1436" w:name="Tc_846qjRt3U060Y-UUVqV_Qg_14_2"/>
      <w:bookmarkStart w:id="1437" w:name="Tc_hq4cGTsXj0eoMeV4u1Q6kA_14_0"/>
      <w:bookmarkStart w:id="1438" w:name="Tc_yt9o2jfu80iqtfz_L-I_gQ_13_0"/>
      <w:bookmarkStart w:id="1439" w:name="Tc_joQWvnjizEiCWwhdyDq4ig_12_0"/>
      <w:bookmarkStart w:id="1440" w:name="Tc_L7kL9kf7ZUKa7XJ8EI8QrQ_11_0"/>
      <w:bookmarkStart w:id="1441" w:name="Tc_ooAXNZxbt0y6c4fFEYuACQ_10_0"/>
      <w:bookmarkStart w:id="1442" w:name="Tc_sOnzc24_MU66QbseTQMF9w_9_0"/>
      <w:bookmarkStart w:id="1443" w:name="Tc_LV7L0uxHo0i4PLq0O2skKg_8_0"/>
      <w:bookmarkStart w:id="1444" w:name="Tc_44A32efnik--24KU_B1DNQ_7_0"/>
      <w:bookmarkStart w:id="1445" w:name="Tc_42ouI8DWgk2IQ-k9cvDMlA_6_11"/>
      <w:bookmarkStart w:id="1446" w:name="Tc_QcQxTK5wPE2IUdrpmR6i-A_6_8"/>
      <w:bookmarkStart w:id="1447" w:name="Tc_B4d9hBbJb0-UQXIsYVI8BQ_6_5"/>
      <w:bookmarkStart w:id="1448" w:name="Tc_iGlcdawRAU-rH8WopXyrUw_6_2"/>
      <w:bookmarkStart w:id="1449" w:name="Tc_qvM6_rZCvEuKFO89Gfzebg_6_0"/>
      <w:bookmarkStart w:id="1450" w:name="Tc_RYcjezDUEUyNxgPIrdSMig_5_0"/>
      <w:bookmarkStart w:id="1451" w:name="Tc_pPxJvMxXG0KJGFNL9UL0qA_4_2"/>
      <w:bookmarkStart w:id="1452" w:name="Tc_GijxDHrEZEeVajcuaOA0CA_3_11"/>
      <w:bookmarkStart w:id="1453" w:name="Tc_7gjlEcQsdUGL5zmR62GOOw_3_8"/>
      <w:bookmarkStart w:id="1454" w:name="Tc_l2DkLAU3rkCqbbhrVZBt2w_3_5"/>
      <w:bookmarkStart w:id="1455" w:name="Tc_nhvUruzMRUKHGT-VVk-PZw_3_2"/>
      <w:bookmarkStart w:id="1456" w:name="Tc__FX5a0i3bkeV1Xw_8FxDaw_2_8"/>
      <w:bookmarkStart w:id="1457" w:name="Tc_3L_9jgsyEkyhIx7IWKAVBg_2_2"/>
      <w:bookmarkStart w:id="1458" w:name="Tc_y9BcX7pnnkeh7DUhAl3--g_1_8"/>
      <w:bookmarkStart w:id="1459" w:name="Tc_DhcyT0rCN0uJP6R5099H5A_1_2"/>
      <w:bookmarkStart w:id="1460" w:name="Tc_Hmb-jHb0ckCmu2fkMXoIVw_8_11"/>
      <w:bookmarkStart w:id="1461" w:name="Tc_oQUq_hVlFU2SJsSskjNk4w_8_8"/>
      <w:bookmarkStart w:id="1462" w:name="Tc_eP_re4VcQkabW_R-sz02Cw_8_5"/>
      <w:bookmarkStart w:id="1463" w:name="Tc_Xw5m77zciE-jnrEHR2xaqA_8_2"/>
      <w:bookmarkStart w:id="1464" w:name="Tc_T7XhGrS-3k2o25LyAVB9UA_8_0"/>
      <w:bookmarkStart w:id="1465" w:name="Tc_XxihMqsMR0Kb4SOHJyO5hg_7_0"/>
      <w:bookmarkStart w:id="1466" w:name="Tc_aD4tj7T4Ake8MBLJZYpi6Q_6_0"/>
      <w:bookmarkStart w:id="1467" w:name="Tc_Qw9J7zQPiEeFO_YY0iB4Yw_5_11"/>
      <w:bookmarkStart w:id="1468" w:name="Tc_HOYnQF5CvU2JV_eluUI6dQ_5_8"/>
      <w:bookmarkStart w:id="1469" w:name="Tc_RX7uakmVFEKg1tQR6rqj8Q_5_5"/>
      <w:bookmarkStart w:id="1470" w:name="Tc_WuBMXOoU5kS2uj3_1oncDg_5_2"/>
      <w:bookmarkStart w:id="1471" w:name="Tc_9rmpdxbe8UOG7qNpwcjh2g_5_0"/>
      <w:bookmarkStart w:id="1472" w:name="Tc_xmdgguNUSEucG1vUi5Spuw_4_2"/>
      <w:bookmarkStart w:id="1473" w:name="Tc_B5JJhwmz8ESp1dlK3O_OfA_3_11"/>
      <w:bookmarkStart w:id="1474" w:name="Tc_ATrHVmkdj0qyQezo-MI7Pw_3_8"/>
      <w:bookmarkStart w:id="1475" w:name="Tc_wfrovp7igkC7U8Qms-jy4Q_3_5"/>
      <w:bookmarkStart w:id="1476" w:name="Tc_mibky0oZUkGZkyW-aKDZGQ_3_2"/>
      <w:bookmarkStart w:id="1477" w:name="Tc_CnOzHYzcqkOiT8TzBiItAA_2_8"/>
      <w:bookmarkStart w:id="1478" w:name="Tc_nAvAJtY1GU2roAz38iujxQ_2_2"/>
      <w:bookmarkStart w:id="1479" w:name="Tc_rWr1BxfrDE2_qrvJc4I25w_1_8"/>
      <w:bookmarkStart w:id="1480" w:name="Tc_BNOn40-J9E2TPw26kABYZQ_1_2"/>
      <w:bookmarkStart w:id="1481" w:name="_2c8c0e35_5675_4985_8a04_3c1b38b220c9"/>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r>
        <w:rPr>
          <w:rFonts w:ascii="Arial;Helvetica;sans-serif" w:hAnsi="Arial;Helvetica;sans-serif"/>
          <w:b/>
          <w:i/>
          <w:sz w:val="20"/>
        </w:rPr>
        <w:t>Disaggregation of Revenue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Geographic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Revenue is attributed to geographic markets based upon the billing location of the customer. The following tables present our revenue from customer contracts disaggregated by primary geographic market:</w:t>
      </w:r>
    </w:p>
    <w:p>
      <w:pPr>
        <w:pStyle w:val="TextBody"/>
        <w:bidi w:val="0"/>
        <w:spacing w:before="0" w:after="0"/>
        <w:ind w:left="0" w:right="0" w:hanging="0"/>
        <w:jc w:val="left"/>
        <w:rPr/>
      </w:pPr>
      <w:r>
        <w:rPr/>
        <w:t>​</w:t>
      </w:r>
    </w:p>
    <w:tbl>
      <w:tblPr>
        <w:tblW w:w="8293" w:type="dxa"/>
        <w:jc w:val="left"/>
        <w:tblInd w:w="0" w:type="dxa"/>
        <w:tblLayout w:type="fixed"/>
        <w:tblCellMar>
          <w:top w:w="0" w:type="dxa"/>
          <w:left w:w="0" w:type="dxa"/>
          <w:bottom w:w="0" w:type="dxa"/>
          <w:right w:w="0" w:type="dxa"/>
        </w:tblCellMar>
      </w:tblPr>
      <w:tblGrid>
        <w:gridCol w:w="2461"/>
        <w:gridCol w:w="146"/>
        <w:gridCol w:w="275"/>
        <w:gridCol w:w="1039"/>
        <w:gridCol w:w="190"/>
        <w:gridCol w:w="275"/>
        <w:gridCol w:w="1039"/>
        <w:gridCol w:w="109"/>
        <w:gridCol w:w="224"/>
        <w:gridCol w:w="1022"/>
        <w:gridCol w:w="155"/>
        <w:gridCol w:w="224"/>
        <w:gridCol w:w="1134"/>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62735" cy="175260"/>
                      <wp:effectExtent l="0" t="0" r="0" b="0"/>
                      <wp:wrapNone/>
                      <wp:docPr id="264" name="Frame263"/>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2710" cy="175260"/>
                      <wp:effectExtent l="0" t="0" r="0" b="0"/>
                      <wp:wrapNone/>
                      <wp:docPr id="265" name="Frame2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74625" cy="175260"/>
                      <wp:effectExtent l="0" t="0" r="0" b="0"/>
                      <wp:wrapNone/>
                      <wp:docPr id="266" name="Frame26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59765" cy="175260"/>
                      <wp:effectExtent l="0" t="0" r="0" b="0"/>
                      <wp:wrapNone/>
                      <wp:docPr id="267" name="Frame266"/>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0650" cy="175260"/>
                      <wp:effectExtent l="0" t="0" r="0" b="0"/>
                      <wp:wrapNone/>
                      <wp:docPr id="268" name="Frame267"/>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74625" cy="175260"/>
                      <wp:effectExtent l="0" t="0" r="0" b="0"/>
                      <wp:wrapNone/>
                      <wp:docPr id="269" name="Frame268"/>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59765" cy="175260"/>
                      <wp:effectExtent l="0" t="0" r="0" b="0"/>
                      <wp:wrapNone/>
                      <wp:docPr id="270" name="Frame269"/>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42240" cy="175260"/>
                      <wp:effectExtent l="0" t="0" r="0" b="0"/>
                      <wp:wrapNone/>
                      <wp:docPr id="272" name="Frame27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970" cy="175260"/>
                      <wp:effectExtent l="0" t="0" r="0" b="0"/>
                      <wp:wrapNone/>
                      <wp:docPr id="273" name="Frame272"/>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8425" cy="175260"/>
                      <wp:effectExtent l="0" t="0" r="0" b="0"/>
                      <wp:wrapNone/>
                      <wp:docPr id="274" name="Frame27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2240" cy="175260"/>
                      <wp:effectExtent l="0" t="0" r="0" b="0"/>
                      <wp:wrapNone/>
                      <wp:docPr id="275" name="Frame27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20090" cy="175260"/>
                      <wp:effectExtent l="0" t="0" r="0" b="0"/>
                      <wp:wrapNone/>
                      <wp:docPr id="276" name="Frame275"/>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281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2461"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281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center"/>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2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90" w:type="dxa"/>
            <w:tcBorders/>
            <w:vAlign w:val="center"/>
          </w:tcPr>
          <w:p>
            <w:pPr>
              <w:pStyle w:val="TableContents"/>
              <w:bidi w:val="0"/>
              <w:spacing w:before="0" w:after="0"/>
              <w:ind w:left="0" w:right="0" w:hanging="0"/>
              <w:jc w:val="left"/>
              <w:rPr/>
            </w:pPr>
            <w:r>
              <w:rPr/>
              <w:t>​</w:t>
            </w:r>
          </w:p>
        </w:tc>
        <w:tc>
          <w:tcPr>
            <w:tcW w:w="1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55" w:type="dxa"/>
            <w:tcBorders/>
            <w:vAlign w:val="center"/>
          </w:tcPr>
          <w:p>
            <w:pPr>
              <w:pStyle w:val="TableContents"/>
              <w:bidi w:val="0"/>
              <w:spacing w:before="0" w:after="0"/>
              <w:ind w:left="0" w:right="0" w:hanging="0"/>
              <w:jc w:val="left"/>
              <w:rPr/>
            </w:pPr>
            <w:r>
              <w:rPr/>
              <w:t>​</w:t>
            </w:r>
          </w:p>
        </w:tc>
        <w:tc>
          <w:tcPr>
            <w:tcW w:w="13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829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686"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4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North America</w:t>
            </w:r>
          </w:p>
        </w:tc>
        <w:tc>
          <w:tcPr>
            <w:tcW w:w="1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269,003</w:t>
            </w:r>
          </w:p>
        </w:tc>
        <w:tc>
          <w:tcPr>
            <w:tcW w:w="190"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305,610</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839,416</w:t>
            </w:r>
          </w:p>
        </w:tc>
        <w:tc>
          <w:tcPr>
            <w:tcW w:w="155"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3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925,163</w:t>
            </w:r>
          </w:p>
        </w:tc>
      </w:tr>
      <w:tr>
        <w:trPr/>
        <w:tc>
          <w:tcPr>
            <w:tcW w:w="24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South and Central America</w:t>
            </w:r>
          </w:p>
        </w:tc>
        <w:tc>
          <w:tcPr>
            <w:tcW w:w="1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33,197</w:t>
            </w:r>
          </w:p>
        </w:tc>
        <w:tc>
          <w:tcPr>
            <w:tcW w:w="190"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35,524</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96,750</w:t>
            </w:r>
          </w:p>
        </w:tc>
        <w:tc>
          <w:tcPr>
            <w:tcW w:w="155"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106,840</w:t>
            </w:r>
          </w:p>
        </w:tc>
      </w:tr>
      <w:tr>
        <w:trPr/>
        <w:tc>
          <w:tcPr>
            <w:tcW w:w="24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146" w:type="dxa"/>
            <w:tcBorders/>
            <w:shd w:fill="CCEEFF" w:val="clear"/>
            <w:vAlign w:val="center"/>
          </w:tcPr>
          <w:p>
            <w:pPr>
              <w:pStyle w:val="TableContents"/>
              <w:bidi w:val="0"/>
              <w:spacing w:before="0" w:after="0"/>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37,915</w:t>
            </w:r>
          </w:p>
        </w:tc>
        <w:tc>
          <w:tcPr>
            <w:tcW w:w="190" w:type="dxa"/>
            <w:tcBorders/>
            <w:shd w:fill="CCEEFF" w:val="clear"/>
            <w:vAlign w:val="center"/>
          </w:tcPr>
          <w:p>
            <w:pPr>
              <w:pStyle w:val="TableContents"/>
              <w:bidi w:val="0"/>
              <w:spacing w:before="0" w:after="0"/>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41,262</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105,037</w:t>
            </w:r>
          </w:p>
        </w:tc>
        <w:tc>
          <w:tcPr>
            <w:tcW w:w="155" w:type="dxa"/>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120,016</w:t>
            </w:r>
          </w:p>
        </w:tc>
      </w:tr>
      <w:tr>
        <w:trPr/>
        <w:tc>
          <w:tcPr>
            <w:tcW w:w="24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w:t>
            </w:r>
          </w:p>
        </w:tc>
        <w:tc>
          <w:tcPr>
            <w:tcW w:w="14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340,115</w:t>
            </w:r>
          </w:p>
        </w:tc>
        <w:tc>
          <w:tcPr>
            <w:tcW w:w="190"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382,396</w:t>
            </w:r>
          </w:p>
        </w:tc>
        <w:tc>
          <w:tcPr>
            <w:tcW w:w="109" w:type="dxa"/>
            <w:tcBorders/>
            <w:vAlign w:val="center"/>
          </w:tcPr>
          <w:p>
            <w:pPr>
              <w:pStyle w:val="TableContents"/>
              <w:bidi w:val="0"/>
              <w:spacing w:before="0" w:after="0"/>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1,041,203</w:t>
            </w:r>
          </w:p>
        </w:tc>
        <w:tc>
          <w:tcPr>
            <w:tcW w:w="155"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34"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1,152,019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Nature of Products and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tables present our revenue disaggregated by the nature of products and services:</w:t>
      </w:r>
    </w:p>
    <w:p>
      <w:pPr>
        <w:pStyle w:val="TextBody"/>
        <w:bidi w:val="0"/>
        <w:spacing w:before="0" w:after="0"/>
        <w:ind w:left="0" w:right="0" w:hanging="0"/>
        <w:jc w:val="left"/>
        <w:rPr/>
      </w:pPr>
      <w:r>
        <w:rPr/>
        <w:t>​</w:t>
      </w:r>
    </w:p>
    <w:tbl>
      <w:tblPr>
        <w:tblW w:w="10095" w:type="dxa"/>
        <w:jc w:val="left"/>
        <w:tblInd w:w="0" w:type="dxa"/>
        <w:tblLayout w:type="fixed"/>
        <w:tblCellMar>
          <w:top w:w="0" w:type="dxa"/>
          <w:left w:w="0" w:type="dxa"/>
          <w:bottom w:w="0" w:type="dxa"/>
          <w:right w:w="0" w:type="dxa"/>
        </w:tblCellMar>
      </w:tblPr>
      <w:tblGrid>
        <w:gridCol w:w="4246"/>
        <w:gridCol w:w="146"/>
        <w:gridCol w:w="254"/>
        <w:gridCol w:w="959"/>
        <w:gridCol w:w="393"/>
        <w:gridCol w:w="254"/>
        <w:gridCol w:w="959"/>
        <w:gridCol w:w="109"/>
        <w:gridCol w:w="211"/>
        <w:gridCol w:w="961"/>
        <w:gridCol w:w="326"/>
        <w:gridCol w:w="211"/>
        <w:gridCol w:w="106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696210" cy="175260"/>
                      <wp:effectExtent l="0" t="0" r="0" b="0"/>
                      <wp:wrapNone/>
                      <wp:docPr id="277" name="Frame276"/>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2710" cy="175260"/>
                      <wp:effectExtent l="0" t="0" r="0" b="0"/>
                      <wp:wrapNone/>
                      <wp:docPr id="278" name="Frame2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61290" cy="175260"/>
                      <wp:effectExtent l="0" t="0" r="0" b="0"/>
                      <wp:wrapNone/>
                      <wp:docPr id="279" name="Frame27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08965" cy="175260"/>
                      <wp:effectExtent l="0" t="0" r="0" b="0"/>
                      <wp:wrapNone/>
                      <wp:docPr id="280" name="Frame279"/>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9555" cy="175260"/>
                      <wp:effectExtent l="0" t="0" r="0" b="0"/>
                      <wp:wrapNone/>
                      <wp:docPr id="281" name="Frame28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1290" cy="175260"/>
                      <wp:effectExtent l="0" t="0" r="0" b="0"/>
                      <wp:wrapNone/>
                      <wp:docPr id="282" name="Frame28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08965" cy="175260"/>
                      <wp:effectExtent l="0" t="0" r="0" b="0"/>
                      <wp:wrapNone/>
                      <wp:docPr id="283" name="Frame282"/>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10235" cy="175260"/>
                      <wp:effectExtent l="0" t="0" r="0" b="0"/>
                      <wp:wrapNone/>
                      <wp:docPr id="286" name="Frame28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76910" cy="175260"/>
                      <wp:effectExtent l="0" t="0" r="0" b="0"/>
                      <wp:wrapNone/>
                      <wp:docPr id="289" name="Frame28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1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775"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42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1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277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42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93" w:type="dxa"/>
            <w:tcBorders/>
            <w:vAlign w:val="center"/>
          </w:tcPr>
          <w:p>
            <w:pPr>
              <w:pStyle w:val="TableContents"/>
              <w:bidi w:val="0"/>
              <w:spacing w:before="0" w:after="0"/>
              <w:ind w:left="0" w:right="0" w:hanging="0"/>
              <w:jc w:val="left"/>
              <w:rPr/>
            </w:pPr>
            <w:r>
              <w:rPr/>
              <w:t>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lef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26" w:type="dxa"/>
            <w:tcBorders/>
            <w:vAlign w:val="center"/>
          </w:tcPr>
          <w:p>
            <w:pPr>
              <w:pStyle w:val="TableContents"/>
              <w:bidi w:val="0"/>
              <w:spacing w:before="0" w:after="0"/>
              <w:ind w:left="0" w:right="0" w:hanging="0"/>
              <w:jc w:val="left"/>
              <w:rPr/>
            </w:pPr>
            <w:r>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1009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03"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24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Service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42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Services</w:t>
            </w:r>
          </w:p>
        </w:tc>
        <w:tc>
          <w:tcPr>
            <w:tcW w:w="1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260,916</w:t>
            </w:r>
          </w:p>
        </w:tc>
        <w:tc>
          <w:tcPr>
            <w:tcW w:w="39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290,937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808,279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903,486</w:t>
            </w:r>
          </w:p>
        </w:tc>
      </w:tr>
      <w:tr>
        <w:trPr/>
        <w:tc>
          <w:tcPr>
            <w:tcW w:w="42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revenue</w:t>
            </w:r>
          </w:p>
        </w:tc>
        <w:tc>
          <w:tcPr>
            <w:tcW w:w="146"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7,378</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11,970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15,858</w:t>
            </w:r>
          </w:p>
        </w:tc>
      </w:tr>
      <w:tr>
        <w:trPr/>
        <w:tc>
          <w:tcPr>
            <w:tcW w:w="42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service revenue</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268,294</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295,935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820,249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919,344</w:t>
            </w:r>
          </w:p>
        </w:tc>
      </w:tr>
      <w:tr>
        <w:trPr/>
        <w:tc>
          <w:tcPr>
            <w:tcW w:w="424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Equipment sales and other revenue:</w:t>
            </w:r>
          </w:p>
        </w:tc>
        <w:tc>
          <w:tcPr>
            <w:tcW w:w="146"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r>
      <w:tr>
        <w:trPr/>
        <w:tc>
          <w:tcPr>
            <w:tcW w:w="42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Equipment sales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40,371</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103,186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130,496</w:t>
            </w:r>
          </w:p>
        </w:tc>
      </w:tr>
      <w:tr>
        <w:trPr/>
        <w:tc>
          <w:tcPr>
            <w:tcW w:w="42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Design, development and construction services</w:t>
            </w:r>
          </w:p>
        </w:tc>
        <w:tc>
          <w:tcPr>
            <w:tcW w:w="146"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30,442</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112,632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96,572</w:t>
            </w:r>
          </w:p>
        </w:tc>
      </w:tr>
      <w:tr>
        <w:trPr/>
        <w:tc>
          <w:tcPr>
            <w:tcW w:w="42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revenue</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1,008</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5,136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5,607</w:t>
            </w:r>
          </w:p>
        </w:tc>
      </w:tr>
      <w:tr>
        <w:trPr/>
        <w:tc>
          <w:tcPr>
            <w:tcW w:w="42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equipment and other revenue</w:t>
            </w:r>
          </w:p>
        </w:tc>
        <w:tc>
          <w:tcPr>
            <w:tcW w:w="146"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71,821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86,461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220,954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232,675</w:t>
            </w:r>
          </w:p>
        </w:tc>
      </w:tr>
      <w:tr>
        <w:trPr/>
        <w:tc>
          <w:tcPr>
            <w:tcW w:w="42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w:t>
            </w:r>
          </w:p>
        </w:tc>
        <w:tc>
          <w:tcPr>
            <w:tcW w:w="1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340,115</w:t>
            </w:r>
          </w:p>
        </w:tc>
        <w:tc>
          <w:tcPr>
            <w:tcW w:w="393"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382,396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1,041,203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1,152,019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305" w:type="dxa"/>
        <w:jc w:val="left"/>
        <w:tblInd w:w="0" w:type="dxa"/>
        <w:tblLayout w:type="fixed"/>
        <w:tblCellMar>
          <w:top w:w="0" w:type="dxa"/>
          <w:left w:w="0" w:type="dxa"/>
          <w:bottom w:w="0" w:type="dxa"/>
          <w:right w:w="0" w:type="dxa"/>
        </w:tblCellMar>
      </w:tblPr>
      <w:tblGrid>
        <w:gridCol w:w="151"/>
        <w:gridCol w:w="154"/>
      </w:tblGrid>
      <w:tr>
        <w:trPr/>
        <w:tc>
          <w:tcPr>
            <w:tcW w:w="151" w:type="dxa"/>
            <w:tcBorders/>
            <w:vAlign w:val="center"/>
          </w:tcPr>
          <w:p>
            <w:pPr>
              <w:pStyle w:val="TableContents"/>
              <w:bidi w:val="0"/>
              <w:spacing w:before="0" w:after="283"/>
              <w:jc w:val="left"/>
              <w:rPr>
                <w:rFonts w:ascii="Arial;Helvetica;sans-serif" w:hAnsi="Arial;Helvetica;sans-serif"/>
                <w:b/>
                <w:sz w:val="2"/>
              </w:rPr>
            </w:pPr>
            <w:r>
              <w:rPr>
                <w:rFonts w:ascii="Arial;Helvetica;sans-serif" w:hAnsi="Arial;Helvetica;sans-serif"/>
                <w:b/>
                <w:sz w:val="2"/>
              </w:rPr>
              <w:t>12.</w:t>
            </w:r>
          </w:p>
        </w:tc>
        <w:tc>
          <w:tcPr>
            <w:tcW w:w="154" w:type="dxa"/>
            <w:tcBorders/>
            <w:vAlign w:val="center"/>
          </w:tcPr>
          <w:p>
            <w:pPr>
              <w:pStyle w:val="TableContents"/>
              <w:bidi w:val="0"/>
              <w:spacing w:before="0" w:after="283"/>
              <w:jc w:val="left"/>
              <w:rPr>
                <w:sz w:val="4"/>
                <w:szCs w:val="4"/>
              </w:rPr>
            </w:pPr>
            <w:r>
              <w:rPr>
                <w:sz w:val="4"/>
                <w:szCs w:val="4"/>
              </w:rPr>
            </w:r>
          </w:p>
        </w:tc>
      </w:tr>
    </w:tbl>
    <w:tbl>
      <w:tblPr>
        <w:tblW w:w="3032" w:type="dxa"/>
        <w:jc w:val="left"/>
        <w:tblInd w:w="0" w:type="dxa"/>
        <w:tblLayout w:type="fixed"/>
        <w:tblCellMar>
          <w:top w:w="0" w:type="dxa"/>
          <w:left w:w="0" w:type="dxa"/>
          <w:bottom w:w="0" w:type="dxa"/>
          <w:right w:w="0" w:type="dxa"/>
        </w:tblCellMar>
      </w:tblPr>
      <w:tblGrid>
        <w:gridCol w:w="391"/>
        <w:gridCol w:w="2641"/>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12.</w:t>
            </w:r>
          </w:p>
        </w:tc>
        <w:tc>
          <w:tcPr>
            <w:tcW w:w="264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Related Party Transactions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Related Party Transactions with EchoStar, our Parent, and its subsidiaries.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is a summary of the terms of our principal agreements with EchoStar, our parent, and its subsidiaries, that may have an impact on our financial condition and results of operations.</w:t>
      </w:r>
    </w:p>
    <w:p>
      <w:pPr>
        <w:pStyle w:val="TextBody"/>
        <w:bidi w:val="0"/>
        <w:spacing w:before="0" w:after="240"/>
        <w:ind w:left="0" w:right="0" w:hanging="0"/>
        <w:jc w:val="both"/>
        <w:rPr/>
      </w:pPr>
      <w:r>
        <w:rPr/>
        <w:t>“</w:t>
      </w:r>
      <w:r>
        <w:rPr>
          <w:rFonts w:ascii="Arial;Helvetica;sans-serif" w:hAnsi="Arial;Helvetica;sans-serif"/>
          <w:b/>
          <w:i/>
          <w:sz w:val="20"/>
        </w:rPr>
        <w:t>Trade accounts receivable”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and December 31, 2024, trade accounts receivable from EchoStar was $38 million and $23 million, respectively. These amounts are recorded in “Other current assets” on our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pPr>
      <w:r>
        <w:rPr/>
        <w:t>“</w:t>
      </w:r>
      <w:r>
        <w:rPr>
          <w:rFonts w:ascii="Arial;Helvetica;sans-serif" w:hAnsi="Arial;Helvetica;sans-serif"/>
          <w:b/>
          <w:i/>
          <w:sz w:val="20"/>
        </w:rPr>
        <w:t>Noncurrent receivables”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and December 31, 2024, noncurrent receivables from EchoStar was $93 million and $83 million, respectively. These amounts are recorded in “Other noncurrent assets, net” on our Condensed Consolidated Balance Sheets.</w:t>
      </w:r>
    </w:p>
    <w:p>
      <w:pPr>
        <w:pStyle w:val="TextBody"/>
        <w:bidi w:val="0"/>
        <w:spacing w:before="0" w:after="240"/>
        <w:ind w:left="0" w:right="0" w:hanging="0"/>
        <w:jc w:val="both"/>
        <w:rPr/>
      </w:pPr>
      <w:r>
        <w:rPr/>
        <w:t>“</w:t>
      </w:r>
      <w:r>
        <w:rPr>
          <w:rFonts w:ascii="Arial;Helvetica;sans-serif" w:hAnsi="Arial;Helvetica;sans-serif"/>
          <w:b/>
          <w:i/>
          <w:sz w:val="20"/>
        </w:rPr>
        <w:t xml:space="preserve">Trade accounts payable”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and December 31, 2024, trade accounts payable to EchoStar was $34 million and $41 million, respectively. These amounts are recorded in “Trade accounts payable” and “Other current liabilities” on our Condensed Consolidated Balance Sheets.</w:t>
      </w:r>
    </w:p>
    <w:p>
      <w:pPr>
        <w:pStyle w:val="TextBody"/>
        <w:bidi w:val="0"/>
        <w:spacing w:before="0" w:after="240"/>
        <w:ind w:left="0" w:right="0" w:hanging="0"/>
        <w:jc w:val="left"/>
        <w:rPr/>
      </w:pPr>
      <w:r>
        <w:rPr/>
        <w:t>“</w:t>
      </w:r>
      <w:r>
        <w:rPr>
          <w:rFonts w:ascii="Arial;Helvetica;sans-serif" w:hAnsi="Arial;Helvetica;sans-serif"/>
          <w:b/>
          <w:i/>
          <w:sz w:val="20"/>
        </w:rPr>
        <w:t>Noncurrent payables”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September 30, 2025 and December 31, 2024, noncurrent payables to EchoStar was $28 million and $26 million, respectively. These amounts are recorded in “Other noncurrent liabilities” on our Condensed Consolidated Balance Sheets.</w:t>
      </w:r>
    </w:p>
    <w:p>
      <w:pPr>
        <w:pStyle w:val="TextBody"/>
        <w:bidi w:val="0"/>
        <w:spacing w:before="0" w:after="240"/>
        <w:ind w:left="0" w:right="0" w:hanging="0"/>
        <w:jc w:val="left"/>
        <w:rPr/>
      </w:pPr>
      <w:r>
        <w:rPr/>
        <w:t>“</w:t>
      </w:r>
      <w:r>
        <w:rPr>
          <w:rFonts w:ascii="Arial;Helvetica;sans-serif" w:hAnsi="Arial;Helvetica;sans-serif"/>
          <w:b/>
          <w:i/>
          <w:sz w:val="20"/>
        </w:rPr>
        <w:t>Current operating lease liabilities”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September 30, 2025 and December 31, 2024, current operating lease liabilities to EchoStar was $156 million and $56 million, respectively. These amounts are recorded in “Operating lease liabilities” on our Condensed Consolidated Balance Sheets and relate to the lease of the EchoStar XXIV satellite.</w:t>
      </w:r>
    </w:p>
    <w:p>
      <w:pPr>
        <w:pStyle w:val="TextBody"/>
        <w:bidi w:val="0"/>
        <w:spacing w:before="0" w:after="240"/>
        <w:ind w:left="0" w:right="0" w:hanging="0"/>
        <w:jc w:val="left"/>
        <w:rPr/>
      </w:pPr>
      <w:r>
        <w:rPr/>
        <w:t>“</w:t>
      </w:r>
      <w:r>
        <w:rPr>
          <w:rFonts w:ascii="Arial;Helvetica;sans-serif" w:hAnsi="Arial;Helvetica;sans-serif"/>
          <w:b/>
          <w:i/>
          <w:sz w:val="20"/>
        </w:rPr>
        <w:t>Noncurrent operating lease liabilities”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September 30, 2025 and December 31, 2024, noncurrent operating lease liabilities to EchoStar was $615 million and $695 million, respectively. These amounts are recorded in “Operating lease liabilities, noncurrent” on our Condensed Consolidated Balance Sheets.</w:t>
      </w:r>
    </w:p>
    <w:p>
      <w:pPr>
        <w:pStyle w:val="TextBody"/>
        <w:bidi w:val="0"/>
        <w:spacing w:before="0" w:after="240"/>
        <w:ind w:left="0" w:right="0" w:hanging="0"/>
        <w:jc w:val="left"/>
        <w:rPr/>
      </w:pPr>
      <w:r>
        <w:rPr/>
        <w:t>“</w:t>
      </w:r>
      <w:r>
        <w:rPr>
          <w:rFonts w:ascii="Arial;Helvetica;sans-serif" w:hAnsi="Arial;Helvetica;sans-serif"/>
          <w:b/>
          <w:i/>
          <w:sz w:val="20"/>
        </w:rPr>
        <w:t>Service revenue”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During the three months ended September 30, 2025 and 2024, we received $2 million and $4 million for services provided to EchoStar. During the nine months ended September 30, 2025 and 2024, we received $8 million and $11 million, respectively, for the services provided to EchoStar. These amounts are recorded in “Service revenue” on our Condensed Consolidated Statements of Operations and Comprehensive Income (Loss). The primary agreements pertaining to these revenues are discussed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TerreStar Agreement.</w:t>
      </w:r>
      <w:r>
        <w:rPr>
          <w:rFonts w:ascii="Arial;Helvetica;sans-serif" w:hAnsi="Arial;Helvetica;sans-serif"/>
          <w:sz w:val="20"/>
        </w:rPr>
        <w:t xml:space="preserve"> In March 2012, DISH Network completed its acquisition of substantially all the assets of TerreStar Networks Inc. (“TerreStar”). Prior to DISH Network’s acquisition of substantially all the assets of TerreStar and EchoStar’s completion of the Hughes Acquisition, TerreStar and Hughes Network Systems L.L.C. (“HNS”) entered into various agreements pursuant to which we provide, among other things, warranty, operations and maintenance and hosting services for TerreStar’s ground-based communications equipment (the “TerreStar Agreements”).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In May 2022, we and EchoStar amended the agreement for the provision of hosting services to extend the term until May 2027. We and EchoStar amended the agreements for warranty, operations, and maintenance services for TerreStar ground-based communications equipment, effective as of January 1, 2025, to extend the existing pricing and other terms through December 31, 2025. EchoStar generally has the right to continue to receive warranty services from us for our products on a month-to-month basis unless terminated by EchoStar upon at least 21 days’ written notice to us.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EchoStar generally has the right to continue to receive operations and maintenance services from us on a quarter-to-quarter basis unless these services are terminated by EchoStar upon at least 90 days’ written notice to us. In addition, EchoStar generally may terminate any and all services for convenience subject to providing us with prior notice and/or payment of termination charges.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TerreStar Solutions.</w:t>
      </w:r>
      <w:r>
        <w:rPr>
          <w:rFonts w:ascii="Arial;Helvetica;sans-serif" w:hAnsi="Arial;Helvetica;sans-serif"/>
          <w:sz w:val="20"/>
        </w:rPr>
        <w:t xml:space="preserve"> EchoStar has an investment in TerreStar Solutions, Inc. (“TSI”), an entity that provides wireless mobile communication coverage in Canada using a satellite user terminal, that results in EchoStar having significant influence in the entity. In May 2018, we and TSI entered into an equipment and services agreement pursuant to which we design, manufacture and install upgraded ground communications network equipment for TSI’s network and provide, among other things, warranty and support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DBSD North America Agreement.</w:t>
      </w:r>
      <w:r>
        <w:rPr>
          <w:rFonts w:ascii="Arial;Helvetica;sans-serif" w:hAnsi="Arial;Helvetica;sans-serif"/>
          <w:sz w:val="20"/>
        </w:rPr>
        <w:t xml:space="preserve"> In March 2012, DISH Network completed its acquisition of all of the equity of DBSD North America, Inc. (“DBSD North America”). Following the Merger, DISH Network’s ownership of DBSD North America was sold to our parent company, EchoStar, such that EchoStar now owns all of the equity of 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DBSD North America has the right to continue to receive operations and maintenance services from us on a quarter-to-quarter basis, unless terminated by DBSD North America upon at least 120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We and DBSD North America amended the agreements for warranty, operations, and maintenance services for DBSD’s gateway and ground-based communications equipment, effective as of January 1, 2025, to extend the existing pricing and other terms through December 31, 2025.</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 xml:space="preserve">EchoStar Mobile Limited Service Agreements. </w:t>
      </w:r>
      <w:r>
        <w:rPr>
          <w:rFonts w:ascii="Arial;Helvetica;sans-serif" w:hAnsi="Arial;Helvetica;sans-serif"/>
          <w:sz w:val="20"/>
        </w:rPr>
        <w:t>We provide services and lease equipment to support the business of EchoStar Mobile Limited, a subsidiary of EchoStar that is licensed by the EU to provide mobile satellite services and complementary ground component services covering the entire EU using S-Band spectrum. Additionally, we have converted the receivables for certain of these services into loans, bearing an annual interest rate of 5%. These loans are included within “Other noncurrent assets, net” on our Condensed Consolidated Balance Sheets.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 xml:space="preserve">Hughes Broadband Distribution Agreement. </w:t>
      </w:r>
      <w:r>
        <w:rPr>
          <w:rFonts w:ascii="Arial;Helvetica;sans-serif" w:hAnsi="Arial;Helvetica;sans-serif"/>
          <w:sz w:val="20"/>
        </w:rPr>
        <w:t>Effective October 2012, we and EchoStar entered into a Distribution Agreement (the “Distribution Agreement”) pursuant to which EchoStar has the right, but not the obligation, to market, sell and distribute our satellite Internet service (the “Service”) and to purchase certain broadband equipment from us to support the sale of the Service for an extended initial term that ended March 1, 2024. Thereafter, the Distribution Agreement automatically renews for successive one-year terms unless either party gives written notice of its intent not to renew to the other party at least 180 days before the expiration of the then-current term. Upon expiration or termination of the Distribution Agreement, the parties will continue to provide the Service pursuant to the terms and conditions of the Distribution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 xml:space="preserve">Hughes Equipment and Services Agreement. </w:t>
      </w:r>
      <w:r>
        <w:rPr>
          <w:rFonts w:ascii="Arial;Helvetica;sans-serif" w:hAnsi="Arial;Helvetica;sans-serif"/>
          <w:sz w:val="20"/>
        </w:rPr>
        <w:t>In February 2019, we and EchoStar entered into an agreement pursuant to which we will provide EchoStar with satellite Internet service and equipment for the transmission of certain data related to EchoStar’s 5G Network Deployment. This agreement had an initial term that ended February 2024 with automatic renewal for successive one-year terms unless terminated by EchoStar with at least 180 days’ written notice to us or by us with at least 365 days’ written notice to EchoStar.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pPr>
      <w:r>
        <w:rPr/>
        <w:t>“</w:t>
      </w:r>
      <w:r>
        <w:rPr>
          <w:rFonts w:ascii="Arial;Helvetica;sans-serif" w:hAnsi="Arial;Helvetica;sans-serif"/>
          <w:b/>
          <w:i/>
          <w:sz w:val="20"/>
        </w:rPr>
        <w:t>Equipment sales and other revenue”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three months ended September 30, 2025 and 2024, we received $2 million and zero, respectively, for services provided to EchoStar. During the nine months ended September 30, 2025 and 2024, we received $2 million and zero, respectively, for services provided to EchoStar. These amounts are recorded in “Equipment sales and other revenue” on our Condensed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Arial;Helvetica;sans-serif" w:hAnsi="Arial;Helvetica;sans-serif"/>
          <w:b/>
          <w:i/>
          <w:sz w:val="20"/>
        </w:rPr>
        <w:t>Cost of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During the three months ended September 30, 2025 and 2024, we incurred $49 million and $50 million, respectively, of costs for services provided to us by EchoStar. During each of the nine months ended September 30, 2025 and 2024, we incurred $147 million of costs for services provided to us by EchoStar. These amounts are recorded in “Cost of services” on our Condensed Consolidated Statements of Operations and Comprehensive Income (Loss). The primary agreements pertaining to these expenses are discussed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EchoStar XXIV Satellite Lease.</w:t>
      </w:r>
      <w:r>
        <w:rPr>
          <w:rFonts w:ascii="Arial;Helvetica;sans-serif" w:hAnsi="Arial;Helvetica;sans-serif"/>
          <w:sz w:val="20"/>
        </w:rPr>
        <w:t xml:space="preserve"> Effective December 2023, we lease all of the capacity of the EchoStar XXIV satellite under an operating lease from EchoStar for a term of seven years for a monthly lease charge of approximately $16 million. We prepaid $185 million in lease obligations under the agreement during the year ended December 31, 2024. The prepayments resulted in the lease liability and associated asset being remeasured. The prepayment ended in March 2025 with regular payments continuing in April 2025.</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TT&amp;C Agreement – Master Transaction Agreement.</w:t>
      </w:r>
      <w:r>
        <w:rPr>
          <w:rFonts w:ascii="Arial;Helvetica;sans-serif" w:hAnsi="Arial;Helvetica;sans-serif"/>
          <w:sz w:val="20"/>
        </w:rPr>
        <w:t xml:space="preserve"> In September 2019, we entered into an agreement pursuant to which EchoStar provides TT&amp;C services to us for an initial term that ended in September 2021, (the “MTA TT&amp;C Agreement”). In September 2021, we amended the MTA TT&amp;C Agreement to extend the term until September 2022 and added the option for us to renew for three one-year renewal terms ending in September 2025 Effective September 2025, the MTA TT&amp;C Agreement was extended on a month-to-month basis. Either party is able to terminate the MTA TT&amp;C Agreement for any reason upon 12 months’ notice.</w:t>
      </w:r>
    </w:p>
    <w:p>
      <w:pPr>
        <w:pStyle w:val="TextBody"/>
        <w:bidi w:val="0"/>
        <w:spacing w:before="0" w:after="240"/>
        <w:ind w:left="0" w:right="0" w:hanging="0"/>
        <w:jc w:val="both"/>
        <w:rPr/>
      </w:pPr>
      <w:r>
        <w:rPr/>
        <w:t>“</w:t>
      </w:r>
      <w:r>
        <w:rPr>
          <w:rFonts w:ascii="Arial;Helvetica;sans-serif" w:hAnsi="Arial;Helvetica;sans-serif"/>
          <w:b/>
          <w:i/>
          <w:sz w:val="20"/>
        </w:rPr>
        <w:t>Cost of sales – equipment and other”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During the three months ended September 30, 2025 and 2024, we incurred less than $1 million and $1 million, respectively, for satellite hosting, operations and maintenance services as well as transmission of certain data to EchoStar. During the nine months ended September 30, 2025 and 2024, we incurred $2 million and $2 million, respectively, for satellite hosting, operations and maintenance services as well as transmission of certain data to EchoStar. These amounts are recorded in “Cost of sales – equipment and other” on our Condensed Consolidated Statements of Operations and Comprehensive Income (Loss). The primary agreements pertaining to these expenses are discussed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Professional Services Agreement.</w:t>
      </w:r>
      <w:r>
        <w:rPr>
          <w:rFonts w:ascii="Arial;Helvetica;sans-serif" w:hAnsi="Arial;Helvetica;sans-serif"/>
          <w:sz w:val="20"/>
        </w:rPr>
        <w:t xml:space="preserve"> Effective January 2010, we and EchoStar entered into the Professional Services Agreement, pursuant to which we have the right, but not the obligation, to receive the following services from EchoStar, among others: information technology, travel and event coordination, internal audit, legal, accounting and tax, benefits administration, program acquisition services and other support services, including uplink services. Additionally, we and EchoStar agreed that EchoStar shall continue to have the right, but not the obligation, to engage us to manage the process of procuring new satellite capacity for EchoStar and receive logistics, procurement and quality assurance services from us and other support services. In February 2017 and in September 2019, we and EchoStar amended the Professional Services Agreement to, among other things, provide certain transition services to each other. The Professional Services Agreement renews automatically for successive one-year periods, unless terminated earlier by either party upon at least 60 days’ notice. However, either party may terminate the Professional Services Agreement in part with respect to any particular service it receives for any reason upon at least 30 days’ notice.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Whidbey Island 5G Network Test Bed Subcontract.</w:t>
      </w:r>
      <w:r>
        <w:rPr>
          <w:rFonts w:ascii="Arial;Helvetica;sans-serif" w:hAnsi="Arial;Helvetica;sans-serif"/>
          <w:sz w:val="20"/>
        </w:rPr>
        <w:t xml:space="preserve"> Effective June 2022, we entered into certain agreements pursuant to which EchoStar provides us access and use of a lab, technical support and integration, and testing support for the 5G network test bed. In addition, we lease certain wireless spectrum, and receive construction and related services. We may terminate this agreement at any time by providing written notice to EchoStar.</w:t>
      </w:r>
    </w:p>
    <w:p>
      <w:pPr>
        <w:pStyle w:val="TextBody"/>
        <w:bidi w:val="0"/>
        <w:spacing w:before="0" w:after="240"/>
        <w:ind w:left="0" w:right="0" w:hanging="0"/>
        <w:jc w:val="both"/>
        <w:rPr/>
      </w:pPr>
      <w:r>
        <w:rPr/>
        <w:t>“</w:t>
      </w:r>
      <w:r>
        <w:rPr>
          <w:rFonts w:ascii="Arial;Helvetica;sans-serif" w:hAnsi="Arial;Helvetica;sans-serif"/>
          <w:b/>
          <w:i/>
          <w:sz w:val="20"/>
        </w:rPr>
        <w:t>Selling, general and administrative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During each of the three months ended September 30, 2025 and 2024, we incurred less than $1 million for selling, general and administrative expenses for services provided to us by EchoStar. During each of the nine months ended September 30, 2025 and 2024, we incurred $1 million for selling, general and administrative expenses for services provided to us by EchoStar. These amounts are recorded in “Selling, general and administrative expenses” on our Condensed Consolidated Statements of Operations and Comprehensive Income (Loss). The primary agreements pertaining to these expenses are discussed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Shared Corporate Services.</w:t>
      </w:r>
      <w:r>
        <w:rPr>
          <w:rFonts w:ascii="Arial;Helvetica;sans-serif" w:hAnsi="Arial;Helvetica;sans-serif"/>
          <w:sz w:val="20"/>
        </w:rPr>
        <w:t xml:space="preserve"> We and EchoStar, including EchoStar’s other subsidiaries, have agreed that we shall each have the right, but not the obligation, to receive from the other certain shared corporate services, including among other things: treasury, tax, accounting and reporting, risk management, cybersecurity, legal, internal audit, human resources, and information technology. We and EchoStar may each terminate a particular shared corporate service for any reason upon at least 30 days’ notice.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Collocation and Antenna Space Agreements.</w:t>
      </w:r>
      <w:r>
        <w:rPr>
          <w:rFonts w:ascii="Arial;Helvetica;sans-serif" w:hAnsi="Arial;Helvetica;sans-serif"/>
          <w:sz w:val="20"/>
        </w:rPr>
        <w:t xml:space="preserve"> We entered into certain agreements pursuant to which EchoStar provides certain collocation and antenna space to us. We may terminate certain of these agreements with 180 days’ prior written notice to EchoStar and for certain other agreements with prior written notice no more than 120 days but no less than 90 days prior to the end of the then-current term. The term of each agreement is set forth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 March 2017 for an initial term that ended in February 2022 and renewal options ending in February 2034 at the following locations: Cheyenne, Wyoming; Gilbert, Arizona; Monee, Illinois; Englewood, Colorado; and Spokane, Washington.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 August 2017 for an initial term that ended in August 2022 and renewal options ending in August 2034 at the following locations: Monee, Illinois and Spokane, Washington. In March 2024, we provided a termination notice for one of the Spokane, Washington agreements, effective April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 January 2022 for an initial term ending December 2026 and renewal options ending in December 2038 at the following location: Englewood, Colorado.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 October 2020 with renewal options ending in October 2037 at the following location: Cheyenne, Wyoming.</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Real Estate.</w:t>
      </w:r>
      <w:r>
        <w:rPr>
          <w:rFonts w:ascii="Arial;Helvetica;sans-serif" w:hAnsi="Arial;Helvetica;sans-serif"/>
          <w:sz w:val="20"/>
        </w:rPr>
        <w:t xml:space="preserve"> We occupy certain office space in buildings owned or leased by EchoStar and its other subsidiaries and pay a portion of the taxes, insurance, utilities and maintenance of the premises in accordance with the percentage of the space we occupy.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Other Agreements – EchoStar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Hughes Broadband Master Services Agreement.</w:t>
      </w:r>
      <w:r>
        <w:rPr>
          <w:rFonts w:ascii="Arial;Helvetica;sans-serif" w:hAnsi="Arial;Helvetica;sans-serif"/>
          <w:sz w:val="20"/>
        </w:rPr>
        <w:t xml:space="preserve"> In March 2017, we and EchoStar entered into the Master Services Agreement (“MSA”) pursuant to which EchoStar, among other things: (i) have the right, but not the obligation, to market, promote and solicit orders for our satellite Internet service and related equipment; and (ii) install service equipment with respect to activations EchoStar generates. The MSA had an initial term that ended March 2022 with automatic renewal for successive one-year terms. Either party has the ability to terminate the MSA, in whole or in part, for any reason upon at least 90 days’ notice to the other party. Upon expiration or termination of the MSA, we will continue to provide the satellite Internet service to subscribers and make certain payments to EchoStar pursuant to the terms and conditions of the MSA.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sz w:val="20"/>
        </w:rPr>
      </w:pPr>
      <w:bookmarkStart w:id="1482" w:name="Tc_1IFsIOi1kk6gaorh55e2nQ_5_5"/>
      <w:bookmarkStart w:id="1483" w:name="Tc_7wKgifV9nkuxBCpAAkqlTw_5_2"/>
      <w:bookmarkStart w:id="1484" w:name="Tc_ABrVIBQbokOo8Tc0Madg9Q_5_0"/>
      <w:bookmarkStart w:id="1485" w:name="Tc_P1yktL8sj06F6aF9L25eWQ_4_2"/>
      <w:bookmarkStart w:id="1486" w:name="Tc_n6vS_4QLe0Wl1uP5Ztb35Q_3_5"/>
      <w:bookmarkStart w:id="1487" w:name="Tc_F5ZdBOGXJkaMmSMGEt5wDA_3_2"/>
      <w:bookmarkStart w:id="1488" w:name="Tc_XM0tWZ--UkOIHdXZggXzhQ_2_5"/>
      <w:bookmarkStart w:id="1489" w:name="Tc_ueI-5HboLEyeRfxdcbV7KA_2_2"/>
      <w:bookmarkStart w:id="1490" w:name="Tc_yKufYksVVkev2Rx_G_6O_w_1_2"/>
      <w:bookmarkStart w:id="1491" w:name="_4ff98628_5109_4726_b33a_7bc15e790a4a"/>
      <w:bookmarkStart w:id="1492" w:name="Tc_5ztJbkzXCEW4ZLv2ADaCUg_5_11"/>
      <w:bookmarkStart w:id="1493" w:name="Tc_B-Dq6patj0iDpdxPAOptKw_5_8"/>
      <w:bookmarkStart w:id="1494" w:name="Tc_zvFnpzxBd0-w2_CkO1fHlA_5_5"/>
      <w:bookmarkStart w:id="1495" w:name="Tc_YvaJXSxH-UGYFUYJ1kJ_RQ_5_2"/>
      <w:bookmarkStart w:id="1496" w:name="Tc_hb3vGkY0s06Ce36r25WBRg_5_0"/>
      <w:bookmarkStart w:id="1497" w:name="Tc_z8CSJW_SKEyyLQYQsX1H1g_4_2"/>
      <w:bookmarkStart w:id="1498" w:name="Tc_IYKFkOY7pEq4ggNw3LMVjw_3_11"/>
      <w:bookmarkStart w:id="1499" w:name="Tc_t0ZNZhfgYkquYocVwFXSKQ_3_8"/>
      <w:bookmarkStart w:id="1500" w:name="Tc_QAMjDnkUUESmi6VvtMj-9g_3_5"/>
      <w:bookmarkStart w:id="1501" w:name="Tc_gJtRW7xiOUOHZb2NbF6-MQ_3_2"/>
      <w:bookmarkStart w:id="1502" w:name="Tc_gFQ0HRzUBEGbuxBaae9AZw_2_8"/>
      <w:bookmarkStart w:id="1503" w:name="Tc_PkbUCYEJ7Um3xw0PuNHMdQ_2_2"/>
      <w:bookmarkStart w:id="1504" w:name="Tc_FUsSPSyiv0mj7A4Lgo9npQ_1_8"/>
      <w:bookmarkStart w:id="1505" w:name="Tc_dscBiob36kmfqbVf8ypqCQ_1_2"/>
      <w:bookmarkStart w:id="1506" w:name="_8e76f9fe_7494_47b1_a7e9_ba1c919f2fd0"/>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r>
        <w:rPr>
          <w:rFonts w:ascii="Arial;Helvetica;sans-serif" w:hAnsi="Arial;Helvetica;sans-serif"/>
          <w:sz w:val="20"/>
        </w:rPr>
        <w:t>For each of the three months ended September 30, 2025 and 2024, we incurred sales incentives and other costs under the MSA totaling less than $1 million. For the nine months ended September 30, 2025 and 2024, we incurred sales incentives and other costs under the MSA totaling $2 million and $1 million, respectively. These costs are capitalized and amortized to expense over the estimated customer life or the contract term. See Note 2 “Assets Recognized Related to the Costs to Obtain a Contract with a Customer” for further information. During each of the three months ended September 30, 2025 and 2024 the amounts amortized to expense were less than $1 million. During each of the nine months ended September 30, 2025 and 2024 the amounts amortized to expense were $1 million. These costs are expensed in “Selling, general and administrative expenses” on our Condensed Consolidated Statements of Operations and Comprehensive Income (Loss).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Cash Advances.</w:t>
      </w:r>
      <w:r>
        <w:rPr>
          <w:rFonts w:ascii="Arial;Helvetica;sans-serif" w:hAnsi="Arial;Helvetica;sans-serif"/>
          <w:sz w:val="20"/>
        </w:rPr>
        <w:t xml:space="preserve"> EchoStar and certain of its other subsidiaries have also provided cash advances to certain of our foreign subsidiaries to fund certain expenditures pursuant to loan agreements. Advances under these agreements bear interest at annual rates of three percent.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Dividends.</w:t>
      </w:r>
      <w:r>
        <w:rPr>
          <w:rFonts w:ascii="Arial;Helvetica;sans-serif" w:hAnsi="Arial;Helvetica;sans-serif"/>
          <w:sz w:val="20"/>
        </w:rPr>
        <w:t xml:space="preserve"> On February 15, 2024, our Board of Directors declared and approved payment of a cash dividend on our outstanding common stock to our shareholder and parent, EchoStar, in the amount of $529 million. Payment of this dividend was made in the first quarter of 2024.</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March 12, 2024, our Board of Directors declared and approved payment of a cash dividend on the Company’s outstanding common stock to our shareholder and parent, EchoStar, in the amount of $500 million. Payment of the dividend was made in the first quarter of 2024.</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Joint Ventures and Cost Investments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Deluxe/EchoStar LLC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own 50% of Deluxe, a joint venture that we entered into in 2010 to build an advanced digital cinema satellite distribution network targeting delivery to digitally equipped theaters in the U.S. and Canada. Refer to Note 4 for more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table below summarizes our transactions with Deluxe:</w:t>
      </w:r>
    </w:p>
    <w:p>
      <w:pPr>
        <w:pStyle w:val="TextBody"/>
        <w:bidi w:val="0"/>
        <w:spacing w:before="0" w:after="0"/>
        <w:ind w:left="0" w:right="0" w:hanging="0"/>
        <w:jc w:val="left"/>
        <w:rPr/>
      </w:pPr>
      <w:r>
        <w:rPr/>
        <w:t>​</w:t>
      </w:r>
    </w:p>
    <w:tbl>
      <w:tblPr>
        <w:tblW w:w="1586"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lineRule="atLeast" w:line="142" w:before="0" w:after="240"/>
        <w:ind w:left="0" w:right="0" w:hanging="0"/>
        <w:jc w:val="both"/>
        <w:rPr/>
      </w:pPr>
      <w:r>
        <w:rPr/>
        <w:t>​</w:t>
      </w:r>
    </w:p>
    <w:tbl>
      <w:tblPr>
        <w:tblW w:w="7791" w:type="dxa"/>
        <w:jc w:val="left"/>
        <w:tblInd w:w="0" w:type="dxa"/>
        <w:tblLayout w:type="fixed"/>
        <w:tblCellMar>
          <w:top w:w="0" w:type="dxa"/>
          <w:left w:w="0" w:type="dxa"/>
          <w:bottom w:w="0" w:type="dxa"/>
          <w:right w:w="0" w:type="dxa"/>
        </w:tblCellMar>
      </w:tblPr>
      <w:tblGrid>
        <w:gridCol w:w="1996"/>
        <w:gridCol w:w="109"/>
        <w:gridCol w:w="349"/>
        <w:gridCol w:w="970"/>
        <w:gridCol w:w="180"/>
        <w:gridCol w:w="349"/>
        <w:gridCol w:w="970"/>
        <w:gridCol w:w="109"/>
        <w:gridCol w:w="322"/>
        <w:gridCol w:w="894"/>
        <w:gridCol w:w="166"/>
        <w:gridCol w:w="322"/>
        <w:gridCol w:w="1055"/>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67460" cy="175260"/>
                      <wp:effectExtent l="0" t="0" r="0" b="0"/>
                      <wp:wrapNone/>
                      <wp:docPr id="290" name="Frame28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21615" cy="175260"/>
                      <wp:effectExtent l="0" t="0" r="0" b="0"/>
                      <wp:wrapNone/>
                      <wp:docPr id="292" name="Frame29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15950" cy="175260"/>
                      <wp:effectExtent l="0" t="0" r="0" b="0"/>
                      <wp:wrapNone/>
                      <wp:docPr id="293" name="Frame292"/>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14300" cy="175260"/>
                      <wp:effectExtent l="0" t="0" r="0" b="0"/>
                      <wp:wrapNone/>
                      <wp:docPr id="294" name="Frame293"/>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21615" cy="175260"/>
                      <wp:effectExtent l="0" t="0" r="0" b="0"/>
                      <wp:wrapNone/>
                      <wp:docPr id="295" name="Frame29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15950" cy="175260"/>
                      <wp:effectExtent l="0" t="0" r="0" b="0"/>
                      <wp:wrapNone/>
                      <wp:docPr id="296" name="Frame295"/>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4470" cy="175260"/>
                      <wp:effectExtent l="0" t="0" r="0" b="0"/>
                      <wp:wrapNone/>
                      <wp:docPr id="298" name="Frame29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67690" cy="175260"/>
                      <wp:effectExtent l="0" t="0" r="0" b="0"/>
                      <wp:wrapNone/>
                      <wp:docPr id="299" name="Frame298"/>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05410" cy="175260"/>
                      <wp:effectExtent l="0" t="0" r="0" b="0"/>
                      <wp:wrapNone/>
                      <wp:docPr id="300" name="Frame29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4470" cy="175260"/>
                      <wp:effectExtent l="0" t="0" r="0" b="0"/>
                      <wp:wrapNone/>
                      <wp:docPr id="301" name="Frame300"/>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69925" cy="175260"/>
                      <wp:effectExtent l="0" t="0" r="0" b="0"/>
                      <wp:wrapNone/>
                      <wp:docPr id="302" name="Frame301"/>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18"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1"/>
              <w:ind w:left="0" w:right="0" w:hanging="0"/>
              <w:jc w:val="left"/>
              <w:rPr/>
            </w:pPr>
            <w:r>
              <w:rPr/>
              <w:t>​</w:t>
            </w:r>
          </w:p>
        </w:tc>
        <w:tc>
          <w:tcPr>
            <w:tcW w:w="2759"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1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left"/>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80" w:type="dxa"/>
            <w:tcBorders/>
            <w:vAlign w:val="center"/>
          </w:tcPr>
          <w:p>
            <w:pPr>
              <w:pStyle w:val="TableContents"/>
              <w:bidi w:val="0"/>
              <w:spacing w:before="0" w:after="1"/>
              <w:ind w:left="0" w:right="0" w:hanging="0"/>
              <w:jc w:val="left"/>
              <w:rPr/>
            </w:pPr>
            <w:r>
              <w:rPr/>
              <w:t>​</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66" w:type="dxa"/>
            <w:tcBorders/>
            <w:vAlign w:val="center"/>
          </w:tcPr>
          <w:p>
            <w:pPr>
              <w:pStyle w:val="TableContents"/>
              <w:bidi w:val="0"/>
              <w:spacing w:before="0" w:after="1"/>
              <w:ind w:left="0" w:right="0" w:hanging="0"/>
              <w:jc w:val="left"/>
              <w:rPr/>
            </w:pPr>
            <w:r>
              <w:rPr/>
              <w:t>​</w:t>
            </w:r>
          </w:p>
        </w:tc>
        <w:tc>
          <w:tcPr>
            <w:tcW w:w="13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779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86" w:type="dxa"/>
            <w:gridSpan w:val="11"/>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 from Deluxe</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1,419</w:t>
            </w:r>
          </w:p>
        </w:tc>
        <w:tc>
          <w:tcPr>
            <w:tcW w:w="180"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1,331</w:t>
            </w:r>
          </w:p>
        </w:tc>
        <w:tc>
          <w:tcPr>
            <w:tcW w:w="109" w:type="dxa"/>
            <w:tcBorders/>
            <w:shd w:fill="CCEEFF" w:val="clear"/>
            <w:vAlign w:val="center"/>
          </w:tcPr>
          <w:p>
            <w:pPr>
              <w:pStyle w:val="TableContents"/>
              <w:bidi w:val="0"/>
              <w:spacing w:before="0" w:after="1"/>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4,081</w:t>
            </w:r>
          </w:p>
        </w:tc>
        <w:tc>
          <w:tcPr>
            <w:tcW w:w="166" w:type="dxa"/>
            <w:tcBorders/>
            <w:shd w:fill="CCEEFF" w:val="clear"/>
            <w:vAlign w:val="center"/>
          </w:tcPr>
          <w:p>
            <w:pPr>
              <w:pStyle w:val="TableContents"/>
              <w:bidi w:val="0"/>
              <w:spacing w:before="0" w:after="1"/>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4,080</w:t>
            </w:r>
          </w:p>
        </w:tc>
      </w:tr>
    </w:tbl>
    <w:p>
      <w:pPr>
        <w:pStyle w:val="TextBody"/>
        <w:bidi w:val="0"/>
        <w:spacing w:before="0" w:after="240"/>
        <w:ind w:left="0" w:right="0" w:hanging="0"/>
        <w:jc w:val="both"/>
        <w:rPr/>
      </w:pPr>
      <w:r>
        <w:rPr/>
        <w:t>​</w:t>
      </w:r>
    </w:p>
    <w:tbl>
      <w:tblPr>
        <w:tblW w:w="6714" w:type="dxa"/>
        <w:jc w:val="left"/>
        <w:tblInd w:w="0" w:type="dxa"/>
        <w:tblLayout w:type="fixed"/>
        <w:tblCellMar>
          <w:top w:w="0" w:type="dxa"/>
          <w:left w:w="0" w:type="dxa"/>
          <w:bottom w:w="0" w:type="dxa"/>
          <w:right w:w="0" w:type="dxa"/>
        </w:tblCellMar>
      </w:tblPr>
      <w:tblGrid>
        <w:gridCol w:w="3526"/>
        <w:gridCol w:w="109"/>
        <w:gridCol w:w="396"/>
        <w:gridCol w:w="1104"/>
        <w:gridCol w:w="109"/>
        <w:gridCol w:w="420"/>
        <w:gridCol w:w="105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239010" cy="175260"/>
                      <wp:effectExtent l="0" t="0" r="0" b="0"/>
                      <wp:wrapNone/>
                      <wp:docPr id="303" name="Frame30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51460" cy="175260"/>
                      <wp:effectExtent l="0" t="0" r="0" b="0"/>
                      <wp:wrapNone/>
                      <wp:docPr id="305" name="Frame304"/>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01040" cy="175260"/>
                      <wp:effectExtent l="0" t="0" r="0" b="0"/>
                      <wp:wrapNone/>
                      <wp:docPr id="306" name="Frame305"/>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66700" cy="175260"/>
                      <wp:effectExtent l="0" t="0" r="0" b="0"/>
                      <wp:wrapNone/>
                      <wp:docPr id="308" name="Frame30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66750" cy="175260"/>
                      <wp:effectExtent l="0" t="0" r="0" b="0"/>
                      <wp:wrapNone/>
                      <wp:docPr id="309" name="Frame308"/>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671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79"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5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Trade accounts receivable from Deluxe</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1,071</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992</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During the nine months ended September 30, 2025 and 2024 we received dividends from Deluxe totaling $2 million and $5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240"/>
        <w:ind w:left="0" w:right="0" w:hanging="0"/>
        <w:jc w:val="both"/>
        <w:rPr>
          <w:rFonts w:ascii="Arial;Helvetica;sans-serif" w:hAnsi="Arial;Helvetica;sans-serif"/>
          <w:b/>
          <w:i/>
          <w:sz w:val="20"/>
        </w:rPr>
      </w:pPr>
      <w:bookmarkStart w:id="1507" w:name="Tc_DpdMDBucYku1M-vW97088A_5_5"/>
      <w:bookmarkStart w:id="1508" w:name="Tc_bIz9R_uDYUCBeu3BVQr_pQ_5_2"/>
      <w:bookmarkStart w:id="1509" w:name="Tc_o1eUDoXMeE-PqkXzT1jGSg_5_0"/>
      <w:bookmarkStart w:id="1510" w:name="Tc_tkweG8R55EC0gSAZ-1A3cQ_4_2"/>
      <w:bookmarkStart w:id="1511" w:name="Tc_DT8nrnL-FE2IOGrtnUKCHA_3_5"/>
      <w:bookmarkStart w:id="1512" w:name="Tc_z50-0GNnuEGeb3U8zwVjDw_3_2"/>
      <w:bookmarkStart w:id="1513" w:name="Tc_kNcbCIzQPkaCVxL3RObNEA_2_5"/>
      <w:bookmarkStart w:id="1514" w:name="Tc_U8PzoFPAF0SYFGydV1eI9Q_2_2"/>
      <w:bookmarkStart w:id="1515" w:name="Tc_SvRA6i52j0Kq-H9pfTOsjA_1_2"/>
      <w:bookmarkStart w:id="1516" w:name="_971aeb6e_e8cf_4ded_9fe3_83a360b8006e"/>
      <w:bookmarkStart w:id="1517" w:name="Tc_NgH23WhIuE6egye5ndby7w_5_11"/>
      <w:bookmarkStart w:id="1518" w:name="Tc_S2qEkwiS4kqRLIYp3uBWsw_5_8"/>
      <w:bookmarkStart w:id="1519" w:name="Tc_3wCwRsd9rkOwO5KI5bgEMA_5_5"/>
      <w:bookmarkStart w:id="1520" w:name="Tc_Rs7nAImaMUmYt82TH6sXPg_5_2"/>
      <w:bookmarkStart w:id="1521" w:name="Tc_qeBhJ7PKNEajc1hKqrOdEw_5_0"/>
      <w:bookmarkStart w:id="1522" w:name="Tc_3NhRUgt7BUyRTJqXoUlTpA_4_2"/>
      <w:bookmarkStart w:id="1523" w:name="Tc_xKr--mYy2EGa8JqzA5DxaA_3_11"/>
      <w:bookmarkStart w:id="1524" w:name="Tc_k7PHIfZf2Uy0jkQ2Na41CA_3_8"/>
      <w:bookmarkStart w:id="1525" w:name="Tc_8b-wdNVahUih07x3nDDMnw_3_5"/>
      <w:bookmarkStart w:id="1526" w:name="Tc__sQERGn3WU-075Qs8CQXtQ_3_2"/>
      <w:bookmarkStart w:id="1527" w:name="Tc_W_uaa_HY606UriRXAfwLTg_2_8"/>
      <w:bookmarkStart w:id="1528" w:name="Tc_Q6PvAQXYh0K5yLLwIQE4Pg_2_2"/>
      <w:bookmarkStart w:id="1529" w:name="Tc_2ovOMBHuxkiwnyHPhbWjvQ_1_8"/>
      <w:bookmarkStart w:id="1530" w:name="Tc_pj0vKbjxAE2XSjl4ND-12A_1_2"/>
      <w:bookmarkStart w:id="1531" w:name="_5ca1d39a_4b3a_4034_8889_14b3f4d3da2a"/>
      <w:bookmarkStart w:id="1532" w:name="Tc__GLuKELKpUq0cYR_k-LNZQ_5_5"/>
      <w:bookmarkStart w:id="1533" w:name="Tc_gYRQT_uKf0WV8oEXu4cbfw_5_2"/>
      <w:bookmarkStart w:id="1534" w:name="Tc_eb38wDjh7EeGMB-KAuBfoQ_5_0"/>
      <w:bookmarkStart w:id="1535" w:name="Tc_XhvgHlGa1kux1zA1y-SLFQ_4_2"/>
      <w:bookmarkStart w:id="1536" w:name="Tc_WfPaZrK7x06S8HYKC0AY5g_3_5"/>
      <w:bookmarkStart w:id="1537" w:name="Tc_NX_ga7H-xU2O1jq8B0prTQ_3_2"/>
      <w:bookmarkStart w:id="1538" w:name="Tc_ytA6G-sDmkmvaPte5wrewg_2_5"/>
      <w:bookmarkStart w:id="1539" w:name="Tc_Q9yTzYVf3UiLd3ljgT6l8Q_2_2"/>
      <w:bookmarkStart w:id="1540" w:name="Tc_FtOcUnAwbUWJ65JhUAkh8g_1_2"/>
      <w:bookmarkStart w:id="1541" w:name="_cdade909_a25c_4fcc_9134_fcb48ebebfb8"/>
      <w:bookmarkStart w:id="1542" w:name="Tc_XbeHojBfGUG9rf8hcRxu8A_5_11"/>
      <w:bookmarkStart w:id="1543" w:name="Tc_8OKUSj39Zk-W_UAJw_6U6Q_5_8"/>
      <w:bookmarkStart w:id="1544" w:name="Tc_miyReiRHvEeoiki943Zg_w_5_5"/>
      <w:bookmarkStart w:id="1545" w:name="Tc_mAqoU5DYv02ZQO2h2dTU3Q_5_2"/>
      <w:bookmarkStart w:id="1546" w:name="Tc_JK-7MWrZYk6x_o-5NgclPw_5_0"/>
      <w:bookmarkStart w:id="1547" w:name="Tc_Hyxpbs4aIke142QrrCFkSg_4_2"/>
      <w:bookmarkStart w:id="1548" w:name="Tc_nmATg2cpeUy_iugEYQCFfw_3_11"/>
      <w:bookmarkStart w:id="1549" w:name="Tc_tMurZKjv4U2eB6Ldcd6pgw_3_8"/>
      <w:bookmarkStart w:id="1550" w:name="Tc_zRmFKu2KTEOr6eWV2RRuTA_3_5"/>
      <w:bookmarkStart w:id="1551" w:name="Tc_hS7bcUwitE6HY_gBS4KZ1g_3_2"/>
      <w:bookmarkStart w:id="1552" w:name="Tc_3u0ARNiRFE6oU7LtP3LOOA_2_8"/>
      <w:bookmarkStart w:id="1553" w:name="Tc_G7HtkSEfIUCJG2OymfIZJQ_2_2"/>
      <w:bookmarkStart w:id="1554" w:name="Tc_UTayGu0GCkaDzTvYsKMB6w_1_8"/>
      <w:bookmarkStart w:id="1555" w:name="Tc_2_ABn2NWuUybBsfIOdTfYA_1_2"/>
      <w:bookmarkStart w:id="1556" w:name="_7419c966_ddf2_4aab_a021_7795e9ac95a0"/>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r>
        <w:rPr>
          <w:rFonts w:ascii="Arial;Helvetica;sans-serif" w:hAnsi="Arial;Helvetica;sans-serif"/>
          <w:b/>
          <w:i/>
          <w:sz w:val="20"/>
        </w:rPr>
        <w:t>Broadband Connectivity Solutions (Restricted) Limited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own 20% of BCS, a joint venture that we entered into in 2018 to provide commercial Ka-band satellite broadband services across Africa, the Middle East and southwest Asia operating over Yahsat’s Al Yah 2 and Al Yah 3 Ka-band satellites. The Al Yah 3 Ka-band satellite is no longer in service.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table below summarizes our transactions with BCS:</w:t>
      </w:r>
    </w:p>
    <w:p>
      <w:pPr>
        <w:pStyle w:val="TextBody"/>
        <w:bidi w:val="0"/>
        <w:spacing w:before="0" w:after="0"/>
        <w:ind w:left="0" w:right="0" w:hanging="0"/>
        <w:jc w:val="left"/>
        <w:rPr/>
      </w:pPr>
      <w:r>
        <w:rPr/>
        <w:t>​</w:t>
      </w:r>
    </w:p>
    <w:tbl>
      <w:tblPr>
        <w:tblW w:w="7595" w:type="dxa"/>
        <w:jc w:val="left"/>
        <w:tblInd w:w="0" w:type="dxa"/>
        <w:tblLayout w:type="fixed"/>
        <w:tblCellMar>
          <w:top w:w="0" w:type="dxa"/>
          <w:left w:w="0" w:type="dxa"/>
          <w:bottom w:w="0" w:type="dxa"/>
          <w:right w:w="0" w:type="dxa"/>
        </w:tblCellMar>
      </w:tblPr>
      <w:tblGrid>
        <w:gridCol w:w="1801"/>
        <w:gridCol w:w="109"/>
        <w:gridCol w:w="433"/>
        <w:gridCol w:w="864"/>
        <w:gridCol w:w="223"/>
        <w:gridCol w:w="433"/>
        <w:gridCol w:w="864"/>
        <w:gridCol w:w="109"/>
        <w:gridCol w:w="322"/>
        <w:gridCol w:w="894"/>
        <w:gridCol w:w="166"/>
        <w:gridCol w:w="322"/>
        <w:gridCol w:w="1055"/>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143635" cy="175260"/>
                      <wp:effectExtent l="0" t="0" r="0" b="0"/>
                      <wp:wrapNone/>
                      <wp:docPr id="310" name="Frame30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311"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74955" cy="175260"/>
                      <wp:effectExtent l="0" t="0" r="0" b="0"/>
                      <wp:wrapNone/>
                      <wp:docPr id="312" name="Frame311"/>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48640" cy="175260"/>
                      <wp:effectExtent l="0" t="0" r="0" b="0"/>
                      <wp:wrapNone/>
                      <wp:docPr id="313" name="Frame312"/>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1605" cy="175260"/>
                      <wp:effectExtent l="0" t="0" r="0" b="0"/>
                      <wp:wrapNone/>
                      <wp:docPr id="314" name="Frame31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74955" cy="175260"/>
                      <wp:effectExtent l="0" t="0" r="0" b="0"/>
                      <wp:wrapNone/>
                      <wp:docPr id="315" name="Frame314"/>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48640" cy="175260"/>
                      <wp:effectExtent l="0" t="0" r="0" b="0"/>
                      <wp:wrapNone/>
                      <wp:docPr id="316" name="Frame315"/>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4470" cy="175260"/>
                      <wp:effectExtent l="0" t="0" r="0" b="0"/>
                      <wp:wrapNone/>
                      <wp:docPr id="318" name="Frame31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67690" cy="175260"/>
                      <wp:effectExtent l="0" t="0" r="0" b="0"/>
                      <wp:wrapNone/>
                      <wp:docPr id="319" name="Frame318"/>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05410" cy="175260"/>
                      <wp:effectExtent l="0" t="0" r="0" b="0"/>
                      <wp:wrapNone/>
                      <wp:docPr id="320" name="Frame31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4470" cy="175260"/>
                      <wp:effectExtent l="0" t="0" r="0" b="0"/>
                      <wp:wrapNone/>
                      <wp:docPr id="321" name="Frame320"/>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69925" cy="175260"/>
                      <wp:effectExtent l="0" t="0" r="0" b="0"/>
                      <wp:wrapNone/>
                      <wp:docPr id="322" name="Frame321"/>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17"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1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1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1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223" w:type="dxa"/>
            <w:tcBorders/>
            <w:vAlign w:val="center"/>
          </w:tcPr>
          <w:p>
            <w:pPr>
              <w:pStyle w:val="TableContents"/>
              <w:bidi w:val="0"/>
              <w:spacing w:before="0" w:after="0"/>
              <w:ind w:left="0" w:right="0" w:hanging="0"/>
              <w:jc w:val="left"/>
              <w:rPr/>
            </w:pPr>
            <w:r>
              <w:rPr/>
              <w:t>​</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66" w:type="dxa"/>
            <w:tcBorders/>
            <w:vAlign w:val="center"/>
          </w:tcPr>
          <w:p>
            <w:pPr>
              <w:pStyle w:val="TableContents"/>
              <w:bidi w:val="0"/>
              <w:spacing w:before="0" w:after="0"/>
              <w:ind w:left="0" w:right="0" w:hanging="0"/>
              <w:jc w:val="left"/>
              <w:rPr/>
            </w:pPr>
            <w:r>
              <w:rPr/>
              <w:t>​</w:t>
            </w:r>
          </w:p>
        </w:tc>
        <w:tc>
          <w:tcPr>
            <w:tcW w:w="13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759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85"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18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 from BCS</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752</w:t>
            </w:r>
          </w:p>
        </w:tc>
        <w:tc>
          <w:tcPr>
            <w:tcW w:w="223"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979</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2,285</w:t>
            </w:r>
          </w:p>
        </w:tc>
        <w:tc>
          <w:tcPr>
            <w:tcW w:w="166"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2,328</w:t>
            </w:r>
          </w:p>
        </w:tc>
      </w:tr>
    </w:tbl>
    <w:p>
      <w:pPr>
        <w:pStyle w:val="TextBody"/>
        <w:bidi w:val="0"/>
        <w:spacing w:before="0" w:after="0"/>
        <w:ind w:left="0" w:right="0" w:hanging="0"/>
        <w:jc w:val="left"/>
        <w:rPr/>
      </w:pPr>
      <w:r>
        <w:rPr/>
        <w:t>​</w:t>
      </w:r>
    </w:p>
    <w:tbl>
      <w:tblPr>
        <w:tblW w:w="6519" w:type="dxa"/>
        <w:jc w:val="left"/>
        <w:tblInd w:w="0" w:type="dxa"/>
        <w:tblLayout w:type="fixed"/>
        <w:tblCellMar>
          <w:top w:w="0" w:type="dxa"/>
          <w:left w:w="0" w:type="dxa"/>
          <w:bottom w:w="0" w:type="dxa"/>
          <w:right w:w="0" w:type="dxa"/>
        </w:tblCellMar>
      </w:tblPr>
      <w:tblGrid>
        <w:gridCol w:w="3331"/>
        <w:gridCol w:w="109"/>
        <w:gridCol w:w="501"/>
        <w:gridCol w:w="999"/>
        <w:gridCol w:w="109"/>
        <w:gridCol w:w="344"/>
        <w:gridCol w:w="112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15185" cy="175260"/>
                      <wp:effectExtent l="0" t="0" r="0" b="0"/>
                      <wp:wrapNone/>
                      <wp:docPr id="323" name="Frame32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18135" cy="175260"/>
                      <wp:effectExtent l="0" t="0" r="0" b="0"/>
                      <wp:wrapNone/>
                      <wp:docPr id="325" name="Frame32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34365" cy="175260"/>
                      <wp:effectExtent l="0" t="0" r="0" b="0"/>
                      <wp:wrapNone/>
                      <wp:docPr id="326" name="Frame325"/>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7"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8440" cy="175260"/>
                      <wp:effectExtent l="0" t="0" r="0" b="0"/>
                      <wp:wrapNone/>
                      <wp:docPr id="328" name="Frame32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15010" cy="175260"/>
                      <wp:effectExtent l="0" t="0" r="0" b="0"/>
                      <wp:wrapNone/>
                      <wp:docPr id="329" name="Frame32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651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9" w:type="dxa"/>
            <w:gridSpan w:val="5"/>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Trade accounts receivable from BCS</w:t>
            </w:r>
          </w:p>
        </w:tc>
        <w:tc>
          <w:tcPr>
            <w:tcW w:w="109" w:type="dxa"/>
            <w:tcBorders/>
            <w:shd w:fill="CCEEFF" w:val="clear"/>
            <w:vAlign w:val="center"/>
          </w:tcPr>
          <w:p>
            <w:pPr>
              <w:pStyle w:val="TableContents"/>
              <w:bidi w:val="0"/>
              <w:spacing w:before="0" w:after="1"/>
              <w:ind w:left="0" w:right="0" w:hanging="0"/>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934</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2,572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Hughes Systique Corporation (“Hughes Systique”)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hold certain equity in Hughes Systique and contract with Hughes Systique for software development services.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table below summarizes our transactions with Hughes Systique:</w:t>
      </w:r>
    </w:p>
    <w:p>
      <w:pPr>
        <w:pStyle w:val="TextBody"/>
        <w:bidi w:val="0"/>
        <w:spacing w:before="0" w:after="240"/>
        <w:ind w:left="0" w:right="0" w:hanging="0"/>
        <w:jc w:val="both"/>
        <w:rPr/>
      </w:pPr>
      <w:r>
        <w:rPr/>
        <w:t>​</w:t>
      </w:r>
    </w:p>
    <w:tbl>
      <w:tblPr>
        <w:tblW w:w="8841" w:type="dxa"/>
        <w:jc w:val="left"/>
        <w:tblInd w:w="0" w:type="dxa"/>
        <w:tblLayout w:type="fixed"/>
        <w:tblCellMar>
          <w:top w:w="0" w:type="dxa"/>
          <w:left w:w="0" w:type="dxa"/>
          <w:bottom w:w="0" w:type="dxa"/>
          <w:right w:w="0" w:type="dxa"/>
        </w:tblCellMar>
      </w:tblPr>
      <w:tblGrid>
        <w:gridCol w:w="3046"/>
        <w:gridCol w:w="109"/>
        <w:gridCol w:w="349"/>
        <w:gridCol w:w="970"/>
        <w:gridCol w:w="180"/>
        <w:gridCol w:w="349"/>
        <w:gridCol w:w="970"/>
        <w:gridCol w:w="109"/>
        <w:gridCol w:w="288"/>
        <w:gridCol w:w="945"/>
        <w:gridCol w:w="149"/>
        <w:gridCol w:w="288"/>
        <w:gridCol w:w="1089"/>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934210" cy="175260"/>
                      <wp:effectExtent l="0" t="0" r="0" b="0"/>
                      <wp:wrapNone/>
                      <wp:docPr id="330" name="Frame329"/>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21615" cy="175260"/>
                      <wp:effectExtent l="0" t="0" r="0" b="0"/>
                      <wp:wrapNone/>
                      <wp:docPr id="332" name="Frame33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15950" cy="175260"/>
                      <wp:effectExtent l="0" t="0" r="0" b="0"/>
                      <wp:wrapNone/>
                      <wp:docPr id="333" name="Frame332"/>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14300" cy="175260"/>
                      <wp:effectExtent l="0" t="0" r="0" b="0"/>
                      <wp:wrapNone/>
                      <wp:docPr id="334" name="Frame333"/>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1615" cy="175260"/>
                      <wp:effectExtent l="0" t="0" r="0" b="0"/>
                      <wp:wrapNone/>
                      <wp:docPr id="335" name="Frame33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15950" cy="175260"/>
                      <wp:effectExtent l="0" t="0" r="0" b="0"/>
                      <wp:wrapNone/>
                      <wp:docPr id="336" name="Frame335"/>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82880" cy="175260"/>
                      <wp:effectExtent l="0" t="0" r="0" b="0"/>
                      <wp:wrapNone/>
                      <wp:docPr id="338" name="Frame33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00075" cy="175260"/>
                      <wp:effectExtent l="0" t="0" r="0" b="0"/>
                      <wp:wrapNone/>
                      <wp:docPr id="339" name="Frame338"/>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94615" cy="175260"/>
                      <wp:effectExtent l="0" t="0" r="0" b="0"/>
                      <wp:wrapNone/>
                      <wp:docPr id="340" name="Frame339"/>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82880" cy="175260"/>
                      <wp:effectExtent l="0" t="0" r="0" b="0"/>
                      <wp:wrapNone/>
                      <wp:docPr id="341" name="Frame34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1515" cy="175260"/>
                      <wp:effectExtent l="0" t="0" r="0" b="0"/>
                      <wp:wrapNone/>
                      <wp:docPr id="342" name="Frame341"/>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18"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1"/>
              <w:ind w:left="0" w:right="0" w:hanging="0"/>
              <w:jc w:val="center"/>
              <w:rPr/>
            </w:pPr>
            <w:r>
              <w:rPr/>
              <w:t>​</w:t>
            </w:r>
          </w:p>
        </w:tc>
        <w:tc>
          <w:tcPr>
            <w:tcW w:w="2759"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1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center"/>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80" w:type="dxa"/>
            <w:tcBorders/>
            <w:vAlign w:val="center"/>
          </w:tcPr>
          <w:p>
            <w:pPr>
              <w:pStyle w:val="TableContents"/>
              <w:bidi w:val="0"/>
              <w:spacing w:before="0" w:after="1"/>
              <w:ind w:left="0" w:right="0" w:hanging="0"/>
              <w:jc w:val="center"/>
              <w:rPr/>
            </w:pPr>
            <w:r>
              <w:rPr/>
              <w:t>​</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center"/>
              <w:rPr/>
            </w:pPr>
            <w:r>
              <w:rPr/>
              <w:t>​</w:t>
            </w:r>
          </w:p>
        </w:tc>
        <w:tc>
          <w:tcPr>
            <w:tcW w:w="12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49" w:type="dxa"/>
            <w:tcBorders/>
            <w:vAlign w:val="center"/>
          </w:tcPr>
          <w:p>
            <w:pPr>
              <w:pStyle w:val="TableContents"/>
              <w:bidi w:val="0"/>
              <w:spacing w:before="0" w:after="1"/>
              <w:ind w:left="0" w:right="0" w:hanging="0"/>
              <w:jc w:val="center"/>
              <w:rPr/>
            </w:pPr>
            <w:r>
              <w:rPr/>
              <w:t>​</w:t>
            </w:r>
          </w:p>
        </w:tc>
        <w:tc>
          <w:tcPr>
            <w:tcW w:w="13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88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86" w:type="dxa"/>
            <w:gridSpan w:val="11"/>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0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Purchases from Hughes Systique</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3,910</w:t>
            </w:r>
          </w:p>
        </w:tc>
        <w:tc>
          <w:tcPr>
            <w:tcW w:w="180"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4,236</w:t>
            </w:r>
          </w:p>
        </w:tc>
        <w:tc>
          <w:tcPr>
            <w:tcW w:w="109" w:type="dxa"/>
            <w:tcBorders/>
            <w:shd w:fill="CCEEFF" w:val="clear"/>
            <w:vAlign w:val="center"/>
          </w:tcPr>
          <w:p>
            <w:pPr>
              <w:pStyle w:val="TableContents"/>
              <w:bidi w:val="0"/>
              <w:spacing w:before="0" w:after="1"/>
              <w:ind w:left="0" w:right="0" w:hanging="0"/>
              <w:jc w:val="righ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12,058</w:t>
            </w:r>
          </w:p>
        </w:tc>
        <w:tc>
          <w:tcPr>
            <w:tcW w:w="149" w:type="dxa"/>
            <w:tcBorders/>
            <w:shd w:fill="CCEEFF" w:val="clear"/>
            <w:vAlign w:val="center"/>
          </w:tcPr>
          <w:p>
            <w:pPr>
              <w:pStyle w:val="TableContents"/>
              <w:bidi w:val="0"/>
              <w:spacing w:before="0" w:after="1"/>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13,211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6594" w:type="dxa"/>
        <w:jc w:val="left"/>
        <w:tblInd w:w="0" w:type="dxa"/>
        <w:tblLayout w:type="fixed"/>
        <w:tblCellMar>
          <w:top w:w="0" w:type="dxa"/>
          <w:left w:w="0" w:type="dxa"/>
          <w:bottom w:w="0" w:type="dxa"/>
          <w:right w:w="0" w:type="dxa"/>
        </w:tblCellMar>
      </w:tblPr>
      <w:tblGrid>
        <w:gridCol w:w="3406"/>
        <w:gridCol w:w="109"/>
        <w:gridCol w:w="396"/>
        <w:gridCol w:w="1104"/>
        <w:gridCol w:w="109"/>
        <w:gridCol w:w="344"/>
        <w:gridCol w:w="112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62810" cy="175260"/>
                      <wp:effectExtent l="0" t="0" r="0" b="0"/>
                      <wp:wrapNone/>
                      <wp:docPr id="343" name="Frame342"/>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51460" cy="175260"/>
                      <wp:effectExtent l="0" t="0" r="0" b="0"/>
                      <wp:wrapNone/>
                      <wp:docPr id="345" name="Frame344"/>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01040" cy="175260"/>
                      <wp:effectExtent l="0" t="0" r="0" b="0"/>
                      <wp:wrapNone/>
                      <wp:docPr id="346" name="Frame345"/>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8440" cy="175260"/>
                      <wp:effectExtent l="0" t="0" r="0" b="0"/>
                      <wp:wrapNone/>
                      <wp:docPr id="348" name="Frame34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715010" cy="175260"/>
                      <wp:effectExtent l="0" t="0" r="0" b="0"/>
                      <wp:wrapNone/>
                      <wp:docPr id="349" name="Frame34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34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0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4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659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079" w:type="dxa"/>
            <w:gridSpan w:val="5"/>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Amounts payable to Hughes Systique</w:t>
            </w:r>
          </w:p>
        </w:tc>
        <w:tc>
          <w:tcPr>
            <w:tcW w:w="109"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1,331</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1,466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 xml:space="preserve">13. </w:t>
      </w:r>
      <w:r>
        <w:rPr>
          <w:rFonts w:ascii="Arial;Helvetica;sans-serif" w:hAnsi="Arial;Helvetica;sans-serif"/>
          <w:b/>
          <w:sz w:val="20"/>
        </w:rPr>
        <w:t>Subsequent Events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Amended and Restated License Purchase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November 5, 2025, our parent, EchoStar, SpaceX and Trust, entered into an Amended and Restated License Purchase Agreement (the “Amended and Restated SpaceX License Purchase Agreement,” and the transactions contemplated thereby, the “Amended SpaceX Transactions”). The Amended and Restated SpaceX License Purchase Agreement amends and restates in its entirety the SpaceX License Purchase Agreement, dated as of September 7, 2025, by and among EchoStar, SpaceX and Trust.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HUGHES SATELLITE SYSTEMS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Pursuant to the Amended and Restated SpaceX License Purchase Agreement, our parent, EchoStar and SpaceX have agreed to revise the terms of the previously announced transaction to include the transfer of up to an aggregate of 15 MHz of AWS spectrum in the frequency range of 1695–1710 MHz for each relevant license area (the “AWS-3 Licenses”) from EchoStar to SpaceX in exchange for additional consideration of $2.6 billion, all of which will be paid in SpaceX’s Class A Common Stock, valued at $212 per share. As a result of this change, the total consideration for the SpaceX Transactions has increased from $17 billion to approximately $20 billion, with up to $11 billion to be paid in SpaceX’s Class A Common Stock, valued at $212 per share.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Except as set forth above, the material terms of the Amended and Restated SpaceX License Purchase Agreement are substantially the same as the terms of the SpaceX License Purchase Agreement. The SpaceX License Purchase Agreement was filed as an exhibit to EchoStar’s Quarterly Report on Form 10-Q for the quarter ended September 30, 2025.</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The foregoing description of the Amended and Restated SpaceX License Purchase Agreement does not purport to be complete and is qualified in its entirety by reference to the Amended and Restated SpaceX License Purchase Agreement, which will be filed as an exhibit to EchoStar’s next Annual Report on Form 10-K.</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305" w:type="dxa"/>
        <w:jc w:val="left"/>
        <w:tblInd w:w="0" w:type="dxa"/>
        <w:tblLayout w:type="fixed"/>
        <w:tblCellMar>
          <w:top w:w="0" w:type="dxa"/>
          <w:left w:w="0" w:type="dxa"/>
          <w:bottom w:w="0" w:type="dxa"/>
          <w:right w:w="0" w:type="dxa"/>
        </w:tblCellMar>
      </w:tblPr>
      <w:tblGrid>
        <w:gridCol w:w="151"/>
        <w:gridCol w:w="154"/>
      </w:tblGrid>
      <w:tr>
        <w:trPr/>
        <w:tc>
          <w:tcPr>
            <w:tcW w:w="151" w:type="dxa"/>
            <w:tcBorders/>
            <w:vAlign w:val="center"/>
          </w:tcPr>
          <w:p>
            <w:pPr>
              <w:pStyle w:val="TableContents"/>
              <w:bidi w:val="0"/>
              <w:spacing w:before="0" w:after="283"/>
              <w:jc w:val="left"/>
              <w:rPr>
                <w:rFonts w:ascii="Arial;Helvetica;sans-serif" w:hAnsi="Arial;Helvetica;sans-serif"/>
                <w:b/>
                <w:sz w:val="2"/>
              </w:rPr>
            </w:pPr>
            <w:r>
              <w:rPr>
                <w:rFonts w:ascii="Arial;Helvetica;sans-serif" w:hAnsi="Arial;Helvetica;sans-serif"/>
                <w:b/>
                <w:sz w:val="2"/>
              </w:rPr>
              <w:t>13.</w:t>
            </w:r>
          </w:p>
        </w:tc>
        <w:tc>
          <w:tcPr>
            <w:tcW w:w="154" w:type="dxa"/>
            <w:tcBorders/>
            <w:vAlign w:val="center"/>
          </w:tcPr>
          <w:p>
            <w:pPr>
              <w:pStyle w:val="TableContents"/>
              <w:bidi w:val="0"/>
              <w:spacing w:before="0" w:after="283"/>
              <w:jc w:val="left"/>
              <w:rPr>
                <w:sz w:val="4"/>
                <w:szCs w:val="4"/>
              </w:rPr>
            </w:pPr>
            <w:r>
              <w:rPr>
                <w:sz w:val="4"/>
                <w:szCs w:val="4"/>
              </w:rPr>
            </w:r>
          </w:p>
        </w:tc>
      </w:tr>
    </w:tbl>
    <w:tbl>
      <w:tblPr>
        <w:tblW w:w="305" w:type="dxa"/>
        <w:jc w:val="left"/>
        <w:tblInd w:w="0" w:type="dxa"/>
        <w:tblLayout w:type="fixed"/>
        <w:tblCellMar>
          <w:top w:w="0" w:type="dxa"/>
          <w:left w:w="0" w:type="dxa"/>
          <w:bottom w:w="0" w:type="dxa"/>
          <w:right w:w="0" w:type="dxa"/>
        </w:tblCellMar>
      </w:tblPr>
      <w:tblGrid>
        <w:gridCol w:w="151"/>
        <w:gridCol w:w="154"/>
      </w:tblGrid>
      <w:tr>
        <w:trPr/>
        <w:tc>
          <w:tcPr>
            <w:tcW w:w="151" w:type="dxa"/>
            <w:tcBorders/>
            <w:vAlign w:val="center"/>
          </w:tcPr>
          <w:p>
            <w:pPr>
              <w:pStyle w:val="TableContents"/>
              <w:bidi w:val="0"/>
              <w:spacing w:before="0" w:after="283"/>
              <w:jc w:val="left"/>
              <w:rPr>
                <w:rFonts w:ascii="Arial;Helvetica;sans-serif" w:hAnsi="Arial;Helvetica;sans-serif"/>
                <w:b/>
                <w:sz w:val="2"/>
              </w:rPr>
            </w:pPr>
            <w:r>
              <w:rPr>
                <w:rFonts w:ascii="Arial;Helvetica;sans-serif" w:hAnsi="Arial;Helvetica;sans-serif"/>
                <w:b/>
                <w:sz w:val="2"/>
              </w:rPr>
              <w:t>14.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557" w:name="ITEM2MANAGEMENTSNARRATIVEANALYSISOFRESUL"/>
      <w:bookmarkStart w:id="1558" w:name="_12ace3d5_4452_47bb_b3eb_ed51b0f2fbb9"/>
      <w:bookmarkStart w:id="1559" w:name="_Hlk213685497"/>
      <w:bookmarkEnd w:id="1557"/>
      <w:bookmarkEnd w:id="1558"/>
      <w:bookmarkEnd w:id="1559"/>
      <w:r>
        <w:rPr>
          <w:rFonts w:ascii="Arial;Helvetica;sans-serif" w:hAnsi="Arial;Helvetica;sans-serif"/>
          <w:b/>
          <w:sz w:val="20"/>
        </w:rPr>
        <w:t>Item 2. MANAGEMENT’S NARRATIVE ANALYSIS OF RESULTS OF OPERATIONS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You should read the following Management’s Narrative Analysis of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w:t>
        <w:noBreakHyphen/>
        <w:t>K for the year ended December 31, 2024 and this Quarterly Report on Form 10-Q under the caption “Item 1A. Risk Factors.” Furthermore, such forward-looking statements speak only as of the date of this Quarterly Report on Form 10</w:t>
        <w:noBreakHyphen/>
        <w:t>Q, and we expressly disclaim any obligation to update any forward-looking statements.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EXECUTIVE SUMMARY</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Recent Developments</w:t>
      </w:r>
    </w:p>
    <w:p>
      <w:pPr>
        <w:pStyle w:val="TextBody"/>
        <w:bidi w:val="0"/>
        <w:spacing w:lineRule="auto" w:line="302" w:before="0" w:after="240"/>
        <w:ind w:left="0" w:right="139" w:hanging="0"/>
        <w:jc w:val="both"/>
        <w:rPr>
          <w:rFonts w:ascii="Arial;Helvetica;sans-serif" w:hAnsi="Arial;Helvetica;sans-serif"/>
          <w:b/>
          <w:sz w:val="20"/>
        </w:rPr>
      </w:pPr>
      <w:bookmarkStart w:id="1560" w:name="_Hlk213750423"/>
      <w:bookmarkEnd w:id="1560"/>
      <w:r>
        <w:rPr>
          <w:rFonts w:ascii="Arial;Helvetica;sans-serif" w:hAnsi="Arial;Helvetica;sans-serif"/>
          <w:b/>
          <w:sz w:val="20"/>
        </w:rPr>
        <w:t>FCC Review</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 xml:space="preserve">In the third quarter of 2025, our parent, EchoStar resolved the previously disclosed review by the Federal Communications Commission (the “FCC”) into EchoStar’s compliance with its buildout milestones and other obligations regarding EchoStar’s federal spectrum licenses. EchoStar previously </w:t>
      </w:r>
      <w:r>
        <w:rPr>
          <w:rFonts w:ascii="Arial;Helvetica;sans-serif" w:hAnsi="Arial;Helvetica;sans-serif"/>
          <w:color w:val="222222"/>
          <w:sz w:val="20"/>
        </w:rPr>
        <w:t>received a letter from the FCC on May 9, 2025, indicating that the FCC was beginning a review of their compliance with certain obligations to provide 5G broadband service and raising certain questions regarding the September 2024 buildout extension granted by the FCC and mobile-satellite service (“MSS”) utilization in the 2 GHz band (the “May 9 Letter”). EchoStar responded to the FCC’s subsequent public notices with filings on May 27, 2025 and June 6, 2025</w:t>
      </w:r>
      <w:r>
        <w:rPr>
          <w:rFonts w:ascii="Arial;Helvetica;sans-serif" w:hAnsi="Arial;Helvetica;sans-serif"/>
          <w:sz w:val="20"/>
        </w:rPr>
        <w:t>.</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During the second quarter and the beginning of the third quarter of 2025, the potential ramifications of the FCC review to EchoStar’s business required them to, among other things, reevaluate the deployment of their resources and as a result, EchoStar elected not to make interest payments on a certain portion of their long-term senior notes on their respective scheduled due dates. EchoStar subsequently made such payments, including interest on the defaulted interest, within the applicable 30-day grace periods. See Note 9 of our parent, EchoStar’s Quarterly Report on form 10-Q for the quarter ended September 30, 2025 for further information.</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The FCC review introduced the possibility of reversing prior FCC grants of authority to EchoStar. The FCC made it clear that it viewed EchoStar’s spectrum as being underutilized and deemed their continued ownership of such spectrum licenses inconsistent with the public interest, and that they must sell a material amount of spectrum licenses or face a wide-ranging license revocation. Accordingly, as a result of these unforeseeable actions by the FCC that were outside of EchoStar’s control, they entered into the AT&amp;T Transactions, as defined in EchoStar’s Quarterly Report on Form 10-Q for the quarter ended September 30, 2025 and the SpaceX Transactions, as defined below, whereby EchoStar agreed to sell a material amount of their spectrum licenses. In August 2025, following these transactions, EchoStar began the abandonment and decommission process for certain portions of their 5G Network that will not be utilized in their Hybrid MNO business. Furthermore, EchoStar believes the FCC’s actions and the resulting AT&amp;T Transactions and SpaceX Transactions constitute one or more force majeure events under certain of their 5G Network-related contracts.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lineRule="auto" w:line="302" w:before="0" w:after="0"/>
        <w:ind w:left="0" w:right="139" w:hanging="0"/>
        <w:jc w:val="both"/>
        <w:rPr/>
      </w:pPr>
      <w:r>
        <w:rPr/>
        <w:t>​</w:t>
      </w:r>
    </w:p>
    <w:p>
      <w:pPr>
        <w:pStyle w:val="TextBody"/>
        <w:bidi w:val="0"/>
        <w:spacing w:lineRule="auto" w:line="302" w:before="0" w:after="0"/>
        <w:ind w:left="0" w:right="139" w:hanging="0"/>
        <w:jc w:val="both"/>
        <w:rPr>
          <w:rFonts w:ascii="Arial;Helvetica;sans-serif" w:hAnsi="Arial;Helvetica;sans-serif"/>
          <w:sz w:val="20"/>
        </w:rPr>
      </w:pPr>
      <w:r>
        <w:rPr>
          <w:rFonts w:ascii="Arial;Helvetica;sans-serif" w:hAnsi="Arial;Helvetica;sans-serif"/>
          <w:sz w:val="20"/>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SpaceX License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“SpaceX Transactions”).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Pursuant to the terms and subject to the conditions set forth in the SpaceX License Purchase Agreement, our parent EchoStar, agreed to sell to SpaceX their rights and licenses related to an aggregate of 50 MHz of spectrum in frequency ranges 2000–2020, 2180–2200, 1915–1920 and 1995– 2000 (the “</w:t>
      </w:r>
      <w:r>
        <w:rPr>
          <w:rFonts w:ascii="Arial;Helvetica;sans-serif" w:hAnsi="Arial;Helvetica;sans-serif"/>
          <w:color w:val="222222"/>
          <w:sz w:val="20"/>
        </w:rPr>
        <w:t>AWS-4 and H-Block</w:t>
      </w:r>
      <w:r>
        <w:rPr>
          <w:rFonts w:ascii="Arial;Helvetica;sans-serif" w:hAnsi="Arial;Helvetica;sans-serif"/>
          <w:sz w:val="20"/>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transfer of the </w:t>
      </w:r>
      <w:r>
        <w:rPr>
          <w:rFonts w:ascii="Arial;Helvetica;sans-serif" w:hAnsi="Arial;Helvetica;sans-serif"/>
          <w:color w:val="222222"/>
          <w:sz w:val="20"/>
        </w:rPr>
        <w:t>AWS-4 and H-Block</w:t>
      </w:r>
      <w:r>
        <w:rPr>
          <w:rFonts w:ascii="Arial;Helvetica;sans-serif" w:hAnsi="Arial;Helvetica;sans-serif"/>
          <w:sz w:val="20"/>
        </w:rPr>
        <w:t xml:space="preserve"> Licenses will occur in two steps: first, the </w:t>
      </w:r>
      <w:r>
        <w:rPr>
          <w:rFonts w:ascii="Arial;Helvetica;sans-serif" w:hAnsi="Arial;Helvetica;sans-serif"/>
          <w:color w:val="222222"/>
          <w:sz w:val="20"/>
        </w:rPr>
        <w:t>AWS-4 and H-Block</w:t>
      </w:r>
      <w:r>
        <w:rPr>
          <w:rFonts w:ascii="Arial;Helvetica;sans-serif" w:hAnsi="Arial;Helvetica;sans-serif"/>
          <w:sz w:val="20"/>
        </w:rPr>
        <w:t xml:space="preserve"> Licenses will be transferred by EchoStar to the Trust (the “Spectrum Transfer Closing”), and second, the </w:t>
      </w:r>
      <w:r>
        <w:rPr>
          <w:rFonts w:ascii="Arial;Helvetica;sans-serif" w:hAnsi="Arial;Helvetica;sans-serif"/>
          <w:color w:val="222222"/>
          <w:sz w:val="20"/>
        </w:rPr>
        <w:t>AWS-4 and H-Block</w:t>
      </w:r>
      <w:r>
        <w:rPr>
          <w:rFonts w:ascii="Arial;Helvetica;sans-serif" w:hAnsi="Arial;Helvetica;sans-serif"/>
          <w:sz w:val="20"/>
        </w:rPr>
        <w:t xml:space="preserve">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consideration for the SpaceX Transactions payable at the Spectrum Acquisition Closing is $17 billion (the “Total Consideration Amount”). A portion of the Total Consideration Amount (such amount, the “Total Payoff Consideration Amount”) will be used to (i) fully pay off all outstanding amounts owed on EchoStar’s 10 3/4% Senior Secured Notes due 2029 (the “10 3/4% Secured Notes”) and 6 3/4% Senior Secured due 2030 (the “6 3/4% Secured Notes”) and (ii) settle the anticipated redemption and conversions of EchoStar’s 3 7/8% Convertible Secured Notes due 2030 (the “Convertible Notes due 2030” and, together with the 10 3/4% Secured Notes and the 6 3/4% Secured Notes, the “Seller Notes”). The remaining amount after paying off the Seller Notes (the “Purchase Price”) will be paid by SpaceX to EchoStar as follows: (i) up to $8.5 billion will be paid in SpaceX’s Class A Common Stock, valued at $212 per share (the “Equity Amount”); and (ii) any amount of the Purchase Price exceeding $8.5 billion will be paid in cash. If the Total Payoff Consideration Amount exceeds $8.5 billion, EchoStar may elect to pay the excess in cash, EchoStar’s Class A Common Stock (with respect to the Convertible Notes due 2030), or both, to maintain EchoStar’s receipt of the full Equity Amount. However, if EchoStar elects not to pay such excess amount, the Equity Amount will be reduced dollar-for-dollar to ensure that the combined Equity Amount and Total Payoff Consideration Amount do not exceed the Total Consideration Amount. As of September 30, 2025, the aggregate principal amount outstanding of the Seller Notes was $9.826 billion and is secured by the </w:t>
      </w:r>
      <w:r>
        <w:rPr>
          <w:rFonts w:ascii="Arial;Helvetica;sans-serif" w:hAnsi="Arial;Helvetica;sans-serif"/>
          <w:color w:val="222222"/>
          <w:sz w:val="20"/>
        </w:rPr>
        <w:t>AWS-4 and AWS-3</w:t>
      </w:r>
      <w:r>
        <w:rPr>
          <w:rFonts w:ascii="Arial;Helvetica;sans-serif" w:hAnsi="Arial;Helvetica;sans-serif"/>
          <w:sz w:val="20"/>
        </w:rPr>
        <w:t xml:space="preserve"> Licenses.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pStyle w:val="TextBody"/>
        <w:bidi w:val="0"/>
        <w:spacing w:lineRule="atLeast" w:line="180"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Additionally, in connection with the SpaceX License Purchase Agreement and the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DOJ. The SpaceX License Purchase Agreement also provides for specified termination rights.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SpaceX License Purchase Agreement also provides for future long-term commercial agreements that will enable EchoStar to offer their Wireless subscribers access to SpaceX’s next-generation Starlink Direct to Cell text and voice and broadband services utilizing certain rights and licenses related to the Spectrum that are to be conveyed by EchoStar to SpaceX at the Spectrum Acquisition Closing. The commercial agreements will also provide for a fee-based referral program that lets us refer existing HughesNet customers and new Starlink customers to SpaceX.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description of the SpaceX License Purchase Agreement is not complete and is qualified in its entirety by reference to the License Purchase Agreement filed as an exhibit in EchoStar’s Quarterly Report on Form 10-Q for the quarter ended September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Please see Note 13 for additional information on this transaction subsequent to September 30, 2025.</w:t>
      </w:r>
    </w:p>
    <w:p>
      <w:pPr>
        <w:pStyle w:val="TextBody"/>
        <w:bidi w:val="0"/>
        <w:spacing w:before="0" w:after="0"/>
        <w:ind w:left="0" w:right="0" w:hanging="0"/>
        <w:jc w:val="both"/>
        <w:rPr/>
      </w:pPr>
      <w:r>
        <w:rPr/>
        <w:t>​</w:t>
      </w:r>
    </w:p>
    <w:p>
      <w:pPr>
        <w:pStyle w:val="TextBody"/>
        <w:bidi w:val="0"/>
        <w:spacing w:lineRule="auto" w:line="302" w:before="0" w:after="240"/>
        <w:ind w:left="0" w:right="139" w:hanging="0"/>
        <w:jc w:val="both"/>
        <w:rPr>
          <w:rFonts w:ascii="Arial;Helvetica;sans-serif" w:hAnsi="Arial;Helvetica;sans-serif"/>
          <w:b/>
          <w:sz w:val="20"/>
        </w:rPr>
      </w:pPr>
      <w:bookmarkStart w:id="1561" w:name="_Hlk213316300"/>
      <w:bookmarkEnd w:id="1561"/>
      <w:r>
        <w:rPr>
          <w:rFonts w:ascii="Arial;Helvetica;sans-serif" w:hAnsi="Arial;Helvetica;sans-serif"/>
          <w:b/>
          <w:sz w:val="20"/>
        </w:rPr>
        <w:t>Impairments and Other</w:t>
      </w:r>
    </w:p>
    <w:p>
      <w:pPr>
        <w:pStyle w:val="TextBody"/>
        <w:bidi w:val="0"/>
        <w:spacing w:before="0" w:after="0"/>
        <w:ind w:left="0" w:right="0" w:hanging="0"/>
        <w:jc w:val="both"/>
        <w:rPr>
          <w:rFonts w:ascii="Arial;Helvetica;sans-serif" w:hAnsi="Arial;Helvetica;sans-serif"/>
          <w:sz w:val="20"/>
        </w:rPr>
      </w:pPr>
      <w:bookmarkStart w:id="1562" w:name="_Hlk213753738"/>
      <w:bookmarkEnd w:id="1562"/>
      <w:r>
        <w:rPr>
          <w:rFonts w:ascii="Arial;Helvetica;sans-serif" w:hAnsi="Arial;Helvetica;sans-serif"/>
          <w:sz w:val="20"/>
        </w:rPr>
        <w:t>Under the SpaceX Transactions, SpaceX has the sole option to acquire certain satellite assets and certain regulatory authorizations from us and our parent, EchoStar. This option was considered a triggering event and resulted in our review for impairment of certain of our international licenses and ground equipment necessary to operate our and our parent’s assets included in the SpaceX Transactions. Additionally, we and our parent, EchoStar are no longer pursuing a business plan to utilize those complementary assets and as such our assets have no  future use. Management determined based on our undiscounted future net cash flows that the carrying amount of certain assets, individually or as part of an asset group were not recoverable. This conclusion was made in connection with the preparation and review of the financial statements required to be included in this Quarterly Report on Form 10-Q. Management then determined the fair value of certain assets or asset groups using the market approach. Due to the specialized use and company specific nature of each asset or asset group, management determined the fair values to be nominal, resulting in non-cash impairment charges. During the three and nine months ended September 30, 2025, we recorded a $11 million non-cash impairment charge in “Impairments and other” on our Condensed Consolidated Statements of Operations and Comprehensive Income (Loss). See Note 1 in the Notes to our Condensed Consolidated Financial Statements</w:t>
      </w:r>
      <w:r>
        <w:rPr>
          <w:rFonts w:ascii="Arial;Helvetica;sans-serif" w:hAnsi="Arial;Helvetica;sans-serif"/>
          <w:color w:val="0A0A0A"/>
          <w:sz w:val="20"/>
        </w:rPr>
        <w:t xml:space="preserve">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Overview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across all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manage our business activities on a consolidated basis and operate as a single operating segment: Hughes. See Note 10 in the Notes to our Condensed Consolidated Financial Statements in this Quarterly Report on Form 10-Q for information regarding our segment reporting.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Operational Liquidity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primarily rely on our existing cash, cash equivalents and marketable investment securities balances, as well as cash generated from operations, to fund our business operations. Consumer revenue depends on our success in adding new and retaining existing subscribers. Revenue in our enterprise and equipment businesses relies heavily on global economic conditions and the competitive landscape for pricing relative to competitors and alternative technologies. There can be no assurance that we will have positive cash flows from operations. If we experience negative cash flows, our existing cash, cash equivalents and marketable investment securities balances may be further reduced.</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Future Liquidity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made cash distributions to partially finance the consolidated operations and debt service payment obligations of our parent company, EchoStar, and its subsidiaries. On February 15, 2024, the Company’s Board of Directors declared and approved payment of a cash dividend on the Company’s outstanding stock to our shareholder and parent, EchoStar, in the amount of $529 million. On March 12, 2024, the Company’s Board of Directors declared and approved payment of a cash dividend on the Company’s outstanding common stock to EchoStar in the amount of $500 million. Payment of both dividends was made in the first quarter of 2024.</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debt services, future growth and expansion. Our ability to declare dividends is affected by the covenants in our indentures.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Due to our liquidity concerns, we are no longer able to make additional funds available to EchoStar in the form of prepayments for services rendered or loans to finance, in whole or in part, EchoStar’s future operations and debt service obligations.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currently have cash, cash equivalents, marketable investment securities balances and/or projected future cash flows to fund our 2026 debt maturities. We will need to refinance or restructure all or a portion of such obligations prior to maturity.</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Covenants and Restrictions Related to our Senior Notes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indentures related to our outstanding senior notes contain restrictive covenants that, among other things, impose limitations on our ability to: (i) incur additional indebtedness; (ii) enter into sale and leaseback transactions; (iii) pay dividends or make distributions on our capital stock or repurchase our capital stock; (iv) restrict our subsidiaries’ ability to pay dividends, make distributions, make other payments, or transfer assets; (v) make certain investments; (vi) create liens; (vii) enter into certain transactions with affiliates; (viii) merge or consolidate with another company; and (ix)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As of the date of filing of this Quarterly Report on Form 10-Q, we were in compliance with the covenants and restrictions related to our long-term debt.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EXPLANATION OF KEY METRICS AND OTHER ITEMS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Service revenue</w:t>
      </w:r>
      <w:r>
        <w:rPr>
          <w:rFonts w:ascii="Arial;Helvetica;sans-serif" w:hAnsi="Arial;Helvetica;sans-serif"/>
          <w:sz w:val="20"/>
        </w:rPr>
        <w:t>. “Service revenue” consists principally includes the sales of consumer and enterprise broadband services, maintenance and other contracted services, revenue associated with satellite and transponder leases and services, satellite uplinking/downlinking, and subscriber wholesale service fees for the HughesNet service. Certain of the amounts included in “Service revenue” are not recurring on a monthly basis.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Equipment sales and other revenue</w:t>
      </w:r>
      <w:r>
        <w:rPr>
          <w:rFonts w:ascii="Arial;Helvetica;sans-serif" w:hAnsi="Arial;Helvetica;sans-serif"/>
          <w:sz w:val="20"/>
        </w:rPr>
        <w:t>. “Equipment sales and other revenue” principally includes broadband equipment and networks sold both to customers in our consumer and enterprise markets.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Cost of services</w:t>
      </w:r>
      <w:r>
        <w:rPr>
          <w:rFonts w:ascii="Arial;Helvetica;sans-serif" w:hAnsi="Arial;Helvetica;sans-serif"/>
          <w:sz w:val="20"/>
        </w:rPr>
        <w:t>. “Cost of services” primarily includes the cost of broadband services provided to our consumer and enterprise customers, maintenance and other contracted services, and costs associated with satellite and transponder leases and services.</w:t>
      </w:r>
    </w:p>
    <w:p>
      <w:pPr>
        <w:pStyle w:val="TextBody"/>
        <w:bidi w:val="0"/>
        <w:spacing w:before="0" w:after="240"/>
        <w:ind w:left="0" w:right="0" w:hanging="0"/>
        <w:jc w:val="both"/>
        <w:rPr>
          <w:rFonts w:ascii="Arial;Helvetica;sans-serif" w:hAnsi="Arial;Helvetica;sans-serif"/>
          <w:sz w:val="18"/>
        </w:rPr>
      </w:pPr>
      <w:r>
        <w:rPr>
          <w:rFonts w:ascii="Arial;Helvetica;sans-serif" w:hAnsi="Arial;Helvetica;sans-serif"/>
          <w:b/>
          <w:i/>
          <w:sz w:val="20"/>
        </w:rPr>
        <w:t>Cost of sales - equipment and other</w:t>
      </w:r>
      <w:r>
        <w:rPr>
          <w:rFonts w:ascii="Arial;Helvetica;sans-serif" w:hAnsi="Arial;Helvetica;sans-serif"/>
          <w:sz w:val="18"/>
        </w:rPr>
        <w:t>. “</w:t>
      </w:r>
      <w:r>
        <w:rPr>
          <w:rFonts w:ascii="Arial;Helvetica;sans-serif" w:hAnsi="Arial;Helvetica;sans-serif"/>
          <w:sz w:val="20"/>
        </w:rPr>
        <w:t>Cost of sales - equipment and other” principally consists of the cost of broadband equipment and networks provided to customers in our consumer and enterprise markets. It also includes certain other costs associated with the deployment of equipment to our customers.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“Selling, general and administrative expenses” primarily include selling costs, and employee-related costs associated with administrative services such as legal, information systems, accounting and finance, and including bad debt expense. It also includes research and development expenses associated with the design and development of products to support future growth and provide new technology and innovation to our customers, professional fees, and other expenses associated with facilities and administrative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Impairments and other.</w:t>
      </w:r>
      <w:r>
        <w:rPr>
          <w:rFonts w:ascii="Arial;Helvetica;sans-serif" w:hAnsi="Arial;Helvetica;sans-serif"/>
          <w:sz w:val="20"/>
        </w:rPr>
        <w:t xml:space="preserve"> “Impairments and other” may include, among other things, non-cash impairment and other losses related to our property and equipment, regulatory authorizations, operating lease assets, goodwill and other intangible assets, as well as estimated exit and disposal costs.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Interest income</w:t>
      </w:r>
      <w:r>
        <w:rPr>
          <w:rFonts w:ascii="Arial;Helvetica;sans-serif" w:hAnsi="Arial;Helvetica;sans-serif"/>
          <w:sz w:val="20"/>
        </w:rPr>
        <w:t>. “Interest income” primarily includes interest earned on our cash, cash equivalents and marketable investment securities, and other investments including premium amortization, discount accretion on debt securities, and changes in allowance for estimated credit losses on investments.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Interest expense, net of amounts capitalized</w:t>
      </w:r>
      <w:r>
        <w:rPr>
          <w:rFonts w:ascii="Arial;Helvetica;sans-serif" w:hAnsi="Arial;Helvetica;sans-serif"/>
          <w:sz w:val="20"/>
        </w:rPr>
        <w:t>. “Interest expense, net of amounts capitalized” primarily 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Other, net</w:t>
      </w:r>
      <w:r>
        <w:rPr>
          <w:rFonts w:ascii="Arial;Helvetica;sans-serif" w:hAnsi="Arial;Helvetica;sans-serif"/>
          <w:sz w:val="20"/>
        </w:rPr>
        <w:t>. “Other, net” primarily includes gains and losses realized on the sale of marketable and non-marketable investment securities, impairment of marketable and non-marketable investment securities, impairment of our equity method investments, unrealized gains and losses from changes in fair value of certain marketable and non-marketable investment securities, foreign currency transaction gains and losses, equity in earnings and losses of our affiliates, dividends received from our marketable investment securities, and other non-operating income and expense items that are not appropriately classified elsewhere in the Condensed Consolidated Statements of Operations and Comprehensive Income (Loss) in our Condensed Consolidated Financial Statements.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Operating income before depreciation and amortization (“OIBDA”)</w:t>
      </w:r>
      <w:r>
        <w:rPr>
          <w:rFonts w:ascii="Arial;Helvetica;sans-serif" w:hAnsi="Arial;Helvetica;sans-serif"/>
          <w:sz w:val="20"/>
        </w:rPr>
        <w:t>. OIBDA is defined as “Operating income (loss)” plus “Depreciation and amortization.” This “non-GAAP measure” is reconciled to “Operating income (loss)” in our discussion of “Results of Operations” below.</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i/>
          <w:sz w:val="20"/>
        </w:rPr>
        <w:t xml:space="preserve">Broadband subscribers. </w:t>
      </w:r>
      <w:r>
        <w:rPr>
          <w:rFonts w:ascii="Arial;Helvetica;sans-serif" w:hAnsi="Arial;Helvetica;sans-serif"/>
          <w:sz w:val="20"/>
        </w:rPr>
        <w:t>Broadband subscribers include domestic and international customers that subscribe to our HughesNet service, through retail, wholesale and small/medium enterprise service channels.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Hughes Segment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leveraged the EchoStar XXIV satellite to deliver satellite services to unserved and underserved consumer markets in the Americas as well as enterprise, aeronautical and government markets. Effective December 2023, we lease the capacity of EchoStar XXIV from EchoStar.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Hughes segment continues to focus its efforts on optimizing financial returns on our satellite portfolio. Our consumer revenue business depends on our success in adding new and retaining existing subscribers, as well as maintaining or growing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have been addressed by the EchoStar XXIV satellite.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Backlog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2025, our Hughes segment had $1.5 billion of contracted revenue backlog. We define the Hughes segment contracted revenue backlog as our expected future revenue under enterprise customer contracts that are non-cancelable, including lease revenue.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Competition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industry is highly competitive. As a global provider of network technologies, products and services, we compete with a large number of telecommunications and satellite internet service providers.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Communications, Inc. which is owned by ViaSat, Inc. (“ViaSat”) and Starlink Services LLC, which is owned by SpaceX.</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Both ViaSat and SpaceX have also entered the South and Central American consumer markets. Our principal competitors for the supply of satellite technology platforms are Gilat Satellite Networks Ltd, ViaSat and ST Engineering iDirect, Inc.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Three Months Ended September 30, 2025 Compared to the Three Months Ended September 30, 2024</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following table presents our condensed consolidated results of operations for the three months ended September 30, 2025 compared to the three months ended September 30, 2024: </w:t>
      </w:r>
    </w:p>
    <w:tbl>
      <w:tblPr>
        <w:tblW w:w="10205" w:type="dxa"/>
        <w:jc w:val="left"/>
        <w:tblInd w:w="0" w:type="dxa"/>
        <w:tblLayout w:type="fixed"/>
        <w:tblCellMar>
          <w:top w:w="0" w:type="dxa"/>
          <w:left w:w="0" w:type="dxa"/>
          <w:bottom w:w="0" w:type="dxa"/>
          <w:right w:w="0" w:type="dxa"/>
        </w:tblCellMar>
      </w:tblPr>
      <w:tblGrid>
        <w:gridCol w:w="5419"/>
        <w:gridCol w:w="109"/>
        <w:gridCol w:w="273"/>
        <w:gridCol w:w="1053"/>
        <w:gridCol w:w="140"/>
        <w:gridCol w:w="273"/>
        <w:gridCol w:w="1053"/>
        <w:gridCol w:w="109"/>
        <w:gridCol w:w="211"/>
        <w:gridCol w:w="808"/>
        <w:gridCol w:w="109"/>
        <w:gridCol w:w="648"/>
      </w:tblGrid>
      <w:tr>
        <w:trPr/>
        <w:tc>
          <w:tcPr>
            <w:tcW w:w="54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73355" cy="175260"/>
                      <wp:effectExtent l="0" t="0" r="0" b="0"/>
                      <wp:wrapNone/>
                      <wp:docPr id="350" name="Frame34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68655" cy="175260"/>
                      <wp:effectExtent l="0" t="0" r="0" b="0"/>
                      <wp:wrapNone/>
                      <wp:docPr id="351" name="Frame350"/>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8900" cy="175260"/>
                      <wp:effectExtent l="0" t="0" r="0" b="0"/>
                      <wp:wrapNone/>
                      <wp:docPr id="352" name="Frame351"/>
                      <a:graphic xmlns:a="http://schemas.openxmlformats.org/drawingml/2006/main">
                        <a:graphicData uri="http://schemas.microsoft.com/office/word/2010/wordprocessingShape">
                          <wps:wsp>
                            <wps:cNvSpPr txBox="1"/>
                            <wps:spPr>
                              <a:xfrm>
                                <a:off x="0" y="0"/>
                                <a:ext cx="88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73355" cy="175260"/>
                      <wp:effectExtent l="0" t="0" r="0" b="0"/>
                      <wp:wrapNone/>
                      <wp:docPr id="353" name="Frame35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68655" cy="175260"/>
                      <wp:effectExtent l="0" t="0" r="0" b="0"/>
                      <wp:wrapNone/>
                      <wp:docPr id="354" name="Frame353"/>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13080" cy="175260"/>
                      <wp:effectExtent l="0" t="0" r="0" b="0"/>
                      <wp:wrapNone/>
                      <wp:docPr id="357" name="Frame356"/>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11480" cy="175260"/>
                      <wp:effectExtent l="0" t="0" r="0" b="0"/>
                      <wp:wrapNone/>
                      <wp:docPr id="359" name="Frame358"/>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left"/>
              <w:rPr/>
            </w:pPr>
            <w:r>
              <w:rPr/>
              <w:t>​</w:t>
            </w:r>
          </w:p>
        </w:tc>
      </w:tr>
      <w:tr>
        <w:trPr/>
        <w:tc>
          <w:tcPr>
            <w:tcW w:w="54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2"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left"/>
              <w:rPr/>
            </w:pPr>
            <w:r>
              <w:rPr/>
              <w:t>​</w:t>
            </w:r>
          </w:p>
        </w:tc>
        <w:tc>
          <w:tcPr>
            <w:tcW w:w="1776"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Variance</w:t>
            </w:r>
          </w:p>
        </w:tc>
      </w:tr>
      <w:tr>
        <w:trPr/>
        <w:tc>
          <w:tcPr>
            <w:tcW w:w="5419"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Statements of Operations Data</w:t>
            </w:r>
          </w:p>
        </w:tc>
        <w:tc>
          <w:tcPr>
            <w:tcW w:w="109" w:type="dxa"/>
            <w:tcBorders/>
            <w:vAlign w:val="center"/>
          </w:tcPr>
          <w:p>
            <w:pPr>
              <w:pStyle w:val="TableContents"/>
              <w:bidi w:val="0"/>
              <w:spacing w:before="0" w:after="1"/>
              <w:ind w:left="0" w:right="0" w:hanging="0"/>
              <w:jc w:val="left"/>
              <w:rPr/>
            </w:pPr>
            <w:r>
              <w:rPr/>
              <w:t>​</w:t>
            </w:r>
          </w:p>
        </w:tc>
        <w:tc>
          <w:tcPr>
            <w:tcW w:w="13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40" w:type="dxa"/>
            <w:tcBorders/>
            <w:vAlign w:val="center"/>
          </w:tcPr>
          <w:p>
            <w:pPr>
              <w:pStyle w:val="TableContents"/>
              <w:bidi w:val="0"/>
              <w:spacing w:before="0" w:after="1"/>
              <w:ind w:left="0" w:right="0" w:hanging="0"/>
              <w:jc w:val="left"/>
              <w:rPr/>
            </w:pPr>
            <w:r>
              <w:rPr/>
              <w:t>​</w:t>
            </w:r>
          </w:p>
        </w:tc>
        <w:tc>
          <w:tcPr>
            <w:tcW w:w="13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109" w:type="dxa"/>
            <w:tcBorders/>
            <w:vAlign w:val="center"/>
          </w:tcPr>
          <w:p>
            <w:pPr>
              <w:pStyle w:val="TableContents"/>
              <w:bidi w:val="0"/>
              <w:spacing w:before="0" w:after="1"/>
              <w:ind w:left="0" w:right="0" w:hanging="0"/>
              <w:jc w:val="left"/>
              <w:rPr/>
            </w:pPr>
            <w:r>
              <w:rPr/>
              <w:t>​</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4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20" w:type="dxa"/>
            <w:gridSpan w:val="8"/>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center"/>
              <w:rPr/>
            </w:pPr>
            <w:r>
              <w:rPr/>
              <w:t>​</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pPr>
            <w:r>
              <w:rPr/>
              <w:t>​</w:t>
            </w:r>
          </w:p>
        </w:tc>
        <w:tc>
          <w:tcPr>
            <w:tcW w:w="140" w:type="dxa"/>
            <w:tcBorders/>
            <w:shd w:fill="CCEEFF" w:val="clear"/>
            <w:vAlign w:val="center"/>
          </w:tcPr>
          <w:p>
            <w:pPr>
              <w:pStyle w:val="TableContents"/>
              <w:bidi w:val="0"/>
              <w:spacing w:before="0" w:after="1"/>
              <w:ind w:left="0" w:right="0" w:hanging="0"/>
              <w:jc w:val="right"/>
              <w:rPr/>
            </w:pPr>
            <w:r>
              <w:rPr/>
              <w:t>​</w:t>
            </w:r>
          </w:p>
        </w:tc>
        <w:tc>
          <w:tcPr>
            <w:tcW w:w="273" w:type="dxa"/>
            <w:tcBorders/>
            <w:shd w:fill="CCEEFF" w:val="clear"/>
            <w:vAlign w:val="center"/>
          </w:tcPr>
          <w:p>
            <w:pPr>
              <w:pStyle w:val="TableContents"/>
              <w:bidi w:val="0"/>
              <w:spacing w:before="0" w:after="1"/>
              <w:ind w:left="0" w:right="0" w:hanging="0"/>
              <w:jc w:val="right"/>
              <w:rPr/>
            </w:pPr>
            <w:r>
              <w:rPr/>
              <w:t>​</w:t>
            </w:r>
          </w:p>
        </w:tc>
        <w:tc>
          <w:tcPr>
            <w:tcW w:w="10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48" w:type="dxa"/>
            <w:tcBorders/>
            <w:shd w:fill="CCEEFF" w:val="clear"/>
            <w:vAlign w:val="center"/>
          </w:tcPr>
          <w:p>
            <w:pPr>
              <w:pStyle w:val="TableContents"/>
              <w:bidi w:val="0"/>
              <w:spacing w:before="0" w:after="1"/>
              <w:ind w:left="0" w:right="0" w:hanging="0"/>
              <w:jc w:val="right"/>
              <w:rPr/>
            </w:pPr>
            <w:r>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Service revenue</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268,294</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295,935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(27,641)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Equipment sales and 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71,821</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86,461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(14,640)</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340,115</w:t>
            </w:r>
          </w:p>
        </w:tc>
        <w:tc>
          <w:tcPr>
            <w:tcW w:w="140" w:type="dxa"/>
            <w:tcBorders/>
            <w:vAlign w:val="center"/>
          </w:tcPr>
          <w:p>
            <w:pPr>
              <w:pStyle w:val="TableContents"/>
              <w:bidi w:val="0"/>
              <w:spacing w:before="0" w:after="1"/>
              <w:ind w:left="0" w:right="0" w:hanging="0"/>
              <w:jc w:val="righ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382,396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(42,281)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Costs and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pPr>
            <w:r>
              <w:rPr/>
              <w:t>​</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Cost of services </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160,017</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171,880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(11,863)</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of Service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59.6%</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58.1%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 - equipment and other</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67,830</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74,242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(6,412)</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of Equipment sales and 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94.4%</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85.9%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79,078</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98,285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(19,207)</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of 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23.3%</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83,218</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90,719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(7,501)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Impairments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10,581</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10,581</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costs and expenses</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400,724</w:t>
            </w:r>
          </w:p>
        </w:tc>
        <w:tc>
          <w:tcPr>
            <w:tcW w:w="140" w:type="dxa"/>
            <w:tcBorders/>
            <w:vAlign w:val="center"/>
          </w:tcPr>
          <w:p>
            <w:pPr>
              <w:pStyle w:val="TableContents"/>
              <w:bidi w:val="0"/>
              <w:spacing w:before="0" w:after="1"/>
              <w:ind w:left="0" w:right="0" w:hanging="0"/>
              <w:jc w:val="righ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435,126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(34,402)</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(60,609)</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(52,730)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(7,879)</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Other Income (Expense):</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left"/>
              <w:rPr/>
            </w:pPr>
            <w:r>
              <w:rPr/>
              <w:t>​</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2,522</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 net of amounts capitalized</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(24,386)</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(24,695)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net</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1,013</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1,992</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income (expense)</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(20,851)</w:t>
            </w:r>
          </w:p>
        </w:tc>
        <w:tc>
          <w:tcPr>
            <w:tcW w:w="140" w:type="dxa"/>
            <w:tcBorders/>
            <w:vAlign w:val="center"/>
          </w:tcPr>
          <w:p>
            <w:pPr>
              <w:pStyle w:val="TableContents"/>
              <w:bidi w:val="0"/>
              <w:spacing w:before="0" w:after="1"/>
              <w:ind w:left="0" w:right="0" w:hanging="0"/>
              <w:jc w:val="righ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(23,352)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(81,460)</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(5,378)</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benefit (provision), net</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21,490</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15,822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5,668</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Effective tax rate</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26.4%</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pPr>
            <w:r>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(59,970)</w:t>
            </w:r>
          </w:p>
        </w:tc>
        <w:tc>
          <w:tcPr>
            <w:tcW w:w="140" w:type="dxa"/>
            <w:tcBorders/>
            <w:vAlign w:val="center"/>
          </w:tcPr>
          <w:p>
            <w:pPr>
              <w:pStyle w:val="TableContents"/>
              <w:bidi w:val="0"/>
              <w:spacing w:before="0" w:after="1"/>
              <w:ind w:left="0" w:right="0" w:hanging="0"/>
              <w:jc w:val="righ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(60,260)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290</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0.5</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Net income (loss) attributable to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1,841</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91.9</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attributable to HSSC</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(59,808)</w:t>
            </w:r>
          </w:p>
        </w:tc>
        <w:tc>
          <w:tcPr>
            <w:tcW w:w="140" w:type="dxa"/>
            <w:tcBorders/>
            <w:vAlign w:val="center"/>
          </w:tcPr>
          <w:p>
            <w:pPr>
              <w:pStyle w:val="TableContents"/>
              <w:bidi w:val="0"/>
              <w:spacing w:before="0" w:after="1"/>
              <w:ind w:left="0" w:right="0" w:hanging="0"/>
              <w:jc w:val="righ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(58,257)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r>
      <w:tr>
        <w:trPr/>
        <w:tc>
          <w:tcPr>
            <w:tcW w:w="541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pPr>
            <w:r>
              <w:rPr/>
              <w:t>​</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Other data:</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left"/>
              <w:rPr/>
            </w:pPr>
            <w:r>
              <w:rPr/>
              <w:t>​</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left"/>
              <w:rPr/>
            </w:pPr>
            <w:r>
              <w:rPr/>
              <w:t>​</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Broadband subscribers, as of period end (in millions)</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0.783</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0.912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(0.129)</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Broadband subscribers additions (losses), net (in millions)</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(0.036)</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0.007</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w:t>
            </w:r>
          </w:p>
        </w:tc>
      </w:tr>
      <w:tr>
        <w:trPr/>
        <w:tc>
          <w:tcPr>
            <w:tcW w:w="5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Purchases of 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28,760</w:t>
            </w:r>
          </w:p>
        </w:tc>
        <w:tc>
          <w:tcPr>
            <w:tcW w:w="140"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44,448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(15,688)</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(35.3)</w:t>
            </w:r>
          </w:p>
        </w:tc>
      </w:tr>
      <w:tr>
        <w:trPr/>
        <w:tc>
          <w:tcPr>
            <w:tcW w:w="5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OIBDA**</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22,609</w:t>
            </w:r>
          </w:p>
        </w:tc>
        <w:tc>
          <w:tcPr>
            <w:tcW w:w="140"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37,989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(15,380)</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(40.5)</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w:t>
            </w:r>
          </w:p>
        </w:tc>
        <w:tc>
          <w:tcPr>
            <w:tcW w:w="9985"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 xml:space="preserve">A reconciliation of “OIBDA” to “Operating income (loss),” the most directly comparable GAAP measure in our Condensed Consolidated Financial Statements, is included in </w:t>
            </w:r>
            <w:r>
              <w:rPr>
                <w:rFonts w:ascii="Arial;Helvetica;sans-serif" w:hAnsi="Arial;Helvetica;sans-serif"/>
                <w:i/>
                <w:sz w:val="20"/>
              </w:rPr>
              <w:t>Non-GAAP Performance Measures and Reconciliation</w:t>
            </w:r>
            <w:r>
              <w:rPr>
                <w:rFonts w:ascii="Arial;Helvetica;sans-serif" w:hAnsi="Arial;Helvetica;sans-serif"/>
                <w:sz w:val="20"/>
              </w:rPr>
              <w:t>. For further information on our use of “OIBDA,” see Explanation of Key Metrics and Other Items.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discussion relates to our results of operations for the three months ended September 30, 2025 compared to the three months ended September 30, 2024:</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Broadband subscribers</w:t>
      </w:r>
      <w:r>
        <w:rPr>
          <w:rFonts w:ascii="Arial;Helvetica;sans-serif" w:hAnsi="Arial;Helvetica;sans-serif"/>
          <w:sz w:val="20"/>
        </w:rPr>
        <w:t>. We lost approximately 36,000 net Broadband subscribers for the three months ended September 30, 2025 compared to the loss of approximately 43,000 net Broadband subscribers during the same period in 2024. The decrease in net Broadband subscriber losses was primarily due to lower subscriber disconnects due to expanded satellite capacity and increased subscriber service satisfaction, partially offset by lower gross subscriber additions. We continue to experience increased competition from satellite-based competitors and other technologies.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Service revenue</w:t>
      </w:r>
      <w:r>
        <w:rPr>
          <w:rFonts w:ascii="Arial;Helvetica;sans-serif" w:hAnsi="Arial;Helvetica;sans-serif"/>
          <w:sz w:val="20"/>
        </w:rPr>
        <w:t>. “Service revenue” totaled $268 million for the three months ended September 30, 2025, a decrease of $28 million, or 9.3%, as compared to 2024. The decrease was primarily attributable to lower sales of broadband services to our North American and international consumer customers and our North American enterprise customers.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“Equipment sales and other revenue” totaled $72 million for the three months ended September 30, 2025, a decrease of $15 million, or 16.9%, as compared to 2024. The decrease was primarily attributable to lower hardware sales to our North American and international enterprise customers.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Cost of services</w:t>
      </w:r>
      <w:r>
        <w:rPr>
          <w:rFonts w:ascii="Arial;Helvetica;sans-serif" w:hAnsi="Arial;Helvetica;sans-serif"/>
          <w:sz w:val="20"/>
        </w:rPr>
        <w:t>. “Cost of services” totaled $160 million for the three months ended September 30, 2025, a decrease of $12 million, or 6.9%, as compared to 2024. The decrease was primarily attributable to lower costs of broadband services to our North American and international consumer customers and our North American enterprise customers. Our “Cost of services” represented 59.6% and 58.1% of “Service revenue” during the three months ended September 30, 2025 and 2024, respectively. This increase was primarily attributable to a change in mix to lower margin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Cost of sales - equipment and other. </w:t>
      </w:r>
      <w:r>
        <w:rPr>
          <w:rFonts w:ascii="Arial;Helvetica;sans-serif" w:hAnsi="Arial;Helvetica;sans-serif"/>
          <w:sz w:val="20"/>
        </w:rPr>
        <w:t>“Cost of sales - equipment and other” totaled $68 million for the three months ended September 30, 2025, a decrease of $6 million, or 8.6%, as compared to 2024. The decrease was primarily attributable to lower costs of equipment to our North American and international enterprise customers. Our “Cost of sales – equipment and other” represented 94.4% and 85.9% of “Equipment sales and other revenue” during the three months ended September 30, 2025 and 2024, respectively. This increase primarily resulted from a change in mix to lower margin products.</w:t>
      </w:r>
    </w:p>
    <w:p>
      <w:pPr>
        <w:pStyle w:val="TextBody"/>
        <w:bidi w:val="0"/>
        <w:spacing w:before="0" w:after="240"/>
        <w:ind w:left="0" w:right="0" w:hanging="10"/>
        <w:jc w:val="both"/>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“Selling, general and administrative expenses” totaled $79 million for the three months ended September 30, 2025, a decrease of $19 million, or 19.5%, as compared to 2024. The decrease was primarily attributable to lower bad debt expense and lower marketing expenditures.</w:t>
      </w:r>
    </w:p>
    <w:p>
      <w:pPr>
        <w:pStyle w:val="TextBody"/>
        <w:bidi w:val="0"/>
        <w:spacing w:before="0" w:after="240"/>
        <w:ind w:left="0" w:right="0" w:hanging="10"/>
        <w:jc w:val="both"/>
        <w:rPr>
          <w:rFonts w:ascii="Arial;Helvetica;sans-serif" w:hAnsi="Arial;Helvetica;sans-serif"/>
          <w:sz w:val="20"/>
        </w:rPr>
      </w:pPr>
      <w:r>
        <w:rPr>
          <w:rFonts w:ascii="Arial;Helvetica;sans-serif" w:hAnsi="Arial;Helvetica;sans-serif"/>
          <w:b/>
          <w:sz w:val="20"/>
        </w:rPr>
        <w:t>Depreciation and amortization</w:t>
      </w:r>
      <w:r>
        <w:rPr>
          <w:rFonts w:ascii="Arial;Helvetica;sans-serif" w:hAnsi="Arial;Helvetica;sans-serif"/>
          <w:sz w:val="20"/>
        </w:rPr>
        <w:t>. “Depreciation and amortization” expense totaled $83 million for the three months ended September 30, 2025, a decrease of $8 million, or 8.3%, as compared to 2024. The decrease was primarily attributable to lower equipment and satellite depreciation expense.</w:t>
      </w:r>
    </w:p>
    <w:p>
      <w:pPr>
        <w:pStyle w:val="TextBody"/>
        <w:bidi w:val="0"/>
        <w:spacing w:before="0" w:after="240"/>
        <w:ind w:left="0" w:right="0" w:hanging="10"/>
        <w:jc w:val="both"/>
        <w:rPr>
          <w:rFonts w:ascii="Arial;Helvetica;sans-serif" w:hAnsi="Arial;Helvetica;sans-serif"/>
          <w:sz w:val="20"/>
        </w:rPr>
      </w:pPr>
      <w:r>
        <w:rPr>
          <w:rFonts w:ascii="Arial;Helvetica;sans-serif" w:hAnsi="Arial;Helvetica;sans-serif"/>
          <w:b/>
          <w:i/>
          <w:sz w:val="20"/>
        </w:rPr>
        <w:t xml:space="preserve">Impairments and other. </w:t>
      </w:r>
      <w:r>
        <w:rPr>
          <w:rFonts w:ascii="Arial;Helvetica;sans-serif" w:hAnsi="Arial;Helvetica;sans-serif"/>
          <w:sz w:val="20"/>
        </w:rPr>
        <w:t>“Impairments and other” totaled $11 million during the three months ended September 30, 2025. In August 2025, as a result of the SpaceX Transactions, we and our parent, EchoStar are no longer pursuing a business plan to utilize certain of our international licenses and ground equipment necessary to operate our complementary assets and our parent’s assets, both of which are included in the SpaceX Transactions, resulting in an impairment. As a result, we recorded non-cash impairment charges related to our property and equipment and regulatory authorizations, and estimated exit, disposal and other costs.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Income tax benefit (provision), net</w:t>
      </w:r>
      <w:r>
        <w:rPr>
          <w:rFonts w:ascii="Arial;Helvetica;sans-serif" w:hAnsi="Arial;Helvetica;sans-serif"/>
          <w:sz w:val="20"/>
        </w:rPr>
        <w:t>. Our “Income tax benefit (provision), net” was a $21 million benefit for the three months ended September 30, 2025, as compared to a $16 million benefit for the three months ended September 30, 2024. This change was primarily related to increases in loss before income taxes and changes in our effective tax rate. Our effective tax rate during the three months ended September 30, 2025 was impacted by the tax benefit of stock option exercises, partially offset by foreign valuation allowances. Our effective tax rate during the three months ended September 30, 2024 was impacted by federal and foreign valuation allowances.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i/>
          <w:sz w:val="20"/>
        </w:rPr>
        <w:t xml:space="preserve">Net income (loss) attributable to HSSC. </w:t>
      </w:r>
      <w:r>
        <w:rPr>
          <w:rFonts w:ascii="Arial;Helvetica;sans-serif" w:hAnsi="Arial;Helvetica;sans-serif"/>
          <w:sz w:val="20"/>
        </w:rPr>
        <w:t>The changes in “Net income (loss) attributable to HSSC” during the three months ended September 30, 2025 compared to the same period in 2024 were primarily a result of the factors described in connection with operating revenues and operating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Nine Months Ended September 30, 2025 Compared to the Nine Months Ended September 30, 2024</w:t>
      </w:r>
    </w:p>
    <w:p>
      <w:pPr>
        <w:pStyle w:val="TextBody"/>
        <w:bidi w:val="0"/>
        <w:spacing w:before="0" w:after="160"/>
        <w:ind w:left="0" w:right="0" w:hanging="0"/>
        <w:jc w:val="both"/>
        <w:rPr>
          <w:rFonts w:ascii="Arial;Helvetica;sans-serif" w:hAnsi="Arial;Helvetica;sans-serif"/>
          <w:sz w:val="20"/>
        </w:rPr>
      </w:pPr>
      <w:r>
        <w:rPr>
          <w:rFonts w:ascii="Arial;Helvetica;sans-serif" w:hAnsi="Arial;Helvetica;sans-serif"/>
          <w:sz w:val="20"/>
        </w:rPr>
        <w:t xml:space="preserve">The following table presents our condensed consolidated results of operations for the nine months ended September 30, 2025 compared to the nine months ended September 30, 2024: </w:t>
      </w:r>
    </w:p>
    <w:tbl>
      <w:tblPr>
        <w:tblW w:w="10205" w:type="dxa"/>
        <w:jc w:val="left"/>
        <w:tblInd w:w="0" w:type="dxa"/>
        <w:tblLayout w:type="fixed"/>
        <w:tblCellMar>
          <w:top w:w="0" w:type="dxa"/>
          <w:left w:w="0" w:type="dxa"/>
          <w:bottom w:w="0" w:type="dxa"/>
          <w:right w:w="0" w:type="dxa"/>
        </w:tblCellMar>
      </w:tblPr>
      <w:tblGrid>
        <w:gridCol w:w="5405"/>
        <w:gridCol w:w="109"/>
        <w:gridCol w:w="232"/>
        <w:gridCol w:w="1059"/>
        <w:gridCol w:w="119"/>
        <w:gridCol w:w="232"/>
        <w:gridCol w:w="1059"/>
        <w:gridCol w:w="109"/>
        <w:gridCol w:w="211"/>
        <w:gridCol w:w="913"/>
        <w:gridCol w:w="109"/>
        <w:gridCol w:w="648"/>
      </w:tblGrid>
      <w:tr>
        <w:trPr/>
        <w:tc>
          <w:tcPr>
            <w:tcW w:w="54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7320" cy="175260"/>
                      <wp:effectExtent l="0" t="0" r="0" b="0"/>
                      <wp:wrapNone/>
                      <wp:docPr id="360" name="Frame35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72465" cy="175260"/>
                      <wp:effectExtent l="0" t="0" r="0" b="0"/>
                      <wp:wrapNone/>
                      <wp:docPr id="361" name="Frame360"/>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75565" cy="175260"/>
                      <wp:effectExtent l="0" t="0" r="0" b="0"/>
                      <wp:wrapNone/>
                      <wp:docPr id="362" name="Frame361"/>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7320" cy="175260"/>
                      <wp:effectExtent l="0" t="0" r="0" b="0"/>
                      <wp:wrapNone/>
                      <wp:docPr id="363" name="Frame36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72465" cy="175260"/>
                      <wp:effectExtent l="0" t="0" r="0" b="0"/>
                      <wp:wrapNone/>
                      <wp:docPr id="364" name="Frame363"/>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79755" cy="175260"/>
                      <wp:effectExtent l="0" t="0" r="0" b="0"/>
                      <wp:wrapNone/>
                      <wp:docPr id="367" name="Frame366"/>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11480" cy="175260"/>
                      <wp:effectExtent l="0" t="0" r="0" b="0"/>
                      <wp:wrapNone/>
                      <wp:docPr id="369" name="Frame368"/>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1"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left"/>
              <w:rPr/>
            </w:pPr>
            <w:r>
              <w:rPr/>
              <w:t>​</w:t>
            </w:r>
          </w:p>
        </w:tc>
      </w:tr>
      <w:tr>
        <w:trPr/>
        <w:tc>
          <w:tcPr>
            <w:tcW w:w="54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1"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left"/>
              <w:rPr/>
            </w:pPr>
            <w:r>
              <w:rPr/>
              <w:t>​</w:t>
            </w:r>
          </w:p>
        </w:tc>
        <w:tc>
          <w:tcPr>
            <w:tcW w:w="1881"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Variance</w:t>
            </w:r>
          </w:p>
        </w:tc>
      </w:tr>
      <w:tr>
        <w:trPr/>
        <w:tc>
          <w:tcPr>
            <w:tcW w:w="5405"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Statements of Operations Data</w:t>
            </w:r>
          </w:p>
        </w:tc>
        <w:tc>
          <w:tcPr>
            <w:tcW w:w="109" w:type="dxa"/>
            <w:tcBorders/>
            <w:vAlign w:val="center"/>
          </w:tcPr>
          <w:p>
            <w:pPr>
              <w:pStyle w:val="TableContents"/>
              <w:bidi w:val="0"/>
              <w:spacing w:before="0" w:after="1"/>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19" w:type="dxa"/>
            <w:tcBorders/>
            <w:vAlign w:val="center"/>
          </w:tcPr>
          <w:p>
            <w:pPr>
              <w:pStyle w:val="TableContents"/>
              <w:bidi w:val="0"/>
              <w:spacing w:before="0" w:after="1"/>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109" w:type="dxa"/>
            <w:tcBorders/>
            <w:vAlign w:val="center"/>
          </w:tcPr>
          <w:p>
            <w:pPr>
              <w:pStyle w:val="TableContents"/>
              <w:bidi w:val="0"/>
              <w:spacing w:before="0" w:after="1"/>
              <w:ind w:left="0" w:right="0" w:hanging="0"/>
              <w:jc w:val="left"/>
              <w:rPr/>
            </w:pPr>
            <w:r>
              <w:rPr/>
              <w:t>​</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4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34" w:type="dxa"/>
            <w:gridSpan w:val="8"/>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center"/>
              <w:rPr/>
            </w:pPr>
            <w:r>
              <w:rPr/>
              <w:t>​</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pPr>
            <w:r>
              <w:rPr/>
              <w:t>​</w:t>
            </w:r>
          </w:p>
        </w:tc>
        <w:tc>
          <w:tcPr>
            <w:tcW w:w="119" w:type="dxa"/>
            <w:tcBorders/>
            <w:shd w:fill="CCEEFF" w:val="clear"/>
            <w:vAlign w:val="center"/>
          </w:tcPr>
          <w:p>
            <w:pPr>
              <w:pStyle w:val="TableContents"/>
              <w:bidi w:val="0"/>
              <w:spacing w:before="0" w:after="1"/>
              <w:ind w:left="0" w:right="0" w:hanging="0"/>
              <w:jc w:val="right"/>
              <w:rPr/>
            </w:pPr>
            <w:r>
              <w:rPr/>
              <w:t>​</w:t>
            </w:r>
          </w:p>
        </w:tc>
        <w:tc>
          <w:tcPr>
            <w:tcW w:w="232" w:type="dxa"/>
            <w:tcBorders/>
            <w:shd w:fill="CCEEFF" w:val="clear"/>
            <w:vAlign w:val="center"/>
          </w:tcPr>
          <w:p>
            <w:pPr>
              <w:pStyle w:val="TableContents"/>
              <w:bidi w:val="0"/>
              <w:spacing w:before="0" w:after="1"/>
              <w:ind w:left="0" w:right="0" w:hanging="0"/>
              <w:jc w:val="right"/>
              <w:rPr/>
            </w:pPr>
            <w:r>
              <w:rPr/>
              <w:t>​</w:t>
            </w:r>
          </w:p>
        </w:tc>
        <w:tc>
          <w:tcPr>
            <w:tcW w:w="105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48" w:type="dxa"/>
            <w:tcBorders/>
            <w:shd w:fill="CCEEFF" w:val="clear"/>
            <w:vAlign w:val="center"/>
          </w:tcPr>
          <w:p>
            <w:pPr>
              <w:pStyle w:val="TableContents"/>
              <w:bidi w:val="0"/>
              <w:spacing w:before="0" w:after="1"/>
              <w:ind w:left="0" w:right="0" w:hanging="0"/>
              <w:jc w:val="right"/>
              <w:rPr/>
            </w:pPr>
            <w:r>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Service revenue</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820,249</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919,344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(99,095)</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Equipment sales and 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220,954</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232,675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(11,721)</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1,041,203</w:t>
            </w:r>
          </w:p>
        </w:tc>
        <w:tc>
          <w:tcPr>
            <w:tcW w:w="119" w:type="dxa"/>
            <w:tcBorders/>
            <w:vAlign w:val="center"/>
          </w:tcPr>
          <w:p>
            <w:pPr>
              <w:pStyle w:val="TableContents"/>
              <w:bidi w:val="0"/>
              <w:spacing w:before="0" w:after="1"/>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1,152,019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(110,816)</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Costs and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pPr>
            <w:r>
              <w:rPr/>
              <w:t>​</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Cost of services </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480,103</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514,444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(34,341)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of Service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58.5%</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56.0%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 - equipment and other</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212,825</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208,905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3,920</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of Equipment sales and 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96.3%</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89.8%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242,299</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294,993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(52,694)</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of 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23.3%</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251,033</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277,594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(26,561)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Impairments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10,581</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10,581</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costs and expenses</w:t>
            </w:r>
          </w:p>
        </w:tc>
        <w:tc>
          <w:tcPr>
            <w:tcW w:w="109"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1,196,841</w:t>
            </w:r>
          </w:p>
        </w:tc>
        <w:tc>
          <w:tcPr>
            <w:tcW w:w="119" w:type="dxa"/>
            <w:tcBorders/>
            <w:vAlign w:val="center"/>
          </w:tcPr>
          <w:p>
            <w:pPr>
              <w:pStyle w:val="TableContents"/>
              <w:bidi w:val="0"/>
              <w:spacing w:before="0" w:after="1"/>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1,295,936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(99,095)</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(155,638)</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(143,917)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(11,721)</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Other Income (Expense):</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pPr>
            <w:r>
              <w:rPr/>
              <w:t>​</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left"/>
              <w:rPr/>
            </w:pPr>
            <w:r>
              <w:rPr/>
              <w:t>​</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7,269</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(15,623)</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(68.2)</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 net of amounts capitalized</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(74,697)</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net</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5,712</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(6,085)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11,797</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income (expense)</w:t>
            </w:r>
          </w:p>
        </w:tc>
        <w:tc>
          <w:tcPr>
            <w:tcW w:w="109"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(61,716)</w:t>
            </w:r>
          </w:p>
        </w:tc>
        <w:tc>
          <w:tcPr>
            <w:tcW w:w="119" w:type="dxa"/>
            <w:tcBorders/>
            <w:vAlign w:val="center"/>
          </w:tcPr>
          <w:p>
            <w:pPr>
              <w:pStyle w:val="TableContents"/>
              <w:bidi w:val="0"/>
              <w:spacing w:before="0" w:after="1"/>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(57,332)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(4,384)</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(217,354)</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(201,249)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(16,105)</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benefit (provision), net</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50,521</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32,848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17,673</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53.8</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Effective tax rate</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23.2%</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16.3%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pPr>
            <w:r>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(166,833)</w:t>
            </w:r>
          </w:p>
        </w:tc>
        <w:tc>
          <w:tcPr>
            <w:tcW w:w="119" w:type="dxa"/>
            <w:tcBorders/>
            <w:vAlign w:val="center"/>
          </w:tcPr>
          <w:p>
            <w:pPr>
              <w:pStyle w:val="TableContents"/>
              <w:bidi w:val="0"/>
              <w:spacing w:before="0" w:after="1"/>
              <w:ind w:left="0" w:right="0" w:hanging="0"/>
              <w:jc w:val="righ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(168,401)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1,568</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0.9</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Net income (loss) attributable to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(1,544)</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(8,543)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6,999</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81.9</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attributable to HSSC</w:t>
            </w:r>
          </w:p>
        </w:tc>
        <w:tc>
          <w:tcPr>
            <w:tcW w:w="109"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(165,289)</w:t>
            </w:r>
          </w:p>
        </w:tc>
        <w:tc>
          <w:tcPr>
            <w:tcW w:w="119" w:type="dxa"/>
            <w:tcBorders/>
            <w:vAlign w:val="center"/>
          </w:tcPr>
          <w:p>
            <w:pPr>
              <w:pStyle w:val="TableContents"/>
              <w:bidi w:val="0"/>
              <w:spacing w:before="0" w:after="1"/>
              <w:ind w:left="0" w:right="0" w:hanging="0"/>
              <w:jc w:val="righ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(159,858)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(5,431)</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r>
      <w:tr>
        <w:trPr/>
        <w:tc>
          <w:tcPr>
            <w:tcW w:w="540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pPr>
            <w:r>
              <w:rPr/>
              <w:t>​</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left"/>
              <w:rPr/>
            </w:pPr>
            <w:r>
              <w:rPr/>
              <w:t>​</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Other data:</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left"/>
              <w:rPr/>
            </w:pPr>
            <w:r>
              <w:rPr/>
              <w:t>​</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left"/>
              <w:rPr/>
            </w:pPr>
            <w:r>
              <w:rPr/>
              <w:t>​</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Broadband subscribers, as of period end (in millions)</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0.783</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0.912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(0.129)</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Broadband subscribers additions (losses), net (in millions)</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(0.100)</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(0.092)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(0.008)</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w:t>
            </w:r>
          </w:p>
        </w:tc>
      </w:tr>
      <w:tr>
        <w:trPr/>
        <w:tc>
          <w:tcPr>
            <w:tcW w:w="540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Purchases of property and equipment, net of refunds</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90,101</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168,097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(77,996)</w:t>
            </w:r>
          </w:p>
        </w:tc>
        <w:tc>
          <w:tcPr>
            <w:tcW w:w="109"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(46.4)</w:t>
            </w:r>
          </w:p>
        </w:tc>
      </w:tr>
      <w:tr>
        <w:trPr/>
        <w:tc>
          <w:tcPr>
            <w:tcW w:w="540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OIBDA**</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95,395</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133,677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(38,282)</w:t>
            </w:r>
          </w:p>
        </w:tc>
        <w:tc>
          <w:tcPr>
            <w:tcW w:w="109"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99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A reconciliation of “OIBDA” to “Operating income (loss),” the most directly comparable GAAP measure in our Condensed Consolidated Financial Statements, is included in </w:t>
            </w:r>
            <w:r>
              <w:rPr>
                <w:rFonts w:ascii="Arial;Helvetica;sans-serif" w:hAnsi="Arial;Helvetica;sans-serif"/>
                <w:i/>
                <w:sz w:val="20"/>
              </w:rPr>
              <w:t>Non-GAAP Performance Measures and Reconciliation</w:t>
            </w:r>
            <w:r>
              <w:rPr>
                <w:rFonts w:ascii="Arial;Helvetica;sans-serif" w:hAnsi="Arial;Helvetica;sans-serif"/>
                <w:sz w:val="20"/>
              </w:rPr>
              <w:t>. For further information on our use of “OIBDA,” see Explanation of Key Metrics and Other Items.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discussion relates to our results of operations for the nine months ended September 30, 2025 compared to the nine months ended September 30, 2024:</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Broadband subscribers</w:t>
      </w:r>
      <w:r>
        <w:rPr>
          <w:rFonts w:ascii="Arial;Helvetica;sans-serif" w:hAnsi="Arial;Helvetica;sans-serif"/>
          <w:sz w:val="20"/>
        </w:rPr>
        <w:t>. We lost approximately 100,000 net Broadband subscribers for the nine months ended September 30, 2025 compared to the loss of approximately 92,000 net Broadband subscribers during the same period in 2024. The increase in net Broadband subscriber losses was primarily due to lower gross subscriber additions, partially offset by lower subscriber disconnects due to expanded satellite capacity and increased subscriber service satisfaction. We continue to experience increased competition from satellite based competitors and other technologies.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Service revenue</w:t>
      </w:r>
      <w:r>
        <w:rPr>
          <w:rFonts w:ascii="Arial;Helvetica;sans-serif" w:hAnsi="Arial;Helvetica;sans-serif"/>
          <w:sz w:val="20"/>
        </w:rPr>
        <w:t>. “Service revenue” totaled $820 million for the nine months ended September 30, 2025, a decrease of $99 million, or 10.8%, as compared to 2024. The decrease was primarily attributable to lower sales of broadband services to our North American and international consumer customers and our North American enterprise customers.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Equipment sales and other revenue. “</w:t>
      </w:r>
      <w:r>
        <w:rPr>
          <w:rFonts w:ascii="Arial;Helvetica;sans-serif" w:hAnsi="Arial;Helvetica;sans-serif"/>
          <w:sz w:val="20"/>
        </w:rPr>
        <w:t>Equipment sales and other revenue” totaled $221 million for the nine months ended September 30, 2025, a decrease of $12 million, or 5.0% as compared to 2024. The decrease was primarily attributable to lower hardware sales to our international enterprise customers, partially offset by an increase in hardware sales to our North American enterprise customers.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Cost of services</w:t>
      </w:r>
      <w:r>
        <w:rPr>
          <w:rFonts w:ascii="Arial;Helvetica;sans-serif" w:hAnsi="Arial;Helvetica;sans-serif"/>
          <w:sz w:val="20"/>
        </w:rPr>
        <w:t>. “Cost of services” totaled $480 million for the nine months ended September 30, 2025, a decrease of $34 million, or 6.7%, as compared to 2024. The decrease was primarily attributable to lower costs of broadband services to both our North American and international consumer and enterprise customers. Our “Cost of services” represented 58.5% and 56.0% of “Service revenue” during the nine months ended September 30, 2025 and 2024, respectively. This increase was primarily attributable to a change in mix to lower margin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Cost of sales - equipment and other. </w:t>
      </w:r>
      <w:r>
        <w:rPr>
          <w:rFonts w:ascii="Arial;Helvetica;sans-serif" w:hAnsi="Arial;Helvetica;sans-serif"/>
          <w:sz w:val="20"/>
        </w:rPr>
        <w:t>“Cost of sales - equipment and other” totaled $213 million for the nine months ended September 30, 2025, an increase of $4 million, or 1.9% as compared to 2024. The increase was primarily attributable to higher costs of equipment to our North American enterprise customers, partially offset by a decrease in equipment costs to our international enterprise customers. Our “Cost of sales – equipment and other” represented 96.3% and 89.8% of “Equipment sales and other revenue” during the nine months ended September 30, 2025 and 2024, respectively. The nine months ended September 30, 2025 was negatively impacted by a one-time project charge.</w:t>
      </w:r>
    </w:p>
    <w:p>
      <w:pPr>
        <w:pStyle w:val="TextBody"/>
        <w:bidi w:val="0"/>
        <w:spacing w:before="0" w:after="0"/>
        <w:ind w:left="0" w:right="0" w:hanging="1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“Selling, general and administrative expenses” totaled $242 million for the nine months ended September 30, 2025, a decrease of $53 million, or 17.9%, as compared to 2024. The decrease was primarily attributable to lower bad debt expense, a decrease in costs to support the Company and lower marketing expenditures.</w:t>
      </w:r>
    </w:p>
    <w:p>
      <w:pPr>
        <w:pStyle w:val="TextBody"/>
        <w:bidi w:val="0"/>
        <w:spacing w:before="0" w:after="240"/>
        <w:ind w:left="0" w:right="0" w:hanging="10"/>
        <w:jc w:val="left"/>
        <w:rPr/>
      </w:pPr>
      <w:r>
        <w:rPr/>
        <w:t>​</w:t>
      </w:r>
    </w:p>
    <w:p>
      <w:pPr>
        <w:pStyle w:val="TextBody"/>
        <w:bidi w:val="0"/>
        <w:spacing w:before="0" w:after="0"/>
        <w:ind w:left="0" w:right="0" w:hanging="10"/>
        <w:jc w:val="left"/>
        <w:rPr>
          <w:rFonts w:ascii="Arial;Helvetica;sans-serif" w:hAnsi="Arial;Helvetica;sans-serif"/>
          <w:sz w:val="20"/>
        </w:rPr>
      </w:pPr>
      <w:r>
        <w:rPr>
          <w:rFonts w:ascii="Arial;Helvetica;sans-serif" w:hAnsi="Arial;Helvetica;sans-serif"/>
          <w:b/>
          <w:sz w:val="20"/>
        </w:rPr>
        <w:t>Depreciation and amortization</w:t>
      </w:r>
      <w:r>
        <w:rPr>
          <w:rFonts w:ascii="Arial;Helvetica;sans-serif" w:hAnsi="Arial;Helvetica;sans-serif"/>
          <w:sz w:val="20"/>
        </w:rPr>
        <w:t>. “Depreciation and amortization” expense totaled $251 million for the nine months ended September 30, 2025, a decrease of $27 million, or 9.6%, as compared to 2024. The decrease was primarily attributable to lower equipment and satellite depreciation expense.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10"/>
        <w:jc w:val="left"/>
        <w:rPr/>
      </w:pPr>
      <w:r>
        <w:rPr/>
        <w:t>​</w:t>
      </w:r>
    </w:p>
    <w:p>
      <w:pPr>
        <w:pStyle w:val="TextBody"/>
        <w:bidi w:val="0"/>
        <w:spacing w:before="0" w:after="0"/>
        <w:ind w:left="0" w:right="0" w:hanging="10"/>
        <w:jc w:val="both"/>
        <w:rPr>
          <w:rFonts w:ascii="Arial;Helvetica;sans-serif" w:hAnsi="Arial;Helvetica;sans-serif"/>
          <w:sz w:val="20"/>
        </w:rPr>
      </w:pPr>
      <w:r>
        <w:rPr>
          <w:rFonts w:ascii="Arial;Helvetica;sans-serif" w:hAnsi="Arial;Helvetica;sans-serif"/>
          <w:b/>
          <w:i/>
          <w:sz w:val="20"/>
        </w:rPr>
        <w:t xml:space="preserve">Impairments and other. </w:t>
      </w:r>
      <w:r>
        <w:rPr>
          <w:rFonts w:ascii="Arial;Helvetica;sans-serif" w:hAnsi="Arial;Helvetica;sans-serif"/>
          <w:sz w:val="20"/>
        </w:rPr>
        <w:t>“Impairments and other” totaled $11 million during the nine months ended September 30, 2025. In August 2025, as a result of the SpaceX Transactions, we and our parent, EchoStar are no longer pursuing a business plan to utilize certain of our international licenses and ground equipment necessary to operate our complementary assets and our parent’s assets, both of which are included in the SpaceX Transactions, resulting in an impairment. As a result, we recorded non-cash impairment charges related to our property and equipment and regulatory authorizations, and estimated exit, disposal and other costs. See Note 1 in the Notes to our Condensed Consolidated Financial Statements for further information.</w:t>
      </w:r>
    </w:p>
    <w:p>
      <w:pPr>
        <w:pStyle w:val="TextBody"/>
        <w:bidi w:val="0"/>
        <w:spacing w:before="0" w:after="240"/>
        <w:ind w:left="0" w:right="0" w:hanging="1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 xml:space="preserve">Interest income. </w:t>
      </w:r>
      <w:r>
        <w:rPr>
          <w:rFonts w:ascii="Arial;Helvetica;sans-serif" w:hAnsi="Arial;Helvetica;sans-serif"/>
          <w:sz w:val="20"/>
        </w:rPr>
        <w:t>“Interest income” totaled $7 million for the nine months ended September 30, 2025 a decrease of $16 million, or 68.2% as compared to 2024. This decrease primarily resulted from lower average cash and marketable investment securities balances, and lower percentage of returns earned on our cash and marketable investment securities balances during the nine months ended September 30, 2025.</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Income tax benefit (provision), net</w:t>
      </w:r>
      <w:r>
        <w:rPr>
          <w:rFonts w:ascii="Arial;Helvetica;sans-serif" w:hAnsi="Arial;Helvetica;sans-serif"/>
          <w:sz w:val="20"/>
        </w:rPr>
        <w:t>. Our “Income tax benefit (provision), net” was a $51 million benefit for the nine months ended September 30, 2025, as compared to a $33 million benefit for the nine months ended September 30, 2024. This change was primarily related to increases in loss before income taxes and changes in our effective tax rate. Our effective tax rate during the nine months ended September 30, 2025 was impacted by the tax benefit of stock option exercises, partially offset by foreign valuation allowances. Our effective tax rate during the nine months ended September 30, 2024 was impacted by federal and foreign valuation allowances and an increase in our uncertain tax positions.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b/>
          <w:i/>
          <w:sz w:val="20"/>
        </w:rPr>
        <w:t xml:space="preserve">Net income (loss) attributable to HSSC. </w:t>
      </w:r>
      <w:r>
        <w:rPr>
          <w:rFonts w:ascii="Arial;Helvetica;sans-serif" w:hAnsi="Arial;Helvetica;sans-serif"/>
          <w:sz w:val="20"/>
        </w:rPr>
        <w:t>The changes in “Net income (loss) attributable to HSSC” during the nine months ended September 30, 2025 compared to the same period in 2024 were primarily a result of the factors described in connection with operating revenues and operating expenses.</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Non-GAAP Performance Measures and Reconciliation</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OIBDA</w:t>
      </w:r>
      <w:r>
        <w:rPr>
          <w:rFonts w:ascii="Arial;Helvetica;sans-serif" w:hAnsi="Arial;Helvetica;sans-serif"/>
          <w:sz w:val="20"/>
        </w:rPr>
        <w:t>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p>
      <w:pPr>
        <w:pStyle w:val="TextBody"/>
        <w:bidi w:val="0"/>
        <w:spacing w:before="0" w:after="0"/>
        <w:ind w:left="0" w:right="0" w:hanging="0"/>
        <w:jc w:val="both"/>
        <w:rPr/>
      </w:pPr>
      <w:r>
        <w:rPr/>
        <w:t>​</w:t>
      </w:r>
    </w:p>
    <w:tbl>
      <w:tblPr>
        <w:tblW w:w="8494" w:type="dxa"/>
        <w:jc w:val="left"/>
        <w:tblInd w:w="0" w:type="dxa"/>
        <w:tblLayout w:type="fixed"/>
        <w:tblCellMar>
          <w:top w:w="0" w:type="dxa"/>
          <w:left w:w="0" w:type="dxa"/>
          <w:bottom w:w="0" w:type="dxa"/>
          <w:right w:w="0" w:type="dxa"/>
        </w:tblCellMar>
      </w:tblPr>
      <w:tblGrid>
        <w:gridCol w:w="2701"/>
        <w:gridCol w:w="109"/>
        <w:gridCol w:w="276"/>
        <w:gridCol w:w="1062"/>
        <w:gridCol w:w="142"/>
        <w:gridCol w:w="276"/>
        <w:gridCol w:w="1062"/>
        <w:gridCol w:w="109"/>
        <w:gridCol w:w="241"/>
        <w:gridCol w:w="1050"/>
        <w:gridCol w:w="124"/>
        <w:gridCol w:w="241"/>
        <w:gridCol w:w="110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15135" cy="175260"/>
                      <wp:effectExtent l="0" t="0" r="0" b="0"/>
                      <wp:wrapNone/>
                      <wp:docPr id="370" name="Frame369"/>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75260" cy="175260"/>
                      <wp:effectExtent l="0" t="0" r="0" b="0"/>
                      <wp:wrapNone/>
                      <wp:docPr id="372" name="Frame371"/>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74370" cy="175260"/>
                      <wp:effectExtent l="0" t="0" r="0" b="0"/>
                      <wp:wrapNone/>
                      <wp:docPr id="373" name="Frame372"/>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0170" cy="175260"/>
                      <wp:effectExtent l="0" t="0" r="0" b="0"/>
                      <wp:wrapNone/>
                      <wp:docPr id="374" name="Frame373"/>
                      <a:graphic xmlns:a="http://schemas.openxmlformats.org/drawingml/2006/main">
                        <a:graphicData uri="http://schemas.microsoft.com/office/word/2010/wordprocessingShape">
                          <wps:wsp>
                            <wps:cNvSpPr txBox="1"/>
                            <wps:spPr>
                              <a:xfrm>
                                <a:off x="0" y="0"/>
                                <a:ext cx="90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75260" cy="175260"/>
                      <wp:effectExtent l="0" t="0" r="0" b="0"/>
                      <wp:wrapNone/>
                      <wp:docPr id="375" name="Frame374"/>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74370" cy="175260"/>
                      <wp:effectExtent l="0" t="0" r="0" b="0"/>
                      <wp:wrapNone/>
                      <wp:docPr id="376" name="Frame375"/>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53035" cy="175260"/>
                      <wp:effectExtent l="0" t="0" r="0" b="0"/>
                      <wp:wrapNone/>
                      <wp:docPr id="378" name="Frame37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66750" cy="175260"/>
                      <wp:effectExtent l="0" t="0" r="0" b="0"/>
                      <wp:wrapNone/>
                      <wp:docPr id="379" name="Frame378"/>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78740" cy="175260"/>
                      <wp:effectExtent l="0" t="0" r="0" b="0"/>
                      <wp:wrapNone/>
                      <wp:docPr id="380" name="Frame37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53035" cy="175260"/>
                      <wp:effectExtent l="0" t="0" r="0" b="0"/>
                      <wp:wrapNone/>
                      <wp:docPr id="381" name="Frame38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9135" cy="175260"/>
                      <wp:effectExtent l="0" t="0" r="0" b="0"/>
                      <wp:wrapNone/>
                      <wp:docPr id="382" name="Frame381"/>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1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757"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1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0"/>
              <w:ind w:left="0" w:right="0" w:hanging="0"/>
              <w:jc w:val="left"/>
              <w:rPr/>
            </w:pPr>
            <w:r>
              <w:rPr/>
              <w:t>​</w:t>
            </w:r>
          </w:p>
        </w:tc>
        <w:tc>
          <w:tcPr>
            <w:tcW w:w="275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September 30, </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42" w:type="dxa"/>
            <w:tcBorders/>
            <w:vAlign w:val="center"/>
          </w:tcPr>
          <w:p>
            <w:pPr>
              <w:pStyle w:val="TableContents"/>
              <w:bidi w:val="0"/>
              <w:spacing w:before="0" w:after="0"/>
              <w:ind w:left="0" w:right="0" w:hanging="0"/>
              <w:jc w:val="left"/>
              <w:rPr/>
            </w:pPr>
            <w:r>
              <w:rPr/>
              <w:t>​</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24" w:type="dxa"/>
            <w:tcBorders/>
            <w:vAlign w:val="center"/>
          </w:tcPr>
          <w:p>
            <w:pPr>
              <w:pStyle w:val="TableContents"/>
              <w:bidi w:val="0"/>
              <w:spacing w:before="0" w:after="0"/>
              <w:ind w:left="0" w:right="0" w:hanging="0"/>
              <w:jc w:val="left"/>
              <w:rPr/>
            </w:pPr>
            <w:r>
              <w:rPr/>
              <w:t>​</w:t>
            </w:r>
          </w:p>
        </w:tc>
        <w:tc>
          <w:tcPr>
            <w:tcW w:w="13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849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84" w:type="dxa"/>
            <w:gridSpan w:val="11"/>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70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(60,609)</w:t>
            </w:r>
          </w:p>
        </w:tc>
        <w:tc>
          <w:tcPr>
            <w:tcW w:w="142"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(52,730)</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(155,638)</w:t>
            </w:r>
          </w:p>
        </w:tc>
        <w:tc>
          <w:tcPr>
            <w:tcW w:w="124"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(143,917)</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83,218</w:t>
            </w:r>
          </w:p>
        </w:tc>
        <w:tc>
          <w:tcPr>
            <w:tcW w:w="142"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90,719</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251,033</w:t>
            </w:r>
          </w:p>
        </w:tc>
        <w:tc>
          <w:tcPr>
            <w:tcW w:w="124"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277,594</w:t>
            </w:r>
          </w:p>
        </w:tc>
      </w:tr>
      <w:tr>
        <w:trPr/>
        <w:tc>
          <w:tcPr>
            <w:tcW w:w="270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OIBDA</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22,609</w:t>
            </w:r>
          </w:p>
        </w:tc>
        <w:tc>
          <w:tcPr>
            <w:tcW w:w="142"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37,989</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95,395</w:t>
            </w:r>
          </w:p>
        </w:tc>
        <w:tc>
          <w:tcPr>
            <w:tcW w:w="124"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133,677</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changes in OIBDA during the three and nine months ended September 30, 2025 compared to the same period in 2024, were primarily a result of the factors described in connection with operating revenues and operating expenses.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GUARANTOR FINANCIAL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senior notes are jointly and severally guaranteed on a senior secured basis by certain of our wholly-owned subsidiaries (the “Guarantors”). Specifically, EchoStar Orbital, L.L.C., EchoStar Government Services, L.L.C., EchoStar Satellite Services L.L.C., HNS-India VSAT, Inc, Hughes Network Systems, L.L.C, HNS License-Sub L.L.C., HNS Real Estate L.L.C., Hughes Communications, Inc., Hughes Network Systems International Service, Co., HNS Americas, L.L.C., HNS Americas II, L.L.C.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Certain of our wholly-owned subsidiaries are designated as “Unrestricted Subsidiaries” and do not guarantee any of our registered senior notes. The guarantee of the Guarantors will be discharged and released in accordance with the terms of the applicable indenture. The rights of holders of the registered senior notes against the Guarantors may be limited under the U.S. Bankruptcy Code or state fraudulent transfer or conveyance law.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Each entity in the summarized combined financial information follows the same accounting policies as described in our condensed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HSSC’s condensed consolidated financial statements; intercompany balances and transactions within the obligated group have been eliminated. The obligated group’s amounts due to non-Guarantor subsidiaries and related parties have been presented in separate line items.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summarized balance sheet information for the combined obligor group of debt issued by HSSC is presented in the table below:</w:t>
      </w:r>
    </w:p>
    <w:tbl>
      <w:tblPr>
        <w:tblW w:w="5454" w:type="dxa"/>
        <w:jc w:val="left"/>
        <w:tblInd w:w="0" w:type="dxa"/>
        <w:tblLayout w:type="fixed"/>
        <w:tblCellMar>
          <w:top w:w="0" w:type="dxa"/>
          <w:left w:w="0" w:type="dxa"/>
          <w:bottom w:w="0" w:type="dxa"/>
          <w:right w:w="0" w:type="dxa"/>
        </w:tblCellMar>
      </w:tblPr>
      <w:tblGrid>
        <w:gridCol w:w="2266"/>
        <w:gridCol w:w="109"/>
        <w:gridCol w:w="269"/>
        <w:gridCol w:w="1231"/>
        <w:gridCol w:w="109"/>
        <w:gridCol w:w="254"/>
        <w:gridCol w:w="1216"/>
      </w:tblGrid>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70815" cy="175260"/>
                      <wp:effectExtent l="0" t="0" r="0" b="0"/>
                      <wp:wrapNone/>
                      <wp:docPr id="384" name="Frame38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81685" cy="175260"/>
                      <wp:effectExtent l="0" t="0" r="0" b="0"/>
                      <wp:wrapNone/>
                      <wp:docPr id="385" name="Frame38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61290" cy="175260"/>
                      <wp:effectExtent l="0" t="0" r="0" b="0"/>
                      <wp:wrapNone/>
                      <wp:docPr id="387" name="Frame38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72160" cy="175260"/>
                      <wp:effectExtent l="0" t="0" r="0" b="0"/>
                      <wp:wrapNone/>
                      <wp:docPr id="388" name="Frame38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226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26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545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center"/>
              <w:rPr/>
            </w:pPr>
            <w:r>
              <w:rPr/>
              <w:t>​</w:t>
            </w:r>
          </w:p>
        </w:tc>
        <w:tc>
          <w:tcPr>
            <w:tcW w:w="2810" w:type="dxa"/>
            <w:gridSpan w:val="4"/>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545,278</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572,781</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assets</w:t>
            </w:r>
          </w:p>
        </w:tc>
        <w:tc>
          <w:tcPr>
            <w:tcW w:w="10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2,375,816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2,575,931</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1,983,711</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410,630</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liabilities</w:t>
            </w:r>
          </w:p>
        </w:tc>
        <w:tc>
          <w:tcPr>
            <w:tcW w:w="10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933,168</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2,588,899</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Due from non-guarantors</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82,934</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91,679</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Due from related parties</w:t>
            </w:r>
          </w:p>
        </w:tc>
        <w:tc>
          <w:tcPr>
            <w:tcW w:w="10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48,784</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19,881</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Due to non-guarantors</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29,933</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38,880</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Due to related parties</w:t>
            </w:r>
          </w:p>
        </w:tc>
        <w:tc>
          <w:tcPr>
            <w:tcW w:w="10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839,733</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788,633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summarized results of operations information for the combined obligor group of debt issued by HSSC is presented in the table below:</w:t>
      </w:r>
    </w:p>
    <w:tbl>
      <w:tblPr>
        <w:tblW w:w="5592" w:type="dxa"/>
        <w:jc w:val="left"/>
        <w:tblInd w:w="0" w:type="dxa"/>
        <w:tblLayout w:type="fixed"/>
        <w:tblCellMar>
          <w:top w:w="0" w:type="dxa"/>
          <w:left w:w="0" w:type="dxa"/>
          <w:bottom w:w="0" w:type="dxa"/>
          <w:right w:w="0" w:type="dxa"/>
        </w:tblCellMar>
      </w:tblPr>
      <w:tblGrid>
        <w:gridCol w:w="2686"/>
        <w:gridCol w:w="146"/>
        <w:gridCol w:w="362"/>
        <w:gridCol w:w="2398"/>
      </w:tblGrid>
      <w:tr>
        <w:trPr/>
        <w:tc>
          <w:tcPr>
            <w:tcW w:w="26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92710" cy="175260"/>
                      <wp:effectExtent l="0" t="0" r="0" b="0"/>
                      <wp:wrapNone/>
                      <wp:docPr id="389" name="Frame3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29870" cy="175260"/>
                      <wp:effectExtent l="0" t="0" r="0" b="0"/>
                      <wp:wrapNone/>
                      <wp:docPr id="390" name="Frame38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522730" cy="175260"/>
                      <wp:effectExtent l="0" t="0" r="0" b="0"/>
                      <wp:wrapNone/>
                      <wp:docPr id="391" name="Frame390"/>
                      <a:graphic xmlns:a="http://schemas.openxmlformats.org/drawingml/2006/main">
                        <a:graphicData uri="http://schemas.microsoft.com/office/word/2010/wordprocessingShape">
                          <wps:wsp>
                            <wps:cNvSpPr txBox="1"/>
                            <wps:spPr>
                              <a:xfrm>
                                <a:off x="0" y="0"/>
                                <a:ext cx="152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76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268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76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September 30, 2025</w:t>
            </w:r>
          </w:p>
        </w:tc>
      </w:tr>
      <w:tr>
        <w:trPr/>
        <w:tc>
          <w:tcPr>
            <w:tcW w:w="26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362" w:type="dxa"/>
            <w:tcBorders/>
            <w:vAlign w:val="center"/>
          </w:tcPr>
          <w:p>
            <w:pPr>
              <w:pStyle w:val="TableContents"/>
              <w:bidi w:val="0"/>
              <w:spacing w:before="0" w:after="1"/>
              <w:ind w:left="0" w:right="0" w:hanging="0"/>
              <w:jc w:val="center"/>
              <w:rPr/>
            </w:pPr>
            <w:r>
              <w:rPr/>
              <w:t>​</w:t>
            </w:r>
          </w:p>
        </w:tc>
        <w:tc>
          <w:tcPr>
            <w:tcW w:w="2398"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6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revenues</w:t>
            </w:r>
          </w:p>
        </w:tc>
        <w:tc>
          <w:tcPr>
            <w:tcW w:w="146" w:type="dxa"/>
            <w:tcBorders/>
            <w:shd w:fill="CCEEFF" w:val="clear"/>
            <w:vAlign w:val="center"/>
          </w:tcPr>
          <w:p>
            <w:pPr>
              <w:pStyle w:val="TableContents"/>
              <w:bidi w:val="0"/>
              <w:spacing w:before="0" w:after="1"/>
              <w:ind w:left="0" w:right="0" w:hanging="0"/>
              <w:jc w:val="center"/>
              <w:rPr/>
            </w:pPr>
            <w:r>
              <w:rPr/>
              <w:t>​</w:t>
            </w:r>
          </w:p>
        </w:tc>
        <w:tc>
          <w:tcPr>
            <w:tcW w:w="36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3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876,094</w:t>
            </w:r>
          </w:p>
        </w:tc>
      </w:tr>
      <w:tr>
        <w:trPr/>
        <w:tc>
          <w:tcPr>
            <w:tcW w:w="26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income (loss)</w:t>
            </w:r>
          </w:p>
        </w:tc>
        <w:tc>
          <w:tcPr>
            <w:tcW w:w="146" w:type="dxa"/>
            <w:tcBorders/>
            <w:vAlign w:val="center"/>
          </w:tcPr>
          <w:p>
            <w:pPr>
              <w:pStyle w:val="TableContents"/>
              <w:bidi w:val="0"/>
              <w:spacing w:before="0" w:after="1"/>
              <w:ind w:left="0" w:right="0" w:hanging="0"/>
              <w:jc w:val="left"/>
              <w:rPr/>
            </w:pPr>
            <w:r>
              <w:rPr/>
              <w:t> </w:t>
            </w:r>
          </w:p>
        </w:tc>
        <w:tc>
          <w:tcPr>
            <w:tcW w:w="362" w:type="dxa"/>
            <w:tcBorders/>
            <w:vAlign w:val="center"/>
          </w:tcPr>
          <w:p>
            <w:pPr>
              <w:pStyle w:val="TableContents"/>
              <w:bidi w:val="0"/>
              <w:spacing w:before="0" w:after="1"/>
              <w:ind w:left="0" w:right="0" w:hanging="0"/>
              <w:jc w:val="left"/>
              <w:rPr/>
            </w:pPr>
            <w:r>
              <w:rPr/>
              <w:t>​</w:t>
            </w:r>
          </w:p>
        </w:tc>
        <w:tc>
          <w:tcPr>
            <w:tcW w:w="239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(145,916)</w:t>
            </w:r>
          </w:p>
        </w:tc>
      </w:tr>
      <w:tr>
        <w:trPr/>
        <w:tc>
          <w:tcPr>
            <w:tcW w:w="26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146" w:type="dxa"/>
            <w:tcBorders/>
            <w:shd w:fill="CCEEFF" w:val="clear"/>
            <w:vAlign w:val="center"/>
          </w:tcPr>
          <w:p>
            <w:pPr>
              <w:pStyle w:val="TableContents"/>
              <w:bidi w:val="0"/>
              <w:spacing w:before="0" w:after="1"/>
              <w:ind w:left="0" w:right="0" w:hanging="0"/>
              <w:jc w:val="left"/>
              <w:rPr/>
            </w:pPr>
            <w:r>
              <w:rPr/>
              <w:t> </w:t>
            </w:r>
          </w:p>
        </w:tc>
        <w:tc>
          <w:tcPr>
            <w:tcW w:w="362" w:type="dxa"/>
            <w:tcBorders/>
            <w:shd w:fill="CCEEFF" w:val="clear"/>
            <w:vAlign w:val="center"/>
          </w:tcPr>
          <w:p>
            <w:pPr>
              <w:pStyle w:val="TableContents"/>
              <w:bidi w:val="0"/>
              <w:spacing w:before="0" w:after="1"/>
              <w:ind w:left="0" w:right="0" w:hanging="0"/>
              <w:jc w:val="left"/>
              <w:rPr/>
            </w:pPr>
            <w:r>
              <w:rPr/>
              <w:t>​</w:t>
            </w:r>
          </w:p>
        </w:tc>
        <w:tc>
          <w:tcPr>
            <w:tcW w:w="23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(154,198)</w:t>
            </w:r>
          </w:p>
        </w:tc>
      </w:tr>
      <w:tr>
        <w:trPr/>
        <w:tc>
          <w:tcPr>
            <w:tcW w:w="26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 from non-guarantors</w:t>
            </w:r>
          </w:p>
        </w:tc>
        <w:tc>
          <w:tcPr>
            <w:tcW w:w="146" w:type="dxa"/>
            <w:tcBorders/>
            <w:vAlign w:val="center"/>
          </w:tcPr>
          <w:p>
            <w:pPr>
              <w:pStyle w:val="TableContents"/>
              <w:bidi w:val="0"/>
              <w:spacing w:before="0" w:after="1"/>
              <w:ind w:left="0" w:right="0" w:hanging="0"/>
              <w:jc w:val="left"/>
              <w:rPr/>
            </w:pPr>
            <w:r>
              <w:rPr/>
              <w:t> </w:t>
            </w:r>
          </w:p>
        </w:tc>
        <w:tc>
          <w:tcPr>
            <w:tcW w:w="362" w:type="dxa"/>
            <w:tcBorders/>
            <w:vAlign w:val="center"/>
          </w:tcPr>
          <w:p>
            <w:pPr>
              <w:pStyle w:val="TableContents"/>
              <w:bidi w:val="0"/>
              <w:spacing w:before="0" w:after="1"/>
              <w:ind w:left="0" w:right="0" w:hanging="0"/>
              <w:jc w:val="left"/>
              <w:rPr/>
            </w:pPr>
            <w:r>
              <w:rPr/>
              <w:t>​</w:t>
            </w:r>
          </w:p>
        </w:tc>
        <w:tc>
          <w:tcPr>
            <w:tcW w:w="2398" w:type="dxa"/>
            <w:tcBorders/>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14,360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to pay dividends, make distributions, make other payments, or transfer assets.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Satellites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Operation of our Hughes segment 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2. MANAGEMENT’S NARRATIVE ANALYSIS OF RESULTS OF OPERATIONS – Continued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Satellite Insurance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generally do not carry commercial in-orbit insurance on any of the satellites that we own and therefore, we will bear the risk associated with any uninsured in-orbit satellite failures.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Although pursuant to the terms of our joint venture agreement with Al Yah Satellite Communications Company PrJSC (“Yahsat”) in Brazil,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During the</w:t>
      </w:r>
      <w:r>
        <w:rPr>
          <w:rFonts w:ascii="Arial;Helvetica;sans-serif" w:hAnsi="Arial;Helvetica;sans-serif"/>
          <w:color w:val="FF0000"/>
          <w:sz w:val="20"/>
        </w:rPr>
        <w:t xml:space="preserve"> </w:t>
      </w:r>
      <w:r>
        <w:rPr>
          <w:rFonts w:ascii="Arial;Helvetica;sans-serif" w:hAnsi="Arial;Helvetica;sans-serif"/>
          <w:sz w:val="20"/>
        </w:rPr>
        <w:t>nine months ended September 30, 2025, we received a commitment from the insurance carrier for $5 million, of which we received $4 million in proceeds.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Satellite Anomalies and Impairments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satellites may experience anomalies from time to time, some of which may have a significant adverse effect on their remaining useful lives, the commercial operation of the satellites, our operating results or financial position. Other than the anomalies related to the Al Yah 3 satellite in 2023, which we no longer utilize, we are not aware of any other anomalies with respect to our owned or leased satellites as of September 30, 2025. There can be no assurance, however, that undetected existing or future anomalies will not have a significant adverse effect on our operations or revenue in the future. In addition, there can be no assurance that we can recover critical transmission capacity in the event one or more of our satellites were to fail.</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New Accounting Pronouncements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See Note 2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20"/>
        </w:rPr>
      </w:pPr>
      <w:bookmarkStart w:id="1563" w:name="ITEM4CONTROLSANDPROCEDURES_780628"/>
      <w:bookmarkStart w:id="1564" w:name="_d5f41aa0_26ce_4e54_9b65_36772499fa26"/>
      <w:bookmarkEnd w:id="1563"/>
      <w:bookmarkEnd w:id="1564"/>
      <w:r>
        <w:rPr>
          <w:rFonts w:ascii="Arial;Helvetica;sans-serif" w:hAnsi="Arial;Helvetica;sans-serif"/>
          <w:b/>
          <w:sz w:val="20"/>
        </w:rPr>
        <w:t>Item 4. CONTROLS AND PROCEDURES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Conclusion regarding disclosure controls and procedures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Changes in internal control over financial reporting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1565" w:name="PARTIIOTHERINFORMATION_390816"/>
      <w:bookmarkEnd w:id="1565"/>
      <w:r>
        <w:rPr>
          <w:rFonts w:ascii="Arial;Helvetica;sans-serif" w:hAnsi="Arial;Helvetica;sans-serif"/>
          <w:b/>
          <w:sz w:val="20"/>
        </w:rPr>
        <w:t>PART II — OTHER INFORMATION</w:t>
      </w:r>
    </w:p>
    <w:p>
      <w:pPr>
        <w:pStyle w:val="TextBody"/>
        <w:bidi w:val="0"/>
        <w:spacing w:before="0" w:after="240"/>
        <w:ind w:left="0" w:right="0" w:hanging="0"/>
        <w:jc w:val="left"/>
        <w:rPr>
          <w:rFonts w:ascii="Arial;Helvetica;sans-serif" w:hAnsi="Arial;Helvetica;sans-serif"/>
          <w:b/>
          <w:sz w:val="20"/>
        </w:rPr>
      </w:pPr>
      <w:bookmarkStart w:id="1566" w:name="ITEM1LEGALPROCEEDINGS_524536"/>
      <w:bookmarkStart w:id="1567" w:name="_d9f0c91c_e00f_4d5b_ac94_cd80ed0a520f"/>
      <w:bookmarkEnd w:id="1566"/>
      <w:bookmarkEnd w:id="1567"/>
      <w:r>
        <w:rPr>
          <w:rFonts w:ascii="Arial;Helvetica;sans-serif" w:hAnsi="Arial;Helvetica;sans-serif"/>
          <w:b/>
          <w:sz w:val="20"/>
        </w:rPr>
        <w:t>Item 1. LEGAL PROCEEDINGS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See Note 9 “</w:t>
      </w:r>
      <w:r>
        <w:rPr>
          <w:rFonts w:ascii="Arial;Helvetica;sans-serif" w:hAnsi="Arial;Helvetica;sans-serif"/>
          <w:i/>
          <w:sz w:val="20"/>
        </w:rPr>
        <w:t>Commitments and Contingencies – Litigation”</w:t>
      </w:r>
      <w:r>
        <w:rPr>
          <w:rFonts w:ascii="Arial;Helvetica;sans-serif" w:hAnsi="Arial;Helvetica;sans-serif"/>
          <w:sz w:val="20"/>
        </w:rPr>
        <w:t xml:space="preserve"> in the Notes to our Condensed Consolidated Financial Statements for information regarding certain legal proceedings in which we are involved.</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b/>
          <w:sz w:val="20"/>
        </w:rPr>
      </w:pPr>
      <w:bookmarkStart w:id="1568" w:name="ITEM1ARISKFACTORS_394983"/>
      <w:bookmarkStart w:id="1569" w:name="_a77c0ac1_688f_4412_8820_31d8c8d95aaa"/>
      <w:bookmarkStart w:id="1570" w:name="_Hlk213159287"/>
      <w:bookmarkEnd w:id="1568"/>
      <w:bookmarkEnd w:id="1569"/>
      <w:bookmarkEnd w:id="1570"/>
      <w:r>
        <w:rPr>
          <w:rFonts w:ascii="Arial;Helvetica;sans-serif" w:hAnsi="Arial;Helvetica;sans-serif"/>
          <w:b/>
          <w:sz w:val="20"/>
        </w:rPr>
        <w:t>Item 1A. RISK FACTORS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Item 1A, “Risk Factors,” of our Annual Report on Form 10-K for the year ended December 31, 2024 includes a detailed discussion of our risk factors. The information presented below updates, and should be read in conjunction with, the risk factors and information disclosed in our Annual Report on Form 10-K for the year ended December 31, 2024.</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depend on suppliers, including suppliers with manufacturing in China and other countries, for various materials in our</w:t>
      </w:r>
      <w:r>
        <w:rPr>
          <w:rFonts w:ascii="Arial;Helvetica;sans-serif" w:hAnsi="Arial;Helvetica;sans-serif"/>
          <w:color w:val="CD5937"/>
          <w:sz w:val="20"/>
        </w:rPr>
        <w:t> </w:t>
      </w:r>
      <w:r>
        <w:rPr>
          <w:rFonts w:ascii="Arial;Helvetica;sans-serif" w:hAnsi="Arial;Helvetica;sans-serif"/>
          <w:sz w:val="20"/>
        </w:rPr>
        <w:t>satellite and related infrastructure. Changes in U.S. or foreign trade policies, including, but not limited to, new or increased tariffs, export controls, trade restrictions or sanctions, have resulted, and may continue to result, in higher costs for the equipment we procure.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Supply chain disruptions, customs delays, new compliance requirements and other challenges may cause delays in deploying satellite infrastructure and customer equipment, increase our operational expenses and impact our ability to meet customer demand. Although we attempt to mitigate these risks through alternative sourcing and operational efficiencies, these efforts may not be successful or sufficient.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are unable to pass on increased costs to customers without negatively impacting demand, or offset them through other measures, our business, financial condition and results of operations could be materially adversely affected.</w:t>
      </w:r>
    </w:p>
    <w:p>
      <w:pPr>
        <w:pStyle w:val="TextBody"/>
        <w:bidi w:val="0"/>
        <w:spacing w:before="0" w:after="0"/>
        <w:ind w:left="0" w:right="0" w:hanging="0"/>
        <w:jc w:val="left"/>
        <w:rPr/>
      </w:pPr>
      <w:bookmarkStart w:id="1571" w:name="_Hlk213159307"/>
      <w:bookmarkEnd w:id="1571"/>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currently do not have the necessary cash on hand, projected future cash flows or committed financing to fund our obligations over the next twelve months, which raises substantial doubt about our ability to continue as a going concern.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of the date of this report, we currently do not have the necessary cash on hand, projected future cash flows or committed financing to fund our anticipated working capital needs, capital expenditures, interest payments, debt maturities and other contractual obligations over the next twelve months. These conditions raise substantial doubt about our ability to continue as a going concern and, as a result, a ‘going concern’ disclosure appears in the Notes to our Condensed Consolidated Financial Statements in this Quarterly Report on Form 10-Q.</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Because the SpaceX Transactions, defined herein, are signed at our parent and/or its subsidiaries, we do not expect completion of the SpaceX Transactions to resolve our going concern qualification. In addition, our parent, EchoStar, may not provide additional liquidity in the future necessary to meet our obligations as they come due.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presence of a going concern uncertainty may also adversely impact the price of our securities, harm our current, future and potential relationships with suppliers, vendors, customers, employees and creditors, and may limit our ability to access additional financing on acceptable terms or at all. There can be no assurance that management’s plans to mitigate these risks will be successful on a timely basis or at all. If we are unable to secure adequate liquidity on an acceptable timeline or at all, we may not be able to continue as a going concern, which could result in a total loss of your investment. In addition, as our cash and cash equivalents balance declines, the risks described above may continue, increase or accelerate at any time and with or without notice.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the event that the going concern qualification continues, we may take additional actions to protect our interest in our assets that may negatively impact the value of your investment in our securities, including, under certain circumstances, filing for relief under Chapter 11 of Title 11 of the United States Code, if we determine that such an action is in the best interests of the Company and our stakeholders.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Certain actions that we may take, including a potential voluntary Chapter 11 bankruptcy filing could have material adverse consequences to us, including, but not limited to: (i) disruption of relationships with vendors, suppliers, employees and customers; (ii) limitations on the ability to access capital markets or otherwise obtain financing on favorable terms or at all; (iii) limitations on the ability to take advantage of business opportunities; (iv) reputational harm; and (v) significant administrative costs and diversion of management attention. Furthermore, the outcome of any of the actions that we, or certain of our subsidiaries, may take, including a filing for relief under Chapter 11, is inherently uncertain and may result in a loss of control by our parent, EchoStar’s principal stockholder or a material reduction in the value or change in the relative priority of existing equity or debt securities.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20"/>
        </w:rPr>
      </w:pPr>
      <w:bookmarkStart w:id="1572" w:name="ITEM6EXHIBITS_902321"/>
      <w:bookmarkStart w:id="1573" w:name="_6be0f3b4_27ff_45ac_a6a3_e3c75bfdd50b"/>
      <w:bookmarkEnd w:id="1572"/>
      <w:bookmarkEnd w:id="1573"/>
      <w:r>
        <w:rPr>
          <w:rFonts w:ascii="Arial;Helvetica;sans-serif" w:hAnsi="Arial;Helvetica;sans-serif"/>
          <w:b/>
          <w:sz w:val="20"/>
        </w:rPr>
        <w:t>Item 6. EXHIBITS</w:t>
      </w:r>
    </w:p>
    <w:tbl>
      <w:tblPr>
        <w:tblW w:w="10205" w:type="dxa"/>
        <w:jc w:val="left"/>
        <w:tblInd w:w="0" w:type="dxa"/>
        <w:tblLayout w:type="fixed"/>
        <w:tblCellMar>
          <w:top w:w="0" w:type="dxa"/>
          <w:left w:w="0" w:type="dxa"/>
          <w:bottom w:w="0" w:type="dxa"/>
          <w:right w:w="0" w:type="dxa"/>
        </w:tblCellMar>
      </w:tblPr>
      <w:tblGrid>
        <w:gridCol w:w="946"/>
        <w:gridCol w:w="326"/>
        <w:gridCol w:w="8933"/>
      </w:tblGrid>
      <w:tr>
        <w:trPr/>
        <w:tc>
          <w:tcPr>
            <w:tcW w:w="946" w:type="dxa"/>
            <w:tcBorders/>
            <w:vAlign w:val="center"/>
          </w:tcPr>
          <w:p>
            <w:pPr>
              <w:pStyle w:val="TableHeading"/>
              <w:bidi w:val="0"/>
              <w:spacing w:before="0" w:after="240"/>
              <w:ind w:left="0" w:right="0" w:hanging="0"/>
              <w:jc w:val="both"/>
              <w:rPr>
                <w:rFonts w:ascii="Arial;Helvetica;sans-serif" w:hAnsi="Arial;Helvetica;sans-serif"/>
                <w:b w:val="false"/>
                <w:i/>
                <w:sz w:val="20"/>
              </w:rPr>
            </w:pPr>
            <w:r>
              <w:rPr>
                <w:rFonts w:ascii="Arial;Helvetica;sans-serif" w:hAnsi="Arial;Helvetica;sans-serif"/>
                <w:b w:val="false"/>
                <w:i/>
                <w:sz w:val="20"/>
              </w:rPr>
              <w:t>Exhibits. </w:t>
            </w:r>
          </w:p>
        </w:tc>
        <w:tc>
          <w:tcPr>
            <w:tcW w:w="326" w:type="dxa"/>
            <w:tcBorders/>
            <w:vAlign w:val="center"/>
          </w:tcPr>
          <w:p>
            <w:pPr>
              <w:pStyle w:val="TableHeading"/>
              <w:bidi w:val="0"/>
              <w:spacing w:before="0" w:after="240"/>
              <w:ind w:left="0" w:right="0" w:hanging="0"/>
              <w:jc w:val="both"/>
              <w:rPr/>
            </w:pPr>
            <w:r>
              <w:rPr/>
              <w:t>    </w:t>
            </w:r>
          </w:p>
        </w:tc>
        <w:tc>
          <w:tcPr>
            <w:tcW w:w="8933" w:type="dxa"/>
            <w:tcBorders/>
            <w:vAlign w:val="center"/>
          </w:tcPr>
          <w:p>
            <w:pPr>
              <w:pStyle w:val="TableHeading"/>
              <w:bidi w:val="0"/>
              <w:spacing w:before="0" w:after="240"/>
              <w:ind w:left="0" w:right="0" w:hanging="0"/>
              <w:jc w:val="both"/>
              <w:rPr/>
            </w:pPr>
            <w:r>
              <w:rPr/>
              <w:t>​</w:t>
            </w:r>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22 ☐</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pPr>
            <w:hyperlink w:anchor="hssc-20250930xex22.htm">
              <w:r>
                <w:rPr>
                  <w:rStyle w:val="InternetLink"/>
                  <w:rFonts w:ascii="Arial;Helvetica;sans-serif" w:hAnsi="Arial;Helvetica;sans-serif"/>
                  <w:b w:val="false"/>
                  <w:i w:val="false"/>
                  <w:caps w:val="false"/>
                  <w:smallCaps w:val="false"/>
                  <w:sz w:val="20"/>
                </w:rPr>
                <w:t>List of Subsidiary Guarantors</w:t>
              </w:r>
            </w:hyperlink>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31.1 ☐</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pPr>
            <w:hyperlink w:anchor="hssc-20250930xex31d1.htm">
              <w:r>
                <w:rPr>
                  <w:rStyle w:val="InternetLink"/>
                  <w:rFonts w:ascii="Arial;Helvetica;sans-serif" w:hAnsi="Arial;Helvetica;sans-serif"/>
                  <w:b w:val="false"/>
                  <w:i w:val="false"/>
                  <w:caps w:val="false"/>
                  <w:smallCaps w:val="false"/>
                  <w:sz w:val="20"/>
                </w:rPr>
                <w:t>Section 302 Certification of Chief Executive Officer</w:t>
              </w:r>
            </w:hyperlink>
            <w:r>
              <w:rPr>
                <w:rFonts w:ascii="Arial;Helvetica;sans-serif" w:hAnsi="Arial;Helvetica;sans-serif"/>
                <w:sz w:val="20"/>
              </w:rPr>
              <w:t>.</w:t>
            </w:r>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31.2 ☐</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pPr>
            <w:hyperlink w:anchor="hssc-20250930xex31d2.htm">
              <w:r>
                <w:rPr>
                  <w:rStyle w:val="InternetLink"/>
                  <w:rFonts w:ascii="Arial;Helvetica;sans-serif" w:hAnsi="Arial;Helvetica;sans-serif"/>
                  <w:b w:val="false"/>
                  <w:i w:val="false"/>
                  <w:caps w:val="false"/>
                  <w:smallCaps w:val="false"/>
                  <w:sz w:val="20"/>
                </w:rPr>
                <w:t>Section 302 Certification of Principal Financial Officer</w:t>
              </w:r>
            </w:hyperlink>
            <w:r>
              <w:rPr>
                <w:rFonts w:ascii="Arial;Helvetica;sans-serif" w:hAnsi="Arial;Helvetica;sans-serif"/>
                <w:sz w:val="20"/>
              </w:rPr>
              <w:t>.</w:t>
            </w:r>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32.1 ☐</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pPr>
            <w:hyperlink w:anchor="hssc-20250930xex32d1.htm">
              <w:r>
                <w:rPr>
                  <w:rStyle w:val="InternetLink"/>
                  <w:rFonts w:ascii="Arial;Helvetica;sans-serif" w:hAnsi="Arial;Helvetica;sans-serif"/>
                  <w:b w:val="false"/>
                  <w:i w:val="false"/>
                  <w:caps w:val="false"/>
                  <w:smallCaps w:val="false"/>
                  <w:sz w:val="20"/>
                </w:rPr>
                <w:t>Section 906 Certification of Chief Executive Officer</w:t>
              </w:r>
            </w:hyperlink>
            <w:r>
              <w:rPr>
                <w:rFonts w:ascii="Arial;Helvetica;sans-serif" w:hAnsi="Arial;Helvetica;sans-serif"/>
                <w:sz w:val="20"/>
              </w:rPr>
              <w:t>.</w:t>
            </w:r>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32.2 ☐</w:t>
            </w:r>
          </w:p>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99.1*</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pPr>
            <w:hyperlink w:anchor="hssc-20250930xex32d2.htm">
              <w:r>
                <w:rPr>
                  <w:rStyle w:val="InternetLink"/>
                  <w:rFonts w:ascii="Arial;Helvetica;sans-serif" w:hAnsi="Arial;Helvetica;sans-serif"/>
                  <w:b w:val="false"/>
                  <w:i w:val="false"/>
                  <w:caps w:val="false"/>
                  <w:smallCaps w:val="false"/>
                  <w:sz w:val="20"/>
                </w:rPr>
                <w:t>Section 906 Certification of Principal Financial Officer</w:t>
              </w:r>
            </w:hyperlink>
            <w:r>
              <w:rPr>
                <w:rFonts w:ascii="Arial;Helvetica;sans-serif" w:hAnsi="Arial;Helvetica;sans-serif"/>
                <w:sz w:val="20"/>
              </w:rPr>
              <w:t>.</w:t>
            </w:r>
          </w:p>
          <w:p>
            <w:pPr>
              <w:pStyle w:val="TableContents"/>
              <w:bidi w:val="0"/>
              <w:spacing w:before="0" w:after="240"/>
              <w:ind w:left="0" w:right="0" w:hanging="0"/>
              <w:jc w:val="both"/>
              <w:rPr/>
            </w:pPr>
            <w:hyperlink r:id="rId3">
              <w:r>
                <w:rPr>
                  <w:rStyle w:val="InternetLink"/>
                  <w:rFonts w:ascii="Arial;Helvetica;sans-serif" w:hAnsi="Arial;Helvetica;sans-serif"/>
                  <w:b w:val="false"/>
                  <w:i w:val="false"/>
                  <w:caps w:val="false"/>
                  <w:smallCaps w:val="false"/>
                  <w:sz w:val="20"/>
                </w:rPr>
                <w:t>Letter to EchoStar regarding review of compliance with its federal obligations to provide 5G service throughout the United States, dated May 9, 2025 (incorporate by reference from Exhibit 99.1 to EchoStar Corporation’s Current Report on Form 8-K filed May 13, 2025)</w:t>
              </w:r>
            </w:hyperlink>
            <w:r>
              <w:rPr>
                <w:rFonts w:ascii="Arial;Helvetica;sans-serif" w:hAnsi="Arial;Helvetica;sans-serif"/>
                <w:sz w:val="20"/>
              </w:rPr>
              <w:t>.</w:t>
            </w:r>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99.2*</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pPr>
            <w:hyperlink r:id="rId4">
              <w:r>
                <w:rPr>
                  <w:rStyle w:val="InternetLink"/>
                  <w:rFonts w:ascii="Arial;Helvetica;sans-serif" w:hAnsi="Arial;Helvetica;sans-serif"/>
                  <w:b w:val="false"/>
                  <w:i w:val="false"/>
                  <w:caps w:val="false"/>
                  <w:smallCaps w:val="false"/>
                  <w:sz w:val="20"/>
                </w:rPr>
                <w:t>Letter to EchoStar regarding review of compliance with its federal obligations to provide 5G service throughout the United States, dated September 8, 2025 (incorporated by reference from Exhibit 99.1 to EchoStar Corporation’s Current Report on Form 8-K filed September 9, 2025.)</w:t>
              </w:r>
            </w:hyperlink>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101 ☐</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materials from the Quarterly Report on Form 10</w:t>
              <w:noBreakHyphen/>
              <w:t>Q of Hughes Satellite Systems Corporation for the quarter ended September 30, 2025 filed on November 14, 2025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tc>
      </w:tr>
      <w:tr>
        <w:trPr/>
        <w:tc>
          <w:tcPr>
            <w:tcW w:w="946"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104 ☐</w:t>
            </w:r>
          </w:p>
        </w:tc>
        <w:tc>
          <w:tcPr>
            <w:tcW w:w="326" w:type="dxa"/>
            <w:tcBorders/>
            <w:vAlign w:val="center"/>
          </w:tcPr>
          <w:p>
            <w:pPr>
              <w:pStyle w:val="TableContents"/>
              <w:bidi w:val="0"/>
              <w:spacing w:before="0" w:after="240"/>
              <w:ind w:left="0" w:right="0" w:hanging="0"/>
              <w:jc w:val="both"/>
              <w:rPr/>
            </w:pPr>
            <w:r>
              <w:rPr/>
              <w:t>​</w:t>
            </w:r>
          </w:p>
        </w:tc>
        <w:tc>
          <w:tcPr>
            <w:tcW w:w="8933" w:type="dxa"/>
            <w:tcBorders/>
            <w:vAlign w:val="center"/>
          </w:tcPr>
          <w:p>
            <w:pPr>
              <w:pStyle w:val="TableContents"/>
              <w:bidi w:val="0"/>
              <w:spacing w:before="0" w:after="240"/>
              <w:ind w:left="0" w:right="0" w:hanging="0"/>
              <w:jc w:val="both"/>
              <w:rPr>
                <w:rFonts w:ascii="Arial;Helvetica;sans-serif" w:hAnsi="Arial;Helvetica;sans-serif"/>
                <w:sz w:val="20"/>
              </w:rPr>
            </w:pPr>
            <w:r>
              <w:rPr>
                <w:rFonts w:ascii="Arial;Helvetica;sans-serif" w:hAnsi="Arial;Helvetica;sans-serif"/>
                <w:sz w:val="20"/>
              </w:rPr>
              <w:t>Cover Page Interactive Data File (the cover page XBRL tags are embedded in the Inline XBRL document).</w:t>
            </w:r>
          </w:p>
        </w:tc>
      </w:tr>
    </w:tbl>
    <w:p>
      <w:pPr>
        <w:pStyle w:val="TextBody"/>
        <w:bidi w:val="0"/>
        <w:spacing w:before="0" w:after="240"/>
        <w:ind w:left="0" w:right="0" w:hanging="0"/>
        <w:jc w:val="left"/>
        <w:rPr/>
      </w:pPr>
      <w:r>
        <w:rPr>
          <w:caps w:val="false"/>
          <w:smallCaps w:val="false"/>
        </w:rPr>
        <w:t>☐</w:t>
      </w:r>
      <w:r>
        <w:rPr>
          <w:rFonts w:ascii="Arial;Helvetica;sans-serif" w:hAnsi="Arial;Helvetica;sans-serif"/>
          <w:sz w:val="20"/>
        </w:rPr>
        <w:t>Filed herewith.</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Incorporated by reference.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574" w:name="SIGNATURES_599412"/>
      <w:bookmarkStart w:id="1575" w:name="_39a38ad4_4820_4744_b5cf_01e797093722"/>
      <w:bookmarkEnd w:id="1574"/>
      <w:bookmarkEnd w:id="1575"/>
      <w:r>
        <w:rPr>
          <w:rFonts w:ascii="Arial;Helvetica;sans-serif" w:hAnsi="Arial;Helvetica;sans-serif"/>
          <w:b/>
          <w:sz w:val="20"/>
        </w:rPr>
        <w:t>SIGNATURES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tbl>
      <w:tblPr>
        <w:tblW w:w="5901" w:type="dxa"/>
        <w:jc w:val="left"/>
        <w:tblInd w:w="0" w:type="dxa"/>
        <w:tblLayout w:type="fixed"/>
        <w:tblCellMar>
          <w:top w:w="0" w:type="dxa"/>
          <w:left w:w="0" w:type="dxa"/>
          <w:bottom w:w="0" w:type="dxa"/>
          <w:right w:w="0" w:type="dxa"/>
        </w:tblCellMar>
      </w:tblPr>
      <w:tblGrid>
        <w:gridCol w:w="124"/>
        <w:gridCol w:w="406"/>
        <w:gridCol w:w="537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HUGHES SATELLITE SYSTEMS CORPORATION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Hamid Akhavan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W. Orban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Financial Officer and 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November 14, 2025</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lineRule="auto" w:line="307" w:before="0" w:after="160"/>
        <w:ind w:left="0" w:right="0" w:hanging="0"/>
        <w:jc w:val="left"/>
        <w:rPr/>
      </w:pPr>
      <w:bookmarkStart w:id="1576" w:name="hssc-20250930xex22.htm"/>
      <w:bookmarkStart w:id="1577" w:name="kshssc20250930xex22"/>
      <w:bookmarkEnd w:id="1576"/>
      <w:bookmarkEnd w:id="1577"/>
      <w:r>
        <w:rPr/>
        <w:t>​</w:t>
      </w:r>
      <w:r>
        <w:br w:type="page"/>
      </w:r>
    </w:p>
    <w:p>
      <w:pPr>
        <w:pStyle w:val="TextBody"/>
        <w:bidi w:val="0"/>
        <w:spacing w:lineRule="auto" w:line="307" w:before="0" w:after="160"/>
        <w:ind w:left="0" w:right="0" w:hanging="0"/>
        <w:jc w:val="right"/>
        <w:rPr>
          <w:rFonts w:ascii="Arial;Helvetica;sans-serif" w:hAnsi="Arial;Helvetica;sans-serif"/>
          <w:b/>
          <w:sz w:val="20"/>
        </w:rPr>
      </w:pPr>
      <w:r>
        <w:rPr>
          <w:rFonts w:ascii="Arial;Helvetica;sans-serif" w:hAnsi="Arial;Helvetica;sans-serif"/>
          <w:b/>
          <w:sz w:val="20"/>
        </w:rPr>
        <w:t>Exhibit 22</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rFonts w:ascii="Arial;Helvetica;sans-serif" w:hAnsi="Arial;Helvetica;sans-serif"/>
          <w:b/>
          <w:sz w:val="20"/>
        </w:rPr>
      </w:pPr>
      <w:r>
        <w:rPr>
          <w:rFonts w:ascii="Arial;Helvetica;sans-serif" w:hAnsi="Arial;Helvetica;sans-serif"/>
          <w:b/>
          <w:sz w:val="20"/>
        </w:rPr>
        <w:t>List of Guarantor Subsidiaries</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The 5 1/4% Senior Secured Notes due 2026 and 6 5/8% Senior Unsecured Notes due 2026 issued by Hughes Satellite Services Corporation (incorporated in Colorado) are jointly and severally guaranteed on a full and unconditional basis by the following 100% owned subsidiaries of Hughes Satellite Systems Corporation as of September 30, 2025:</w:t>
      </w:r>
    </w:p>
    <w:tbl>
      <w:tblPr>
        <w:tblW w:w="7873" w:type="dxa"/>
        <w:jc w:val="left"/>
        <w:tblInd w:w="0" w:type="dxa"/>
        <w:tblLayout w:type="fixed"/>
        <w:tblCellMar>
          <w:top w:w="0" w:type="dxa"/>
          <w:left w:w="0" w:type="dxa"/>
          <w:bottom w:w="0" w:type="dxa"/>
          <w:right w:w="0" w:type="dxa"/>
        </w:tblCellMar>
      </w:tblPr>
      <w:tblGrid>
        <w:gridCol w:w="3233"/>
        <w:gridCol w:w="1417"/>
        <w:gridCol w:w="329"/>
        <w:gridCol w:w="653"/>
        <w:gridCol w:w="653"/>
        <w:gridCol w:w="653"/>
        <w:gridCol w:w="935"/>
      </w:tblGrid>
      <w:tr>
        <w:trPr/>
        <w:tc>
          <w:tcPr>
            <w:tcW w:w="3233" w:type="dxa"/>
            <w:tcBorders/>
            <w:vAlign w:val="center"/>
          </w:tcPr>
          <w:p>
            <w:pPr>
              <w:pStyle w:val="TableContents"/>
              <w:bidi w:val="0"/>
              <w:spacing w:before="0" w:after="283"/>
              <w:ind w:left="0" w:right="0" w:hanging="0"/>
              <w:jc w:val="left"/>
              <w:rPr>
                <w:sz w:val="4"/>
                <w:szCs w:val="4"/>
              </w:rPr>
            </w:pPr>
            <w:r>
              <w:rPr>
                <w:sz w:val="4"/>
                <w:szCs w:val="4"/>
              </w:rPr>
            </w:r>
          </w:p>
        </w:tc>
        <w:tc>
          <w:tcPr>
            <w:tcW w:w="1746" w:type="dxa"/>
            <w:gridSpan w:val="2"/>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283"/>
              <w:ind w:left="0" w:right="0" w:hanging="0"/>
              <w:jc w:val="left"/>
              <w:rPr>
                <w:sz w:val="4"/>
                <w:szCs w:val="4"/>
              </w:rPr>
            </w:pPr>
            <w:r>
              <w:rPr>
                <w:sz w:val="4"/>
                <w:szCs w:val="4"/>
              </w:rPr>
            </w:r>
          </w:p>
        </w:tc>
        <w:tc>
          <w:tcPr>
            <w:tcW w:w="935" w:type="dxa"/>
            <w:tcBorders/>
            <w:vAlign w:val="center"/>
          </w:tcPr>
          <w:p>
            <w:pPr>
              <w:pStyle w:val="TableContents"/>
              <w:bidi w:val="0"/>
              <w:spacing w:before="0" w:after="283"/>
              <w:ind w:left="0" w:right="0" w:hanging="0"/>
              <w:jc w:val="left"/>
              <w:rPr>
                <w:sz w:val="4"/>
                <w:szCs w:val="4"/>
              </w:rPr>
            </w:pPr>
            <w:r>
              <w:rPr>
                <w:sz w:val="4"/>
                <w:szCs w:val="4"/>
              </w:rPr>
            </w:r>
          </w:p>
        </w:tc>
      </w:tr>
      <w:tr>
        <w:trPr/>
        <w:tc>
          <w:tcPr>
            <w:tcW w:w="3233" w:type="dxa"/>
            <w:tcBorders/>
            <w:vAlign w:val="center"/>
          </w:tcPr>
          <w:p>
            <w:pPr>
              <w:pStyle w:val="TableContents"/>
              <w:bidi w:val="0"/>
              <w:spacing w:before="0" w:after="283"/>
              <w:ind w:left="0" w:right="0" w:hanging="0"/>
              <w:jc w:val="left"/>
              <w:rPr>
                <w:sz w:val="4"/>
                <w:szCs w:val="4"/>
              </w:rPr>
            </w:pPr>
            <w:r>
              <w:rPr>
                <w:sz w:val="4"/>
                <w:szCs w:val="4"/>
              </w:rPr>
            </w:r>
          </w:p>
        </w:tc>
        <w:tc>
          <w:tcPr>
            <w:tcW w:w="1746" w:type="dxa"/>
            <w:gridSpan w:val="2"/>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283"/>
              <w:ind w:left="0" w:right="0" w:hanging="0"/>
              <w:jc w:val="left"/>
              <w:rPr>
                <w:sz w:val="4"/>
                <w:szCs w:val="4"/>
              </w:rPr>
            </w:pPr>
            <w:r>
              <w:rPr>
                <w:sz w:val="4"/>
                <w:szCs w:val="4"/>
              </w:rPr>
            </w:r>
          </w:p>
        </w:tc>
        <w:tc>
          <w:tcPr>
            <w:tcW w:w="935" w:type="dxa"/>
            <w:tcBorders/>
            <w:vAlign w:val="center"/>
          </w:tcPr>
          <w:p>
            <w:pPr>
              <w:pStyle w:val="TableContents"/>
              <w:bidi w:val="0"/>
              <w:spacing w:before="0" w:after="283"/>
              <w:ind w:left="0" w:right="0" w:hanging="0"/>
              <w:jc w:val="left"/>
              <w:rPr>
                <w:sz w:val="4"/>
                <w:szCs w:val="4"/>
              </w:rPr>
            </w:pPr>
            <w:r>
              <w:rPr>
                <w:sz w:val="4"/>
                <w:szCs w:val="4"/>
              </w:rPr>
            </w:r>
          </w:p>
        </w:tc>
      </w:tr>
      <w:tr>
        <w:trPr/>
        <w:tc>
          <w:tcPr>
            <w:tcW w:w="4650" w:type="dxa"/>
            <w:gridSpan w:val="2"/>
            <w:tcBorders/>
            <w:vAlign w:val="center"/>
          </w:tcPr>
          <w:p>
            <w:pPr>
              <w:pStyle w:val="TableContents"/>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Entity</w:t>
            </w:r>
          </w:p>
        </w:tc>
        <w:tc>
          <w:tcPr>
            <w:tcW w:w="3223" w:type="dxa"/>
            <w:gridSpan w:val="5"/>
            <w:tcBorders/>
            <w:vAlign w:val="center"/>
          </w:tcPr>
          <w:p>
            <w:pPr>
              <w:pStyle w:val="TableContents"/>
              <w:bidi w:val="0"/>
              <w:spacing w:lineRule="auto" w:line="307" w:before="0" w:after="160"/>
              <w:ind w:left="0" w:right="0" w:hanging="0"/>
              <w:jc w:val="center"/>
              <w:rPr>
                <w:rFonts w:ascii="Arial;Helvetica;sans-serif" w:hAnsi="Arial;Helvetica;sans-serif"/>
                <w:b/>
                <w:sz w:val="20"/>
              </w:rPr>
            </w:pPr>
            <w:r>
              <w:rPr>
                <w:rFonts w:ascii="Arial;Helvetica;sans-serif" w:hAnsi="Arial;Helvetica;sans-serif"/>
                <w:b/>
                <w:sz w:val="20"/>
              </w:rPr>
              <w:t>State or Country of Incorporation</w:t>
            </w:r>
          </w:p>
        </w:tc>
      </w:tr>
      <w:tr>
        <w:trPr/>
        <w:tc>
          <w:tcPr>
            <w:tcW w:w="4650" w:type="dxa"/>
            <w:gridSpan w:val="2"/>
            <w:tcBorders/>
            <w:shd w:fill="CCEEFF" w:val="clear"/>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EchoStar Orbital, L.L.C.</w:t>
            </w:r>
          </w:p>
        </w:tc>
        <w:tc>
          <w:tcPr>
            <w:tcW w:w="3223" w:type="dxa"/>
            <w:gridSpan w:val="5"/>
            <w:tcBorders/>
            <w:shd w:fill="CCEEFF" w:val="clear"/>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Colorado</w:t>
            </w:r>
          </w:p>
        </w:tc>
      </w:tr>
      <w:tr>
        <w:trPr/>
        <w:tc>
          <w:tcPr>
            <w:tcW w:w="4650" w:type="dxa"/>
            <w:gridSpan w:val="2"/>
            <w:tcBorders/>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EchoStar Government Services, L.L.C.</w:t>
            </w:r>
          </w:p>
        </w:tc>
        <w:tc>
          <w:tcPr>
            <w:tcW w:w="3223" w:type="dxa"/>
            <w:gridSpan w:val="5"/>
            <w:tcBorders/>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Colorado</w:t>
            </w:r>
          </w:p>
        </w:tc>
      </w:tr>
      <w:tr>
        <w:trPr/>
        <w:tc>
          <w:tcPr>
            <w:tcW w:w="4650" w:type="dxa"/>
            <w:gridSpan w:val="2"/>
            <w:tcBorders/>
            <w:shd w:fill="CCEEFF" w:val="clear"/>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EchoStar Satellite Services L.L.C.</w:t>
            </w:r>
          </w:p>
        </w:tc>
        <w:tc>
          <w:tcPr>
            <w:tcW w:w="3223" w:type="dxa"/>
            <w:gridSpan w:val="5"/>
            <w:tcBorders/>
            <w:shd w:fill="CCEEFF" w:val="clear"/>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r>
        <w:trPr/>
        <w:tc>
          <w:tcPr>
            <w:tcW w:w="4650" w:type="dxa"/>
            <w:gridSpan w:val="2"/>
            <w:tcBorders/>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 xml:space="preserve">HNS-India VSAT, Inc </w:t>
            </w:r>
          </w:p>
        </w:tc>
        <w:tc>
          <w:tcPr>
            <w:tcW w:w="3223" w:type="dxa"/>
            <w:gridSpan w:val="5"/>
            <w:tcBorders/>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r>
        <w:trPr/>
        <w:tc>
          <w:tcPr>
            <w:tcW w:w="4650" w:type="dxa"/>
            <w:gridSpan w:val="2"/>
            <w:tcBorders/>
            <w:shd w:fill="CCEEFF" w:val="clear"/>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Hughes Network Systems, L.L.C.</w:t>
            </w:r>
          </w:p>
        </w:tc>
        <w:tc>
          <w:tcPr>
            <w:tcW w:w="3223" w:type="dxa"/>
            <w:gridSpan w:val="5"/>
            <w:tcBorders/>
            <w:shd w:fill="CCEEFF" w:val="clear"/>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r>
        <w:trPr/>
        <w:tc>
          <w:tcPr>
            <w:tcW w:w="4650" w:type="dxa"/>
            <w:gridSpan w:val="2"/>
            <w:tcBorders/>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HNS License-Sub L.L.C.</w:t>
            </w:r>
          </w:p>
        </w:tc>
        <w:tc>
          <w:tcPr>
            <w:tcW w:w="3223" w:type="dxa"/>
            <w:gridSpan w:val="5"/>
            <w:tcBorders/>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r>
        <w:trPr/>
        <w:tc>
          <w:tcPr>
            <w:tcW w:w="4650" w:type="dxa"/>
            <w:gridSpan w:val="2"/>
            <w:tcBorders/>
            <w:shd w:fill="CCEEFF" w:val="clear"/>
            <w:vAlign w:val="center"/>
          </w:tcPr>
          <w:p>
            <w:pPr>
              <w:pStyle w:val="TableContents"/>
              <w:bidi w:val="0"/>
              <w:spacing w:lineRule="auto" w:line="307" w:before="0" w:after="160"/>
              <w:ind w:left="0" w:right="0" w:hanging="0"/>
              <w:jc w:val="left"/>
              <w:rPr>
                <w:rFonts w:ascii="Arial;Helvetica;sans-serif" w:hAnsi="Arial;Helvetica;sans-serif"/>
                <w:sz w:val="18"/>
              </w:rPr>
            </w:pPr>
            <w:r>
              <w:rPr>
                <w:rFonts w:ascii="Arial;Helvetica;sans-serif" w:hAnsi="Arial;Helvetica;sans-serif"/>
                <w:sz w:val="18"/>
              </w:rPr>
              <w:t>HNS Real Estate L.L.C.</w:t>
            </w:r>
          </w:p>
        </w:tc>
        <w:tc>
          <w:tcPr>
            <w:tcW w:w="3223" w:type="dxa"/>
            <w:gridSpan w:val="5"/>
            <w:tcBorders/>
            <w:shd w:fill="CCEEFF" w:val="clear"/>
            <w:vAlign w:val="center"/>
          </w:tcPr>
          <w:p>
            <w:pPr>
              <w:pStyle w:val="TableContents"/>
              <w:bidi w:val="0"/>
              <w:spacing w:lineRule="auto" w:line="307" w:before="0" w:after="160"/>
              <w:ind w:left="0" w:right="0" w:hanging="0"/>
              <w:jc w:val="center"/>
              <w:rPr>
                <w:rFonts w:ascii="Arial;Helvetica;sans-serif" w:hAnsi="Arial;Helvetica;sans-serif"/>
                <w:sz w:val="18"/>
              </w:rPr>
            </w:pPr>
            <w:r>
              <w:rPr>
                <w:rFonts w:ascii="Arial;Helvetica;sans-serif" w:hAnsi="Arial;Helvetica;sans-serif"/>
                <w:sz w:val="18"/>
              </w:rPr>
              <w:t>Delaware</w:t>
            </w:r>
          </w:p>
        </w:tc>
      </w:tr>
      <w:tr>
        <w:trPr/>
        <w:tc>
          <w:tcPr>
            <w:tcW w:w="4650" w:type="dxa"/>
            <w:gridSpan w:val="2"/>
            <w:tcBorders/>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Hughes Communications, Inc.</w:t>
            </w:r>
          </w:p>
        </w:tc>
        <w:tc>
          <w:tcPr>
            <w:tcW w:w="3223" w:type="dxa"/>
            <w:gridSpan w:val="5"/>
            <w:tcBorders/>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r>
        <w:trPr/>
        <w:tc>
          <w:tcPr>
            <w:tcW w:w="4650" w:type="dxa"/>
            <w:gridSpan w:val="2"/>
            <w:tcBorders/>
            <w:shd w:fill="CCEEFF" w:val="clear"/>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Hughes Network Systems International Service, Co.</w:t>
            </w:r>
          </w:p>
        </w:tc>
        <w:tc>
          <w:tcPr>
            <w:tcW w:w="3223" w:type="dxa"/>
            <w:gridSpan w:val="5"/>
            <w:tcBorders/>
            <w:shd w:fill="CCEEFF" w:val="clear"/>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r>
        <w:trPr/>
        <w:tc>
          <w:tcPr>
            <w:tcW w:w="4650" w:type="dxa"/>
            <w:gridSpan w:val="2"/>
            <w:tcBorders/>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HNS Americas, L.L.C.</w:t>
            </w:r>
          </w:p>
        </w:tc>
        <w:tc>
          <w:tcPr>
            <w:tcW w:w="3223" w:type="dxa"/>
            <w:gridSpan w:val="5"/>
            <w:tcBorders/>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r>
        <w:trPr/>
        <w:tc>
          <w:tcPr>
            <w:tcW w:w="4650" w:type="dxa"/>
            <w:gridSpan w:val="2"/>
            <w:tcBorders/>
            <w:shd w:fill="CCEEFF" w:val="clear"/>
            <w:vAlign w:val="center"/>
          </w:tcPr>
          <w:p>
            <w:pPr>
              <w:pStyle w:val="TableContents"/>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HNS Americas II, L.L.C.</w:t>
            </w:r>
          </w:p>
        </w:tc>
        <w:tc>
          <w:tcPr>
            <w:tcW w:w="3223" w:type="dxa"/>
            <w:gridSpan w:val="5"/>
            <w:tcBorders/>
            <w:shd w:fill="CCEEFF" w:val="clear"/>
            <w:vAlign w:val="center"/>
          </w:tcPr>
          <w:p>
            <w:pPr>
              <w:pStyle w:val="TableContents"/>
              <w:bidi w:val="0"/>
              <w:spacing w:lineRule="auto" w:line="307" w:before="0" w:after="160"/>
              <w:ind w:left="0" w:right="0" w:hanging="0"/>
              <w:jc w:val="center"/>
              <w:rPr>
                <w:rFonts w:ascii="Arial;Helvetica;sans-serif" w:hAnsi="Arial;Helvetica;sans-serif"/>
                <w:sz w:val="20"/>
              </w:rPr>
            </w:pPr>
            <w:r>
              <w:rPr>
                <w:rFonts w:ascii="Arial;Helvetica;sans-serif" w:hAnsi="Arial;Helvetica;sans-serif"/>
                <w:sz w:val="20"/>
              </w:rPr>
              <w:t>Delaware</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578" w:name="Section1"/>
      <w:bookmarkStart w:id="1579" w:name="hssc-20250930xex31d1.htm"/>
      <w:bookmarkStart w:id="1580" w:name="kshssc20250930xex31d1"/>
      <w:bookmarkEnd w:id="1578"/>
      <w:bookmarkEnd w:id="1579"/>
      <w:bookmarkEnd w:id="1580"/>
      <w:r>
        <w:rPr>
          <w:rFonts w:ascii="Arial;Helvetica;sans-serif" w:hAnsi="Arial;Helvetica;sans-serif"/>
          <w:b/>
          <w:sz w:val="20"/>
        </w:rPr>
        <w:t>EXHIBIT 31.1</w:t>
      </w:r>
      <w:r>
        <w:br w:type="page"/>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Section 302 Certification</w:t>
      </w:r>
    </w:p>
    <w:p>
      <w:pPr>
        <w:pStyle w:val="TextBody"/>
        <w:bidi w:val="0"/>
        <w:spacing w:lineRule="auto" w:line="285" w:before="0" w:after="0"/>
        <w:ind w:left="0" w:right="0" w:hanging="0"/>
        <w:jc w:val="both"/>
        <w:rPr/>
      </w:pPr>
      <w:r>
        <w:rPr/>
        <w:t> </w:t>
      </w:r>
    </w:p>
    <w:p>
      <w:pPr>
        <w:pStyle w:val="TextBody"/>
        <w:pBdr/>
        <w:bidi w:val="0"/>
        <w:spacing w:lineRule="auto" w:line="285" w:before="0" w:after="0"/>
        <w:ind w:left="0" w:right="0" w:hanging="360"/>
        <w:jc w:val="left"/>
        <w:rPr>
          <w:rFonts w:ascii="Arial;Helvetica;sans-serif" w:hAnsi="Arial;Helvetica;sans-serif"/>
          <w:sz w:val="20"/>
        </w:rPr>
      </w:pPr>
      <w:r>
        <w:rPr>
          <w:rFonts w:ascii="Arial;Helvetica;sans-serif" w:hAnsi="Arial;Helvetica;sans-serif"/>
          <w:sz w:val="20"/>
        </w:rPr>
        <w:t>I, Hamid Akhavan, certify that:</w:t>
      </w:r>
    </w:p>
    <w:p>
      <w:pPr>
        <w:pStyle w:val="TextBody"/>
        <w:pBdr/>
        <w:bidi w:val="0"/>
        <w:spacing w:lineRule="auto" w:line="307" w:before="0" w:after="160"/>
        <w:ind w:left="0" w:right="0" w:hanging="36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1.</w:t>
      </w:r>
      <w:r>
        <w:rPr>
          <w:rFonts w:ascii="Arial;Helvetica;sans-serif" w:hAnsi="Arial;Helvetica;sans-serif"/>
          <w:sz w:val="20"/>
        </w:rPr>
        <w:t>I have reviewed this Quarterly Report on Form 10-Q of Hughes Satellite Systems Corporation;</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2.</w:t>
      </w: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3.</w:t>
      </w: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4.</w:t>
      </w: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lineRule="auto" w:line="307" w:before="0" w:after="160"/>
        <w:ind w:left="360" w:right="0" w:hanging="36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5.</w:t>
      </w: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307" w:before="0" w:after="16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10018"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 </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November 14, 2025</w:t>
      </w:r>
    </w:p>
    <w:tbl>
      <w:tblPr>
        <w:tblW w:w="3560" w:type="dxa"/>
        <w:jc w:val="left"/>
        <w:tblInd w:w="0" w:type="dxa"/>
        <w:tblLayout w:type="fixed"/>
        <w:tblCellMar>
          <w:top w:w="0" w:type="dxa"/>
          <w:left w:w="0" w:type="dxa"/>
          <w:bottom w:w="0" w:type="dxa"/>
          <w:right w:w="0" w:type="dxa"/>
        </w:tblCellMar>
      </w:tblPr>
      <w:tblGrid>
        <w:gridCol w:w="3406"/>
        <w:gridCol w:w="154"/>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62810" cy="175260"/>
                      <wp:effectExtent l="0" t="0" r="0" b="0"/>
                      <wp:wrapNone/>
                      <wp:docPr id="392" name="Frame391"/>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97790" cy="175260"/>
                      <wp:effectExtent l="0" t="0" r="0" b="0"/>
                      <wp:wrapNone/>
                      <wp:docPr id="393" name="Frame39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lineRule="auto" w:line="307" w:before="0" w:after="160"/>
              <w:ind w:left="0" w:right="0" w:hanging="0"/>
              <w:jc w:val="left"/>
              <w:rPr/>
            </w:pPr>
            <w:r>
              <w:rPr/>
              <w:t>​</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340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3406" w:type="dxa"/>
            <w:tcBorders>
              <w:top w:val="single" w:sz="8"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154"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581" w:name="Section11"/>
      <w:bookmarkStart w:id="1582" w:name="hssc-20250930xex31d2.htm"/>
      <w:bookmarkStart w:id="1583" w:name="kshssc20250930xex31d2"/>
      <w:bookmarkEnd w:id="1581"/>
      <w:bookmarkEnd w:id="1582"/>
      <w:bookmarkEnd w:id="1583"/>
      <w:r>
        <w:rPr>
          <w:rFonts w:ascii="Arial;Helvetica;sans-serif" w:hAnsi="Arial;Helvetica;sans-serif"/>
          <w:b/>
          <w:sz w:val="20"/>
        </w:rPr>
        <w:t>EXHIBIT 31.2</w:t>
      </w:r>
      <w:r>
        <w:br w:type="page"/>
      </w:r>
    </w:p>
    <w:p>
      <w:pPr>
        <w:pStyle w:val="TextBody"/>
        <w:bidi w:val="0"/>
        <w:spacing w:lineRule="auto" w:line="285" w:before="0" w:after="0"/>
        <w:ind w:left="0" w:right="0" w:hanging="0"/>
        <w:jc w:val="center"/>
        <w:rPr/>
      </w:pPr>
      <w:r>
        <w:rPr/>
        <w:t> </w:t>
      </w:r>
      <w:r>
        <w:rPr>
          <w:rFonts w:ascii="Arial;Helvetica;sans-serif" w:hAnsi="Arial;Helvetica;sans-serif"/>
          <w:b/>
          <w:sz w:val="20"/>
        </w:rPr>
        <w:t xml:space="preserve">CERTIFICATION OF PRINCIPAL FINANCIAL OFFICER </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Section 302 Certification</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Paul W. Orban, certify that: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1.</w:t>
      </w:r>
      <w:r>
        <w:rPr>
          <w:rFonts w:ascii="Arial;Helvetica;sans-serif" w:hAnsi="Arial;Helvetica;sans-serif"/>
          <w:sz w:val="20"/>
        </w:rPr>
        <w:t>I have reviewed this Quarterly Report on Form 10-Q of Hughes Satellite Systems Corporation;</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2.</w:t>
      </w: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3.</w:t>
      </w: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4.</w:t>
      </w: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lineRule="auto" w:line="307" w:before="0" w:after="160"/>
        <w:ind w:left="360" w:right="0" w:hanging="360"/>
        <w:jc w:val="both"/>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val="false"/>
          <w:i w:val="false"/>
          <w:caps w:val="false"/>
          <w:smallCaps w:val="false"/>
          <w:sz w:val="20"/>
        </w:rPr>
        <w:t>5.</w:t>
      </w: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307" w:before="0" w:after="16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10018"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 </w:t>
            </w:r>
          </w:p>
        </w:tc>
      </w:tr>
    </w:tbl>
    <w:p>
      <w:pPr>
        <w:pStyle w:val="TextBody"/>
        <w:pBdr/>
        <w:bidi w:val="0"/>
        <w:spacing w:lineRule="auto" w:line="307" w:before="0" w:after="160"/>
        <w:ind w:left="360" w:right="0" w:hanging="360"/>
        <w:jc w:val="both"/>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November 14, 2025</w:t>
      </w:r>
    </w:p>
    <w:tbl>
      <w:tblPr>
        <w:tblW w:w="2510" w:type="dxa"/>
        <w:jc w:val="left"/>
        <w:tblInd w:w="0" w:type="dxa"/>
        <w:tblLayout w:type="fixed"/>
        <w:tblCellMar>
          <w:top w:w="0" w:type="dxa"/>
          <w:left w:w="0" w:type="dxa"/>
          <w:bottom w:w="0" w:type="dxa"/>
          <w:right w:w="0" w:type="dxa"/>
        </w:tblCellMar>
      </w:tblPr>
      <w:tblGrid>
        <w:gridCol w:w="2356"/>
        <w:gridCol w:w="154"/>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96060" cy="175260"/>
                      <wp:effectExtent l="0" t="0" r="0" b="0"/>
                      <wp:wrapNone/>
                      <wp:docPr id="394" name="Frame393"/>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97790" cy="175260"/>
                      <wp:effectExtent l="0" t="0" r="0" b="0"/>
                      <wp:wrapNone/>
                      <wp:docPr id="395" name="Frame3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lineRule="auto" w:line="307" w:before="0" w:after="160"/>
              <w:ind w:left="0" w:right="0" w:hanging="0"/>
              <w:jc w:val="left"/>
              <w:rPr/>
            </w:pPr>
            <w:r>
              <w:rPr/>
              <w:t>​</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235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2356" w:type="dxa"/>
            <w:tcBorders>
              <w:top w:val="single" w:sz="8"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c>
          <w:tcPr>
            <w:tcW w:w="154"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584" w:name="Section12"/>
      <w:bookmarkStart w:id="1585" w:name="hssc-20250930xex32d1.htm"/>
      <w:bookmarkStart w:id="1586" w:name="kshssc20250930xex32d1"/>
      <w:bookmarkEnd w:id="1584"/>
      <w:bookmarkEnd w:id="1585"/>
      <w:bookmarkEnd w:id="1586"/>
      <w:r>
        <w:rPr>
          <w:rFonts w:ascii="Arial;Helvetica;sans-serif" w:hAnsi="Arial;Helvetica;sans-serif"/>
          <w:b/>
          <w:sz w:val="20"/>
        </w:rPr>
        <w:t>EXHIBIT 32.1</w:t>
      </w:r>
      <w:r>
        <w:br w:type="page"/>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pPr>
      <w:r>
        <w:rPr/>
        <w:t> </w:t>
      </w: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Section 906 Certification</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Pursuant to 18 U.S.C. § 1350, the undersigned officer of Hughes Satellite Systems Corporation (the “Company”) hereby certifies that to the best of his knowledge the Company’s Quarterly Report on Form 10-Q for the three months ended September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307" w:before="0" w:after="16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8740" cy="175260"/>
                      <wp:effectExtent l="0" t="0" r="0" b="0"/>
                      <wp:wrapNone/>
                      <wp:docPr id="396" name="Frame3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78740" cy="175260"/>
                      <wp:effectExtent l="0" t="0" r="0" b="0"/>
                      <wp:wrapNone/>
                      <wp:docPr id="397" name="Frame39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012825"/>
                      <wp:effectExtent l="0" t="0" r="0" b="0"/>
                      <wp:wrapNone/>
                      <wp:docPr id="398" name="Frame397"/>
                      <a:graphic xmlns:a="http://schemas.openxmlformats.org/drawingml/2006/main">
                        <a:graphicData uri="http://schemas.microsoft.com/office/word/2010/wordprocessingShape">
                          <wps:wsp>
                            <wps:cNvSpPr txBox="1"/>
                            <wps:spPr>
                              <a:xfrm>
                                <a:off x="0" y="0"/>
                                <a:ext cx="69215" cy="1012825"/>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79.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97790" cy="2573020"/>
                      <wp:effectExtent l="0" t="0" r="0" b="0"/>
                      <wp:wrapNone/>
                      <wp:docPr id="399" name="Frame398"/>
                      <a:graphic xmlns:a="http://schemas.openxmlformats.org/drawingml/2006/main">
                        <a:graphicData uri="http://schemas.microsoft.com/office/word/2010/wordprocessingShape">
                          <wps:wsp>
                            <wps:cNvSpPr txBox="1"/>
                            <wps:spPr>
                              <a:xfrm>
                                <a:off x="0" y="0"/>
                                <a:ext cx="97790" cy="257302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02.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78740" cy="175260"/>
                      <wp:effectExtent l="0" t="0" r="0" b="0"/>
                      <wp:wrapNone/>
                      <wp:docPr id="400" name="Frame39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97790" cy="175260"/>
                      <wp:effectExtent l="0" t="0" r="0" b="0"/>
                      <wp:wrapNone/>
                      <wp:docPr id="402" name="Frame40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78740" cy="175260"/>
                      <wp:effectExtent l="0" t="0" r="0" b="0"/>
                      <wp:wrapNone/>
                      <wp:docPr id="403" name="Frame40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9215" cy="839470"/>
                      <wp:effectExtent l="0" t="0" r="0" b="0"/>
                      <wp:wrapNone/>
                      <wp:docPr id="404" name="Frame403"/>
                      <a:graphic xmlns:a="http://schemas.openxmlformats.org/drawingml/2006/main">
                        <a:graphicData uri="http://schemas.microsoft.com/office/word/2010/wordprocessingShape">
                          <wps:wsp>
                            <wps:cNvSpPr txBox="1"/>
                            <wps:spPr>
                              <a:xfrm>
                                <a:off x="0" y="0"/>
                                <a:ext cx="69215" cy="83947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66.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97790" cy="2573020"/>
                      <wp:effectExtent l="0" t="0" r="0" b="0"/>
                      <wp:wrapNone/>
                      <wp:docPr id="405" name="Frame404"/>
                      <a:graphic xmlns:a="http://schemas.openxmlformats.org/drawingml/2006/main">
                        <a:graphicData uri="http://schemas.microsoft.com/office/word/2010/wordprocessingShape">
                          <wps:wsp>
                            <wps:cNvSpPr txBox="1"/>
                            <wps:spPr>
                              <a:xfrm>
                                <a:off x="0" y="0"/>
                                <a:ext cx="97790" cy="257302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02.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78740" cy="175260"/>
                      <wp:effectExtent l="0" t="0" r="0" b="0"/>
                      <wp:wrapNone/>
                      <wp:docPr id="406" name="Frame40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7" name="Frame4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97790" cy="175260"/>
                      <wp:effectExtent l="0" t="0" r="0" b="0"/>
                      <wp:wrapNone/>
                      <wp:docPr id="408" name="Frame4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78740" cy="175260"/>
                      <wp:effectExtent l="0" t="0" r="0" b="0"/>
                      <wp:wrapNone/>
                      <wp:docPr id="409" name="Frame4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839470"/>
                      <wp:effectExtent l="0" t="0" r="0" b="0"/>
                      <wp:wrapNone/>
                      <wp:docPr id="410" name="Frame409"/>
                      <a:graphic xmlns:a="http://schemas.openxmlformats.org/drawingml/2006/main">
                        <a:graphicData uri="http://schemas.microsoft.com/office/word/2010/wordprocessingShape">
                          <wps:wsp>
                            <wps:cNvSpPr txBox="1"/>
                            <wps:spPr>
                              <a:xfrm>
                                <a:off x="0" y="0"/>
                                <a:ext cx="69215" cy="83947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66.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7790" cy="4999990"/>
                      <wp:effectExtent l="0" t="0" r="0" b="0"/>
                      <wp:wrapNone/>
                      <wp:docPr id="411" name="Frame410"/>
                      <a:graphic xmlns:a="http://schemas.openxmlformats.org/drawingml/2006/main">
                        <a:graphicData uri="http://schemas.microsoft.com/office/word/2010/wordprocessingShape">
                          <wps:wsp>
                            <wps:cNvSpPr txBox="1"/>
                            <wps:spPr>
                              <a:xfrm>
                                <a:off x="0" y="0"/>
                                <a:ext cx="97790" cy="499999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9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xbxContent>
                      </v:textbox>
                      <w10:wrap type="none"/>
                    </v:rect>
                  </w:pict>
                </mc:Fallback>
              </mc:AlternateContent>
            </w:r>
          </w:p>
        </w:tc>
      </w:tr>
    </w:tbl>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587" w:name="Section13"/>
      <w:bookmarkStart w:id="1588" w:name="hssc-20250930xex32d2.htm"/>
      <w:bookmarkStart w:id="1589" w:name="kshssc20250930xex32d2"/>
      <w:bookmarkEnd w:id="1587"/>
      <w:bookmarkEnd w:id="1588"/>
      <w:bookmarkEnd w:id="1589"/>
      <w:r>
        <w:rPr>
          <w:rFonts w:ascii="Arial;Helvetica;sans-serif" w:hAnsi="Arial;Helvetica;sans-serif"/>
          <w:b/>
          <w:sz w:val="20"/>
        </w:rPr>
        <w:t>EXHIBIT 32.2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FINANCIAL OFFICER</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Section 906 Certification</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Pursuant to 18 U.S.C. § 1350, the undersigned officer of Hughes Satellite Systems Corporation (the “Company”) hereby certifies that to the best of his knowledge the Company’s Quarterly Report on Form 10-Q for the three months ended September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both"/>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78740" cy="175260"/>
                      <wp:effectExtent l="0" t="0" r="0" b="0"/>
                      <wp:wrapNone/>
                      <wp:docPr id="412" name="Frame41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8740" cy="175260"/>
                      <wp:effectExtent l="0" t="0" r="0" b="0"/>
                      <wp:wrapNone/>
                      <wp:docPr id="413" name="Frame4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012825"/>
                      <wp:effectExtent l="0" t="0" r="0" b="0"/>
                      <wp:wrapNone/>
                      <wp:docPr id="414" name="Frame413"/>
                      <a:graphic xmlns:a="http://schemas.openxmlformats.org/drawingml/2006/main">
                        <a:graphicData uri="http://schemas.microsoft.com/office/word/2010/wordprocessingShape">
                          <wps:wsp>
                            <wps:cNvSpPr txBox="1"/>
                            <wps:spPr>
                              <a:xfrm>
                                <a:off x="0" y="0"/>
                                <a:ext cx="69215" cy="1012825"/>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79.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97790" cy="2573020"/>
                      <wp:effectExtent l="0" t="0" r="0" b="0"/>
                      <wp:wrapNone/>
                      <wp:docPr id="415" name="Frame414"/>
                      <a:graphic xmlns:a="http://schemas.openxmlformats.org/drawingml/2006/main">
                        <a:graphicData uri="http://schemas.microsoft.com/office/word/2010/wordprocessingShape">
                          <wps:wsp>
                            <wps:cNvSpPr txBox="1"/>
                            <wps:spPr>
                              <a:xfrm>
                                <a:off x="0" y="0"/>
                                <a:ext cx="97790" cy="257302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02.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78740" cy="175260"/>
                      <wp:effectExtent l="0" t="0" r="0" b="0"/>
                      <wp:wrapNone/>
                      <wp:docPr id="416" name="Frame41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97790" cy="175260"/>
                      <wp:effectExtent l="0" t="0" r="0" b="0"/>
                      <wp:wrapNone/>
                      <wp:docPr id="418" name="Frame4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78740" cy="175260"/>
                      <wp:effectExtent l="0" t="0" r="0" b="0"/>
                      <wp:wrapNone/>
                      <wp:docPr id="419" name="Frame41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839470"/>
                      <wp:effectExtent l="0" t="0" r="0" b="0"/>
                      <wp:wrapNone/>
                      <wp:docPr id="420" name="Frame419"/>
                      <a:graphic xmlns:a="http://schemas.openxmlformats.org/drawingml/2006/main">
                        <a:graphicData uri="http://schemas.microsoft.com/office/word/2010/wordprocessingShape">
                          <wps:wsp>
                            <wps:cNvSpPr txBox="1"/>
                            <wps:spPr>
                              <a:xfrm>
                                <a:off x="0" y="0"/>
                                <a:ext cx="69215" cy="83947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66.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97790" cy="2399665"/>
                      <wp:effectExtent l="0" t="0" r="0" b="0"/>
                      <wp:wrapNone/>
                      <wp:docPr id="421" name="Frame420"/>
                      <a:graphic xmlns:a="http://schemas.openxmlformats.org/drawingml/2006/main">
                        <a:graphicData uri="http://schemas.microsoft.com/office/word/2010/wordprocessingShape">
                          <wps:wsp>
                            <wps:cNvSpPr txBox="1"/>
                            <wps:spPr>
                              <a:xfrm>
                                <a:off x="0" y="0"/>
                                <a:ext cx="97790" cy="2399665"/>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88.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78740" cy="175260"/>
                      <wp:effectExtent l="0" t="0" r="0" b="0"/>
                      <wp:wrapNone/>
                      <wp:docPr id="422" name="Frame42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97790" cy="175260"/>
                      <wp:effectExtent l="0" t="0" r="0" b="0"/>
                      <wp:wrapNone/>
                      <wp:docPr id="424" name="Frame4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78740" cy="175260"/>
                      <wp:effectExtent l="0" t="0" r="0" b="0"/>
                      <wp:wrapNone/>
                      <wp:docPr id="425" name="Frame42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839470"/>
                      <wp:effectExtent l="0" t="0" r="0" b="0"/>
                      <wp:wrapNone/>
                      <wp:docPr id="426" name="Frame425"/>
                      <a:graphic xmlns:a="http://schemas.openxmlformats.org/drawingml/2006/main">
                        <a:graphicData uri="http://schemas.microsoft.com/office/word/2010/wordprocessingShape">
                          <wps:wsp>
                            <wps:cNvSpPr txBox="1"/>
                            <wps:spPr>
                              <a:xfrm>
                                <a:off x="0" y="0"/>
                                <a:ext cx="69215" cy="839470"/>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66.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97790" cy="3439795"/>
                      <wp:effectExtent l="0" t="0" r="0" b="0"/>
                      <wp:wrapNone/>
                      <wp:docPr id="427" name="Frame426"/>
                      <a:graphic xmlns:a="http://schemas.openxmlformats.org/drawingml/2006/main">
                        <a:graphicData uri="http://schemas.microsoft.com/office/word/2010/wordprocessingShape">
                          <wps:wsp>
                            <wps:cNvSpPr txBox="1"/>
                            <wps:spPr>
                              <a:xfrm>
                                <a:off x="0" y="0"/>
                                <a:ext cx="97790" cy="3439795"/>
                              </a:xfrm>
                              <a:prstGeom prst="rect"/>
                              <a:solidFill>
                                <a:srgbClr val="FFFFFF"/>
                              </a:solidFill>
                            </wps:spPr>
                            <wps:txb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7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xbxContent>
                      </v:textbox>
                      <w10:wrap type="none"/>
                    </v:rect>
                  </w:pict>
                </mc:Fallback>
              </mc:AlternateContent>
            </w:r>
          </w:p>
        </w:tc>
      </w:tr>
    </w:tbl>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15404/000141540425000010/tmb-20250509xex99d1.htm" TargetMode="External"/><Relationship Id="rId4" Type="http://schemas.openxmlformats.org/officeDocument/2006/relationships/hyperlink" Target="https://www.sec.gov/Archives/edgar/data/1001082/000141540425000045/tmb-20250908xex99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26881</Words>
  <Characters>153803</Characters>
  <CharactersWithSpaces>182138</CharactersWithSpaces>
  <Paragraphs>7328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