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4"/>
          <w:szCs w:val="14"/>
          <w:b w:val="1"/>
          <w:bCs w:val="1"/>
          <w:color w:val="auto"/>
        </w:rPr>
        <w:t>ANNUAL REPORT PURSUANT TO SECTION 13 OR 15(d) OF THE SECURITIES EXCHANGE ACT OF 1934 FOR THE FISCAL YEAR ENDED DECEMBER 31, 2018</w:t>
      </w:r>
    </w:p>
    <w:p>
      <w:pPr>
        <w:spacing w:after="0" w:line="151" w:lineRule="exact"/>
        <w:rPr>
          <w:sz w:val="24"/>
          <w:szCs w:val="24"/>
          <w:color w:val="auto"/>
        </w:rPr>
      </w:pPr>
    </w:p>
    <w:p>
      <w:pPr>
        <w:ind w:left="5580"/>
        <w:spacing w:after="0"/>
        <w:rPr>
          <w:sz w:val="20"/>
          <w:szCs w:val="20"/>
          <w:color w:val="auto"/>
        </w:rPr>
      </w:pPr>
      <w:r>
        <w:rPr>
          <w:rFonts w:ascii="Arial" w:cs="Arial" w:eastAsia="Arial" w:hAnsi="Arial"/>
          <w:sz w:val="14"/>
          <w:szCs w:val="14"/>
          <w:b w:val="1"/>
          <w:bCs w:val="1"/>
          <w:color w:val="auto"/>
        </w:rPr>
        <w:t>OR</w:t>
      </w:r>
    </w:p>
    <w:p>
      <w:pPr>
        <w:spacing w:after="0" w:line="119"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26" w:lineRule="exact"/>
        <w:rPr>
          <w:sz w:val="24"/>
          <w:szCs w:val="24"/>
          <w:color w:val="auto"/>
        </w:rPr>
      </w:pPr>
    </w:p>
    <w:p>
      <w:pPr>
        <w:ind w:left="420"/>
        <w:spacing w:after="0"/>
        <w:tabs>
          <w:tab w:leader="none" w:pos="2700" w:val="left"/>
          <w:tab w:leader="none" w:pos="4660" w:val="left"/>
        </w:tabs>
        <w:rPr>
          <w:sz w:val="20"/>
          <w:szCs w:val="20"/>
          <w:color w:val="auto"/>
        </w:rPr>
      </w:pPr>
      <w:r>
        <w:rPr>
          <w:rFonts w:ascii="Arial" w:cs="Arial" w:eastAsia="Arial" w:hAnsi="Arial"/>
          <w:sz w:val="14"/>
          <w:szCs w:val="14"/>
          <w:b w:val="1"/>
          <w:bCs w:val="1"/>
          <w:color w:val="auto"/>
        </w:rPr>
        <w:t>FROM</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633095</wp:posOffset>
            </wp:positionH>
            <wp:positionV relativeFrom="paragraph">
              <wp:posOffset>635</wp:posOffset>
            </wp:positionV>
            <wp:extent cx="837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890"/>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635</wp:posOffset>
            </wp:positionV>
            <wp:extent cx="8375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37565"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333-179121</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Hughes Satellite Systems Corporation</w:t>
      </w:r>
    </w:p>
    <w:p>
      <w:pPr>
        <w:spacing w:after="0" w:line="40" w:lineRule="exact"/>
        <w:rPr>
          <w:sz w:val="24"/>
          <w:szCs w:val="24"/>
          <w:color w:val="auto"/>
        </w:rPr>
      </w:pPr>
    </w:p>
    <w:tbl>
      <w:tblPr>
        <w:tblLayout w:type="fixed"/>
        <w:tblInd w:w="840" w:type="dxa"/>
        <w:tblCellMar>
          <w:top w:w="0" w:type="dxa"/>
          <w:left w:w="0" w:type="dxa"/>
          <w:bottom w:w="0" w:type="dxa"/>
          <w:right w:w="0" w:type="dxa"/>
        </w:tblCellMar>
      </w:tblPr>
      <w:tr>
        <w:trPr>
          <w:trHeight w:val="172"/>
        </w:trPr>
        <w:tc>
          <w:tcPr>
            <w:tcW w:w="6600" w:type="dxa"/>
            <w:vAlign w:val="bottom"/>
          </w:tcPr>
          <w:p>
            <w:pPr>
              <w:ind w:left="3220"/>
              <w:spacing w:after="0"/>
              <w:rPr>
                <w:sz w:val="20"/>
                <w:szCs w:val="20"/>
                <w:color w:val="auto"/>
              </w:rPr>
            </w:pPr>
            <w:r>
              <w:rPr>
                <w:rFonts w:ascii="Arial" w:cs="Arial" w:eastAsia="Arial" w:hAnsi="Arial"/>
                <w:sz w:val="14"/>
                <w:szCs w:val="14"/>
                <w:color w:val="auto"/>
              </w:rPr>
              <w:t>(Exact name of registrant as specified in its charter)</w:t>
            </w:r>
          </w:p>
        </w:tc>
        <w:tc>
          <w:tcPr>
            <w:tcW w:w="2340" w:type="dxa"/>
            <w:vAlign w:val="bottom"/>
          </w:tcPr>
          <w:p>
            <w:pPr>
              <w:spacing w:after="0"/>
              <w:rPr>
                <w:sz w:val="14"/>
                <w:szCs w:val="14"/>
                <w:color w:val="auto"/>
              </w:rPr>
            </w:pPr>
          </w:p>
        </w:tc>
      </w:tr>
      <w:tr>
        <w:trPr>
          <w:trHeight w:val="324"/>
        </w:trPr>
        <w:tc>
          <w:tcPr>
            <w:tcW w:w="6600" w:type="dxa"/>
            <w:vAlign w:val="bottom"/>
          </w:tcPr>
          <w:p>
            <w:pPr>
              <w:jc w:val="center"/>
              <w:ind w:right="2708"/>
              <w:spacing w:after="0"/>
              <w:rPr>
                <w:sz w:val="20"/>
                <w:szCs w:val="20"/>
                <w:color w:val="auto"/>
              </w:rPr>
            </w:pPr>
            <w:r>
              <w:rPr>
                <w:rFonts w:ascii="Arial" w:cs="Arial" w:eastAsia="Arial" w:hAnsi="Arial"/>
                <w:sz w:val="14"/>
                <w:szCs w:val="14"/>
                <w:b w:val="1"/>
                <w:bCs w:val="1"/>
                <w:color w:val="auto"/>
              </w:rPr>
              <w:t>Colorado</w:t>
            </w:r>
          </w:p>
        </w:tc>
        <w:tc>
          <w:tcPr>
            <w:tcW w:w="2340" w:type="dxa"/>
            <w:vAlign w:val="bottom"/>
          </w:tcPr>
          <w:p>
            <w:pPr>
              <w:jc w:val="center"/>
              <w:ind w:left="48"/>
              <w:spacing w:after="0"/>
              <w:rPr>
                <w:sz w:val="20"/>
                <w:szCs w:val="20"/>
                <w:color w:val="auto"/>
              </w:rPr>
            </w:pPr>
            <w:r>
              <w:rPr>
                <w:rFonts w:ascii="Arial" w:cs="Arial" w:eastAsia="Arial" w:hAnsi="Arial"/>
                <w:sz w:val="14"/>
                <w:szCs w:val="14"/>
                <w:b w:val="1"/>
                <w:bCs w:val="1"/>
                <w:color w:val="auto"/>
              </w:rPr>
              <w:t>45-0897865</w:t>
            </w:r>
          </w:p>
        </w:tc>
      </w:tr>
      <w:tr>
        <w:trPr>
          <w:trHeight w:val="216"/>
        </w:trPr>
        <w:tc>
          <w:tcPr>
            <w:tcW w:w="6600" w:type="dxa"/>
            <w:vAlign w:val="bottom"/>
          </w:tcPr>
          <w:p>
            <w:pPr>
              <w:jc w:val="center"/>
              <w:ind w:right="2708"/>
              <w:spacing w:after="0"/>
              <w:rPr>
                <w:sz w:val="20"/>
                <w:szCs w:val="20"/>
                <w:color w:val="auto"/>
              </w:rPr>
            </w:pPr>
            <w:r>
              <w:rPr>
                <w:rFonts w:ascii="Arial" w:cs="Arial" w:eastAsia="Arial" w:hAnsi="Arial"/>
                <w:sz w:val="14"/>
                <w:szCs w:val="14"/>
                <w:color w:val="auto"/>
              </w:rPr>
              <w:t>(State or Other Jurisdiction of Incorporation or Organization)</w:t>
            </w:r>
          </w:p>
        </w:tc>
        <w:tc>
          <w:tcPr>
            <w:tcW w:w="2340" w:type="dxa"/>
            <w:vAlign w:val="bottom"/>
          </w:tcPr>
          <w:p>
            <w:pPr>
              <w:jc w:val="center"/>
              <w:ind w:left="48"/>
              <w:spacing w:after="0"/>
              <w:rPr>
                <w:sz w:val="20"/>
                <w:szCs w:val="20"/>
                <w:color w:val="auto"/>
              </w:rPr>
            </w:pPr>
            <w:r>
              <w:rPr>
                <w:rFonts w:ascii="Arial" w:cs="Arial" w:eastAsia="Arial" w:hAnsi="Arial"/>
                <w:sz w:val="14"/>
                <w:szCs w:val="14"/>
                <w:color w:val="auto"/>
              </w:rPr>
              <w:t>(I.R.S. Employer Identification No.)</w:t>
            </w:r>
          </w:p>
        </w:tc>
      </w:tr>
      <w:tr>
        <w:trPr>
          <w:trHeight w:val="351"/>
        </w:trPr>
        <w:tc>
          <w:tcPr>
            <w:tcW w:w="6600" w:type="dxa"/>
            <w:vAlign w:val="bottom"/>
          </w:tcPr>
          <w:p>
            <w:pPr>
              <w:jc w:val="center"/>
              <w:ind w:right="2708"/>
              <w:spacing w:after="0"/>
              <w:rPr>
                <w:sz w:val="20"/>
                <w:szCs w:val="20"/>
                <w:color w:val="auto"/>
              </w:rPr>
            </w:pPr>
            <w:r>
              <w:rPr>
                <w:rFonts w:ascii="Arial" w:cs="Arial" w:eastAsia="Arial" w:hAnsi="Arial"/>
                <w:sz w:val="14"/>
                <w:szCs w:val="14"/>
                <w:b w:val="1"/>
                <w:bCs w:val="1"/>
                <w:color w:val="auto"/>
              </w:rPr>
              <w:t>100 Inverness Terrace East, Englewood, Colorado</w:t>
            </w:r>
          </w:p>
        </w:tc>
        <w:tc>
          <w:tcPr>
            <w:tcW w:w="2340" w:type="dxa"/>
            <w:vAlign w:val="bottom"/>
          </w:tcPr>
          <w:p>
            <w:pPr>
              <w:jc w:val="center"/>
              <w:ind w:left="48"/>
              <w:spacing w:after="0"/>
              <w:rPr>
                <w:sz w:val="20"/>
                <w:szCs w:val="20"/>
                <w:color w:val="auto"/>
              </w:rPr>
            </w:pPr>
            <w:r>
              <w:rPr>
                <w:rFonts w:ascii="Arial" w:cs="Arial" w:eastAsia="Arial" w:hAnsi="Arial"/>
                <w:sz w:val="14"/>
                <w:szCs w:val="14"/>
                <w:b w:val="1"/>
                <w:bCs w:val="1"/>
                <w:color w:val="auto"/>
              </w:rPr>
              <w:t>80112-5308</w:t>
            </w:r>
          </w:p>
        </w:tc>
      </w:tr>
      <w:tr>
        <w:trPr>
          <w:trHeight w:val="270"/>
        </w:trPr>
        <w:tc>
          <w:tcPr>
            <w:tcW w:w="6600" w:type="dxa"/>
            <w:vAlign w:val="bottom"/>
          </w:tcPr>
          <w:p>
            <w:pPr>
              <w:jc w:val="center"/>
              <w:ind w:right="2708"/>
              <w:spacing w:after="0"/>
              <w:rPr>
                <w:sz w:val="20"/>
                <w:szCs w:val="20"/>
                <w:color w:val="auto"/>
              </w:rPr>
            </w:pPr>
            <w:r>
              <w:rPr>
                <w:rFonts w:ascii="Arial" w:cs="Arial" w:eastAsia="Arial" w:hAnsi="Arial"/>
                <w:sz w:val="14"/>
                <w:szCs w:val="14"/>
                <w:color w:val="auto"/>
              </w:rPr>
              <w:t>(Address of Principal Executive Offices)</w:t>
            </w:r>
          </w:p>
        </w:tc>
        <w:tc>
          <w:tcPr>
            <w:tcW w:w="2340" w:type="dxa"/>
            <w:vAlign w:val="bottom"/>
          </w:tcPr>
          <w:p>
            <w:pPr>
              <w:jc w:val="center"/>
              <w:ind w:left="68"/>
              <w:spacing w:after="0"/>
              <w:rPr>
                <w:sz w:val="20"/>
                <w:szCs w:val="20"/>
                <w:color w:val="auto"/>
              </w:rPr>
            </w:pPr>
            <w:r>
              <w:rPr>
                <w:rFonts w:ascii="Arial" w:cs="Arial" w:eastAsia="Arial" w:hAnsi="Arial"/>
                <w:sz w:val="14"/>
                <w:szCs w:val="14"/>
                <w:color w:val="auto"/>
              </w:rPr>
              <w:t>(Zip Code)</w:t>
            </w:r>
          </w:p>
        </w:tc>
      </w:tr>
    </w:tbl>
    <w:p>
      <w:pPr>
        <w:spacing w:after="0" w:line="215" w:lineRule="exact"/>
        <w:rPr>
          <w:sz w:val="24"/>
          <w:szCs w:val="24"/>
          <w:color w:val="auto"/>
        </w:rPr>
      </w:pPr>
    </w:p>
    <w:p>
      <w:pPr>
        <w:jc w:val="right"/>
        <w:ind w:right="35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(303) 706-4000</w:t>
      </w:r>
    </w:p>
    <w:p>
      <w:pPr>
        <w:spacing w:after="0" w:line="55" w:lineRule="exact"/>
        <w:rPr>
          <w:sz w:val="24"/>
          <w:szCs w:val="24"/>
          <w:color w:val="auto"/>
        </w:rPr>
      </w:pPr>
    </w:p>
    <w:p>
      <w:pPr>
        <w:jc w:val="right"/>
        <w:ind w:right="3520"/>
        <w:spacing w:after="0"/>
        <w:rPr>
          <w:sz w:val="20"/>
          <w:szCs w:val="20"/>
          <w:color w:val="auto"/>
        </w:rPr>
      </w:pPr>
      <w:r>
        <w:rPr>
          <w:rFonts w:ascii="Arial" w:cs="Arial" w:eastAsia="Arial" w:hAnsi="Arial"/>
          <w:sz w:val="14"/>
          <w:szCs w:val="14"/>
          <w:color w:val="auto"/>
        </w:rPr>
        <w:t xml:space="preserve">Securities registered pursuant to Section 12(b) of the Act: </w:t>
      </w:r>
      <w:r>
        <w:rPr>
          <w:rFonts w:ascii="Arial" w:cs="Arial" w:eastAsia="Arial" w:hAnsi="Arial"/>
          <w:sz w:val="14"/>
          <w:szCs w:val="14"/>
          <w:b w:val="1"/>
          <w:bCs w:val="1"/>
          <w:color w:val="auto"/>
        </w:rPr>
        <w:t>None</w:t>
      </w:r>
    </w:p>
    <w:p>
      <w:pPr>
        <w:spacing w:after="0" w:line="55" w:lineRule="exact"/>
        <w:rPr>
          <w:sz w:val="24"/>
          <w:szCs w:val="24"/>
          <w:color w:val="auto"/>
        </w:rPr>
      </w:pPr>
    </w:p>
    <w:p>
      <w:pPr>
        <w:jc w:val="right"/>
        <w:ind w:right="35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44"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o No </w:t>
      </w:r>
      <w:r>
        <w:rPr>
          <w:rFonts w:ascii="MS PGothic" w:cs="MS PGothic" w:eastAsia="MS PGothic" w:hAnsi="MS PGothic"/>
          <w:sz w:val="14"/>
          <w:szCs w:val="14"/>
          <w:color w:val="auto"/>
        </w:rPr>
        <w:t>☒</w:t>
      </w:r>
    </w:p>
    <w:p>
      <w:pPr>
        <w:spacing w:after="0" w:line="17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14" w:lineRule="exact"/>
        <w:rPr>
          <w:sz w:val="24"/>
          <w:szCs w:val="24"/>
          <w:color w:val="auto"/>
        </w:rPr>
      </w:pPr>
    </w:p>
    <w:p>
      <w:pPr>
        <w:jc w:val="both"/>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50" w:lineRule="exact"/>
        <w:rPr>
          <w:sz w:val="24"/>
          <w:szCs w:val="24"/>
          <w:color w:val="auto"/>
        </w:rPr>
      </w:pPr>
    </w:p>
    <w:p>
      <w:pPr>
        <w:jc w:val="both"/>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50" w:lineRule="exact"/>
        <w:rPr>
          <w:sz w:val="24"/>
          <w:szCs w:val="24"/>
          <w:color w:val="auto"/>
        </w:rPr>
      </w:pPr>
    </w:p>
    <w:p>
      <w:pPr>
        <w:jc w:val="both"/>
        <w:ind w:right="20"/>
        <w:spacing w:after="0" w:line="176"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50" w:lineRule="exact"/>
        <w:rPr>
          <w:sz w:val="24"/>
          <w:szCs w:val="24"/>
          <w:color w:val="auto"/>
        </w:rPr>
      </w:pPr>
    </w:p>
    <w:p>
      <w:pPr>
        <w:jc w:val="both"/>
        <w:ind w:right="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26" w:lineRule="exact"/>
        <w:rPr>
          <w:sz w:val="24"/>
          <w:szCs w:val="24"/>
          <w:color w:val="auto"/>
        </w:rPr>
      </w:pPr>
    </w:p>
    <w:tbl>
      <w:tblPr>
        <w:tblLayout w:type="fixed"/>
        <w:tblInd w:w="1300" w:type="dxa"/>
        <w:tblCellMar>
          <w:top w:w="0" w:type="dxa"/>
          <w:left w:w="0" w:type="dxa"/>
          <w:bottom w:w="0" w:type="dxa"/>
          <w:right w:w="0" w:type="dxa"/>
        </w:tblCellMar>
      </w:tblPr>
      <w:tr>
        <w:trPr>
          <w:trHeight w:val="182"/>
        </w:trPr>
        <w:tc>
          <w:tcPr>
            <w:tcW w:w="4680" w:type="dxa"/>
            <w:vAlign w:val="bottom"/>
          </w:tcPr>
          <w:p>
            <w:pPr>
              <w:jc w:val="center"/>
              <w:ind w:right="1708"/>
              <w:spacing w:after="0"/>
              <w:rPr>
                <w:sz w:val="20"/>
                <w:szCs w:val="20"/>
                <w:color w:val="auto"/>
              </w:rPr>
            </w:pPr>
            <w:r>
              <w:rPr>
                <w:rFonts w:ascii="Arial" w:cs="Arial" w:eastAsia="Arial" w:hAnsi="Arial"/>
                <w:sz w:val="14"/>
                <w:szCs w:val="14"/>
                <w:color w:val="auto"/>
              </w:rPr>
              <w:t>Large accelerated filer o</w:t>
            </w:r>
          </w:p>
        </w:tc>
        <w:tc>
          <w:tcPr>
            <w:tcW w:w="3600" w:type="dxa"/>
            <w:vAlign w:val="bottom"/>
          </w:tcPr>
          <w:p>
            <w:pPr>
              <w:jc w:val="center"/>
              <w:ind w:left="1708"/>
              <w:spacing w:after="0"/>
              <w:rPr>
                <w:sz w:val="20"/>
                <w:szCs w:val="20"/>
                <w:color w:val="auto"/>
              </w:rPr>
            </w:pPr>
            <w:r>
              <w:rPr>
                <w:rFonts w:ascii="Arial" w:cs="Arial" w:eastAsia="Arial" w:hAnsi="Arial"/>
                <w:sz w:val="14"/>
                <w:szCs w:val="14"/>
                <w:color w:val="auto"/>
              </w:rPr>
              <w:t>Accelerated filer o</w:t>
            </w:r>
          </w:p>
        </w:tc>
        <w:tc>
          <w:tcPr>
            <w:tcW w:w="0" w:type="dxa"/>
            <w:vAlign w:val="bottom"/>
          </w:tcPr>
          <w:p>
            <w:pPr>
              <w:spacing w:after="0"/>
              <w:rPr>
                <w:sz w:val="1"/>
                <w:szCs w:val="1"/>
                <w:color w:val="auto"/>
              </w:rPr>
            </w:pPr>
          </w:p>
        </w:tc>
      </w:tr>
      <w:tr>
        <w:trPr>
          <w:trHeight w:val="206"/>
        </w:trPr>
        <w:tc>
          <w:tcPr>
            <w:tcW w:w="4680" w:type="dxa"/>
            <w:vAlign w:val="bottom"/>
          </w:tcPr>
          <w:p>
            <w:pPr>
              <w:jc w:val="center"/>
              <w:ind w:right="1728"/>
              <w:spacing w:after="0"/>
              <w:rPr>
                <w:sz w:val="20"/>
                <w:szCs w:val="20"/>
                <w:color w:val="auto"/>
              </w:rPr>
            </w:pPr>
            <w:r>
              <w:rPr>
                <w:rFonts w:ascii="Arial" w:cs="Arial" w:eastAsia="Arial" w:hAnsi="Arial"/>
                <w:sz w:val="14"/>
                <w:szCs w:val="14"/>
                <w:color w:val="auto"/>
              </w:rPr>
              <w:t>Non-accelerated filer x</w:t>
            </w:r>
          </w:p>
        </w:tc>
        <w:tc>
          <w:tcPr>
            <w:tcW w:w="3600" w:type="dxa"/>
            <w:vAlign w:val="bottom"/>
            <w:vMerge w:val="restart"/>
          </w:tcPr>
          <w:p>
            <w:pPr>
              <w:jc w:val="center"/>
              <w:ind w:left="1708"/>
              <w:spacing w:after="0"/>
              <w:rPr>
                <w:sz w:val="20"/>
                <w:szCs w:val="20"/>
                <w:color w:val="auto"/>
              </w:rPr>
            </w:pPr>
            <w:r>
              <w:rPr>
                <w:rFonts w:ascii="Arial" w:cs="Arial" w:eastAsia="Arial" w:hAnsi="Arial"/>
                <w:sz w:val="14"/>
                <w:szCs w:val="14"/>
                <w:color w:val="auto"/>
              </w:rPr>
              <w:t>Smaller reporting company o</w:t>
            </w:r>
          </w:p>
        </w:tc>
        <w:tc>
          <w:tcPr>
            <w:tcW w:w="0" w:type="dxa"/>
            <w:vAlign w:val="bottom"/>
          </w:tcPr>
          <w:p>
            <w:pPr>
              <w:spacing w:after="0"/>
              <w:rPr>
                <w:sz w:val="1"/>
                <w:szCs w:val="1"/>
                <w:color w:val="auto"/>
              </w:rPr>
            </w:pPr>
          </w:p>
        </w:tc>
      </w:tr>
      <w:tr>
        <w:trPr>
          <w:trHeight w:val="172"/>
        </w:trPr>
        <w:tc>
          <w:tcPr>
            <w:tcW w:w="4680" w:type="dxa"/>
            <w:vAlign w:val="bottom"/>
          </w:tcPr>
          <w:p>
            <w:pPr>
              <w:jc w:val="center"/>
              <w:ind w:right="1708"/>
              <w:spacing w:after="0"/>
              <w:rPr>
                <w:sz w:val="20"/>
                <w:szCs w:val="20"/>
                <w:color w:val="auto"/>
              </w:rPr>
            </w:pPr>
            <w:r>
              <w:rPr>
                <w:rFonts w:ascii="Arial" w:cs="Arial" w:eastAsia="Arial" w:hAnsi="Arial"/>
                <w:sz w:val="14"/>
                <w:szCs w:val="14"/>
                <w:color w:val="auto"/>
              </w:rPr>
              <w:t>(Do not check if a smaller reporting company)</w:t>
            </w:r>
          </w:p>
        </w:tc>
        <w:tc>
          <w:tcPr>
            <w:tcW w:w="3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3600" w:type="dxa"/>
            <w:vAlign w:val="bottom"/>
          </w:tcPr>
          <w:p>
            <w:pPr>
              <w:jc w:val="center"/>
              <w:ind w:left="1708"/>
              <w:spacing w:after="0"/>
              <w:rPr>
                <w:sz w:val="20"/>
                <w:szCs w:val="20"/>
                <w:color w:val="auto"/>
              </w:rPr>
            </w:pPr>
            <w:r>
              <w:rPr>
                <w:rFonts w:ascii="Arial" w:cs="Arial" w:eastAsia="Arial" w:hAnsi="Arial"/>
                <w:sz w:val="14"/>
                <w:szCs w:val="14"/>
                <w:color w:val="auto"/>
              </w:rPr>
              <w:t>Emerging growth company o</w:t>
            </w:r>
          </w:p>
        </w:tc>
        <w:tc>
          <w:tcPr>
            <w:tcW w:w="0" w:type="dxa"/>
            <w:vAlign w:val="bottom"/>
          </w:tcPr>
          <w:p>
            <w:pPr>
              <w:spacing w:after="0"/>
              <w:rPr>
                <w:sz w:val="1"/>
                <w:szCs w:val="1"/>
                <w:color w:val="auto"/>
              </w:rPr>
            </w:pPr>
          </w:p>
        </w:tc>
      </w:tr>
    </w:tbl>
    <w:p>
      <w:pPr>
        <w:spacing w:after="0" w:line="71"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214"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registrant’s voting interests held by non-affiliates on June 30, 2018 was $0.</w:t>
      </w:r>
    </w:p>
    <w:p>
      <w:pPr>
        <w:spacing w:after="0" w:line="163"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11, 2019, the registrant’s outstanding common stock consisted of 1,078 shares of common stock, $0.01 par value per share.</w:t>
      </w:r>
    </w:p>
    <w:p>
      <w:pPr>
        <w:spacing w:after="0" w:line="163"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The Registrant meets the conditions set forth in General Instructions (I)(1)(a) and (b) of Form 10-K and is therefore filing this Annual Report on Form 10-K with the reduced disclosure format.</w:t>
      </w:r>
    </w:p>
    <w:p>
      <w:pPr>
        <w:spacing w:after="0" w:line="140" w:lineRule="exact"/>
        <w:rPr>
          <w:sz w:val="24"/>
          <w:szCs w:val="24"/>
          <w:color w:val="auto"/>
        </w:rPr>
      </w:pPr>
    </w:p>
    <w:p>
      <w:pPr>
        <w:jc w:val="both"/>
        <w:ind w:firstLine="8"/>
        <w:spacing w:after="0" w:line="250" w:lineRule="auto"/>
        <w:tabs>
          <w:tab w:leader="none" w:pos="97"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Registrant currently is not subject to the filing requirements of Section 13 or 15(d) of the Securities Exchange Act of 1934 and is filing this Annual Report on Form 10-K on a voluntary basis. The Registrant has filed all reports required to be filed by Section 13 or 15(d) of the Securities Exchange Act of 1934 during the preceding 12 months as if it were subject to such filing requirements during such period.</w:t>
      </w:r>
    </w:p>
    <w:p>
      <w:pPr>
        <w:spacing w:after="0" w:line="12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ectPr>
          <w:pgSz w:w="11900" w:h="16838" w:orient="portrait"/>
          <w:cols w:equalWidth="0" w:num="1">
            <w:col w:w="11420"/>
          </w:cols>
          <w:pgMar w:left="240" w:top="2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5"/>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60" w:type="dxa"/>
            <w:vAlign w:val="bottom"/>
            <w:gridSpan w:val="12"/>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024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 Looking Statements</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493"/>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gridSpan w:val="6"/>
          </w:tcPr>
          <w:p>
            <w:pPr>
              <w:jc w:val="center"/>
              <w:ind w:right="428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4000" w:type="dxa"/>
            <w:vAlign w:val="bottom"/>
            <w:gridSpan w:val="2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0000EE"/>
            </w:tcBorders>
          </w:tcPr>
          <w:p>
            <w:pPr>
              <w:spacing w:after="0"/>
              <w:rPr>
                <w:sz w:val="24"/>
                <w:szCs w:val="24"/>
                <w:color w:val="auto"/>
              </w:rPr>
            </w:pPr>
          </w:p>
        </w:tc>
        <w:tc>
          <w:tcPr>
            <w:tcW w:w="4280" w:type="dxa"/>
            <w:vAlign w:val="bottom"/>
            <w:gridSpan w:val="5"/>
          </w:tcPr>
          <w:p>
            <w:pPr>
              <w:spacing w:after="0"/>
              <w:rPr>
                <w:sz w:val="24"/>
                <w:szCs w:val="24"/>
                <w:color w:val="auto"/>
              </w:rPr>
            </w:pPr>
          </w:p>
        </w:tc>
        <w:tc>
          <w:tcPr>
            <w:tcW w:w="112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Item 1A.</w:t>
              </w:r>
            </w:hyperlink>
          </w:p>
        </w:tc>
        <w:tc>
          <w:tcPr>
            <w:tcW w:w="740" w:type="dxa"/>
            <w:vAlign w:val="bottom"/>
            <w:gridSpan w:val="2"/>
          </w:tcPr>
          <w:p>
            <w:pPr>
              <w:spacing w:after="0"/>
              <w:rPr>
                <w:sz w:val="20"/>
                <w:szCs w:val="20"/>
                <w:color w:val="auto"/>
              </w:rPr>
            </w:pPr>
          </w:p>
        </w:tc>
        <w:tc>
          <w:tcPr>
            <w:tcW w:w="940" w:type="dxa"/>
            <w:vAlign w:val="bottom"/>
            <w:gridSpan w:val="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Risk Factors</w:t>
              </w:r>
            </w:hyperlink>
          </w:p>
        </w:tc>
        <w:tc>
          <w:tcPr>
            <w:tcW w:w="7920" w:type="dxa"/>
            <w:vAlign w:val="bottom"/>
            <w:gridSpan w:val="21"/>
          </w:tcPr>
          <w:p>
            <w:pPr>
              <w:spacing w:after="0"/>
              <w:rPr>
                <w:sz w:val="20"/>
                <w:szCs w:val="20"/>
                <w:color w:val="auto"/>
              </w:rPr>
            </w:pPr>
          </w:p>
        </w:tc>
        <w:tc>
          <w:tcPr>
            <w:tcW w:w="112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gridSpan w:val="2"/>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Item 1B.</w:t>
              </w:r>
            </w:hyperlink>
          </w:p>
        </w:tc>
        <w:tc>
          <w:tcPr>
            <w:tcW w:w="740" w:type="dxa"/>
            <w:vAlign w:val="bottom"/>
            <w:gridSpan w:val="2"/>
          </w:tcPr>
          <w:p>
            <w:pPr>
              <w:spacing w:after="0"/>
              <w:rPr>
                <w:sz w:val="20"/>
                <w:szCs w:val="20"/>
                <w:color w:val="auto"/>
              </w:rPr>
            </w:pPr>
          </w:p>
        </w:tc>
        <w:tc>
          <w:tcPr>
            <w:tcW w:w="8860" w:type="dxa"/>
            <w:vAlign w:val="bottom"/>
            <w:gridSpan w:val="2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1120" w:type="dxa"/>
            <w:vAlign w:val="bottom"/>
            <w:gridSpan w:val="4"/>
          </w:tcPr>
          <w:p>
            <w:pPr>
              <w:jc w:val="right"/>
              <w:spacing w:after="0"/>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gridSpan w:val="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740" w:type="dxa"/>
            <w:vAlign w:val="bottom"/>
            <w:gridSpan w:val="2"/>
          </w:tcPr>
          <w:p>
            <w:pPr>
              <w:spacing w:after="0"/>
              <w:rPr>
                <w:sz w:val="20"/>
                <w:szCs w:val="20"/>
                <w:color w:val="auto"/>
              </w:rPr>
            </w:pPr>
          </w:p>
        </w:tc>
        <w:tc>
          <w:tcPr>
            <w:tcW w:w="2240" w:type="dxa"/>
            <w:vAlign w:val="bottom"/>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6620" w:type="dxa"/>
            <w:vAlign w:val="bottom"/>
            <w:gridSpan w:val="15"/>
          </w:tcPr>
          <w:p>
            <w:pPr>
              <w:spacing w:after="0"/>
              <w:rPr>
                <w:sz w:val="20"/>
                <w:szCs w:val="20"/>
                <w:color w:val="auto"/>
              </w:rPr>
            </w:pPr>
          </w:p>
        </w:tc>
        <w:tc>
          <w:tcPr>
            <w:tcW w:w="112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38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8860" w:type="dxa"/>
            <w:vAlign w:val="bottom"/>
            <w:gridSpan w:val="2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112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38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8860" w:type="dxa"/>
            <w:vAlign w:val="bottom"/>
            <w:gridSpan w:val="2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1120" w:type="dxa"/>
            <w:vAlign w:val="bottom"/>
            <w:gridSpan w:val="4"/>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r>
      <w:tr>
        <w:trPr>
          <w:trHeight w:val="493"/>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80" w:type="dxa"/>
            <w:vAlign w:val="bottom"/>
            <w:gridSpan w:val="7"/>
          </w:tcPr>
          <w:p>
            <w:pPr>
              <w:jc w:val="center"/>
              <w:ind w:right="4260"/>
              <w:spacing w:after="0"/>
              <w:rPr>
                <w:rFonts w:ascii="Arial" w:cs="Arial" w:eastAsia="Arial" w:hAnsi="Arial"/>
                <w:sz w:val="18"/>
                <w:szCs w:val="18"/>
                <w:b w:val="1"/>
                <w:bCs w:val="1"/>
                <w:color w:val="0000EE"/>
                <w:w w:val="96"/>
              </w:rPr>
            </w:pPr>
            <w:hyperlink w:anchor="page27">
              <w:r>
                <w:rPr>
                  <w:rFonts w:ascii="Arial" w:cs="Arial" w:eastAsia="Arial" w:hAnsi="Arial"/>
                  <w:sz w:val="18"/>
                  <w:szCs w:val="18"/>
                  <w:b w:val="1"/>
                  <w:bCs w:val="1"/>
                  <w:color w:val="0000EE"/>
                  <w:w w:val="96"/>
                </w:rPr>
                <w:t>PART II</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8860" w:type="dxa"/>
            <w:vAlign w:val="bottom"/>
            <w:gridSpan w:val="2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Registrant’s Common Equity, Related Stockholder Matters and Issuer Purchases of Equity</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86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Securities</w:t>
              </w:r>
            </w:hyperlink>
          </w:p>
        </w:tc>
        <w:tc>
          <w:tcPr>
            <w:tcW w:w="840" w:type="dxa"/>
            <w:vAlign w:val="bottom"/>
          </w:tcPr>
          <w:p>
            <w:pPr>
              <w:spacing w:after="0"/>
              <w:rPr>
                <w:sz w:val="15"/>
                <w:szCs w:val="15"/>
                <w:color w:val="auto"/>
              </w:rPr>
            </w:pPr>
          </w:p>
        </w:tc>
        <w:tc>
          <w:tcPr>
            <w:tcW w:w="1120" w:type="dxa"/>
            <w:vAlign w:val="bottom"/>
            <w:gridSpan w:val="4"/>
          </w:tcPr>
          <w:p>
            <w:pPr>
              <w:jc w:val="right"/>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77"/>
        </w:trPr>
        <w:tc>
          <w:tcPr>
            <w:tcW w:w="4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Item 6.</w:t>
            </w:r>
          </w:p>
        </w:tc>
        <w:tc>
          <w:tcPr>
            <w:tcW w:w="8860" w:type="dxa"/>
            <w:vAlign w:val="bottom"/>
            <w:gridSpan w:val="26"/>
          </w:tcPr>
          <w:p>
            <w:pPr>
              <w:spacing w:after="0"/>
              <w:rPr>
                <w:sz w:val="20"/>
                <w:szCs w:val="20"/>
                <w:color w:val="auto"/>
              </w:rPr>
            </w:pPr>
            <w:r>
              <w:rPr>
                <w:rFonts w:ascii="Arial" w:cs="Arial" w:eastAsia="Arial" w:hAnsi="Arial"/>
                <w:sz w:val="18"/>
                <w:szCs w:val="18"/>
                <w:color w:val="auto"/>
              </w:rPr>
              <w:t>Selected Financial Data</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tcPr>
          <w:p>
            <w:pPr>
              <w:spacing w:after="0"/>
              <w:rPr>
                <w:sz w:val="18"/>
                <w:szCs w:val="18"/>
                <w:color w:val="auto"/>
              </w:rPr>
            </w:pPr>
          </w:p>
        </w:tc>
        <w:tc>
          <w:tcPr>
            <w:tcW w:w="1380" w:type="dxa"/>
            <w:vAlign w:val="bottom"/>
            <w:gridSpan w:val="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7.</w:t>
              </w:r>
            </w:hyperlink>
          </w:p>
        </w:tc>
        <w:tc>
          <w:tcPr>
            <w:tcW w:w="8860" w:type="dxa"/>
            <w:vAlign w:val="bottom"/>
            <w:gridSpan w:val="2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Narrative Analysis of Results of Operations</w:t>
              </w:r>
            </w:hyperlink>
          </w:p>
        </w:tc>
        <w:tc>
          <w:tcPr>
            <w:tcW w:w="1120" w:type="dxa"/>
            <w:vAlign w:val="bottom"/>
            <w:gridSpan w:val="4"/>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23</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38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7A.</w:t>
              </w:r>
            </w:hyperlink>
          </w:p>
        </w:tc>
        <w:tc>
          <w:tcPr>
            <w:tcW w:w="8860" w:type="dxa"/>
            <w:vAlign w:val="bottom"/>
            <w:gridSpan w:val="2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112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2460" w:type="dxa"/>
            <w:vAlign w:val="bottom"/>
            <w:tcBorders>
              <w:left w:val="single" w:sz="8" w:color="0000EE"/>
            </w:tcBorders>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8.</w:t>
              </w:r>
            </w:hyperlink>
          </w:p>
        </w:tc>
        <w:tc>
          <w:tcPr>
            <w:tcW w:w="740" w:type="dxa"/>
            <w:vAlign w:val="bottom"/>
            <w:gridSpan w:val="2"/>
          </w:tcPr>
          <w:p>
            <w:pPr>
              <w:spacing w:after="0"/>
              <w:rPr>
                <w:sz w:val="20"/>
                <w:szCs w:val="20"/>
                <w:color w:val="auto"/>
              </w:rPr>
            </w:pPr>
          </w:p>
        </w:tc>
        <w:tc>
          <w:tcPr>
            <w:tcW w:w="4660" w:type="dxa"/>
            <w:vAlign w:val="bottom"/>
            <w:gridSpan w:val="2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Financial Statements and Supplementary Data</w:t>
              </w:r>
            </w:hyperlink>
          </w:p>
        </w:tc>
        <w:tc>
          <w:tcPr>
            <w:tcW w:w="4200" w:type="dxa"/>
            <w:vAlign w:val="bottom"/>
            <w:gridSpan w:val="3"/>
          </w:tcPr>
          <w:p>
            <w:pPr>
              <w:spacing w:after="0"/>
              <w:rPr>
                <w:sz w:val="20"/>
                <w:szCs w:val="20"/>
                <w:color w:val="auto"/>
              </w:rPr>
            </w:pPr>
          </w:p>
        </w:tc>
        <w:tc>
          <w:tcPr>
            <w:tcW w:w="112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38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9.</w:t>
              </w:r>
            </w:hyperlink>
          </w:p>
        </w:tc>
        <w:tc>
          <w:tcPr>
            <w:tcW w:w="8860" w:type="dxa"/>
            <w:vAlign w:val="bottom"/>
            <w:gridSpan w:val="2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Changes in and Disagreements with Accountants on Accounting and Financial Disclosure</w:t>
              </w:r>
            </w:hyperlink>
          </w:p>
        </w:tc>
        <w:tc>
          <w:tcPr>
            <w:tcW w:w="112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2460" w:type="dxa"/>
            <w:vAlign w:val="bottom"/>
            <w:tcBorders>
              <w:left w:val="single" w:sz="8" w:color="0000EE"/>
            </w:tcBorders>
            <w:shd w:val="clear" w:color="auto" w:fill="0000EE"/>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gridSpan w:val="2"/>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9A.</w:t>
              </w:r>
            </w:hyperlink>
          </w:p>
        </w:tc>
        <w:tc>
          <w:tcPr>
            <w:tcW w:w="740" w:type="dxa"/>
            <w:vAlign w:val="bottom"/>
            <w:gridSpan w:val="2"/>
          </w:tcPr>
          <w:p>
            <w:pPr>
              <w:spacing w:after="0"/>
              <w:rPr>
                <w:sz w:val="20"/>
                <w:szCs w:val="20"/>
                <w:color w:val="auto"/>
              </w:rPr>
            </w:pPr>
          </w:p>
        </w:tc>
        <w:tc>
          <w:tcPr>
            <w:tcW w:w="8860" w:type="dxa"/>
            <w:vAlign w:val="bottom"/>
            <w:gridSpan w:val="2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1120" w:type="dxa"/>
            <w:vAlign w:val="bottom"/>
            <w:gridSpan w:val="4"/>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40" w:type="dxa"/>
            <w:vAlign w:val="bottom"/>
            <w:gridSpan w:val="2"/>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Item 9B.</w:t>
              </w:r>
            </w:hyperlink>
          </w:p>
        </w:tc>
        <w:tc>
          <w:tcPr>
            <w:tcW w:w="740" w:type="dxa"/>
            <w:vAlign w:val="bottom"/>
            <w:gridSpan w:val="2"/>
          </w:tcPr>
          <w:p>
            <w:pPr>
              <w:spacing w:after="0"/>
              <w:rPr>
                <w:sz w:val="20"/>
                <w:szCs w:val="20"/>
                <w:color w:val="auto"/>
              </w:rPr>
            </w:pPr>
          </w:p>
        </w:tc>
        <w:tc>
          <w:tcPr>
            <w:tcW w:w="198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6880" w:type="dxa"/>
            <w:vAlign w:val="bottom"/>
            <w:gridSpan w:val="16"/>
          </w:tcPr>
          <w:p>
            <w:pPr>
              <w:spacing w:after="0"/>
              <w:rPr>
                <w:sz w:val="20"/>
                <w:szCs w:val="20"/>
                <w:color w:val="auto"/>
              </w:rPr>
            </w:pPr>
          </w:p>
        </w:tc>
        <w:tc>
          <w:tcPr>
            <w:tcW w:w="112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r>
      <w:tr>
        <w:trPr>
          <w:trHeight w:val="493"/>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5"/>
          </w:tcPr>
          <w:p>
            <w:pPr>
              <w:jc w:val="center"/>
              <w:ind w:right="20"/>
              <w:spacing w:after="0"/>
              <w:rPr>
                <w:rFonts w:ascii="Arial" w:cs="Arial" w:eastAsia="Arial" w:hAnsi="Arial"/>
                <w:sz w:val="18"/>
                <w:szCs w:val="18"/>
                <w:b w:val="1"/>
                <w:bCs w:val="1"/>
                <w:color w:val="0000EE"/>
                <w:w w:val="98"/>
              </w:rPr>
            </w:pPr>
            <w:hyperlink w:anchor="page43">
              <w:r>
                <w:rPr>
                  <w:rFonts w:ascii="Arial" w:cs="Arial" w:eastAsia="Arial" w:hAnsi="Arial"/>
                  <w:sz w:val="18"/>
                  <w:szCs w:val="18"/>
                  <w:b w:val="1"/>
                  <w:bCs w:val="1"/>
                  <w:color w:val="0000EE"/>
                  <w:w w:val="98"/>
                </w:rPr>
                <w:t>PART III</w:t>
              </w:r>
            </w:hyperlink>
          </w:p>
        </w:tc>
        <w:tc>
          <w:tcPr>
            <w:tcW w:w="420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34"/>
        </w:trPr>
        <w:tc>
          <w:tcPr>
            <w:tcW w:w="4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Item 10.</w:t>
            </w:r>
          </w:p>
        </w:tc>
        <w:tc>
          <w:tcPr>
            <w:tcW w:w="8860" w:type="dxa"/>
            <w:vAlign w:val="bottom"/>
            <w:gridSpan w:val="26"/>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Item 11.</w:t>
            </w:r>
          </w:p>
        </w:tc>
        <w:tc>
          <w:tcPr>
            <w:tcW w:w="8860" w:type="dxa"/>
            <w:vAlign w:val="bottom"/>
            <w:gridSpan w:val="26"/>
          </w:tcPr>
          <w:p>
            <w:pPr>
              <w:spacing w:after="0"/>
              <w:rPr>
                <w:sz w:val="20"/>
                <w:szCs w:val="20"/>
                <w:color w:val="auto"/>
              </w:rPr>
            </w:pPr>
            <w:r>
              <w:rPr>
                <w:rFonts w:ascii="Arial" w:cs="Arial" w:eastAsia="Arial" w:hAnsi="Arial"/>
                <w:sz w:val="18"/>
                <w:szCs w:val="18"/>
                <w:color w:val="auto"/>
              </w:rPr>
              <w:t>Executive Compensation</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Item 12.</w:t>
            </w:r>
          </w:p>
        </w:tc>
        <w:tc>
          <w:tcPr>
            <w:tcW w:w="8860" w:type="dxa"/>
            <w:vAlign w:val="bottom"/>
            <w:gridSpan w:val="26"/>
          </w:tcPr>
          <w:p>
            <w:pPr>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0" w:type="dxa"/>
            <w:vAlign w:val="bottom"/>
          </w:tcPr>
          <w:p>
            <w:pPr>
              <w:spacing w:after="0"/>
              <w:rPr>
                <w:sz w:val="22"/>
                <w:szCs w:val="22"/>
                <w:color w:val="auto"/>
              </w:rPr>
            </w:pPr>
          </w:p>
        </w:tc>
        <w:tc>
          <w:tcPr>
            <w:tcW w:w="1380" w:type="dxa"/>
            <w:vAlign w:val="bottom"/>
            <w:gridSpan w:val="4"/>
          </w:tcPr>
          <w:p>
            <w:pPr>
              <w:spacing w:after="0"/>
              <w:rPr>
                <w:sz w:val="20"/>
                <w:szCs w:val="20"/>
                <w:color w:val="auto"/>
              </w:rPr>
            </w:pPr>
            <w:r>
              <w:rPr>
                <w:rFonts w:ascii="Arial" w:cs="Arial" w:eastAsia="Arial" w:hAnsi="Arial"/>
                <w:sz w:val="18"/>
                <w:szCs w:val="18"/>
                <w:color w:val="auto"/>
              </w:rPr>
              <w:t>Item 13.</w:t>
            </w:r>
          </w:p>
        </w:tc>
        <w:tc>
          <w:tcPr>
            <w:tcW w:w="8860" w:type="dxa"/>
            <w:vAlign w:val="bottom"/>
            <w:gridSpan w:val="26"/>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tcPr>
          <w:p>
            <w:pPr>
              <w:spacing w:after="0"/>
              <w:rPr>
                <w:sz w:val="18"/>
                <w:szCs w:val="18"/>
                <w:color w:val="auto"/>
              </w:rPr>
            </w:pPr>
          </w:p>
        </w:tc>
        <w:tc>
          <w:tcPr>
            <w:tcW w:w="138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14.</w:t>
              </w:r>
            </w:hyperlink>
          </w:p>
        </w:tc>
        <w:tc>
          <w:tcPr>
            <w:tcW w:w="8860" w:type="dxa"/>
            <w:vAlign w:val="bottom"/>
            <w:gridSpan w:val="2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Principal Accounting Fees and Services</w:t>
              </w:r>
            </w:hyperlink>
          </w:p>
        </w:tc>
        <w:tc>
          <w:tcPr>
            <w:tcW w:w="112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39</w:t>
              </w:r>
            </w:hyperlink>
          </w:p>
        </w:tc>
      </w:tr>
      <w:tr>
        <w:trPr>
          <w:trHeight w:val="493"/>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gridSpan w:val="9"/>
          </w:tcPr>
          <w:p>
            <w:pPr>
              <w:jc w:val="center"/>
              <w:ind w:right="4220"/>
              <w:spacing w:after="0"/>
              <w:rPr>
                <w:rFonts w:ascii="Arial" w:cs="Arial" w:eastAsia="Arial" w:hAnsi="Arial"/>
                <w:sz w:val="18"/>
                <w:szCs w:val="18"/>
                <w:b w:val="1"/>
                <w:bCs w:val="1"/>
                <w:color w:val="0000EE"/>
                <w:w w:val="98"/>
              </w:rPr>
            </w:pPr>
            <w:hyperlink w:anchor="page44">
              <w:r>
                <w:rPr>
                  <w:rFonts w:ascii="Arial" w:cs="Arial" w:eastAsia="Arial" w:hAnsi="Arial"/>
                  <w:sz w:val="18"/>
                  <w:szCs w:val="18"/>
                  <w:b w:val="1"/>
                  <w:bCs w:val="1"/>
                  <w:color w:val="0000EE"/>
                  <w:w w:val="98"/>
                </w:rPr>
                <w:t>PART IV</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93"/>
        </w:trPr>
        <w:tc>
          <w:tcPr>
            <w:tcW w:w="40" w:type="dxa"/>
            <w:vAlign w:val="bottom"/>
          </w:tcPr>
          <w:p>
            <w:pPr>
              <w:spacing w:after="0"/>
              <w:rPr>
                <w:sz w:val="24"/>
                <w:szCs w:val="24"/>
                <w:color w:val="auto"/>
              </w:rPr>
            </w:pPr>
          </w:p>
        </w:tc>
        <w:tc>
          <w:tcPr>
            <w:tcW w:w="138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15.</w:t>
              </w:r>
            </w:hyperlink>
          </w:p>
        </w:tc>
        <w:tc>
          <w:tcPr>
            <w:tcW w:w="3940" w:type="dxa"/>
            <w:vAlign w:val="bottom"/>
            <w:gridSpan w:val="17"/>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 Financial Statement Schedules</w:t>
              </w:r>
            </w:hyperlink>
          </w:p>
        </w:tc>
        <w:tc>
          <w:tcPr>
            <w:tcW w:w="720" w:type="dxa"/>
            <w:vAlign w:val="bottom"/>
            <w:tcBorders>
              <w:top w:val="single" w:sz="8" w:color="0000EE"/>
            </w:tcBorders>
            <w:gridSpan w:val="6"/>
          </w:tcPr>
          <w:p>
            <w:pPr>
              <w:spacing w:after="0"/>
              <w:rPr>
                <w:sz w:val="24"/>
                <w:szCs w:val="24"/>
                <w:color w:val="auto"/>
              </w:rPr>
            </w:pPr>
          </w:p>
        </w:tc>
        <w:tc>
          <w:tcPr>
            <w:tcW w:w="4200" w:type="dxa"/>
            <w:vAlign w:val="bottom"/>
            <w:gridSpan w:val="3"/>
          </w:tcPr>
          <w:p>
            <w:pPr>
              <w:spacing w:after="0"/>
              <w:rPr>
                <w:sz w:val="24"/>
                <w:szCs w:val="24"/>
                <w:color w:val="auto"/>
              </w:rPr>
            </w:pPr>
          </w:p>
        </w:tc>
        <w:tc>
          <w:tcPr>
            <w:tcW w:w="112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380" w:type="dxa"/>
            <w:vAlign w:val="bottom"/>
            <w:gridSpan w:val="4"/>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16.</w:t>
              </w:r>
            </w:hyperlink>
          </w:p>
        </w:tc>
        <w:tc>
          <w:tcPr>
            <w:tcW w:w="8860" w:type="dxa"/>
            <w:vAlign w:val="bottom"/>
            <w:gridSpan w:val="2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Form 10K Summary</w:t>
              </w:r>
            </w:hyperlink>
          </w:p>
        </w:tc>
        <w:tc>
          <w:tcPr>
            <w:tcW w:w="112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540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4"/>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Signatures</w:t>
              </w:r>
            </w:hyperlink>
          </w:p>
        </w:tc>
        <w:tc>
          <w:tcPr>
            <w:tcW w:w="740" w:type="dxa"/>
            <w:vAlign w:val="bottom"/>
            <w:gridSpan w:val="4"/>
          </w:tcPr>
          <w:p>
            <w:pPr>
              <w:spacing w:after="0"/>
              <w:rPr>
                <w:sz w:val="20"/>
                <w:szCs w:val="20"/>
                <w:color w:val="auto"/>
              </w:rPr>
            </w:pPr>
          </w:p>
        </w:tc>
        <w:tc>
          <w:tcPr>
            <w:tcW w:w="7260" w:type="dxa"/>
            <w:vAlign w:val="bottom"/>
            <w:gridSpan w:val="18"/>
          </w:tcPr>
          <w:p>
            <w:pPr>
              <w:spacing w:after="0"/>
              <w:rPr>
                <w:sz w:val="20"/>
                <w:szCs w:val="20"/>
                <w:color w:val="auto"/>
              </w:rPr>
            </w:pPr>
          </w:p>
        </w:tc>
        <w:tc>
          <w:tcPr>
            <w:tcW w:w="112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600" w:type="dxa"/>
            <w:vAlign w:val="bottom"/>
            <w:gridSpan w:val="11"/>
          </w:tcPr>
          <w:p>
            <w:pPr>
              <w:spacing w:after="0" w:line="20" w:lineRule="exact"/>
              <w:rPr>
                <w:sz w:val="1"/>
                <w:szCs w:val="1"/>
                <w:color w:val="auto"/>
              </w:rPr>
            </w:pPr>
          </w:p>
        </w:tc>
        <w:tc>
          <w:tcPr>
            <w:tcW w:w="540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60" w:type="dxa"/>
            <w:vAlign w:val="bottom"/>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Index to Consolidated Financial Statements</w:t>
              </w:r>
            </w:hyperlink>
          </w:p>
        </w:tc>
        <w:tc>
          <w:tcPr>
            <w:tcW w:w="112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F-1</w:t>
              </w:r>
            </w:hyperlink>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firstLine="8"/>
        <w:spacing w:after="0" w:line="334" w:lineRule="auto"/>
        <w:tabs>
          <w:tab w:leader="none" w:pos="27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This item has been omitted pursuant to the reduced disclosure format as set forth in General Instructions (I) (2) (a) and (c) of Form 10-K.</w:t>
      </w:r>
    </w:p>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 LOOKING STATEMENTS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Annual Report on Form 10-K (“Form 10-K”)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10-K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373"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risks related to the construction and operation of our satellites, such as the risk of not being able to timely complete the construction of or material malfunction on one or more of our satellites, risks resulting from potentially missing our regulatory milestones, changes in the space weather environment that could interfere with the operation of our satellites and our general lack of commercial insurance coverage on our satellites;</w:t>
      </w:r>
    </w:p>
    <w:p>
      <w:pPr>
        <w:spacing w:after="0" w:line="15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DISH Network Corporation and its subsidiaries for a significant portion of our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current satellites and any future satellite we may construct or acquire;</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domestic and/or international investments, commercial alliances, partnerships, joint ventures, acquisitions, dispositions and other strategic initiatives and transactions;</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 and</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in Part I, Item 1A. — Risk Factors and Item 7. — Management’s Narrative Analysis of Results of Operations of this Form 10-K and Results of Operations of this Form 10-K and those discussed in other documents we file with the Securities and Exchange Commission (“SEC”).</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Hughes Satellite Systems Corporation (which, together with its subsidiaries, is referred to as “HSS,” the “Company,” “we,” “us” and/or “our”) is a holding company and a subsidiary of EchoStar Corporation (“EchoStar”). We were formed as a Colorado corporation in March 2011 to facilitate the acquisition by EchoStar (the “Hughes Acquisition”) of Hughes Communications, Inc. and its subsidiaries and related financing transactions. In connection with our formation, EchoStar contributed the assets and liabilities of its satellite services business to us, including the principal operating subsidiary of its satellite services business, EchoStar Satellite Services L.L.C. A substantial majority of the voting power of the shares of each of EchoStar and DISH Network Corporation (“DISH”) is owned beneficially by Charles W. Ergen, our Chairman, and by certain entities established by Mr. Ergen for the benefit of his family.</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global provider of broadband satellite technologies, broadband internet services for home and small office customers, satellite operations and satellite services. We also deliver innovative network technologies, managed services and various communications solutions for aeronautical, enterprise and government customers.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other technologies such as geostationary high throughput satellites, low-earth orbit (“LEO”) networks, medium-earth orbit (“MEO”) systems, balloons and High Altitude Platform Systems are playing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and commerce in North America and internationally for consumers as well as aeronautical, enterprise and government customers. We are closely tracking the developments in next-generation satellite businesses, and we are seeking to utilize our services, technologies and expertise to find new commercial opportunities for our business.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currently operate in two business segments: Hughes and EchoStar Satellite Services (“ESS”), as discussed below. Our corporate department operations as well as activities that have not been assigned to our operating segments and eliminations of intersegment transactions are all accounted for in Corporate and Other in our segment reporting.</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2017, EchoStar and certain of its and our subsidiaries entered into a share exchange agreement with DISH and certain of its subsidiaries. EchoStar and certain of its and our subsidiaries received all of the shares of the Hughes Retail Preferred Tracking Stock previously issued by EchoStar and us (together, the “Tracking Stock”) in exchange for 100% of the equity interests of certain EchoStar subsidiaries that held substantially all of EchoStar’s former EchoStar Technologies businesses and certain other assets (collectively, the “Share Exchange”). Following the consummation of the Share Exchange, EchoStar no longer operates its former EchoStar Technologies businesses, the Tracking Stock was retired and is no longer outstanding, and all agreements, arrangements and policy statements with respect to the Tracking Stock terminated.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as amended, with respect to the annual report on Form 10-K, quarterly reports on Form 10 -Q, current reports on Form 8-K, proxy statements, and other information that we file with the SEC. Our public filings are maintained on the SEC’s internet site that contains reports, proxy and information statements, and other information regarding issuers that file electronically with the SEC. The address of that website is http://www.sec.gov.</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Form 10-K, quarterly reports on Form 10-Q, current reports on Form 8-K, and amendments to those reports filed or furnished pursuant to Section 13(a) or 15(d) of the Securities Exchange Act of 1934, as amended, may also be accessed free of charge through the website of our parent company, EchoStar, as soon as reasonably practicable after we have electronically filed such material with, or furnished it to, the SEC. The address of that website is http://www.echostar.com.</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EchoStar has adopted a written code of ethics that applies to all of our directors, officers, and employees, including our principal executive officer, principal financial officer, principal accounting officer and controller, in accordance with the Sarbanes-Oxley Act of 2002 and the rules of the SEC promulgated thereunder. This code of ethics is available on EchoStar’s corporate website at http://www.echostar.com. In the event that EchoStar makes changes in, or provides waivers of, the provisions of this code of ethics that the SEC requires EchoStar to disclose, it intends to disclose these events on its website.</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risks and uncertainties described below are not the only ones facing us. If any of the following events occur, our business, financial condition, results of operation, prospects or ability to fund a debt repurchase program, invest capital in or otherwise run our business or execute on our strategic plans could be materially and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AFFECTING OUR BUSINESS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We currently derive a significant portion of our revenue from DISH Network. The loss of, or a significant reduction in, orders from, or a decrease in selling prices of satellite services, broadband equipment and/or other services or products to DISH Network would significantly reduce our revenue and materially adversely impact our results of operations.</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DISH Network Corporation and its subsidiaries (“DISH Network”) accounted for 17.5%, 23.1% and 25.5% of our total revenue for the years ended December 31, 2018, 2017 and 2016, respectively.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DISH Network is the primary customer of the satellite services provided by our ESS segment. For the years ended December 31, 2018, 2017 and 2016 DISH Network accounted for 86.5%, 87.9% and 85.7% of our total ESS segment revenue, and we expect that DISH Network will continue to be the primary source of revenue for our ESS segment as we have entered into certain commercial agreements with DISH Network pursuant to which we provide DISH Network with satellite services at fixed prices for varying lengths of time depending on the satellite. See Note 16 in the notes to consolidated financial statements in Item 15 of this report for further discussion of our related party transactions with DISH Network. The results of operations of our ESS segment are linked to changes in DISH Network’s satellite capacity requirements, which historically have been driven by the addition of new channels and migration of programming to high-definition TV and video on demand services. DISH Network’s future satellite capacity requirements may change for a variety of reasons, including its ability to construct and launch or acquire its own satellites, to continue to add new channels and/or to migrate to the provision of such channels and other video on demand services through streaming and other alternative technologies. There is no assurance that we will continue to provide satellite services to DISH Network beyond the terms of our agreements. Any termination or reduction in the satellite services we provide to DISH Network or the prices that DISH Network pays us for such services would cause us to have unused capacity on our satellites, require us to aggressively pursue alternative sources of revenue for this business and have a material adverse effect on our business, results of operation and financial position.</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we lose DISH Network as a customer of the satellite services provided by our ESS segment, it may be difficult for us to replace, in whole or in part, our historical revenue from DISH Network because there are a relatively small number of potential customers for our specialized services, and we have had limited success in attracting such potential new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customers in the past. Historically, many potential customers of our ESS segment have perceived us as a competitor due to our affiliation with DISH Network. There can be no assurance that we will be successful in entering into any commercial relationships with potential new customers who are competitors of DISH Network (particularly if we continue to be perceived as affiliated with DISH Network as a result of common ownership and certain shared services). If we do not develop relationships with new customers, we may not be able to expand our customer base or maintain or increase our revenue.</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Furthermore, DISH Network has transitioned from being a wholesale distributor of the satellite internet service of our Hughes segment to being a sales agent for such services. DISH Network (i) has the right, but not the obligation, to market, promote and solicit orders and upgrades for our HughesNet service and related equipment and other telecommunications services and (ii) installs HughesNet service equipment with respect to activations generated by DISH Network. For the years ended December 31, 2018, 2017 and 2016, DISH Network accounted for 2.9%, 5.6% and 7.7% of our total Hughes segment revenue. Any material reduction in or termination of sales generated by DISH Network in its capacity as our sale agent could have a material adverse effect on our business, results of operations, and financial position.</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strategic initiatives may not be successfully implemented, may not elicit the expected customer response in the market and may result in competitive reactions.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markets, obtain new customers, broaden our portfolio of services, products and intellectual property, make our business more valuable, align us for future growth and expansion, maximize the return on our investments and strengthen our business and relationships with our customers. We may allocate significant resources for long-term initiatives that may not have a short or medium-term or any positive impact on our revenue, results of operations, or cash flow.</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successful implementation of our strategic initiatives requires an investment of time, talent and money and is dependent upon a number of factors some of which are not within our control. Those factors include the ability to execute such initiatives in new and existing markets, the response of existing and potential new customers, and the actions or reactions of competitors. If we fail to properly execute or deliver products or services that address customers’ expectations, it may have an adverse effect on our ability to retain and attract customers and may increase our costs and reduce our revenue. Similarly, competitive actions or reactions to our initiatives or advancements in technology or competitive products or services could impair our ability to execute those strategic initiatives or advancements. In addition, new strategic initiatives may face barriers to entering new or existing markets with established or new competitors. There can be no assurance that we will successfully implement these strategic initiatives or that, if successfully pursued, they will have the desired effect on our business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face decreased demand and increased pricing pressure to our products and services due to competition.</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 operates in an intensely competitive, consumer-driven and rapidly changing environment and competes with a growing number of companies that provide products and services to consumers. There can be no assurance that we will be able to effectively compete against our competitors due to their significant resources and operating history. Risks to our business from competition include, but are not limited to, the following:</w:t>
      </w:r>
    </w:p>
    <w:p>
      <w:pPr>
        <w:spacing w:after="0" w:line="204" w:lineRule="exact"/>
        <w:rPr>
          <w:sz w:val="20"/>
          <w:szCs w:val="20"/>
          <w:color w:val="auto"/>
        </w:rPr>
      </w:pPr>
    </w:p>
    <w:p>
      <w:pPr>
        <w:jc w:val="both"/>
        <w:ind w:left="660" w:hanging="328"/>
        <w:spacing w:after="0" w:line="25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ESS segment competes against larger, well-established satellite service companies. Because the satellite services industry is relatively mature, our strategy depends largely on our ability to displace current incumbent providers, which often have the benefit of long-term contracts with customers. These long-term contracts and other factors result in relatively high costs for customers to change service providers, making it more difficult for us to displace customers from their current relationships with our competitors. In addition, the supply of satellite capacity available in the market has increased in recent years, which makes it more difficult for us to sell our services in certain markets and to price our capacity at acceptable levels. Competition may cause downward pressure on prices and further reduce the utilization of our capacity, both of which could have an adverse effect on our financial performance. Our ESS segment also competes with both fiber optic cable and terrestrial delivery systems, which may have a cost advantage, particularly in point-to-point applications where such delivery systems have been installed, and with new delivery systems being developed, which may have lower latency and other advantages.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ind w:left="660" w:hanging="328"/>
        <w:spacing w:after="0" w:line="25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our consumer market, our Hughes segment faces competition primarily from digital subscriber line (“DSL”), fiber and cable internet service providers. Also, other telecommunications, satellite and wireless broadband companies have launched or are planning the launch of consumer internet access services in competition with our service offerings in North, Central and South America. Some of these competitors offer consumer services and hardware at lower prices than ours. In addition, terrestrial alternatives do not require our external dish, which may limit customer acceptance of our products. We may be unsuccessful in competing effectively against DSL, fiber and cable internet service providers and other satellite broadband providers, which could harm our business, operating results and financial condition.</w:t>
      </w:r>
    </w:p>
    <w:p>
      <w:pPr>
        <w:spacing w:after="0" w:line="72" w:lineRule="exact"/>
        <w:rPr>
          <w:rFonts w:ascii="Arial" w:cs="Arial" w:eastAsia="Arial" w:hAnsi="Arial"/>
          <w:sz w:val="18"/>
          <w:szCs w:val="18"/>
          <w:color w:val="auto"/>
        </w:rPr>
      </w:pPr>
    </w:p>
    <w:p>
      <w:pPr>
        <w:jc w:val="both"/>
        <w:ind w:left="660" w:hanging="328"/>
        <w:spacing w:after="0" w:line="25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our enterprise network communications market, our Hughes segment faces competition from providers of terrestrial-based networks, such as fiber, DSL, cable modem service, multiprotocol label switching and internet protocol-based virtual private networks, which may have advantages over satellite networks for certain customer applications. Although we also sell terrestrial services to this market, we may not be as cost competitive and it may become more difficult for us to compete. The network communications industry is characterized by competitive pressures to provide enhanced functionality for the same or lower price with each new generation of technology. Terrestrial-based networks are offered by telecommunications carriers and other large companies, many of which have substantially greater financial resources and greater name recognition than us. As the prices of our products decrease, we will need to sell more products and/or reduce the per-unit costs to improve or maintain our results of operations. The costs of a satellite network may exceed those of a terrestrial-based network or other networks, especially in areas that have experienced significant DSL and cable internet build-out. It may become more difficult for us to compete with terrestrial and other providers as the number of these areas continues to increase and the cost of their network and hardware services continues to decline. Terrestrial networks also have a competitive edge because of lower latency for data transmission.</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To the extent we have available satellite capacity in our ESS segment, our results of operations may be materially adversely affected if we are not able to provide satellite services on this capacity to third parties, including DISH Network.</w:t>
      </w:r>
    </w:p>
    <w:p>
      <w:pPr>
        <w:spacing w:after="0" w:line="17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While we are currently evaluating various opportunities to make profitable use of our available satellite capacity (including, but not limited to, supplying satellite capacity for new domestic and international ventures), there can be no assurance that we can successfully develop these business opportunities. If we are unable to utilize our available satellite capacity for providing satellite services to third parties, including DISH Network, our margins could be negatively impacted, and we may be required to record impairments related to our satellites.</w:t>
      </w:r>
    </w:p>
    <w:p>
      <w:pPr>
        <w:spacing w:after="0" w:line="1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The failure to adequately anticipate the need for satellite capacity or the inability to obtain satellite capacity for our Hughes segment could harm our results of operations.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Hughes segment has made substantial contractual commitments for satellite capacity based on our existing customer contracts and backlog. If our existing customer contracts were to be terminated prior to their respective expiration dates, we may be committed to maintaining excess satellite capacity for which we will have insufficient revenue to cover our costs, which would have a negative impact on our margins and results of operations. Alternatively, we may not have sufficient satellite capacity available from our satellites or purchased from third parties to meet demand and we may not be able to quickly or easily adjust our capacity to changes in demand. As capacity becomes full on our existing satellites, significant delays in the construction or launch of new satellites and/or satellite anomalies or failures could materially and adversely affect our ability to provide services to customers. We generally only purchase satellite capacity based on existing contracts and bookings. Therefore, capacity for certain types of coverage in the future may not be readily available to us, and we may not be able to satisfy certain needs of our customers, which could result in a loss of possible new business and could negatively impact the margins for those services. In addition, the fixed satellite service (“FSS”) industry has seen consolidation in the past decade, and today, the main FSS providers in North America and a number of smaller regional providers own and operate the current satellites that are available for our capacity needs. The failure of any of these FSS providers to replace existing satellite assets at the end of their useful lives or a downturn in their industry as a whole could reduce the satellite capacity available to us. Our business and results of operations could be adversely affected if we are not able to renew our capacity leases at economically viable rates, or if capacity is not available due to problems experienced by these FSS provider. Our ability to provide additional capacity for subscriber growth in our North American consumer market could also be adversely affected by regulations and/or legislation in the U.S. that enable or propose to enable the use of a portion of the frequency bands, we currently use or in the future intend to use for satellite services, 5G mobile terrestrial services or other uses. These bands include the Ka-band, where we operate our broadband gateway earth stations, and other bands in which we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may operate in the future. Such regulation or legislation could limit our ability to use the Ka-band and/or other bands, limit our flexibility to change the way in which we use the Ka-band and/or adversely impact our ability to use additional bands in the future. Other countries in which we currently, or may in the future, operate are also considering regulations that could similarly limit access to the Ka-band or other frequency bands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We are dependent upon third-party providers for components, manufacturing, installation services, and customer support services, and our results of operations may be materially adversely affected if any of these third-party providers fail to appropriately deliver the contracted goods or services.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are dependent upon third-party services and products provided to us, including the following:</w:t>
      </w:r>
    </w:p>
    <w:p>
      <w:pPr>
        <w:spacing w:after="0" w:line="203" w:lineRule="exact"/>
        <w:rPr>
          <w:sz w:val="20"/>
          <w:szCs w:val="20"/>
          <w:color w:val="auto"/>
        </w:rPr>
      </w:pPr>
    </w:p>
    <w:p>
      <w:pPr>
        <w:jc w:val="both"/>
        <w:ind w:left="660" w:hanging="328"/>
        <w:spacing w:after="0" w:line="25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Components</w:t>
      </w:r>
      <w:r>
        <w:rPr>
          <w:rFonts w:ascii="Arial" w:cs="Arial" w:eastAsia="Arial" w:hAnsi="Arial"/>
          <w:sz w:val="18"/>
          <w:szCs w:val="18"/>
          <w:color w:val="auto"/>
        </w:rPr>
        <w:t>. A limited number of suppliers manufacture, and in some cases a single supplier manufactures, some of the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components required to build our products. These key components may not be continually available and we may not be able to forecast our component requirements sufficiently in advance, which may have a detrimental effect on supply. If we are required to change suppliers for any reason, we would experience a delay in manufacturing our products if another supplier is not able to meet our requirements on a timely basis. In addition, if we are unable to obtain the necessary volumes of components on favorable terms or prices on a timely basis, we may be unable to produce our products at competitive prices and we may be unable to satisfy demand from our customers. Our reliance on a single or limited group of suppliers, particularly foreign suppliers, and our reliance on subcontractors, involves several risks. These risks include a potential inability to obtain an adequate supply of required components, reduced control over pricing, quality, and timely delivery of these components, and the potential bankruptcy, lack of liquidity or operational failure of our suppliers. We do not generally maintain long-term agreements with any of our suppliers or subcontractors for our products. An inability to obtain adequate deliveries or any other circumstances requiring us to seek alternative sources of supply could affect our ability to ship our products on a timely basis, which could damage our relationships with current and prospective customers and harm our business, resulting in a loss of market share, and reduced revenue and income.</w:t>
      </w:r>
    </w:p>
    <w:p>
      <w:pPr>
        <w:spacing w:after="0" w:line="53" w:lineRule="exact"/>
        <w:rPr>
          <w:rFonts w:ascii="Arial" w:cs="Arial" w:eastAsia="Arial" w:hAnsi="Arial"/>
          <w:sz w:val="18"/>
          <w:szCs w:val="18"/>
          <w:color w:val="auto"/>
        </w:rPr>
      </w:pPr>
    </w:p>
    <w:p>
      <w:pPr>
        <w:jc w:val="both"/>
        <w:ind w:left="660" w:hanging="328"/>
        <w:spacing w:after="0" w:line="262"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Commodity Price Risk</w:t>
      </w:r>
      <w:r>
        <w:rPr>
          <w:rFonts w:ascii="Arial" w:cs="Arial" w:eastAsia="Arial" w:hAnsi="Arial"/>
          <w:sz w:val="18"/>
          <w:szCs w:val="18"/>
          <w:color w:val="auto"/>
        </w:rPr>
        <w:t>. Fluctuations in pricing of raw materials can affect our product costs. To the extent that component pricing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does not decline or increases, whether due to inflation, increased demand, decreased supply or other factors, we may not be able to pass on the impact of increasing raw materials prices, component prices or labor and other costs, to our customers, and we may not be able to operate profitably. Such changes could have an adverse impact on our product costs.</w:t>
      </w:r>
    </w:p>
    <w:p>
      <w:pPr>
        <w:spacing w:after="0" w:line="41" w:lineRule="exact"/>
        <w:rPr>
          <w:rFonts w:ascii="Arial" w:cs="Arial" w:eastAsia="Arial" w:hAnsi="Arial"/>
          <w:sz w:val="18"/>
          <w:szCs w:val="18"/>
          <w:b w:val="1"/>
          <w:bCs w:val="1"/>
          <w:i w:val="1"/>
          <w:iCs w:val="1"/>
          <w:color w:val="auto"/>
        </w:rPr>
      </w:pPr>
    </w:p>
    <w:p>
      <w:pPr>
        <w:jc w:val="both"/>
        <w:ind w:left="660" w:hanging="328"/>
        <w:spacing w:after="0" w:line="269"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Manufacturing</w:t>
      </w:r>
      <w:r>
        <w:rPr>
          <w:rFonts w:ascii="Arial" w:cs="Arial" w:eastAsia="Arial" w:hAnsi="Arial"/>
          <w:sz w:val="18"/>
          <w:szCs w:val="18"/>
          <w:color w:val="auto"/>
        </w:rPr>
        <w:t>. While we develop and manufacture prototypes for certain of our products, we use contract manufacturers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significant portion of our hardware. If these contract manufacturers fail to provide products that meet our specifications in a timely manner, then our customer relationships and revenue may be harmed.</w:t>
      </w:r>
    </w:p>
    <w:p>
      <w:pPr>
        <w:spacing w:after="0" w:line="33" w:lineRule="exact"/>
        <w:rPr>
          <w:rFonts w:ascii="Arial" w:cs="Arial" w:eastAsia="Arial" w:hAnsi="Arial"/>
          <w:sz w:val="18"/>
          <w:szCs w:val="18"/>
          <w:b w:val="1"/>
          <w:bCs w:val="1"/>
          <w:i w:val="1"/>
          <w:iCs w:val="1"/>
          <w:color w:val="auto"/>
        </w:rPr>
      </w:pPr>
    </w:p>
    <w:p>
      <w:pPr>
        <w:jc w:val="both"/>
        <w:ind w:left="660" w:hanging="328"/>
        <w:spacing w:after="0" w:line="262"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Installation and customer support services</w:t>
      </w:r>
      <w:r>
        <w:rPr>
          <w:rFonts w:ascii="Arial" w:cs="Arial" w:eastAsia="Arial" w:hAnsi="Arial"/>
          <w:sz w:val="18"/>
          <w:szCs w:val="18"/>
          <w:color w:val="auto"/>
        </w:rPr>
        <w:t>. Some of our products and services, such as our North American and international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utilize a network of third-party installers to deploy our hardware. In addition, a portion of our customer support and management is provided by third-party call centers. A decline in levels of service or attention to the needs of our customers could adversely affect our reputation, renewal rates and ability to win new business.</w:t>
      </w:r>
    </w:p>
    <w:p>
      <w:pPr>
        <w:spacing w:after="0" w:line="41"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Other services. </w:t>
      </w:r>
      <w:r>
        <w:rPr>
          <w:rFonts w:ascii="Arial" w:cs="Arial" w:eastAsia="Arial" w:hAnsi="Arial"/>
          <w:sz w:val="18"/>
          <w:szCs w:val="18"/>
          <w:color w:val="auto"/>
        </w:rPr>
        <w:t>Some of our products rely on third parties to provide services necessary for the operation of functionalities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such as third-party cloud computing services and satellite uplink hosting services. The failure of these services could disrupt the operation of certain functionalities of our products, which could harm our customer relationship and result in a loss of sales. In addition, if the agreements for the provision of these services are terminated or not renewed, we could face difficulties replacing these service providers, which would adversely affect our ability to obtain and retain customers and result in reduced revenue and income.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foreign operations and investments expose us to risks and restrictions not present in our domestic operations.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sales outside the U.S. accounted for approximately 13.9%, 19.5% and 18.3% of our revenue for the years ended December 31, 2018, 2017 and 2016, respectively. We expect our foreign operations to continue to represent a significant and growing portion of our business. Over the last 10 years, we sold products in over 100 countries and began offering broadband internet services to consumers in in several Central and South American countries. Our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 involve varying degrees of risk and uncertainties inherent in doing business abroad. Such risks include:</w:t>
      </w:r>
    </w:p>
    <w:p>
      <w:pPr>
        <w:spacing w:after="0" w:line="203"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Complications in complying with restrictions on foreign ownership and investment and limitations on repatriation. </w:t>
      </w:r>
      <w:r>
        <w:rPr>
          <w:rFonts w:ascii="Arial" w:cs="Arial" w:eastAsia="Arial" w:hAnsi="Arial"/>
          <w:sz w:val="18"/>
          <w:szCs w:val="18"/>
          <w:color w:val="auto"/>
        </w:rPr>
        <w:t>We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be permitted to own our operations in some countries and may have to enter into partnership or joint venture relationships. Many foreign legal regimes restrict our repatriation of earnings to the U.S. from our subsidiaries and joint venture entities. Applicable law in such foreign countries may also limit our ability to distribute or access our assets or offer our products and services in certain circumstances. In such event, we will not have access to the cash flow and assets of our subsidiaries and joint ventures.</w:t>
      </w:r>
    </w:p>
    <w:p>
      <w:pPr>
        <w:spacing w:after="0" w:line="44"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Difficulties in following a variety of laws and regulations related to foreign operations</w:t>
      </w:r>
      <w:r>
        <w:rPr>
          <w:rFonts w:ascii="Arial" w:cs="Arial" w:eastAsia="Arial" w:hAnsi="Arial"/>
          <w:sz w:val="18"/>
          <w:szCs w:val="18"/>
          <w:color w:val="auto"/>
        </w:rPr>
        <w:t>. Our international operations are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laws and regulations of many different jurisdictions that may differ significantly from U.S. laws and regulations. For example, local privacy or intellectual property laws may hold us responsible for the data that is transmitted over our network by our customers. In addition, we are subject to the Foreign Corrupt Practices Act and similar anti-bribery laws in other jurisdictions that generally prohibit companies and their intermediaries from making improper payments or giving or promising to give anything of value to foreign officials and other individuals for the purpose of obtaining or retaining business or gaining a competitive advantage. Our policies mandate compliance with these laws. However, we operate in many parts of the world that have experienced corruption to some degree. Compliance with these laws may lead to increased operations costs or loss of business opportunities. Violations of these laws could result in fines or other penalties or sanctions, which could have a material adverse impact on our business, financial condition, and results of operations.</w:t>
      </w:r>
    </w:p>
    <w:p>
      <w:pPr>
        <w:spacing w:after="0" w:line="51" w:lineRule="exact"/>
        <w:rPr>
          <w:rFonts w:ascii="Arial" w:cs="Arial" w:eastAsia="Arial" w:hAnsi="Arial"/>
          <w:sz w:val="18"/>
          <w:szCs w:val="18"/>
          <w:b w:val="1"/>
          <w:bCs w:val="1"/>
          <w:i w:val="1"/>
          <w:iCs w:val="1"/>
          <w:color w:val="auto"/>
        </w:rPr>
      </w:pPr>
    </w:p>
    <w:p>
      <w:pPr>
        <w:jc w:val="both"/>
        <w:ind w:left="660" w:hanging="328"/>
        <w:spacing w:after="0" w:line="253"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Restrictions on space station landing/terrestrial rights</w:t>
      </w:r>
      <w:r>
        <w:rPr>
          <w:rFonts w:ascii="Arial" w:cs="Arial" w:eastAsia="Arial" w:hAnsi="Arial"/>
          <w:sz w:val="18"/>
          <w:szCs w:val="18"/>
          <w:color w:val="auto"/>
        </w:rPr>
        <w:t>. Satellite market access and landing rights and terrestrial wireless rights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dependent on the national regulations established by foreign governments, including, but not limited to obtaining national authorizations or approvals and meeting other regulatory, coordination and registration requirements for satellites. Because regulatory schemes vary by country, we may be subject to laws or regulations in foreign countries of which we are not presently aware. Non-compliance with these requirements may result in the loss of the authorizations and licenses to conduct business in these countries, as well as fines or other financial and non-financial penalties for non-compliance with regulations. If that were to be the case, we could be subject to sanctions, penalties and/or other actions by a foreign government that could materially and adversely affect our ability to operate in that country. There is no assurance that any current regulatory approvals held by us are, or will remain, sufficient in the view of foreign regulatory authorities, or that any additional necessary approvals will be granted on a timely basis or at all, in all jurisdictions in which we wish to operate new satellites, or that applicable restrictions in those jurisdictions will not be unduly burdensome. Violations of laws or regulations may result in various sanctions including fines, loss of authorizations and the denial of applications for new authorizations or for the renewal of existing authorizations, and the failure to obtain or comply with the authorizations and regulations governing our international operations could have a material adverse effect on our ability to generate revenue and our overall competitive position.</w:t>
      </w:r>
    </w:p>
    <w:p>
      <w:pPr>
        <w:spacing w:after="0" w:line="51"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and legal constraints and obligations</w:t>
      </w:r>
      <w:r>
        <w:rPr>
          <w:rFonts w:ascii="Arial" w:cs="Arial" w:eastAsia="Arial" w:hAnsi="Arial"/>
          <w:sz w:val="18"/>
          <w:szCs w:val="18"/>
          <w:color w:val="auto"/>
        </w:rPr>
        <w:t>. Operating pursuant to foreign licenses subjects us to certain financial constraints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obligations, including, but not limited to: (a) tax liabilities that may or may not be dependent on revenue; (b) the burden of creating and maintaining additional entities, branches, facilities and/or staffing in foreign jurisdictions; and (c) legal regulations requiring that we make certain satellite capacity available for “free,” which may impact our revenue. In addition, if we need to pursue legal remedies against our customers or our business partners located outside of the U.S., it may be difficult for us to enforce our rights against them.</w:t>
      </w:r>
    </w:p>
    <w:p>
      <w:pPr>
        <w:spacing w:after="0" w:line="44" w:lineRule="exact"/>
        <w:rPr>
          <w:rFonts w:ascii="Arial" w:cs="Arial" w:eastAsia="Arial" w:hAnsi="Arial"/>
          <w:sz w:val="18"/>
          <w:szCs w:val="18"/>
          <w:b w:val="1"/>
          <w:bCs w:val="1"/>
          <w:i w:val="1"/>
          <w:iCs w:val="1"/>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Compliance with applicable export control laws and regulations in the U.S. and other countries</w:t>
      </w:r>
      <w:r>
        <w:rPr>
          <w:rFonts w:ascii="Arial" w:cs="Arial" w:eastAsia="Arial" w:hAnsi="Arial"/>
          <w:sz w:val="18"/>
          <w:szCs w:val="18"/>
          <w:color w:val="auto"/>
        </w:rPr>
        <w:t>. We must comply with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export control and trade sanctions laws and regulations of the U.S. and other countries. U.S. laws and regulations applicable to us include the Arms Export Control Act,, the International Traffic in Arms Regulations (“ITAR”), the Export Administration Regulations (“EAR”), and trade sanctions laws and regulations administered by the U.S. Department of the Treasury’s Office of Foreign Assets Control (“OFAC”). The export of certain hardware, technical data and services relating to satellites is regulated by the U.S. Department of Commerce’s Bureau of Industry and Security (“BIS”) under the EAR. Other items are controlled for export by the U.S. Department of State’s Directorate of Defense Trade Controls under ITAR. We cannot provide equipment or services to certain countries subject to U.S. trade sanctions unless we first obtain the necessary authorizations from OFAC. Violations of these laws or regulations could result in significant sanctions including fines, more onerous compliance requirements, debarments from export privileges, or loss of authorizations needed to conduct aspects of our international business. A violation of</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ind w:left="660"/>
        <w:spacing w:after="0" w:line="309" w:lineRule="auto"/>
        <w:rPr>
          <w:sz w:val="20"/>
          <w:szCs w:val="20"/>
          <w:color w:val="auto"/>
        </w:rPr>
      </w:pPr>
      <w:r>
        <w:rPr>
          <w:rFonts w:ascii="Arial" w:cs="Arial" w:eastAsia="Arial" w:hAnsi="Arial"/>
          <w:sz w:val="18"/>
          <w:szCs w:val="18"/>
          <w:color w:val="auto"/>
        </w:rPr>
        <w:t>ITAR or the other regulations enumerated above could materially adversely affect our business, financial condition and results of operations.</w:t>
      </w:r>
    </w:p>
    <w:p>
      <w:pPr>
        <w:spacing w:after="0" w:line="12" w:lineRule="exact"/>
        <w:rPr>
          <w:sz w:val="20"/>
          <w:szCs w:val="20"/>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Changes in exchange rates between foreign currencies and the U.S. dollar</w:t>
      </w:r>
      <w:r>
        <w:rPr>
          <w:rFonts w:ascii="Arial" w:cs="Arial" w:eastAsia="Arial" w:hAnsi="Arial"/>
          <w:sz w:val="18"/>
          <w:szCs w:val="18"/>
          <w:color w:val="auto"/>
        </w:rPr>
        <w:t>. We conduct our business and incur cost in the 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of a number of the countries in which we operate. Accordingly, our applicable results of operations are reported in the relevant local currency and then translated to U.S. dollars at the applicable currency exchange rate for inclusion in our financial statements. In addition, we sell our products and services and acquire supplies and components from countries that historically have been, and may continue to be, susceptible to recessions, instability or currency devaluation. These fluctuations in currency exchange rates, recessions and currency devaluations have affected, and may in the future affect, revenue, profits and cash earned on international sales.</w:t>
      </w:r>
    </w:p>
    <w:p>
      <w:pPr>
        <w:spacing w:after="0" w:line="263"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Greater exposure to the possibility of economic instability, the disruption of operations from labor and political disturbances, expropriation or war</w:t>
      </w:r>
      <w:r>
        <w:rPr>
          <w:rFonts w:ascii="Arial" w:cs="Arial" w:eastAsia="Arial" w:hAnsi="Arial"/>
          <w:sz w:val="18"/>
          <w:szCs w:val="18"/>
          <w:color w:val="auto"/>
        </w:rPr>
        <w:t>. As we conduct operations throughout the world, we could be subject to regional or national economic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downturns or instability, acts of terrorism, labor or political disturbances or conflicts of various sizes, including wars. Any of these disruptions could detrimentally affect our sales in the affected region or country or lead to damage to, or expropriation of, our property or danger to our personnel.</w:t>
      </w:r>
    </w:p>
    <w:p>
      <w:pPr>
        <w:spacing w:after="0" w:line="44" w:lineRule="exact"/>
        <w:rPr>
          <w:rFonts w:ascii="Arial" w:cs="Arial" w:eastAsia="Arial" w:hAnsi="Arial"/>
          <w:sz w:val="18"/>
          <w:szCs w:val="18"/>
          <w:b w:val="1"/>
          <w:bCs w:val="1"/>
          <w:i w:val="1"/>
          <w:iCs w:val="1"/>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Competition with large or state-owned enterprises and/or regulations that effectively limit our operations and favor local competitors</w:t>
      </w:r>
      <w:r>
        <w:rPr>
          <w:rFonts w:ascii="Arial" w:cs="Arial" w:eastAsia="Arial" w:hAnsi="Arial"/>
          <w:sz w:val="18"/>
          <w:szCs w:val="18"/>
          <w:color w:val="auto"/>
        </w:rPr>
        <w:t>. Many of the countries in which we conduct business have traditionally had state owned or state granted monopolies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telecommunications services that favor an incumbent service provider. We face competition from these favored and entrenched companies in countries that have not deregulated. The slower pace of deregulation in these countries, including in Asia, Latin America, Middle East, Africa and Eastern Europe, has adversely affected, and is likely to continue to adversely affect, the development and growth of our business in these regions.</w:t>
      </w:r>
    </w:p>
    <w:p>
      <w:pPr>
        <w:spacing w:after="0" w:line="47" w:lineRule="exact"/>
        <w:rPr>
          <w:rFonts w:ascii="Arial" w:cs="Arial" w:eastAsia="Arial" w:hAnsi="Arial"/>
          <w:sz w:val="18"/>
          <w:szCs w:val="18"/>
          <w:b w:val="1"/>
          <w:bCs w:val="1"/>
          <w:i w:val="1"/>
          <w:iCs w:val="1"/>
          <w:color w:val="auto"/>
        </w:rPr>
      </w:pPr>
    </w:p>
    <w:p>
      <w:pPr>
        <w:ind w:left="660" w:hanging="328"/>
        <w:spacing w:after="0" w:line="287" w:lineRule="auto"/>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Customer credit risks</w:t>
      </w:r>
      <w:r>
        <w:rPr>
          <w:rFonts w:ascii="Arial" w:cs="Arial" w:eastAsia="Arial" w:hAnsi="Arial"/>
          <w:sz w:val="18"/>
          <w:szCs w:val="18"/>
          <w:color w:val="auto"/>
        </w:rPr>
        <w:t>. Customer credit risks are exacerbated in foreign operations because there is often little information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about the credit histories of customers in certain of the foreign countries in which we operate.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loss from some of our customer contracts.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provide access to our telecommunications networks to customers that use a variety of platforms such as satellite, wireless 3G, 4G, cable, fiber optic and DSL. These customer contracts may require us to provide services at a fixed price for the term of the contract. To facilitate the provision of this access, we may enter into contracts with terrestrial platform providers. Our agreements with these subcontractors may allow for prices to be changed during the term of the contracts. We assume greater financial risk on these customer contracts than on other types of contracts because if we do not estimate costs accurately and there is an increase in our subcontractors’ prices, our net profit may be significantly reduced or there may be a loss on the contracts.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significant financial losses on our existing investments.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certain strategic transactions and investments. These investments involve a high degree of risk and could diminish our financial condition or our ability to fund a debt repurchase program, invest capital in our business. The overall sustained economic uncertainty, as well as financial, operational and other difficulties encountered by certain companies in which we have invested increases the risk that the actual amounts realized in the future on our debt and equity investments will differ significantly from the fair values currently assigned to them. In addition, the companies in which we invest or with whom we partner may not be able to compete effectively or there may be insufficient demand for the services and products offered by these companies. These investments could also expose us to significant financial losses and may restrict our ability to make other investments or limit alternative uses of our capital resources. If our investments suffer losses, our financial condition could be materially adversely affected.</w:t>
      </w:r>
    </w:p>
    <w:p>
      <w:pPr>
        <w:spacing w:after="0" w:line="184"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b w:val="1"/>
          <w:bCs w:val="1"/>
          <w:color w:val="auto"/>
        </w:rPr>
        <w:t>We may pursue acquisitions, dispositions, capital expenditures, the development, acquisition and launch of new satellites and other strategic transactions to complement or expand our business, which may not be successful and we may lose a portion or all of our investment in these acquisitions and transactions.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future success may depend on the existence of, and our ability to capitalize on, opportunities to acquire or develop other businesses or technologies or partner with other companies that could complement, enhance or expand our current business, services or products or that may otherwise offer us growth opportunities. We may pursue investments, commercial alliances, partnerships, joint ventures, acquisitions, dispositions or other strategic initiatives and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transactions or development activities, including, without limitation, the design, development, construction, acquisition and launch of new satellites, to complement or expand our business and satellite fleet. Any such acquisitions, dispositions, activities, transactions or investments that we are able to identify and complete which may become substantial over time, involve a high degree of risk, including, but not limited to, the following:</w:t>
      </w:r>
    </w:p>
    <w:p>
      <w:pPr>
        <w:spacing w:after="0" w:line="204"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business to integrate or divide the operations and personnel of the acquired, disposed or combined business, technology or joint venture and/or to engage in such investments, dispositions and/or other activities;</w:t>
      </w:r>
    </w:p>
    <w:p>
      <w:pPr>
        <w:spacing w:after="0" w:line="6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and capacity of our management team to carry out all of our business plans, including with respect to our existing businesses and any businesses we acquire or embark on in the future;</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possible adverse effects on our and our targets’ and partners’ business, financial condition or operating results during the integration process;</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significant financial losses if the transactions, activities, investments, dispositions and/or the underlying ventures are not successful and/or we are unable to achieve the intended objectives of the transaction, disposition or investment;</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obtain in the anticipated time frame, or at all, any regulatory approvals required to complete proposed acquisitions, dispositions, activities, transactions or investments;</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complying with regulations applicable to the acquired or developed business or technologies which may cause us to incur substantial expenses;</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realize anticipated benefits or synergies from acquisitions, dispositions, investments, alliances and/or the development and launch of new satellites;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disruption of relationships with employees, vendors or customers;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foreign and international operations and/or investments or dispositions;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risks associated with developing and constructing new satellites.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New investments, commercial alliances, partnerships, joint ventures, acquisitions, dispositions, development activities, including, without limitation, the design, development, construction and launch of new satellites, and other strategic initiatives may require the commitment of significant capital that may otherwise be directed to investments in our existing businesses. Commitment of this capital may cause us to defer or suspend any debt repurchase or capital expenditures that we otherwise may have made.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cash to meet our debt service needs or fund our operations.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December 31, 2018, our total indebtedness was approximately $3.5 billion. Our ability to make payments on or to refinance our indebtedness and to fund our operations will depend on our ability to generate cash in the future, which is subject in part to general economic, financial, competitive, legislative, regulatory and other factors that are beyond our control. We may need to raise additional capital in order to fund ongoing operations or to capitalize on business opportunities. We may not be able to generate sufficient cash flow from operations and future borrowings or equity may not be available in amounts sufficient to enable us to service our indebtedness or to fund our operations or other liquidity needs. If we are unable to generate sufficient cash, we may be forced to take actions such as revising or delaying our strategic plans, reducing or delaying capital expenditures and/or the development, design, acquisition and construction of new satellites, selling assets, restructuring or refinancing our debt or seeking additional equity capital. We may not be able to implement any of these actions on satisfactory terms, or at all. The indentures governing our indebtedness limit our ability to dispose of assets and use the proceeds from such dispositions. Therefore, we may not be able to consummate those dispositions on satisfactory terms, or at all, or to use those proceeds in a manner we may otherwise prefer. The Tax Cuts and Jobs Act of 2017 enacted in December 2017 (the “2017 Tax Act”) limits the deductibility of interest expense for U.S. federal income tax purposes. While the 2017 Tax Act generally is likely to reduce our federal income tax obligations, if these limitations or other newly enacted provisions become applicable to us, they could minimize such reductions or otherwise require us to pay additional federal income taxes, which in turn could result in additional liquidity needs.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conditions in the financial markets could make it difficult for us to access equity or debt markets at acceptable terms or at all. Instability or other conditions in the equity markets could make it difficult for us to raise equity financing without incurring substantial dilution to our existing shareholders. In addition, sustained or increased economic weaknesses or pressures or new economic conditions may limit our ability to generate sufficient internal cash to fund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investments, capital expenditures, acquisitions, and other strategic transactions and/or the development, design, acquisition and construction of new satellites. We cannot predict with any certainty whether or not we will be impacted by economic conditions. As a result, these conditions make it difficult for us to accurately forecast and plan future business activities because we may not have access to funding sources necessary for us to pursue organic and strategic business development opportunities.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indentures restrict our business in many ways.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indentures governing our 6 1/2% Senior Secured Notes due 2019, 7 5/8% Senior Notes due 2021, 5.250% Senior Secured Notes due August 1, 2026 and 6.625% Senior Unsecured Notes due August 1, 2026 contain various covenants, subject to certain exceptions, that limit our ability and/or certain of our subsidiaries’ ability to, among other things:</w:t>
      </w:r>
    </w:p>
    <w:p>
      <w:pPr>
        <w:spacing w:after="0" w:line="20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allow to exist certain restrictions on our or their ability to pay dividends, make distributions, make other payments, or transfer assets.</w:t>
      </w:r>
    </w:p>
    <w:p>
      <w:pPr>
        <w:spacing w:after="0" w:line="3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an event of default occurs and is continuing under the respective indenture, the trustee under that indenture or the requisite holders of the notes under that indenture may declare all such notes to be immediately due and payable and, in the case of the indentures governing any of our secured notes, could proceed against the collateral that secures the applicable secured notes. We and certain of our subsidiaries have pledged a significant portion of our assets as collateral to secure the 6 1/2% Senior Secured Notes due 2019 and the 5.250% Senior Secured Notes due August 1, 2026. If we do not have enough cash to service our debt or fund other liquidity needs, we may be required to take actions such as requesting a waiver from the holders of the notes, reducing or delaying capital expenditures, selling assets, restructuring or refinancing all or part of the existing debt, or seeking additional equity capital. We cannot assure you that any of these remedies can be implemented on commercially reasonable terms or at all, which could result in the trustee declaring the notes to be immediately due and payable and/or foreclosing on the collateral.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key personnel and the loss of their services may negatively affect our businesses.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future success depends to a significant extent upon the performance of Mr. Charles W. Ergen, our Chairman, and certain other key executives. The loss of Mr. Ergen or of certain other key executives or of the ability of Mr. Ergen or certain other key executives to devote sufficient time and effort to our business could have a material adverse effect on our business, financial condition and results of operations. Although some of our key executives may have agreements relating to their equity compensation that limit their ability to work for or consult with competitors, under certain circumstances, we generally do not have employment agreements with them. To the extent Mr. Ergen or other officers are performing services for both DISH Network and us, their attention may be diverted away from our business and therefore adversely affect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risks relating to the referendum of the United Kingdom’s membership of the EU.</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formal two-year process governing the United Kingdom’s (the “U.K.”) departure from the EU, commonly referred to as the “Brexit,” began on March 29, 2017. Discussions between the U.K. and the EU focused on finalizing withdrawal issues and transition agreements are ongoing. However, given the limited progress to date in these negotiations and ongoing uncertainty within the U.K. Government and Parliament, it is possible that the U.K. will leave the EU on March 29, 2019 without a withdrawal agreement and associated transition period in place, which is likely to cause significant market and economic disruption. Further, it is possible that there will be greater restrictions on imports and exports between the U.K. and EU countries. Brexit may also cause our customers to closely monitor their costs and reduce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their spending budgets. The effects of Brexit, the uncertainty regarding the ultimate terms of Brexit and the perceptions as to the impact of the withdrawal of the U.K. from the EU have affected, and may continue to affect, business activity, political stability and economic and market conditions in the U.K., the Eurozone, the EU and elsewhere and could contribute to instability in global financial and foreign exchange markets, including volatility in the value of the Euro and the British Pound. Additionally, with the U.K. no longer being a part of the EU, there may be certain regulatory changes that may impact the regulatory regime under which we operate in both the U.K. and the EU. Given that a portion of our business is conducted in the EU, including the U.K., any of these and other changes, implications and consequences may adversely affect our business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natural disaster could diminish our ability to provide service to our customers.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Natural disasters could damage or destroy our ground stations and/or other infrastructure, equipment and facilities, resulting in a disruption of service to our customers. We currently have backup systems and technology in place to safeguard our antennas and protect our ground stations during natural disasters such as tornadoes, but the possibility still exists that our ground facilities and/or other infrastructure, equipment and facilities could be impacted during a major natural disaster. If a future natural disaster impairs or destroys any of our ground facilities and/or other infrastructure, equipment and facilities, we may be unable to provide service to our customers in the affected area for a period of time which may adversely affect our business and results of operations.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may have additional tax liabilities and changes in tax laws or regulations may have a material adverse effect on our business, cash flow, financial condition or results of operations.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income taxes in the U.S. and foreign jurisdictions. Significant judgments are required in determining our provisions for income taxes. In the course of preparing our tax provisions and returns, we must make calculations where the ultimate tax determination may be uncertain. Our tax returns are subject to examination by the Internal Revenue Service (“IRS”), state, and foreign tax authorities. There can be no assurance as to the outcome of these examinations. If the ultimate determination of taxes owed is for an amount in excess of amounts previously accrued, our operating results, cash flows, and financial condition could be adversely affected.</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Additionally, new or modified income, sales, use or other tax laws, statutes, rules, regulations or ordinances could be enacted at any time, which, like the 2017 Tax Act,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The 2017 Tax Act contains many significant changes to U.S. tax laws, including changes in corporate tax rates, the availability of net deferred tax assets relating to our U.S. operations, the taxation and repatriation of foreign earnings, and the deductibility of expenses. The 2017 Tax Act or other tax reform legislation has had and could have a material impact on the value of our deferred tax assets, has and could result in significant charges, and could increase our future U.S. tax expense. Furthermore, changes to the taxation of undistributed foreign earnings could change our future intentions regarding reinvestment of such earnings. The foregoing items could have a material adverse effect on our business, cash flow, financial condition or results of operations.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earn a portion of our operating income from outside the U.S., and any repatriation of funds currently held in foreign jurisdictions may result in higher effective tax rates for us. In addition, recent changes to U.S. tax laws significantly impacts how U.S. multinational corporations are taxed on foreign earnings. Numerous countries are evaluating their existing tax laws due in part, to recommendations made by the Organization for Economic Co-operation and Development’s Base Erosion and Profit Shifting project. Although we cannot predict whether or in what form any legislation based on such proposals may be adopted by the countries in which we do business, future tax reform based on such proposals or otherwise may increase the amount of taxes we pay and adversely affect our operating results and cash flows.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Recent developments with respect to trade policies, trade agreements, tariffs and related government regulations could increase our costs, limit the amount of components we can import, decrease demand for certain of our products and have a material adverse impact on our business, financial condition and results of operations.</w:t>
      </w:r>
    </w:p>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source certain parts, components and items used in our products from manufacturers located outside of the U.S. and we sell certain of our products to customers located outside of the U.S. Concerns have been raised about certain countries potentially engaging in unfair trade practices and, as a result, tariffs have been increased on certain goods imported into the U.S. from those countries, including China and other countries from which we import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components or raw materials, and there is the possibility of additional tariff increases. The announcement of tariffs on imported products by the U.S. has triggered actions from certain foreign governments, including China, and may trigger additional actions by those and other foreign governments, potentially resulting in a “trade war”. A trade war of this nature or other governmental action related to tariffs, government regulations, or international trade agreements or policies could materially increase the cost of certain products we import, impact or limit the availability of such products, require us to change our manufacturers, and/or decrease demand for certain of our products, any or all of which could have a material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owned and leased satellites in orbit are subject to significant operational and environmental risks that could limit our ability to utilize these satellites.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Satellites are subject to significant operational risks while in orbit. These risks include malfunctions, commonly referred to as anomalies, which have occurred and may occur in the future in our satellites and the satellites of other operators as a result of various factors, such as satellite design and manufacturing defects, problems with the power systems or control systems of the satellites, general failures resulting from operating satellites in the harsh environment of space and cyber-attacks on our satellites.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we work closely with the satellite manufacturers to determine and eliminate the cause of anomalies in new satellites and provide for redundancies of many critical components in the satellites, we may not be able to prevent anomalies or outages from occurring and may experience anomalies and outages in the future, whether of the types described above or arising from the failure of other systems or components. The failure to perform of any of our manufacturers which provide in-orbit anomaly support for our satellites could result in our inability to determine, eliminate or manage anomalies for our satellites. Even if alternate in-orbit anomaly support services are available, we may have difficulty identifying them in a timely manner or we may incur significant additional expense in changing suppliers. Maxar, through its subsidiary SSL, provides in-orbit anomaly support for several of our satellites. In the second half of 2018, Maxar announced that it is reviewing strategic alternatives for its geostationary communications satellite business to improve its financial performance and that it is in active discussions with potential buyers of the business. A decision by Maxar to discontinue, wind down or otherwise significantly modify its geostationary communications satellite business could have a material adverse impact on the operation of several of our satellites, including our ability to remedy any anomalies or outages.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Any single anomaly or outage or series of anomalies or outages could materially and adversely affect our ability to utilize the satellite, our operations, services and revenue as well as our relationships with current customers and our ability to attract new customers. In particular, future anomalies or outages may result in, among other things, the loss of individual transponders/beams and/or functional solar array circuits on a satellite, a group of transponders/beams on that satellite or the entire satellite, depending on the nature of the anomaly or outage. Anomalies or outages may also reduce the expected capacity, commercial operation and/or useful life of a satellite, thereby reducing the revenue that could be generated by that satellite, or create additional expenses due to the need to provide replacement or back-up satellites or satellite capacity earlier than planned and could have a material adverse effect on our business, financial condition and results of operations.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loss of a satellite or other satellite malfunctions or anomalies or outages could have a material adverse effect on our financial performance, which we may not be able to mitigate by using available capacity on other satellites. There can be no assurance that we can recover critical transmission capacity in the event one or more of our in-orbit satellites were to fail. In addition, the loss of a satellite or other satellite malfunctions or anomalies or outages could affect our ability to comply with FCC and other regulatory obligations and our ability to fund the construction or acquisition of replacement satellites for our in-orbit fleet in a timely fashion, or at all. There can be no assurance that anomalies or outages will not impact the remaining useful life and/or the commercial operation of any of the satellites in our fleet. In addition, there can be no assurance that we can recover critical transmission capacity in the event one or more of our in-orbit satellites were to fail.</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Meteoroid events pose a potential threat to all in-orbit satellites. The probability that meteoroids will damage those satellites increases significantly when the Earth passes through the particulate stream left behind by comets. Occasionally, increased solar activity also poses a potential threat to all in-orbit satellites.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Some decommissioned satellites are in uncontrolled orbits, which pass through the geostationary belt at various points and present hazards to operational satellites, including our satellites. We may be required to perform maneuvers to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avoid collisions and these maneuvers may prove unsuccessful or could reduce the useful life of the satellite through the expenditure of fuel to perform these maneuvers. The loss, damage or destruction of any of our satellites as a result of an electrostatic storm, collision with space debris, malfunction or other event could have a material adverse effect on our business, financial condition and results of operations.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historically have not carried in-orbit insurance on many of our satellites because we have assessed that the cost of such insurance is uneconomical relative to the risk of failures. If one or more of our in-orbit uninsured satellites fail, we could be required to record significant impairment charges for the satellite.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satellites have minimum design lives of 15 years, but could fail or suffer reduced capacity before then.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Generally, the minimum design life of each of our satellites is 15 years. We can provide no assurance, however, as to the actual operational lives of our satellites, which may be shorter or longer than their design lives. Our ability to earn revenue depends on the continued operation of our satellites, each of which has a limited useful life. Several factors affect the useful lives of the satellites, including, among other things, the quality of their design and construction, the durability of their component parts, the ability to continue to maintain proper orbit and control over the satellite’s functions, the efficiency of the launch vehicle used, and the remaining on-board fuel following orbit insertion. In addition, continued improvements in satellite technology may make obsolete our existing satellites, or any satellites we may acquire in the future, prior to the end of their design lives.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of a failure or loss of any of our satellites, we may relocate another satellite and use it as a replacement for the failed or lost satellite, which could have a material adverse effect on our business, financial condition and results of operations. Additionally, such relocation would require governmental approval. We cannot be certain that we could obtain such governmental approval. In addition, we cannot guarantee that another satellite will be available for use as a replacement for a failed or lost satellite, or that such relocation can be accomplished without a substantial utilization of fuel. Any such utilization of fuel would reduce the operational life of the replacement satellite.</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satellites under construction are subject to risks related to construction, technology, regulations and launch that could limit our ability to utilize these satellites and adversely affect our business and financial condition.</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Satellite construction and launch are subject to significant risks, including delays, anomalies, launch failure and incorrect orbital placement. The technologies in our satellite designs are very complex and difficulties in constructing our designs could result in delays in the deployment of our satellites or increased or unanticipated costs. There also can be no assurance that the technologies in our existing satellites or in new satellites that we design, acquire and build will work as we expect and/or will not become obsolete, that we will realize any or all of the anticipated benefits of our satellite designs or our new satellites, or that we will obtain all regulatory approvals required to operate our new or acquired satellites. In addition, certain launch vehicles that may be used by us have either unproven track records or have experienced launch failures in the past. The risks of launch delay, launch anomalies and launch failure are usually greater when the launch vehicle does not have a track record of previous successful flights. Launch anomalies and failures can result in significant delays in the deployment of satellites because of the need both to construct replacement satellites, which can take more than three years, and to obtain other launch opportunities. Such significant delays could materially and adversely affect our business, expenses and results of operations, our ability to meet regulatory or contractual required milestones, the availability and our use of other or replacement satellite resources and our ability to provide services to customers as capacity becomes full on existing satellites. In addition, significant delays in a satellite program could give customers who have purchased or reserved capacity on that satellite a right to terminate their service contracts relating to the satellite. We may not be able to accommodate affected customers on other satellites until a replacement satellite is available. A customer’s termination of its service contracts with us as a result of a launch delay or failure would reduce our contracted backlog and our ability to generate revenue. One of our launch services providers is a Russian Federation state-owned company. Certain ongoing political events have created uncertainty as to the stability of U.S. and Russian Federation relations. This could add to risks relative to scheduling uncertainties and timing. If a launch delay, anomaly or failure were to occur, it could result in the revocation of the applicable license to operate the satellite, undermine our ability to implement our business strategy or develop or pursue existing or future business opportunities with applicable licenses and otherwise have a material adverse effect on our business, expenses, assets, revenue, results of operations and ability to fund future satellite procurement and launch opportunities. Historically, we have not always carried launch insurance for the launch of our satellites and the occurrence of launch anomalies and failures, whether on our satellites or those of others, may significantly reduce our ability to place launch insurance for our satellites or make launch insurance uneconomical.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certain satellites is often dependent on satellite coordination agreements, which may be difficult to obtain.</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Satellite transmissions and the use of frequencies often are dependent on coordination with other satellite systems operated by U.S. or foreign satellite operators, including governments, and it can be difficult to determine the outcome of these coordination agreements with these other entities and governments. The impact of a coordination agreement may result in the loss of rights to the use of certain frequencies or access to certain markets. The significance of such a loss would vary and it can therefore be difficult to determine which portion of our revenue will be impacted.</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the international coordination process that is triggered by ITU filings under applicable rules is not successfully completed, or that the requests for modification of the broadcast satellite services plan regarding the allocation of orbital locations and frequencies are not granted by the ITU, we will have to operate the applicable satellite(s) on a non-interference basis, which could have an adverse impact on our business operations. If we cannot do so, we may have to cease operating such satellite(s) at the affected orbital locations, which could have a material adverse effect on our business, results of operations and financial position.</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the satellite coordination process is conducted under the guidance of the ITU radio regulations and the national regulations of the satellites involved in the coordination process. These rules and regulations could be amended and could therefore materially adversely affect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interference from other services sharing satellite spectrum</w:t>
      </w:r>
      <w:r>
        <w:rPr>
          <w:rFonts w:ascii="Arial" w:cs="Arial" w:eastAsia="Arial" w:hAnsi="Arial"/>
          <w:sz w:val="18"/>
          <w:szCs w:val="18"/>
          <w:color w:val="auto"/>
        </w:rPr>
        <w: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FCC and other regulators have adopted rules or may adopt rules in the future that allow non-geostationary orbit satellite services to operate on a co-primary basis in the same frequency band as DBS and FSS. The FCC has also authorized the use of multichannel video and data distribution service in the DBS band. Several multichannel video and data distribution service systems are now being commercially deployed. Despite regulatory provisions designed to protect DBS and FSS operations from harmful interference, there can be no assurance that operations by other satellites or terrestrial communication services in the DBS and FSS bands will not interfere with our DBS and FSS operations and adversely affect our business.</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Our dependence on outside contractors could result in delays related to the design, manufacture and launch of our new satellites, which could in turn adversely affect our operating results.</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There are a limited number of manufacturers that are able to design and build satellites according to the technical specifications and standards of quality we require, including Airbus Defence and Space, Boeing Satellite Systems, Lockheed Martin, SSL and Thales Alenia Space. There are also a limited number of launch service providers that are able to launch such satellites, including International Launch Services, Arianespace, Lockheed Martin Commercial Launch Services and Space Exploration. The failure to perform of any of our manufacturers or launch service providers could increase the cost and result in the delay of the design, construction or launch of our satellites. Even if alternate suppliers for such services are available, we may have difficulty identifying them in a timely manner or we may incur significant additional expense in changing suppliers, and this could result in difficulties or delays in the design, construction or launch of our satellites. For example, in the second half of 2018, Maxar announced that it is reviewing strategic alternatives for its geostationary communications satellite business to improve its financial performance and that it is in active discussions with potential buyers of the business. SSL has indicated to us that it intends to meet its contractual obligations regarding the timely manufacture and delivery of the EchoStar XXIV satellite. However, if SSL or any potential successor fails to meet or is delayed in meeting these obligations for any reason, including if Maxar decides to discontinue, wind down or otherwise significantly modify its geostationary communications satellite business, such failure could have a material adverse effect on completing the manufacture of the EchoStar XXIV satellite and, like any other delays in the design, construction or launch of our other satellites, could have a material adverse impact on our business operations, future revenues, financial position and prospects.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properly respond to technological changes, our business could be significantly harmed.</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and the markets in which we operate are characterized by rapid technological changes, evolving industry standards and frequent product and service introductions and enhancements. If we or our suppliers are unable to properly respond to or keep pace with technological developments, fail to develop new technologies, or if our competitors obtain or develop proprietary technologies that are perceived by the market as being superior to ours, our existing products and services may become obsolete and demand for our products and services may decline. Even if we keep up with technological innovation, we may not meet the demands of the markets we serve. Furthermore, after we have incurred substantial research and development costs, one or more of the technologies under our development, or under development by one or more of our strategic partners, could become obsolete prior to its introduction. If we are unable to respond to or keep pace with technological advances on a cost-effective and timely basis, or if our products, applications or services are not accepted by the market, then our business, financial condition and results of operations could be adversely affected.</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response to technological developments depends, to a significant degree, on the work of technically skilled employees. Competition for the services of such employees has become more intense as demand for these types of employees grows. We compete with other companies for these employees and although we strive to attract and retain these employees, we may not succeed in these respects. Additionally, if we were to lose certain key technically skilled employees, the loss of knowledge and intellectual capital might have an adverse impact on business, financial condition and results of operations.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made and will continue to make significant investments in research, development, and marketing for new products, services, satellites and related technologies, as well as entry into new business areas. Investments in new technologies, satellites and business areas are inherently speculative and commercial success thereof depends on numerous factors including innovativeness, quality of service and support, and effectiveness of sales and marketing. We may not achieve revenue or profitability from such investments for a number of years, if at all. Moreover, even if such products, services, satellites, technologies and business areas become profitable, their operating margins may be minimal.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growth depends on growing demand for advanced technologies.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Future demand and effective delivery for our products will depend significantly on the growing demand for advanced technologies, such as broadband internet connectivity. If the deployment of, or demand for, advanced technologies is not as widespread or as rapid as we or our customers expect, our revenue growth will be negatively impacted.</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Our business depends on certain intellectual property rights and on not infringing the intellectual property rights of others. The loss of our intellectual property rights or our infringement of the intellectual property rights of others could have a significant adverse impact on our business.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rely on our patents, copyrights, trademarks and trade secrets, as well as licenses and other agreements with our vendors and other parties, to use our technologies, conduct our operations and sell our products and services. Legal challenges to our intellectual property rights and claims by third parties of intellectual property infringement could require that we enter into royalty or licensing agreements on unfavorable terms, incur substantial monetary liability or be enjoined preliminarily or permanently from further use of the intellectual property in question or from the continuation of our businesses as currently conducted or as we plan to conduct it, which could require us to change our business practices or limit our ability to compete effectively or could otherwise have an adverse effect on our business, financial condition, results of operations or prospects. Even if any such challenges or claims prove to be without merit, they can be time-consuming and costly to defend and may divert management’s attention and resources away from our business.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Moreover, due to the rapid pace of technological change, we rely in part on technologies developed or licensed by third parties, and if we are unable to obtain or continue to obtain licenses or other required intellectual property rights from these third parties on reasonable terms, our business, financial position and results of operations could be adversely affected. Technology licensed from third parties or developed by us may have undetected errors that impair the functionality or prevent the successful integration of our products or services. As a result of any such changes or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loss, we may need to incur additional development costs to ensure continued performance of our products or suffer delays until replacement technology, if available, can be obtained and integrated.</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we work with third parties such as vendors, contractors and suppliers for the development and manufacture of components that are integrated into our products and our products may contain technologies provided to us by these third parties. We may have little or no ability to determine in advance whether any such technology infringes the intellectual property rights of others. Our vendors, contractors and suppliers may not be required to indemnify us in the event that a claim of infringement is asserted against us, or they may be required to indemnify us only up to a maximum amount, above which we would be responsible for any further costs or damages. Legal challenges to these intellectual property rights may impair our ability to use the products and technologies that we need in order to operate our business and may materially and adversely affect our business, financial condition and results of operations.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are, and may become, party to various lawsuits which, if adversely decided, could have a significant adverse impact on our business, particularly lawsuits regarding intellectual property.</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and may become, subject to various legal proceedings and claims, which arise both in and out of the ordinary course of our business. Many entities, including some of our competitors, have or may in the future obtain patents and other intellectual property rights that cover or affect products or services related to those that we offer. In general, if a court determines that one or more of our products or services infringes valid intellectual property rights held by others, we may be required to cease developing or marketing those products or services, to obtain licenses from the holders of the intellectual property at a material cost, to pay damages or to redesign those products or services in such a way as to avoid infringement. If those intellectual property rights are held by a competitor, we may be unable to license the necessary intellectual property rights at any price, which could adversely affect our competitive position.</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not be aware of all patents and other intellectual property rights that our products and services may potentially infringe. In addition, patent applications in the U.S. and foreign countries are confidential until the Patent and Trademark Office either publishes the application or issues a patent (whichever arises first) and, accordingly, our products may infringe claims contained in pending patent applications of which we are not aware. Further, the process of determining definitively whether a patent claim is valid and whether a particular product infringes a valid patent claim often involves expensive and protracted litigation, even if we are ultimately successful on the merits.</w:t>
      </w:r>
    </w:p>
    <w:p>
      <w:pPr>
        <w:spacing w:after="0" w:line="20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cannot estimate the extent to which we may be required in the future to obtain licenses with respect to intellectual property rights held by others and the availability and cost of any such licenses. Those costs, and their impact on our results of operations, could be material. Damages in patent infringement cases can be substantial, and in certain circumstances, can be trebled. To the extent that we are required to pay unanticipated royalties to third parties, these increased costs of doing business could negatively affect our liquidity and operating results. We from time to time may defend patent infringement actions and may from time to time assert our own actions against parties we suspect of infringing our patents and trademarks. We cannot be certain the courts will conclude these companies do not own the rights they claim, that these rights are not valid, or that our products and services do not infringe on these rights. We also cannot be certain that we will be able to obtain licenses from these persons on commercially reasonable terms or, if we were unable to obtain such licenses, that we would be able to redesign our products and services to avoid infringement. The legal costs associated with defending patent suits and pursuing patent claims against others may be borne by us if we are not awarded reimbursement through the legal process. See further discussion under Item 3. — Legal Proceedings of this Annual Report on Form 10-K.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litigation or governmental proceedings could result in material adverse consequences, including judgments or settlements.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become involved in lawsuits, regulatory inquiries, audits, consumer claims and governmental and other legal proceedings arising from of our business, including new products and services that we may offer. Some of these proceedings may raise difficult and complicated factual and legal issues and can be subject to uncertainties and complexities. The timing of the final resolutions to lawsuits, regulatory inquiries, audits, and governmental and other legal proceedings is typically uncertain. Additionally, the possible outcomes of, or resolutions to, these proceedings could include adverse judgments, settlements, injunctions or liabilities, any of which could require substantial payments or have other adverse impacts on our revenue, results of operations or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encryption and related security technology used in our products is compromised, sales of our products may decline.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customers use encryption and related security technology obtained from us or our suppliers in the products that they purchase from us to protect their data and products from unauthorized access to the features or functionalities of such products. Such encryption and related security technology has been compromised in the past and may be compromised in the future even though we continue to respond with significant investment in security measures, such as updates in security software, that are intended to make data theft more difficult. It has been our prior experience that security measures may only be effective for short periods of time or not at all. We cannot ensure that we will be successful in reducing or controlling theft of our customers’ data. As a result, sales of our products may decline, our reputation and customer relationship could be damaged and we may incur additional costs or financial liability in the future if security of our customers’ system is compromised.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exposed to financial and reputational damage to our business by cybersecurity incidents.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third parties with whom we work face a constantly developing landscape of cybersecurity threats in which hackers and other parties use a complex assortment of techniques and methods to execute cyber-attacks, including but not limited to the use of stolen access credentials, social engineering, malware, ransomware, phishing, insider threats (which may be malicious or erroneous), structured query language injection attacks and distributed denial-of-service attacks. Cybersecurity incidents such as these have increased significantly in quantity and severity and are expected to continue to increase. Additionally, the risk of cyber-attacks and compromises will likely increase as we expand our business into other areas of the world outside of North America, some of which are still developing their cybersecurity infrastructure maturity. Should we be affected by such an incident, we may incur substantial costs and suffer other negative consequences, which may include:</w:t>
      </w:r>
    </w:p>
    <w:p>
      <w:pPr>
        <w:spacing w:after="0" w:line="206" w:lineRule="exact"/>
        <w:rPr>
          <w:sz w:val="20"/>
          <w:szCs w:val="20"/>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remediation costs, such as liability for stolen assets or information, repairs of system damage and/or incentives to customers or business partners in an effort to maintain relationships after an attack;</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cybersecurity protection costs, which may include the costs of making organizational changes, deploying additional personnel and protection technologies, training employees and engaging third party experts and consultants;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liability due to financial or other harm inflicted on our partners;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lost revenues resulting from attacks on our satellites or technology, the unauthorized use of proprietary information or the failure to retain or attract customers following an attack;</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and legal risks, including regulatory actions by state, federal and international regulators;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or damage to reputation.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 is subject to varying degrees of regulation that include programs designed to review our protections against cybersecurity threats and risks. If it is determined that our systems do not reasonably protect our partners’ assets and data and/or that we have violated these regulations, we could be subject to enforcement activity and sanctions.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regularly review and revise our internal cybersecurity policies and procedures, invest in and maintain internal and external cybersecurity teams and systems and software to detect, deter, prevent and/or mitigate cyber-attacks and review, modify and supplement our defenses through the use of various services, programs and outside vendors. It is impossible, however, for us to know when or if any particular cyber-attack may arise or the impact on our business and operations of any such incident. We expect to continue to incur increasing costs in preparing our infrastructure and maintaining it to resist any such attacks. There can be no assurance that we can successfully detect, deter, prevent or mitigate the effects of cyber-attacks, any of which could have a material adverse effect on our business, costs, operations, prospects, results of operation or financial position. Furthermore, the amount and scope of insurance that we maintain against losses resulting from these events may not be sufficient to compensate us adequately for any disruptions to our business or otherwise cover our losses, including reputational harm and negative publicity as well as any litigation liability.</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If our products contain defects, we could be subject to significant costs to correct such defects and our product and network service contracts could be delayed or cancelled, which could adversely affect our revenue.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products and the networks we deploy are highly complex, and some may contain defects when first introduced or when new versions or enhancements are released, despite testing and our quality control procedures. For example, our products may contain software “bugs” that can unexpectedly interfere with their operation. Defects may also occur in components and products that we purchase from third parties. In addition, many of our products and network services are designed to interface with our customers’ existing networks, each of which has different specifications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and utilize multiple protocol standards. Our products and services must interoperate with the other products and services within our customers’ networks, as well as with future products and services that might be added to these networks, to meet our customers’ requirements. There can be no assurance that we will be able to detect and fix all defects in the products and networks we sell. The occurrence of any defects, errors or failures in our products or network services could result in: (i) additional costs to correct such defects; (ii) cancellation of orders and lost revenue; (iii) a reduction in revenue backlog; (iv) product returns or recalls; (v) diversion of our resources; (vi) the issuance of credits to customers and other losses to us, our customers or end-users; (vii) liability for harm to persons and property caused by defects in or failures of our products or services; and (viii) harm to our reputation if we fail to detect or effectively address such issues through design, testing or warranty repairs. Any of these occurrences could also result in the loss of or delay in market acceptance of our products and services and loss of sales, which would harm our reputation and our business and materially adversely affect our revenue and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risks of adverse government regulation.</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business is subject to varying degrees of regulation in the U.S. by the FCC, and other federal, state and local entities, and in foreign countries by similar entities and internationally by the ITU. These regulations are subject to the administrative and political process and do change, for political and other reasons, from time to time and may limit or constrain and/or have other adverse effects on and implications for our business and operations. The U.S. and foreign countries in which we currently, or may in the future, operate may not authorize us access to all of the spectrum that we need to provide service in a particular country. Moreover, the U.S. and a substantial number of foreign countries in which we have, or may in the future make, an investment, regulate, in varying degrees, the ownership of satellites and other telecommunication facilities/networks and foreign investment in telecommunications companies. Violations of laws or regulations may result in various sanctions including fines, loss of authorizations and the denial of applications for new authorizations or for the renewal of existing authorizations. Further material changes in law and regulatory requirements may also occur, and there can be no assurance that our business and the business of our subsidiaries and affiliates will not be adversely affected by future legislation, new regulation or deregulation. The failure to obtain or comply with the authorizations and regulations governing our operations could have a material adverse effect on our ability to generate revenue and our overall competitive position and could result in our suffering serious harm to our reputation.</w:t>
      </w:r>
    </w:p>
    <w:p>
      <w:pPr>
        <w:spacing w:after="0" w:line="18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Generally all satellite, earth stations and other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 In addition, we must obtain new licenses from the FCC and other countries’ regulators for the operation of new satellites that we may build and/or acquire. There can be no assurance that the FCC or other regulators will continue granting applications for new licenses or for the renewal of existing ones. If the FCC or other regulators were to cancel, revoke, suspend, or fail to renew any of our licenses or authorizations, fail to grant or impose conditions on our applications for FCC or other licenses, it could have a material adverse effect on our business, financial condition and results of operations. Specifically, loss of a frequency authorization or limitations on our ability to use the frequencies we currently use and/or intend to use in the future would reduce the amount of spectrum available to us, potentially reducing the amount of services we provide to our customers. The significance of such a loss of authorizations would vary based upon, among other things, the orbital location, the frequency band and the availability of replacement spectrum. In addition, the legislative and executive branches of the U.S. government and foreign governments often consider legislation and regulatory requirements that could affect us, as could the actions that the FCC and foreign regulatory bodies take. We cannot predict the outcomes of these legislative or regulatory proceedings or their effect on our business.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third parties have or may oppose some of our license applications and pending and future requests for extensions, modifications, waivers and approvals of our licenses. Even if we have fully complied with all of the required reporting, filing and other requirements in connection with our authorizations, it is possible a regulator could decline to grant certain of our applications or requests for authority, or could revoke, terminate, condition or decline to modify, extend or renew certain of our authorizations or licenses.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in accurately assessing and collecting contributions towards the USF.</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Because our customer contracts often include both telecommunications services, which create obligations to contribute to the USF, and other goods and services, which do not, it can be difficult to determine what portion of our revenue forms the basis for our required contribution to the USF and the amount that we can recover from our customers. If the FCC, which oversees the USF, or a court or other governmental entity were to determine that we computed our USF contribution obligation incorrectly or passed the wrong amount onto our customers, we could become subject to additional assessments, liabilities, or other financial penalties. In addition, the FCC is considering substantial changes to its USF contribution and distribution rules. These changes could impact our future contribution obligations and those of third parties that provide communication services to our business. Any such change to the USF contribution rules could adversely affect our costs of providing service to our customers. In addition, changes to the USF distribution rules could intensify the competition we face by offering subsidies to competing firms and/or technologies.</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Restrictions on immigration or increased enforcement of immigration laws could limit our access to qualified and skilled professionals, increase our cost of doing business or otherwise disrupt our operations.</w:t>
      </w:r>
    </w:p>
    <w:p>
      <w:pPr>
        <w:spacing w:after="0" w:line="17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success of our business is dependent on our ability to recruit engineers and other professionals. Immigration laws in the U.S. and other countries in which we operate are subject to legislative changes, as well as variations in the standards of application and enforcement due to political forces and economic conditions. It is difficult to predict the political and economic events that could affect immigration laws, or the restrictive impact they could have on obtaining or renewing work visas for our professionals. If immigration laws are changed or if new more restrictive government regulations are enacted or increased, our access to qualified and skilled professionals may be limited, the costs of doing business may increase and our operations may be disrupted.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SHARE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might not be able to engage in certain strategic transactions because we have agreed to certain restrictions to comply with U.S.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requirements for a tax-free split-off.</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preserve the intended tax-free treatment of the Share Exchange, EchoStar must comply with certain restrictions under current U.S. federal income tax laws for split-offs, including (i) refraining from engaging in certain transactions that would result in a fifty percent or greater change by vote or by value in EchoStar’s stock ownership, (ii) continuing to own and manage EchoStar’s historic businesses, and (iii) limiting sales or redemptions of EchoStar’s and our common stock. If these restrictions, among others, are not followed, the Share Exchange could be taxable to us, EchoStar and possibly EchoStar’s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parent, EchoStar, is controlled by one principal stockholder who is our Chairman.</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Charles W. Ergen, our Chairman, beneficially owns approximately 50.9% of EchoStar’s total equity securities (assuming conversion of only the Class B common stock beneficially owned by Mr. Ergen into Class A common stock and giving effect to the exercise of options held by Mr. Ergen that are either currently exercisable as of, or may become exercisable within 60 days after, February 11, 2019) and beneficially owns approximately 88.3% of the total voting power of all classes of shares of EchoStar (assuming no conversion of any Class B common stock and giving effect to the exercise of options held by Mr. Ergen that are either currently exercisable as of, or may become exercisable within 60 days after, February 11, 2019). Through his beneficial ownership of EchoStar’s equity securities, Mr. Ergen has the ability to elect a majority of EchoStar’s directors and to control all other matters requiring the approval of EchoStar’s stockholders. As a result of Mr. Ergen’s voting power, EchoStar is a “controlled company” as defined in the Nasdaq listing rules and, therefore, is not subject to Nasdaq requirements that would otherwise require EchoStar to have (i)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which provides the compensation committee with the authority and funding to retain compensation consultants and other advisors and/or (v) director nominees selected, or recommended for the Board’s selection, either by a majority of the independent directors or a nominating committee composed solely of independent directors.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potential conflicts of interest with DISH Network due to EchoStar and DISH Network’s common ownership.</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Questions relating to conflicts of interest may arise between DISH Network and us in a number of areas relating to our past and ongoing relationships. Areas in which conflicts of interest between DISH Network and us could arise include, but are not limited to, the following:</w:t>
      </w:r>
    </w:p>
    <w:p>
      <w:pPr>
        <w:spacing w:after="0" w:line="174" w:lineRule="exact"/>
        <w:rPr>
          <w:sz w:val="20"/>
          <w:szCs w:val="20"/>
          <w:color w:val="auto"/>
        </w:rPr>
      </w:pPr>
    </w:p>
    <w:p>
      <w:pPr>
        <w:jc w:val="both"/>
        <w:ind w:left="660" w:hanging="328"/>
        <w:spacing w:after="0" w:line="254" w:lineRule="auto"/>
        <w:tabs>
          <w:tab w:leader="none" w:pos="6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Cross directorships and stock ownership</w:t>
      </w:r>
      <w:r>
        <w:rPr>
          <w:rFonts w:ascii="Arial" w:cs="Arial" w:eastAsia="Arial" w:hAnsi="Arial"/>
          <w:sz w:val="18"/>
          <w:szCs w:val="18"/>
          <w:color w:val="auto"/>
        </w:rPr>
        <w:t>. We have overlap in our Chairman position with DISH, which may lead to conflicting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interests. EchoStar’s board of directors includes persons who are members of the board of directors of DISH, including Charles W. Ergen, who serves as the Chairman of these companies and of us and is employed by both EchoStar and DISH. Our Chairman and the other members of EchoStar’s board of directors who overlap with DISH also have fiduciary duties to DISH’s shareholders. Therefore, these individuals may have actual or apparent conflicts of interest with respect to matters involving or affecting each company. For example, there is potential for a conflict of interest when we or DISH Network look at acquisitions and other corporate opportunities that may be suitable for both companies. In addition, our Chairman and certain other EchoStar directors and certain of our officers own DISH stock and options to purchase DISH stock, certain of which they acquired or were granted prior to our spin-off from DISH in 2008 (the “Spin-off”), including Mr. Ergen. These ownership interests could create actual, apparent or potential conflicts of interest when these individuals are faced with decisions that could have different implications for our company and DISH Network.</w:t>
      </w:r>
    </w:p>
    <w:p>
      <w:pPr>
        <w:spacing w:after="0" w:line="51" w:lineRule="exact"/>
        <w:rPr>
          <w:rFonts w:ascii="Arial" w:cs="Arial" w:eastAsia="Arial" w:hAnsi="Arial"/>
          <w:sz w:val="18"/>
          <w:szCs w:val="18"/>
          <w:b w:val="1"/>
          <w:bCs w:val="1"/>
          <w:i w:val="1"/>
          <w:iCs w:val="1"/>
          <w:color w:val="auto"/>
        </w:rPr>
      </w:pPr>
    </w:p>
    <w:p>
      <w:pPr>
        <w:jc w:val="both"/>
        <w:ind w:left="660" w:hanging="328"/>
        <w:spacing w:after="0" w:line="252" w:lineRule="auto"/>
        <w:tabs>
          <w:tab w:leader="none" w:pos="6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Intercompany agreements with DISH Network</w:t>
      </w:r>
      <w:r>
        <w:rPr>
          <w:rFonts w:ascii="Arial" w:cs="Arial" w:eastAsia="Arial" w:hAnsi="Arial"/>
          <w:sz w:val="18"/>
          <w:szCs w:val="18"/>
          <w:color w:val="auto"/>
        </w:rPr>
        <w:t>. We and EchoStar have entered into various agreements with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certain agreements, we and EchoStar obtain certain products, services and rights from DISH Network; DISH Network obtains certain products, services and rights from us and EchoStar; and we and EchoStar and DISH Network, respectively, indemnify each other against certain liabilities arising from our respective businesses. Generally, the amounts paid for products and services provided under the agreements are based on cost plus a fixed margin, which varies depending on the nature of the products and services provided. Certain other intercompany agreements cover matters such as tax sharing and EchoStar’s responsibility for certain liabilities previously undertaken by DISH Network for certain of EchoStar’s businesses. We and EchoStar have also entered into certain commercial agreements with DISH Network. The terms of certain of these agreements were established while EchoStar was a wholly-owned subsidiary of DISH Network and were not the result of arm’s length negotiations. The allocation of assets, liabilities, rights, indemnifications and other obligations between DISH Network and EchoStar under the separation and ancillary agreements entered into with DISH Network in connection with the Spin-Off and the Share Exchange did not necessarily reflect what two unaffiliated parties might have agreed to. Had these agreements been negotiated with unaffiliated third parties, their terms may have been more favorable, or less favorable, to us or EchoStar. In addition, DISH Network or its affiliates will likely continue to enter into transactions, including joint ventures, acquisitions, dispositions and other strategic initiatives and transactions, with EchoStar or its subsidiaries, us or our subsidiaries, or other affiliates. Although the terms of any such transactions will be established based upon negotiations between DISH Network and us and, when appropriate, subject to approval by a committee of EchoStar’s non-interlocking directors or in certain instances non-interlocking management, there can be no assurance that the terms of any such transactions will be as favorable to us or our subsidiaries or affiliates as may otherwise be obtained in negotiations between unaffiliated third parties.</w:t>
      </w:r>
    </w:p>
    <w:p>
      <w:pPr>
        <w:spacing w:after="0" w:line="58"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Competition for business opportunities</w:t>
      </w:r>
      <w:r>
        <w:rPr>
          <w:rFonts w:ascii="Arial" w:cs="Arial" w:eastAsia="Arial" w:hAnsi="Arial"/>
          <w:sz w:val="18"/>
          <w:szCs w:val="18"/>
          <w:color w:val="auto"/>
        </w:rPr>
        <w:t>. DISH Network may have interests in various companies that have subsidiaries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controlled affiliates that own or operate domestic or foreign services that may compete with services offered by our businesses. DISH Network also has a distribution agreement with ViaSat, a competitor of our Hughes segment, to sell services similar to those offered by our Hughes segment. We and EchoStar may also compete with DISH Network when we participate in auctions for spectrum or orbital slots for our satellites.</w:t>
      </w:r>
    </w:p>
    <w:p>
      <w:pPr>
        <w:spacing w:after="0" w:line="2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not be able to resolve any potential conflicts of interest with DISH Network and, even if we do so, the resolution may be less favorable to us than if we were dealing with an unaffiliated party. We do not have any agreements not to compete with DISH Network. However, many of our potential customers who compete with DISH Network have historically perceived us as a competitor due to our affiliation with DISH Network. There can be no assurance that we will be successful in entering into any commercial relationships with potential customers who are competitors of DISH Network (particularly if we continue to be perceived as affiliated with DISH Network as a result of common ownership, certain shared management services and other arrangements with DISH Network).</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wholly owned subsidiary of EchoStar and do not operate as an independent company.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rely on EchoStar for a substantial portion of our administrative and management functions and services including human resources-related functions, accounting, tax administration, legal, external reporting, treasury administration, internal audit and insurance functions, information technology and telecommunications services and other support services. We do not have systems and resources in place to perform all of these functions or services. Instead, we generally receive these services pursuant to arrangements between us and EchoStar. EchoStar in turn receives certain of these services from DISH Network pursuant to a professional services agreement entered into between them. If our intercompany arrangements with EchoStar were to terminate, or if EchoStar no longer receives certain services from DISH Network, we would need to obtain agreements with third-party service providers or obtain additional internal resources, neither of which may be available on acceptable terms or at all.</w:t>
      </w:r>
    </w:p>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It may be difficult for a third party to acquire us, even if doing so may be beneficial to our shareholders, because of our capital structure.</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Certain provisions of EchoStar and our respective articles of incorporation and bylaws, such as a provision that authorizes the issuance of “blank check” preferred stock, which could be issued by our or EchoStar’s boards of directors to increase the number of outstanding shares and thwart a takeover attempt and EchoStar’s capital structure with multiple classes of common stock some of which entitle the holders to multiple votes per share, may discourage delay or prevent a change in control of our company that a shareholder may consider favorable. Both we and EchoStar also have a significant amount of authorized and unissued stock under our respective articles of incorporation that would allow our respective boards of directors to issue shares to persons friendly to current management, thereby protecting the continuity of management, or which could be used to dilute the stock ownership of persons seeking to obtain control of us. In addition, Charles W. Ergen, our Chairman, has the power to elect all of EchoStar’s directors and control shareholder decisions of EchoStar on matters on which all classes of EchoStar’s common stock vote together, and as our parent, EchoStar in turn holds all of our issued and outstanding equity and has the power to elect all of our directors and control shareholder decision on all matters.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other risks described from time to time in periodic and current reports we file with the SEC.</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100 Inverness Terrace East, Englewood, Colorado 80112-5308 and our telephone number is</w:t>
      </w:r>
    </w:p>
    <w:p>
      <w:pPr>
        <w:spacing w:after="0" w:line="9" w:lineRule="exact"/>
        <w:rPr>
          <w:sz w:val="20"/>
          <w:szCs w:val="20"/>
          <w:color w:val="auto"/>
        </w:rPr>
      </w:pPr>
    </w:p>
    <w:p>
      <w:pPr>
        <w:jc w:val="both"/>
        <w:ind w:firstLine="8"/>
        <w:spacing w:after="0" w:line="254" w:lineRule="auto"/>
        <w:tabs>
          <w:tab w:leader="none" w:pos="5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706-4000. The following table sets forth certain information concerning our principal properties related to our Hughes segment (“Hughes”) and EchoStar Satellite Services segment (“ESS”) and to our other operations and administrative functions (“Other”) as of December 31, 2018. We operate various facilities in the United States and abroad. We believe that our facilities are well maintained and are sufficient to meet our current and projected needs.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Leased/</w:t>
            </w:r>
          </w:p>
        </w:tc>
        <w:tc>
          <w:tcPr>
            <w:tcW w:w="5240" w:type="dxa"/>
            <w:vAlign w:val="bottom"/>
          </w:tcPr>
          <w:p>
            <w:pPr>
              <w:spacing w:after="0"/>
              <w:rPr>
                <w:sz w:val="17"/>
                <w:szCs w:val="17"/>
                <w:color w:val="auto"/>
              </w:rPr>
            </w:pPr>
          </w:p>
        </w:tc>
      </w:tr>
      <w:tr>
        <w:trPr>
          <w:trHeight w:val="24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Location (4)</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Segment(s)</w:t>
            </w: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Owned</w:t>
            </w:r>
          </w:p>
        </w:tc>
        <w:tc>
          <w:tcPr>
            <w:tcW w:w="100" w:type="dxa"/>
            <w:vAlign w:val="bottom"/>
            <w:tcBorders>
              <w:bottom w:val="single" w:sz="8" w:color="CCEEFF"/>
            </w:tcBorders>
          </w:tcPr>
          <w:p>
            <w:pPr>
              <w:spacing w:after="0"/>
              <w:rPr>
                <w:sz w:val="21"/>
                <w:szCs w:val="21"/>
                <w:color w:val="auto"/>
              </w:rPr>
            </w:pPr>
          </w:p>
        </w:tc>
        <w:tc>
          <w:tcPr>
            <w:tcW w:w="5240" w:type="dxa"/>
            <w:vAlign w:val="bottom"/>
            <w:tcBorders>
              <w:bottom w:val="single" w:sz="8" w:color="auto"/>
            </w:tcBorders>
          </w:tcPr>
          <w:p>
            <w:pPr>
              <w:ind w:left="2240"/>
              <w:spacing w:after="0"/>
              <w:rPr>
                <w:sz w:val="20"/>
                <w:szCs w:val="20"/>
                <w:color w:val="auto"/>
              </w:rPr>
            </w:pPr>
            <w:r>
              <w:rPr>
                <w:rFonts w:ascii="Arial" w:cs="Arial" w:eastAsia="Arial" w:hAnsi="Arial"/>
                <w:sz w:val="18"/>
                <w:szCs w:val="18"/>
                <w:b w:val="1"/>
                <w:bCs w:val="1"/>
                <w:color w:val="auto"/>
              </w:rPr>
              <w:t>Function</w:t>
            </w:r>
          </w:p>
        </w:tc>
      </w:tr>
      <w:tr>
        <w:trPr>
          <w:trHeight w:val="257"/>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San Diego, California</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Engineering and sales offices</w:t>
            </w:r>
          </w:p>
        </w:tc>
      </w:tr>
      <w:tr>
        <w:trPr>
          <w:trHeight w:val="26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Englewood, Colorado (1)(4)</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Gateways</w:t>
            </w:r>
          </w:p>
        </w:tc>
      </w:tr>
      <w:tr>
        <w:trPr>
          <w:trHeight w:val="235"/>
        </w:trPr>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and testing facilities, engineering and logistics</w:t>
            </w:r>
          </w:p>
        </w:tc>
      </w:tr>
      <w:tr>
        <w:trPr>
          <w:trHeight w:val="230"/>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Gaithersburg, Maryland</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administrative offices</w:t>
            </w:r>
          </w:p>
        </w:tc>
      </w:tr>
      <w:tr>
        <w:trPr>
          <w:trHeight w:val="25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Southfield, Michigan (1)</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Shared hub and regional network management center</w:t>
            </w:r>
          </w:p>
        </w:tc>
      </w:tr>
      <w:tr>
        <w:trPr>
          <w:trHeight w:val="235"/>
        </w:trPr>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hub, antennae yards, gateway, backup network</w:t>
            </w:r>
          </w:p>
        </w:tc>
      </w:tr>
      <w:tr>
        <w:trPr>
          <w:trHeight w:val="230"/>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Las Vegas, Nevada (1)</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 and control center for Hughes corporate headquarters</w:t>
            </w:r>
          </w:p>
        </w:tc>
      </w:tr>
      <w:tr>
        <w:trPr>
          <w:trHeight w:val="25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American Fork, Utah</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Office space, engineering offices</w:t>
            </w:r>
          </w:p>
        </w:tc>
      </w:tr>
      <w:tr>
        <w:trPr>
          <w:trHeight w:val="235"/>
        </w:trPr>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Hughes Brazil corporate headquarters, sales offices, and</w:t>
            </w:r>
          </w:p>
        </w:tc>
      </w:tr>
      <w:tr>
        <w:trPr>
          <w:trHeight w:val="230"/>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Sao Paulo, Brazil</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warehouse</w:t>
            </w:r>
          </w:p>
        </w:tc>
      </w:tr>
      <w:tr>
        <w:trPr>
          <w:trHeight w:val="25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Bangalore, India (2)</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Engineering office and office space</w:t>
            </w:r>
          </w:p>
        </w:tc>
      </w:tr>
      <w:tr>
        <w:trPr>
          <w:trHeight w:val="235"/>
        </w:trPr>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offices, shared hub, operations, warehouse, and</w:t>
            </w:r>
          </w:p>
        </w:tc>
      </w:tr>
      <w:tr>
        <w:trPr>
          <w:trHeight w:val="230"/>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Gurgaon, India (1)(2)</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center</w:t>
            </w:r>
          </w:p>
        </w:tc>
      </w:tr>
      <w:tr>
        <w:trPr>
          <w:trHeight w:val="25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New Delhi, India</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Hughes India corporate headquarters</w:t>
            </w:r>
          </w:p>
        </w:tc>
      </w:tr>
      <w:tr>
        <w:trPr>
          <w:trHeight w:val="263"/>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Milton Keynes, United Kingdom</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Hughes Europe corporate headquarters and operations</w:t>
            </w:r>
          </w:p>
        </w:tc>
      </w:tr>
      <w:tr>
        <w:trPr>
          <w:trHeight w:val="229"/>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Hughes corporate headquarters, engineering offices, network</w:t>
            </w:r>
          </w:p>
        </w:tc>
      </w:tr>
      <w:tr>
        <w:trPr>
          <w:trHeight w:val="224"/>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Germantown, Maryland (1)</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rPr>
              <w:t>Owned</w:t>
            </w:r>
          </w:p>
        </w:tc>
        <w:tc>
          <w:tcPr>
            <w:tcW w:w="5240" w:type="dxa"/>
            <w:vAlign w:val="bottom"/>
          </w:tcPr>
          <w:p>
            <w:pPr>
              <w:ind w:left="20"/>
              <w:spacing w:after="0"/>
              <w:rPr>
                <w:sz w:val="20"/>
                <w:szCs w:val="20"/>
                <w:color w:val="auto"/>
              </w:rPr>
            </w:pPr>
            <w:r>
              <w:rPr>
                <w:rFonts w:ascii="Arial" w:cs="Arial" w:eastAsia="Arial" w:hAnsi="Arial"/>
                <w:sz w:val="18"/>
                <w:szCs w:val="18"/>
                <w:color w:val="auto"/>
              </w:rPr>
              <w:t>operations and shared hubs</w:t>
            </w:r>
          </w:p>
        </w:tc>
      </w:tr>
      <w:tr>
        <w:trPr>
          <w:trHeight w:val="263"/>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Griesheim, Germany (1)</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Hughes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Owned</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Shared hub, operations, administrative offices and warehouse</w:t>
            </w:r>
          </w:p>
        </w:tc>
      </w:tr>
      <w:tr>
        <w:trPr>
          <w:trHeight w:val="229"/>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Spacecraft operations center, satellite access center and</w:t>
            </w:r>
          </w:p>
        </w:tc>
      </w:tr>
      <w:tr>
        <w:trPr>
          <w:trHeight w:val="224"/>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Cheyenne, Wyoming (1)</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Hughes/ESS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gateway</w:t>
            </w:r>
          </w:p>
        </w:tc>
      </w:tr>
      <w:tr>
        <w:trPr>
          <w:trHeight w:val="235"/>
        </w:trPr>
        <w:tc>
          <w:tcPr>
            <w:tcW w:w="3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Spacecraft operations center, satellite access center and</w:t>
            </w:r>
          </w:p>
        </w:tc>
      </w:tr>
      <w:tr>
        <w:trPr>
          <w:trHeight w:val="230"/>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Gilbert, Arizona (1)</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Hughes/ESS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gateway</w:t>
            </w:r>
          </w:p>
        </w:tc>
      </w:tr>
      <w:tr>
        <w:trPr>
          <w:trHeight w:val="229"/>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Shared hub, warehouse, operations center and spacecraft</w:t>
            </w:r>
          </w:p>
        </w:tc>
      </w:tr>
      <w:tr>
        <w:trPr>
          <w:trHeight w:val="224"/>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Barueri, Brazil (1)</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Hughes/Other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tcPr>
          <w:p>
            <w:pPr>
              <w:ind w:left="20"/>
              <w:spacing w:after="0"/>
              <w:rPr>
                <w:sz w:val="20"/>
                <w:szCs w:val="20"/>
                <w:color w:val="auto"/>
              </w:rPr>
            </w:pPr>
            <w:r>
              <w:rPr>
                <w:rFonts w:ascii="Arial" w:cs="Arial" w:eastAsia="Arial" w:hAnsi="Arial"/>
                <w:sz w:val="18"/>
                <w:szCs w:val="18"/>
                <w:color w:val="auto"/>
              </w:rPr>
              <w:t>operations center</w:t>
            </w:r>
          </w:p>
        </w:tc>
      </w:tr>
      <w:tr>
        <w:trPr>
          <w:trHeight w:val="263"/>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Black Hawk, South Dakota (1)(3)</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Owned</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Spacecraft auto-track operations center</w:t>
            </w:r>
          </w:p>
        </w:tc>
      </w:tr>
      <w:tr>
        <w:trPr>
          <w:trHeight w:val="250"/>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Englewood, Colorado (3)</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rPr>
              <w:t>ESS/Other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rPr>
              <w:t>Owned</w:t>
            </w:r>
          </w:p>
        </w:tc>
        <w:tc>
          <w:tcPr>
            <w:tcW w:w="5240" w:type="dxa"/>
            <w:vAlign w:val="bottom"/>
          </w:tcPr>
          <w:p>
            <w:pPr>
              <w:ind w:left="20"/>
              <w:spacing w:after="0"/>
              <w:rPr>
                <w:sz w:val="20"/>
                <w:szCs w:val="20"/>
                <w:color w:val="auto"/>
              </w:rPr>
            </w:pPr>
            <w:r>
              <w:rPr>
                <w:rFonts w:ascii="Arial" w:cs="Arial" w:eastAsia="Arial" w:hAnsi="Arial"/>
                <w:sz w:val="18"/>
                <w:szCs w:val="18"/>
                <w:color w:val="auto"/>
              </w:rPr>
              <w:t>Corporate headquarters, engineering offices</w:t>
            </w:r>
          </w:p>
        </w:tc>
      </w:tr>
      <w:tr>
        <w:trPr>
          <w:trHeight w:val="263"/>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Campinas, Brazil</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Other</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Leased</w:t>
            </w: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Uplink facility</w:t>
            </w:r>
          </w:p>
        </w:tc>
      </w:tr>
      <w:tr>
        <w:trPr>
          <w:trHeight w:val="257"/>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Cheyenne, Wyoming</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Other</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rPr>
              <w:t>Owned</w:t>
            </w:r>
          </w:p>
        </w:tc>
        <w:tc>
          <w:tcPr>
            <w:tcW w:w="5240" w:type="dxa"/>
            <w:vAlign w:val="bottom"/>
          </w:tcPr>
          <w:p>
            <w:pPr>
              <w:ind w:left="20"/>
              <w:spacing w:after="0"/>
              <w:rPr>
                <w:sz w:val="20"/>
                <w:szCs w:val="20"/>
                <w:color w:val="auto"/>
              </w:rPr>
            </w:pPr>
            <w:r>
              <w:rPr>
                <w:rFonts w:ascii="Arial" w:cs="Arial" w:eastAsia="Arial" w:hAnsi="Arial"/>
                <w:sz w:val="18"/>
                <w:szCs w:val="18"/>
                <w:color w:val="auto"/>
              </w:rPr>
              <w:t>Data Center</w:t>
            </w:r>
          </w:p>
        </w:tc>
      </w:tr>
    </w:tbl>
    <w:p>
      <w:pPr>
        <w:spacing w:after="0" w:line="1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perform network services and customer support functions 24 hours a day, 365 days a year at these locations.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properties are used by subsidiaries that are less than wholly-owned by the Company.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properties are owned by EchoStar Corporation or its subsidiaries.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also have multiple gateways throughout the Western part of the U.S., Mexico and Canada that support the SPACEWAY 3, EchoStar XVII, and EchoStar XIX satellites.</w:t>
      </w:r>
    </w:p>
    <w:p>
      <w:pPr>
        <w:spacing w:after="0" w:line="13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a discussion of legal proceedings, see Note 13 in the notes to our accompanying Consolidated Financial Statements in Item 15 of this Annual Report on Form 10-K.</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140" w:right="1440"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Market Information. </w:t>
      </w:r>
      <w:r>
        <w:rPr>
          <w:rFonts w:ascii="Arial" w:cs="Arial" w:eastAsia="Arial" w:hAnsi="Arial"/>
          <w:sz w:val="18"/>
          <w:szCs w:val="18"/>
          <w:color w:val="auto"/>
        </w:rPr>
        <w:t>As of February 11, 2019, all of our 1,078 issued and outstanding shares of common stock were held by EchoStar.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currently no established trading market for our common stock. Our Articles of Incorporation authorize the issuance of 1,000,000 shares of preferred stock and as of February 11, 2019, no shares of our preferred stock were issued and outstanding.</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We have not paid any cash dividends on our common stock in the past two years. Payment of any future dividends will depend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our earnings, capital requirements, contractual restrictions, and other factors the board of directors considers appropriate. We currently intend to retain our earnings, if any, to support operations, future growth and expansion. Our ability to declare dividends is affected by covenants in our indentures.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NARRATIVE ANALYSIS OF RESULTS OF OPERATIONS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Unless the context indicates otherwise, as used herein, the terms “we,” “us,” “HSS,” the “Company” and “our” refer to Hughes Satellite Systems Corporation and its subsidiaries. References to “$” are to United States (“U.S.”) dollars. The following management’s narrative analysis of results of operations should be read in conjunction with our accompanying Consolidated Financial Statements and notes thereto included elsewhere in this Annual Report on Form 10-K (“Form 10-K”). This management’s narrative analysis is intended to help provide an understanding of our financial condition, changes in our financial condition and our results of operations. Many of the statements in this management’s narrative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10-K for further discussion. For a discussion of additional risks, uncertainties and other factors that could impact our results of operations or financial condition, see the caption Risk Factors in Item 1A of this Form 10-K. Further, such forward-looking statements speak only as of the date of this Form 10-K and we undertake no obligation to update them.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holding company and a subsidiary of EchoStar Corporation (“EchoStar”). We were formed as a Colorado corporation in March 2011. We are a global provider of broadband satellite technologies, broadband internet services for home and small office customers, satellite operations and satellite services. We also deliver innovative network technologies, managed services and various communications solutions for aeronautical, enterprise and government customers. We currently operate in two business segments: Hughes and EchoStar Satellite Services (“ESS”). These segments are consistent with the way we make decisions regarding the allocation of resources, as well as how operating results are reviewed by our chief operating decision maker, who is the Company’s Chief Executive Officer.</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2017, EchoStar and certain of its and our subsidiaries entered into a share exchange agreement with DISH and certain of its subsidiaries. EchoStar and certain of its and our subsidiaries received all of the shares of the Hughes Retail Preferred Tracking Stock previously issued by EchoStar and us (together, the “Tracking Stock”) in exchange for 100% of the equity interests of certain EchoStar subsidiaries that held substantially all of EchoStar’s former EchoStar Technologies businesses and certain other assets (collectively, the “Share Exchange”). Following the consummation of the Share Exchange, EchoStar no longer operates its former EchoStar Technologies businesses, the Tracking Stock was retired and is no longer outstanding, and all agreements, arrangements and policy statements with respect to the Tracking Stock terminated.</w:t>
      </w:r>
    </w:p>
    <w:p>
      <w:pPr>
        <w:spacing w:after="0" w:line="200" w:lineRule="exact"/>
        <w:rPr>
          <w:sz w:val="20"/>
          <w:szCs w:val="20"/>
          <w:color w:val="auto"/>
        </w:rPr>
      </w:pP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Year Ended December 31, 2018</w:t>
      </w:r>
    </w:p>
    <w:p>
      <w:pPr>
        <w:spacing w:after="0" w:line="24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of $2.1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income of $344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of $97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attributable to HSS of $96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EBITDA of $894 million (see reconciliation of this non-GAAP measure on page 32)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December 31, 2018</w:t>
      </w:r>
    </w:p>
    <w:p>
      <w:pPr>
        <w:spacing w:after="0" w:line="24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assets of $6.9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liabilities of $4.5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shareholders’ equity of $2.4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$2.5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home and small office customers and broadband network technologies, managed services, equipment, hardware, satellite services and communications solutions to consumers,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in our domestic and international markets across wholesale and retail channels. The growth of our enterprise businesses, including aeronautical,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Hughes segment currently uses capacity from three of our satellites (the SPACEWAY 3 satellite, the EchoStar XVII satellite and the EchoStar XIX satellite) and additional satellite capacity acquired from multiple third-party providers to provide services to our customers. In December 2016, EchoStar launched the EchoStar XIX satellite, a high throughput geostationary satellite employing a multi-spot beam, bent pipe Ka-band architecture. EchoStar contributed the EchoStar XIX satellite to us in February 2017. The EchoStar XIX satellite provides capacity for the Hughes broadband services to our current and future customers in North America and certain Central and South American countries and our aeronautical and enterprise broadband services. Until new satellite launches or acquisitions provide additional capacity for subscriber growth, we manage subscriber growth across our existing satellite platform.</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2018, we entered into an agreement with Al Yah Satellite Communications Company PrJSC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 million in cash in exchange for a 20% interest in BCS. Under the terms of the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also acquire, for further cash investments, additional ownership interests in BCS in the future provided certain conditions are met. We supply network operations and management services and equipment to BCS.</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2017, a subsidiary of EchoStar entered into a contract for the design and construction of the EchoStar XXIV, a new, next-generation, high throughput geostationary satellite, with a planned 2021 launch. The EchoStar XXIV satellite is primarily intended to provide additional capacity for our Hughes satellite internet (“HughesNet”) service in North, Central and South America as well as aeronautical and enterprise broadband services. In March 2018, the Federal Communications Commission (“FCC”) granted authorization to construct, deploy and operate the EchoStar XXIV satellite. In the second half of 2018, Maxar Technologies Inc. (“Maxar”), the parent company of Space Systems/Loral (“SSL”), the manufacturer of our EchoStar XXIV satellite, announced that it was reviewing strategic alternatives for its geostationary communications satellite business to improve its financial performance and that it was in active discussions with potential buyers of the business. SSL has indicated to us that it intends to meet its contractual obligations regarding the timely manufacture and delivery of the EchoStar XXIV satellite. However, if SSL or any potential successor fails to meet or is delayed in meeting these obligations for any reason, including if Maxar decides to discontinue, wind down or otherwise significantly modify its geostationary communications satellite business, such failure could have a material adverse impact on our business operations, future revenues, financial position and prospects, completing the manufacture of the EchoStar XXIV satellite and our planned expansion of satellite broadband services throughout North, South and Central America. Capital expenditures associated with the construction and launch of this satellite are included in EchoStar’s Corporate and Other in its segment reporting.</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March 2017, we and a wholly-owned subsidiary of DISH entered into a master service agreement (the “Hughes Broadband MSA”). Pursuant to the Hughes Broadband MSA, DISH’s subsidiary, among other things: (i) has the right, but not the obligation, to market, promote and solicit orders and upgrades for the HughesNet service and related equipment and other telecommunication services and (ii) installs HughesNet service equipment with respect to activations generated by DNLLC. As a result of the Hughes Broadband MSA, we have not earned and do not expect to earn in the future, significant equipment revenue from our distribution agreement with another wholly-owned subsidiary of DISH. We expect churn in the existing wholesale subscribers to continue to reduce Services and other revenue – DISH Network in the future.</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Developments toward the launch of next-generation satellite systems including low-earth orbit (“LEO”), medium-earth orbit (“MEO”) and geostationary systems could provide additional opportunities to drive the demand for our equipment, hardware, technology and services. In June 2015, a subsidiary of EchoStar made an equity investment in WorldVu Satellites Limited (“OneWeb”), a global LEO satellite service company, In addition, we have an agreement with OneWeb to provide certain equipment and services in connection with the ground network system for OneWeb’s LEO satellites. We expect to continue delivering additional equipment and services to OneWeb.</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continue our efforts to expand our consumer satellite services business outside of the U.S. In April 2014, we entered into a 15-year agreement with Eutelsat do Brasil for Ka-band capacity into Brazil on the EUTELSAT 65 West A satellite, which was launched in March 2016. We began delivering high-speed consumer satellite broadband services in Brazil in July 2016. Additionally, in September 2015, we entered into 15-year agreements pursuant to which affiliates of Telesat Canada will provide to us Ka-band capacity on a satellite to be located at the 63 degree west longitude orbital location. This satellite was launched in July 2018, placed in service during the fourth quarter of 2018 and augmented the capacity being provided by the EUTELSAT 65 West A and EchoStar XIX satellites in Central and South America. We currently provide satellite broadband internet service in several Central and South American countries, and expect to continue to launch similar services in other Central and South American countries.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Our subscriber metrics as of December 31, 2018 and for the quarter then ended are as follows were:</w:t>
      </w:r>
    </w:p>
    <w:p>
      <w:pPr>
        <w:spacing w:after="0" w:line="379" w:lineRule="exact"/>
        <w:rPr>
          <w:sz w:val="20"/>
          <w:szCs w:val="20"/>
          <w:color w:val="auto"/>
        </w:rPr>
      </w:pPr>
    </w:p>
    <w:tbl>
      <w:tblPr>
        <w:tblLayout w:type="fixed"/>
        <w:tblInd w:w="840" w:type="dxa"/>
        <w:tblCellMar>
          <w:top w:w="0" w:type="dxa"/>
          <w:left w:w="0" w:type="dxa"/>
          <w:bottom w:w="0" w:type="dxa"/>
          <w:right w:w="0" w:type="dxa"/>
        </w:tblCellMar>
      </w:tblPr>
      <w:tr>
        <w:trPr>
          <w:trHeight w:val="246"/>
        </w:trPr>
        <w:tc>
          <w:tcPr>
            <w:tcW w:w="1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4"/>
          </w:tcPr>
          <w:p>
            <w:pPr>
              <w:jc w:val="center"/>
              <w:ind w:right="270"/>
              <w:spacing w:after="0"/>
              <w:rPr>
                <w:sz w:val="20"/>
                <w:szCs w:val="20"/>
                <w:color w:val="auto"/>
              </w:rPr>
            </w:pPr>
            <w:r>
              <w:rPr>
                <w:rFonts w:ascii="Arial" w:cs="Arial" w:eastAsia="Arial" w:hAnsi="Arial"/>
                <w:sz w:val="18"/>
                <w:szCs w:val="18"/>
                <w:b w:val="1"/>
                <w:bCs w:val="1"/>
                <w:color w:val="auto"/>
                <w:w w:val="99"/>
              </w:rPr>
              <w:t>As of December 31,</w:t>
            </w:r>
          </w:p>
        </w:tc>
        <w:tc>
          <w:tcPr>
            <w:tcW w:w="8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64"/>
        </w:trPr>
        <w:tc>
          <w:tcPr>
            <w:tcW w:w="1120" w:type="dxa"/>
            <w:vAlign w:val="bottom"/>
            <w:tcBorders>
              <w:bottom w:val="single" w:sz="8" w:color="CCEEFF"/>
            </w:tcBorders>
          </w:tcPr>
          <w:p>
            <w:pPr>
              <w:spacing w:after="0"/>
              <w:rPr>
                <w:sz w:val="22"/>
                <w:szCs w:val="22"/>
                <w:color w:val="auto"/>
              </w:rPr>
            </w:pPr>
          </w:p>
        </w:tc>
        <w:tc>
          <w:tcPr>
            <w:tcW w:w="1920" w:type="dxa"/>
            <w:vAlign w:val="bottom"/>
            <w:tcBorders>
              <w:bottom w:val="single" w:sz="8" w:color="CCEEFF"/>
            </w:tcBorders>
          </w:tcPr>
          <w:p>
            <w:pPr>
              <w:spacing w:after="0"/>
              <w:rPr>
                <w:sz w:val="22"/>
                <w:szCs w:val="22"/>
                <w:color w:val="auto"/>
              </w:rPr>
            </w:pPr>
          </w:p>
        </w:tc>
        <w:tc>
          <w:tcPr>
            <w:tcW w:w="2140" w:type="dxa"/>
            <w:vAlign w:val="bottom"/>
            <w:tcBorders>
              <w:bottom w:val="single" w:sz="8" w:color="auto"/>
            </w:tcBorders>
            <w:gridSpan w:val="2"/>
          </w:tcPr>
          <w:p>
            <w:pPr>
              <w:jc w:val="right"/>
              <w:ind w:right="7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center"/>
              <w:ind w:right="1010"/>
              <w:spacing w:after="0"/>
              <w:rPr>
                <w:sz w:val="20"/>
                <w:szCs w:val="20"/>
                <w:color w:val="auto"/>
              </w:rPr>
            </w:pPr>
            <w:r>
              <w:rPr>
                <w:rFonts w:ascii="Arial" w:cs="Arial" w:eastAsia="Arial" w:hAnsi="Arial"/>
                <w:sz w:val="18"/>
                <w:szCs w:val="18"/>
                <w:b w:val="1"/>
                <w:bCs w:val="1"/>
                <w:color w:val="auto"/>
                <w:w w:val="99"/>
              </w:rPr>
              <w:t>2017</w:t>
            </w:r>
          </w:p>
        </w:tc>
        <w:tc>
          <w:tcPr>
            <w:tcW w:w="1920" w:type="dxa"/>
            <w:vAlign w:val="bottom"/>
            <w:tcBorders>
              <w:bottom w:val="single" w:sz="8" w:color="auto"/>
            </w:tcBorders>
            <w:gridSpan w:val="2"/>
          </w:tcPr>
          <w:p>
            <w:pPr>
              <w:jc w:val="right"/>
              <w:ind w:right="860"/>
              <w:spacing w:after="0"/>
              <w:rPr>
                <w:sz w:val="20"/>
                <w:szCs w:val="20"/>
                <w:color w:val="auto"/>
              </w:rPr>
            </w:pPr>
            <w:r>
              <w:rPr>
                <w:rFonts w:ascii="Arial" w:cs="Arial" w:eastAsia="Arial" w:hAnsi="Arial"/>
                <w:sz w:val="18"/>
                <w:szCs w:val="18"/>
                <w:b w:val="1"/>
                <w:bCs w:val="1"/>
                <w:color w:val="auto"/>
              </w:rPr>
              <w:t>2016</w:t>
            </w:r>
          </w:p>
        </w:tc>
      </w:tr>
      <w:tr>
        <w:trPr>
          <w:trHeight w:val="270"/>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broadband subscribers</w:t>
            </w:r>
          </w:p>
        </w:tc>
        <w:tc>
          <w:tcPr>
            <w:tcW w:w="2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1,361,000</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1,208,000</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1,036,000</w:t>
            </w:r>
          </w:p>
        </w:tc>
      </w:tr>
      <w:tr>
        <w:trPr>
          <w:trHeight w:val="615"/>
        </w:trPr>
        <w:tc>
          <w:tcPr>
            <w:tcW w:w="1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8"/>
                <w:szCs w:val="18"/>
                <w:b w:val="1"/>
                <w:bCs w:val="1"/>
                <w:color w:val="auto"/>
                <w:w w:val="99"/>
              </w:rPr>
              <w:t>For the three months ended</w:t>
            </w:r>
          </w:p>
        </w:tc>
        <w:tc>
          <w:tcPr>
            <w:tcW w:w="82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1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960" w:type="dxa"/>
            <w:vAlign w:val="bottom"/>
            <w:gridSpan w:val="3"/>
          </w:tcPr>
          <w:p>
            <w:pPr>
              <w:ind w:left="260"/>
              <w:spacing w:after="0"/>
              <w:rPr>
                <w:sz w:val="20"/>
                <w:szCs w:val="20"/>
                <w:color w:val="auto"/>
              </w:rPr>
            </w:pPr>
            <w:r>
              <w:rPr>
                <w:rFonts w:ascii="Arial" w:cs="Arial" w:eastAsia="Arial" w:hAnsi="Arial"/>
                <w:sz w:val="18"/>
                <w:szCs w:val="18"/>
                <w:b w:val="1"/>
                <w:bCs w:val="1"/>
                <w:color w:val="auto"/>
              </w:rPr>
              <w:t>December 31, 2018</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60" w:type="dxa"/>
            <w:vAlign w:val="bottom"/>
            <w:gridSpan w:val="3"/>
          </w:tcPr>
          <w:p>
            <w:pPr>
              <w:jc w:val="right"/>
              <w:ind w:right="1340"/>
              <w:spacing w:after="0"/>
              <w:rPr>
                <w:sz w:val="20"/>
                <w:szCs w:val="20"/>
                <w:color w:val="auto"/>
              </w:rPr>
            </w:pPr>
            <w:r>
              <w:rPr>
                <w:rFonts w:ascii="Arial" w:cs="Arial" w:eastAsia="Arial" w:hAnsi="Arial"/>
                <w:sz w:val="18"/>
                <w:szCs w:val="18"/>
                <w:b w:val="1"/>
                <w:bCs w:val="1"/>
                <w:color w:val="auto"/>
              </w:rPr>
              <w:t>September 30, 2018</w:t>
            </w:r>
          </w:p>
        </w:tc>
      </w:tr>
      <w:tr>
        <w:trPr>
          <w:trHeight w:val="257"/>
        </w:trPr>
        <w:tc>
          <w:tcPr>
            <w:tcW w:w="1120" w:type="dxa"/>
            <w:vAlign w:val="bottom"/>
          </w:tcPr>
          <w:p>
            <w:pPr>
              <w:spacing w:after="0"/>
              <w:rPr>
                <w:sz w:val="22"/>
                <w:szCs w:val="22"/>
                <w:color w:val="auto"/>
              </w:rPr>
            </w:pPr>
          </w:p>
        </w:tc>
        <w:tc>
          <w:tcPr>
            <w:tcW w:w="192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additions</w:t>
            </w:r>
          </w:p>
        </w:tc>
        <w:tc>
          <w:tcPr>
            <w:tcW w:w="116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1100" w:type="dxa"/>
            <w:vAlign w:val="bottom"/>
          </w:tcPr>
          <w:p>
            <w:pPr>
              <w:spacing w:after="0"/>
              <w:rPr>
                <w:sz w:val="22"/>
                <w:szCs w:val="22"/>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broadband subscribers include customers that subscribe to our HughesNet services in North, Central and South America through retail, wholesale and small/medium enterprise service channels. Our total gross subscriber additions for the fourth quarter of 2018 decreased by approximately 7,000 compared to the third quarter of 2018 primarily due to reduced satellite capacity available for sale. Our total net subscriber additions for the quarter ended December 31, 2018 decreased by approximately 4,000 compared to the quarter ended September 30, 2018 primarily due to lower gross consumer subscriber additions, partially offset by a lower average monthly subscriber churn percentage.</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2018 and 2017, our Hughes segment had approximately $1.4 billion and $1.6 billion, respectively, of contracted revenue backlog. We define Hughes contracted revenue backlog as our expected future revenue, including lease revenue, under customer contracts that are non-cancelable, excluding agreements with customers in our consumer market. The decrease in our contracted revenue backlog reflects our recognition of revenue in excess of additions to backlog resulting from new orders from our customers. Of the total contracted revenue backlog as of December 31, 2018, we expect to recognize approximately $430 million of revenue in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ESS segment is a global provider of satellite operations and satellite services. We operate our business using our owned and leased in-orbit satellites and related licenses.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 We are also pursuing other opportunities such as providing value added services such as telemetry, tracking and control (“TT&amp;C”) services to third parties, which leverage the ground monitoring networks and personnel currently within our ESS segment.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provide satellite operations and satellite services on a full-time and/or occasional-use basis primarily to DISH Network Corporation and its subsidiaries (“DISH Network”), Dish Mexico, S. de R.L. de C.V., a joint venture EchoStar entered into in 2008 (“Dish Mexico”), U.S. government service providers, internet service providers, broadcast news organizations, content providers and private enterprise customers.</w:t>
      </w:r>
    </w:p>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depend on DISH Network for a significant portion of the revenue for our ESS segment, and we expect that DISH Network will continue to be the primary source of revenue for our ESS segment as we have entered into certain commercial agreements with DISH Network pursuant to which we provide DISH Network with satellite services at fixed prices for varying lengths of time depending on the satellite. Therefore, the results of operations of our ESS segment are linked to changes in DISH Network’s satellite capacity requirements, which historically have been driven by the addition of new channels and migration of programming to high-definition television and video on demand services. DISH Network’s future satellite capacity requirements may change for a variety of reasons, including its ability to construct and launch or acquire its own satellites, to continue to add new channels and/or to migrate to the provision of such channels and other video on demand services through streaming and other alternative technologies. There is no assurance that we will continue to provide satellite services to DISH Network beyond the terms of our agreements. Any termination or reduction in the satellite services we provide to DISH Network would cause us to have unused capacity on our satellites and require that we aggressively pursue alternative sources of revenue for this business. The agreement with DISH Network to lease satellite capacity on the EchoStar VII satellite expired in June 2018. As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 result, we expect a $43 million annualized decrease in our revenue. We are exploring other opportunities to utilize this satellite in the future.</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August 2014, we entered into: (i) a contract with Airbus Defence and Space SAS for the construction of the EchoStar 105/SES-11 satellite with C-, Ku- and Ka-band payloads; (ii) an agreement with SES Satellite Leasing Limited for the procurement of the related launch services; and (iii) an agreement with SES Americom Inc. pursuant to which we transferred the title to the payloads to two affiliates of SES Americom Inc. We retained the right to use the entire Ku-band payload on the satellite for an initial ten-year term, with an option for us to renew the agreement on a year-to-year basis. The EchoStar 105/SES-11 satellite was launched in October 2017 and placed into service in November 2017 at the 105 degree west longitude orbital location. Our Ku-band payload on the EchoStar 105/SES-11 satellite replaced and augments the capacity we had on the AMC-15 satellite. We transferred activities from the AMC-15 satellite to the EchoStar 105/SES-11 satellite in the fourth quarter of 2017 and our agreement for satellite services on certain transponders on the AMC-15 satellite terminated according to its terms in December 2017.</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2018 and 2017, our ESS segment had contracted revenue backlog of approximately $832 million and $1.2 billion, respectively. We define contracted revenue backlog for our ESS segment as contracted future satellite lease revenue. The decrease is primarily driven by the fixed-term nature of the satellite services agreements with DISH Network and Dish Mexico. Of the total contracted revenue backlog as of December 31, 2018, we expect to recognize approximately $288 million of revenue in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other technologies such as geostationary high throughput satellites, low-earth orbit (“LEO”) networks, medium-earth orbit (“MEO”) systems, balloons and High Altitude Platform Systems are playing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and commerce in North America and internationally for consumers as well as aeronautical, enterprise and government customers. We are closely tracking the developments in next-generation satellite businesses, and we are seeking to utilize our services, technologies and expertise to find new commercial opportunities for our business.</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markets and new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global provider of satellite technologies and services, internet services and communications equipment and networks, we may be prone to more targeted and persistent levels of cyber-attacks than other businesses. These risks may be more prevalent as we continue to expand and grow our business into other areas of the world outside of North America, some of which are still developing their cybersecurity infrastructure maturity. Detecting, deterring, preventing and mitigating incidents caused by hackers and other parties may result in significant costs to us and may expose our customers to financial or other harm that have the potential to significantly increase our liability.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EchoStar also maintains agreements with third party vendors and experts to assist in our remediation and mitigation efforts if we experience or identify a material incident or threat. In addition, senior management and the Audit Committee of EchoStar’s Board of Directors are regularly briefed on cybersecurity matters.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year ended December 31, 2018.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of our consolidated results of operations is presented on a historical basis.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040" w:type="dxa"/>
            <w:vAlign w:val="bottom"/>
            <w:gridSpan w:val="5"/>
          </w:tcPr>
          <w:p>
            <w:pPr>
              <w:spacing w:after="0"/>
              <w:rPr>
                <w:sz w:val="20"/>
                <w:szCs w:val="20"/>
                <w:color w:val="auto"/>
              </w:rPr>
            </w:pPr>
            <w:r>
              <w:rPr>
                <w:rFonts w:ascii="Arial" w:cs="Arial" w:eastAsia="Arial" w:hAnsi="Arial"/>
                <w:sz w:val="18"/>
                <w:szCs w:val="18"/>
                <w:b w:val="1"/>
                <w:bCs w:val="1"/>
                <w:color w:val="auto"/>
              </w:rPr>
              <w:t>Year Ended December 31, 2018 Compared to the Year Ended December 31, 2017</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6"/>
          </w:tcPr>
          <w:p>
            <w:pPr>
              <w:ind w:left="40"/>
              <w:spacing w:after="0"/>
              <w:rPr>
                <w:sz w:val="20"/>
                <w:szCs w:val="20"/>
                <w:color w:val="auto"/>
              </w:rPr>
            </w:pPr>
            <w:r>
              <w:rPr>
                <w:rFonts w:ascii="Arial" w:cs="Arial" w:eastAsia="Arial" w:hAnsi="Arial"/>
                <w:sz w:val="18"/>
                <w:szCs w:val="18"/>
                <w:b w:val="1"/>
                <w:bCs w:val="1"/>
                <w:color w:val="auto"/>
              </w:rPr>
              <w:t>For the years ended December 31,</w:t>
            </w:r>
          </w:p>
        </w:tc>
        <w:tc>
          <w:tcPr>
            <w:tcW w:w="240" w:type="dxa"/>
            <w:vAlign w:val="bottom"/>
          </w:tcPr>
          <w:p>
            <w:pPr>
              <w:spacing w:after="0"/>
              <w:rPr>
                <w:sz w:val="24"/>
                <w:szCs w:val="24"/>
                <w:color w:val="auto"/>
              </w:rPr>
            </w:pPr>
          </w:p>
        </w:tc>
        <w:tc>
          <w:tcPr>
            <w:tcW w:w="1680" w:type="dxa"/>
            <w:vAlign w:val="bottom"/>
            <w:gridSpan w:val="2"/>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5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180" w:type="dxa"/>
            <w:vAlign w:val="bottom"/>
            <w:tcBorders>
              <w:top w:val="single" w:sz="8" w:color="auto"/>
            </w:tcBorders>
            <w:gridSpan w:val="5"/>
          </w:tcPr>
          <w:p>
            <w:pPr>
              <w:ind w:left="260"/>
              <w:spacing w:after="0"/>
              <w:rPr>
                <w:sz w:val="20"/>
                <w:szCs w:val="20"/>
                <w:color w:val="auto"/>
              </w:rPr>
            </w:pPr>
            <w:r>
              <w:rPr>
                <w:rFonts w:ascii="Arial" w:cs="Arial" w:eastAsia="Arial" w:hAnsi="Arial"/>
                <w:sz w:val="18"/>
                <w:szCs w:val="18"/>
                <w:color w:val="auto"/>
              </w:rPr>
              <w:t>(Dollars in thousands)</w:t>
            </w: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366,155</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433,829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(67,674)</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Services and other revenue - other</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1,526,098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1,203,551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322,547</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Equipment revenue</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205,410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239,489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(34,079)</w:t>
            </w:r>
          </w:p>
        </w:tc>
        <w:tc>
          <w:tcPr>
            <w:tcW w:w="5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57"/>
        </w:trPr>
        <w:tc>
          <w:tcPr>
            <w:tcW w:w="5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2,097,663</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1,876,869</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220,794</w:t>
            </w: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Cost of sales - services and other</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600,213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559,684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40,529</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63"/>
        </w:trPr>
        <w:tc>
          <w:tcPr>
            <w:tcW w:w="5480" w:type="dxa"/>
            <w:vAlign w:val="bottom"/>
            <w:gridSpan w:val="2"/>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Cost of sales - equipment</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176,600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195,439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3"/>
        </w:trPr>
        <w:tc>
          <w:tcPr>
            <w:tcW w:w="5480" w:type="dxa"/>
            <w:vAlign w:val="bottom"/>
            <w:gridSpan w:val="2"/>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398,153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337,591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60,562</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63"/>
        </w:trPr>
        <w:tc>
          <w:tcPr>
            <w:tcW w:w="5480" w:type="dxa"/>
            <w:vAlign w:val="bottom"/>
            <w:gridSpan w:val="2"/>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27,570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31,745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63"/>
        </w:trPr>
        <w:tc>
          <w:tcPr>
            <w:tcW w:w="5480" w:type="dxa"/>
            <w:vAlign w:val="bottom"/>
            <w:gridSpan w:val="2"/>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551,416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496,798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54,618</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4"/>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Impairment of long-lived assets</w:t>
            </w:r>
          </w:p>
        </w:tc>
        <w:tc>
          <w:tcPr>
            <w:tcW w:w="280" w:type="dxa"/>
            <w:vAlign w:val="bottom"/>
          </w:tcPr>
          <w:p>
            <w:pPr>
              <w:spacing w:after="0"/>
              <w:rPr>
                <w:sz w:val="22"/>
                <w:szCs w:val="22"/>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548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1,753,952</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1,627,257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126,695</w:t>
            </w:r>
          </w:p>
        </w:tc>
        <w:tc>
          <w:tcPr>
            <w:tcW w:w="56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343,711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249,612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94,099</w:t>
            </w:r>
          </w:p>
        </w:tc>
        <w:tc>
          <w:tcPr>
            <w:tcW w:w="56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0"/>
        </w:trPr>
        <w:tc>
          <w:tcPr>
            <w:tcW w:w="5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59,104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31,952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27,152</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63"/>
        </w:trPr>
        <w:tc>
          <w:tcPr>
            <w:tcW w:w="5480" w:type="dxa"/>
            <w:vAlign w:val="bottom"/>
            <w:gridSpan w:val="2"/>
          </w:tcPr>
          <w:p>
            <w:pPr>
              <w:ind w:left="2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(259,721)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(245,478)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(14,243)</w:t>
            </w:r>
          </w:p>
        </w:tc>
        <w:tc>
          <w:tcPr>
            <w:tcW w:w="5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Gains (losses) on investments, net</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4,839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5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57"/>
        </w:trPr>
        <w:tc>
          <w:tcPr>
            <w:tcW w:w="54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(199,999)</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(210,261)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10,262</w:t>
            </w:r>
          </w:p>
        </w:tc>
        <w:tc>
          <w:tcPr>
            <w:tcW w:w="5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480" w:type="dxa"/>
            <w:vAlign w:val="bottom"/>
            <w:gridSpan w:val="2"/>
          </w:tcPr>
          <w:p>
            <w:pPr>
              <w:ind w:left="9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143,712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39,351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104,361</w:t>
            </w:r>
          </w:p>
        </w:tc>
        <w:tc>
          <w:tcPr>
            <w:tcW w:w="5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54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Income tax benefit (provision), net</w:t>
            </w: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(46,369)</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258,202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(304,571)</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gridSpan w:val="2"/>
          </w:tcPr>
          <w:p>
            <w:pPr>
              <w:ind w:left="136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97,343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297,553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(200,210)</w:t>
            </w: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5"/>
        </w:trPr>
        <w:tc>
          <w:tcPr>
            <w:tcW w:w="54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Less: Net income attributable to noncontrolling</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1,842</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90"/>
        </w:trPr>
        <w:tc>
          <w:tcPr>
            <w:tcW w:w="5480" w:type="dxa"/>
            <w:vAlign w:val="bottom"/>
            <w:tcBorders>
              <w:bottom w:val="single" w:sz="8" w:color="CCEEFF"/>
            </w:tcBorders>
            <w:gridSpan w:val="2"/>
          </w:tcPr>
          <w:p>
            <w:pPr>
              <w:ind w:left="1580"/>
              <w:spacing w:after="0"/>
              <w:rPr>
                <w:sz w:val="20"/>
                <w:szCs w:val="20"/>
                <w:color w:val="auto"/>
              </w:rPr>
            </w:pPr>
            <w:r>
              <w:rPr>
                <w:rFonts w:ascii="Arial" w:cs="Arial" w:eastAsia="Arial" w:hAnsi="Arial"/>
                <w:sz w:val="18"/>
                <w:szCs w:val="18"/>
                <w:color w:val="auto"/>
              </w:rPr>
              <w:t>Net income attributable to HSS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95,501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295,970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(200,469)</w:t>
            </w:r>
          </w:p>
        </w:tc>
        <w:tc>
          <w:tcPr>
            <w:tcW w:w="5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51"/>
        </w:trPr>
        <w:tc>
          <w:tcPr>
            <w:tcW w:w="5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EBITDA (2)</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893,903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748,092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145,811</w:t>
            </w: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280"/>
              <w:spacing w:after="0"/>
              <w:rPr>
                <w:sz w:val="20"/>
                <w:szCs w:val="20"/>
                <w:color w:val="auto"/>
              </w:rPr>
            </w:pPr>
            <w:r>
              <w:rPr>
                <w:rFonts w:ascii="Arial" w:cs="Arial" w:eastAsia="Arial" w:hAnsi="Arial"/>
                <w:sz w:val="18"/>
                <w:szCs w:val="18"/>
                <w:color w:val="auto"/>
              </w:rPr>
              <w:t>Subscribers, end of period</w:t>
            </w: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1,361,000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1,208,000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153,000</w:t>
            </w:r>
          </w:p>
        </w:tc>
        <w:tc>
          <w:tcPr>
            <w:tcW w:w="5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0</wp:posOffset>
            </wp:positionV>
            <wp:extent cx="28384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8450" cy="26035"/>
                    </a:xfrm>
                    <a:prstGeom prst="rect">
                      <a:avLst/>
                    </a:prstGeom>
                    <a:noFill/>
                  </pic:spPr>
                </pic:pic>
              </a:graphicData>
            </a:graphic>
          </wp:anchor>
        </w:drawing>
      </w:r>
    </w:p>
    <w:p>
      <w:pPr>
        <w:spacing w:after="0" w:line="2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34 and 35 under the heading “Explanation of Key Metrics and Other Items.”</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generally accepted accounting principles (“U.S. GAAP) measure in the accompanying financial statements, is included on page 32. For further information on our use of EBITDA, see “Explanation of Key Metrics and Other Items” on page 35.</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$366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a decrease of $68 million, or 15.6%, compared to the same period in 2017.</w:t>
      </w:r>
    </w:p>
    <w:p>
      <w:pPr>
        <w:sectPr>
          <w:pgSz w:w="11900" w:h="16838" w:orient="portrait"/>
          <w:cols w:equalWidth="0" w:num="1">
            <w:col w:w="11420"/>
          </w:cols>
          <w:pgMar w:left="240" w:top="140" w:right="239" w:bottom="1097"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40" w:right="239" w:bottom="1097"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9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Services and other revenue — DISH Network from our Hughes segment for the year ended December 31, 2018 decreased by $33 million, or 39.5%, to $50 million compared to the same period in 2017. The decrease was primarily attributable to a continued decrease in residential wholesale broadband services.</w:t>
      </w:r>
    </w:p>
    <w:p>
      <w:pPr>
        <w:spacing w:after="0" w:line="202" w:lineRule="exact"/>
        <w:rPr>
          <w:sz w:val="20"/>
          <w:szCs w:val="20"/>
          <w:color w:val="auto"/>
        </w:rPr>
      </w:pPr>
    </w:p>
    <w:p>
      <w:pPr>
        <w:jc w:val="both"/>
        <w:ind w:left="660"/>
        <w:spacing w:after="0" w:line="252" w:lineRule="auto"/>
        <w:rPr>
          <w:sz w:val="20"/>
          <w:szCs w:val="20"/>
          <w:color w:val="auto"/>
        </w:rPr>
      </w:pPr>
      <w:r>
        <w:rPr>
          <w:rFonts w:ascii="Arial" w:cs="Arial" w:eastAsia="Arial" w:hAnsi="Arial"/>
          <w:sz w:val="18"/>
          <w:szCs w:val="18"/>
          <w:color w:val="auto"/>
        </w:rPr>
        <w:t>Services and other revenue — DISH Network from our ESS segment for the year ended December 31, 2018 decreased by $35 million, or 10.2%, to $310 million compared to the same period in 2017. The decrease was primarily attributable to the revenue reduction of (i) $21 million resulting from the expiration of DISH Network’s agreement to lease satellite capacity from us on the EchoStar VII satellite at the end of June 2018, (ii) $ 7 million resulting from DISH Network’s termination of its agreement to lease satellite capacity from us on the EchoStar XII satellite at the end of September 2017,(iii) $4 million as a result of the satellite anomaly experienced by the EchoStar X satellite in December 2017 which reduced the satellite capacity leased to DISH Network and (iv) $3 million as a result of a decrease in satellite capacity leased to DISH Network on the EchoStar IX satellite.</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$1.5 billion for the year ended December 31, 2018,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$323 million, or 26.8%, compared to the same period in 2017.</w:t>
      </w:r>
    </w:p>
    <w:p>
      <w:pPr>
        <w:spacing w:after="0" w:line="175"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Services and other revenue — other from our Hughes segment for the year ended December 31, 2018 increased by $305 million, or 26.4%, to $1.5 billion compared to the same period in 2017. The increase was primarily attributable to increases in sales of broadband services to our consumer and enterprise customers of $271 million and $28 million, respectively.</w:t>
      </w:r>
    </w:p>
    <w:p>
      <w:pPr>
        <w:spacing w:after="0" w:line="202"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Services and other revenue — other from our ESS segment for the year ended December 31, 2018 increased by $1 million, or 1.8%, to $48 million compared to the same period in 2017. The increase was due to a net increase in transponder services provided.</w:t>
      </w:r>
    </w:p>
    <w:p>
      <w:pPr>
        <w:spacing w:after="0" w:line="19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Services and other revenue — other from our Corporate and other segment for the year ended December 31, 2018 increased by $17 million compared to the same period in 2017. The increase was primarily due to the services and lease equipment we provide to support EchoStar Mobile Limited, a subsidiary of EchoStar that provides mobile satellite services and complementary ground component services covering the entire European Union using S-band spectrum.</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$205 million for the year ended December 31, 2018, a decrease of $34 million, or 14.2%,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2017. The decrease was primarily due to a decrease in hardware sales in our Hughes segment of $23 million to our domestic enterprise customers, $8 million to our mobile satellite systems customers and $6 million to our consumer customers. The decrease was partially offset by an increase in hardware sales in our Hughes segment of $3 million to our international enterprise customers.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$600 million for the year ended December 31, 2018,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$41 million, or 7.2%, compared to the same period in 2017.</w:t>
      </w:r>
    </w:p>
    <w:p>
      <w:pPr>
        <w:spacing w:after="0" w:line="175"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18"/>
          <w:szCs w:val="18"/>
          <w:color w:val="auto"/>
        </w:rPr>
        <w:t>Cost of sales — services and other from our Hughes segment for the year ended December 31, 2018 increased by $60 million, or 12.0%, to $555 million compared to the same period in 2017. The increase was primarily attributable to an increase in the costs of broadband services provided to our consumer and enterprise customers.</w:t>
      </w:r>
    </w:p>
    <w:p>
      <w:pPr>
        <w:spacing w:after="0" w:line="202"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Cost of sales — services and other from our ESS segment for the year ended December 31, 2018 decreased by $20 million, or 31.7%, to $44 million compared to the same period in 2017. The decrease was primarily attributable to the termination of our agreement for satellite capacity on the AMC-15 satellite in December 2017.</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$ 177 million for the year ended December 31, 2018, a decrease of $19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9.6%, compared to the same period in 2017. The decrease was primarily attributable to a decrease in hardware sales in our Hughes segment provided to our consumer customers, domestic enterprise customers and mobile satellite systems customers, partially offset by an increase in hardware sales in our Hughes segment to our international enterprise customers.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$398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an increase of $61 million, or 17.9%, compared to the same period in 2017. Selling expenses increased $37 million primarily attributable to the amortization of contract acquisition and fulfillment costs from our Hughes segment and an increase in marketing and promotional costs from our Hughes segment mainly associated with our consumer business. General and administration expenses increased $24 million primarily attributable to increases in bad debt expense, costs associated with beginning operations in certain Central and South American countries and other administrative costs from our Hughes segment.</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$551 million for the year ended December 31, 2018,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$55 million, or 11.0%, compared to the same period in 2017. The increase was primarily due to an increase in depreciation expense of: (i) $28 million relating to our customer rental equipment, (ii) $17 million relating to the EchoStar XIX and EchoStar 105/SES-11 satellites that were placed into service in the first and fourth quarters of 2017, respectively and the Telesat T19V satellite that was placed into service in the fourth quarter of 2018, (iii) $9 million relating to the decrease in depreciable life of the SPACEWAY 3 satellite (iv) $12 million relating to machinery and equipment and (v) an increase of $3 million in amortization expense relating to the development of externally marketed software. The increases were partially offset by a decrease of $8 million in amortization expense from certain fully amortized other intangible assets in our Hughes segment</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totaled nil for the year ended December 31, 2018, a decrease of $6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2017. The decrease was attributable to an impairment loss of $6 million relating to our regulatory authorizations with indefinite lives from our ESS segment in 2017.</w:t>
      </w:r>
    </w:p>
    <w:p>
      <w:pPr>
        <w:spacing w:after="0" w:line="1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$59 million for the year ended December 31, 2018, an increase of $27 million, or 85%,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2017. The increase was primarily attributable to an increase in yield percentage in 2018 compared to 2017.</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$ 260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an increase of $ 14 million, or 5.8%, compared to the same period in 2017. The increase was primarily due to a decrease of $17 million in capitalized interest relating to the EchoStar XIX, EchoStar XXI and EchoStar 105/SES-11 satellites that were placed into service in the first and fourth quarters of 2017, respectively. The increase was partially offset by a decrease of $3 million in interest expense relating to lower principal balances on certain capital lease obligations.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and impairment on marketable investment securities, net totaled nil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compared to $2 million in gains for the same period in 2017. The change was primarily due to an other-than-temporary impairment loss of $3 million on one of our available-for-sale securities in 2017 and a $2 million gain on our trading securities in 2017</w:t>
      </w:r>
      <w:r>
        <w:rPr>
          <w:rFonts w:ascii="Arial" w:cs="Arial" w:eastAsia="Arial" w:hAnsi="Arial"/>
          <w:sz w:val="18"/>
          <w:szCs w:val="18"/>
          <w:b w:val="1"/>
          <w:bCs w:val="1"/>
          <w:i w:val="1"/>
          <w:iCs w:val="1"/>
          <w:color w:val="auto"/>
        </w:rPr>
        <w:t>.</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$0.4 million in income for the year ended December 31, 2018, a decrease of $4 million, or 91.1%,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2017. The decrease was primarily related to an unfavorable foreign exchange impact of $11 million and $2 million decrease in equity in earnings of our unconsolidated affiliates. The decreases were partially offset by a net gain of $10 million due to the settlement of certain amounts due to and from a third party vendor in the second quarter of 2018.</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Income tax benefit (provision)</w:t>
      </w:r>
      <w:r>
        <w:rPr>
          <w:rFonts w:ascii="Arial" w:cs="Arial" w:eastAsia="Arial" w:hAnsi="Arial"/>
          <w:sz w:val="18"/>
          <w:szCs w:val="18"/>
          <w:color w:val="auto"/>
        </w:rPr>
        <w:t>. Income tax provision was $46 million for the year ended December 31, 2018, an increase of $305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2017. Our effective income tax rate was 32.3% for the year ended December 31, 2018, compared to (656.2)% for the same period in 2017. The variations in our effective tax rate from the U.S. federal statutory rate for the year ended December 31, 2018 were primarily due to various permanent tax differences, the impact of state and local taxes, increase in our valuation allowance associated with certain foreign losses, and the change in our valuation allowance associated with net unrealized losses that are capital in nature. For the year ended December 31, 2017, the variations in our effective tax rate from the U.S. federal statutory rate were primarily due to the Tax Cuts and Jobs Act of 2017, recognition of a one-time tax benefit for the revaluation of our deferred tax assets and liabilities due to a change in our state effective tax rate as a result of the Share Exchange. The tax benefit recognized from the change in our effective tax rate was partially offset by the increase in our valuation allowance associated with certain state and foreign losses.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68"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Net income attributable to HSS</w:t>
      </w:r>
      <w:r>
        <w:rPr>
          <w:rFonts w:ascii="Arial" w:cs="Arial" w:eastAsia="Arial" w:hAnsi="Arial"/>
          <w:sz w:val="18"/>
          <w:szCs w:val="18"/>
          <w:color w:val="auto"/>
        </w:rPr>
        <w:t>. Net income attributable to HSS was $96 million for the year ended December 31, 2018, a decrease of $200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compared to the same period in 2017 as set forth in the following table.</w:t>
      </w:r>
    </w:p>
    <w:p>
      <w:pPr>
        <w:spacing w:after="0" w:line="320" w:lineRule="exact"/>
        <w:rPr>
          <w:sz w:val="20"/>
          <w:szCs w:val="20"/>
          <w:color w:val="auto"/>
        </w:rPr>
      </w:pPr>
    </w:p>
    <w:tbl>
      <w:tblPr>
        <w:tblLayout w:type="fixed"/>
        <w:tblInd w:w="90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tcPr>
          <w:p>
            <w:pPr>
              <w:jc w:val="right"/>
              <w:ind w:right="679"/>
              <w:spacing w:after="0"/>
              <w:rPr>
                <w:sz w:val="20"/>
                <w:szCs w:val="20"/>
                <w:color w:val="auto"/>
              </w:rPr>
            </w:pPr>
            <w:r>
              <w:rPr>
                <w:rFonts w:ascii="Arial" w:cs="Arial" w:eastAsia="Arial" w:hAnsi="Arial"/>
                <w:sz w:val="16"/>
                <w:szCs w:val="16"/>
                <w:b w:val="1"/>
                <w:bCs w:val="1"/>
                <w:color w:val="auto"/>
              </w:rPr>
              <w:t>Amounts</w:t>
            </w:r>
          </w:p>
        </w:tc>
      </w:tr>
      <w:tr>
        <w:trPr>
          <w:trHeight w:val="47"/>
        </w:trPr>
        <w:tc>
          <w:tcPr>
            <w:tcW w:w="74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240"/>
        </w:trPr>
        <w:tc>
          <w:tcPr>
            <w:tcW w:w="7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80" w:type="dxa"/>
            <w:vAlign w:val="bottom"/>
          </w:tcPr>
          <w:p>
            <w:pPr>
              <w:jc w:val="right"/>
              <w:ind w:right="519"/>
              <w:spacing w:after="0"/>
              <w:rPr>
                <w:sz w:val="20"/>
                <w:szCs w:val="20"/>
                <w:color w:val="auto"/>
              </w:rPr>
            </w:pPr>
            <w:r>
              <w:rPr>
                <w:rFonts w:ascii="Arial" w:cs="Arial" w:eastAsia="Arial" w:hAnsi="Arial"/>
                <w:sz w:val="16"/>
                <w:szCs w:val="16"/>
                <w:color w:val="auto"/>
              </w:rPr>
              <w:t>(In thousands)</w:t>
            </w:r>
          </w:p>
        </w:tc>
      </w:tr>
      <w:tr>
        <w:trPr>
          <w:trHeight w:val="280"/>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HSS for the year ended December 31, 2017</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295,970</w:t>
            </w:r>
          </w:p>
        </w:tc>
      </w:tr>
      <w:tr>
        <w:trPr>
          <w:trHeight w:val="260"/>
        </w:trPr>
        <w:tc>
          <w:tcPr>
            <w:tcW w:w="7420" w:type="dxa"/>
            <w:vAlign w:val="bottom"/>
          </w:tcPr>
          <w:p>
            <w:pPr>
              <w:ind w:left="160"/>
              <w:spacing w:after="0"/>
              <w:rPr>
                <w:sz w:val="20"/>
                <w:szCs w:val="20"/>
                <w:color w:val="auto"/>
              </w:rPr>
            </w:pPr>
            <w:r>
              <w:rPr>
                <w:rFonts w:ascii="Arial" w:cs="Arial" w:eastAsia="Arial" w:hAnsi="Arial"/>
                <w:sz w:val="16"/>
                <w:szCs w:val="16"/>
                <w:color w:val="auto"/>
              </w:rPr>
              <w:t>Increase in tax provision</w:t>
            </w:r>
          </w:p>
        </w:tc>
        <w:tc>
          <w:tcPr>
            <w:tcW w:w="34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(304,571)</w:t>
            </w:r>
          </w:p>
        </w:tc>
      </w:tr>
      <w:tr>
        <w:trPr>
          <w:trHeight w:val="280"/>
        </w:trPr>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in interest expense</w:t>
            </w:r>
          </w:p>
        </w:tc>
        <w:tc>
          <w:tcPr>
            <w:tcW w:w="34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(14,243)</w:t>
            </w:r>
          </w:p>
        </w:tc>
      </w:tr>
      <w:tr>
        <w:trPr>
          <w:trHeight w:val="260"/>
        </w:trPr>
        <w:tc>
          <w:tcPr>
            <w:tcW w:w="7420" w:type="dxa"/>
            <w:vAlign w:val="bottom"/>
          </w:tcPr>
          <w:p>
            <w:pPr>
              <w:ind w:left="160"/>
              <w:spacing w:after="0"/>
              <w:rPr>
                <w:sz w:val="20"/>
                <w:szCs w:val="20"/>
                <w:color w:val="auto"/>
              </w:rPr>
            </w:pPr>
            <w:r>
              <w:rPr>
                <w:rFonts w:ascii="Arial" w:cs="Arial" w:eastAsia="Arial" w:hAnsi="Arial"/>
                <w:sz w:val="16"/>
                <w:szCs w:val="16"/>
                <w:color w:val="auto"/>
              </w:rPr>
              <w:t>Increase in other net</w:t>
            </w:r>
          </w:p>
        </w:tc>
        <w:tc>
          <w:tcPr>
            <w:tcW w:w="34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(4,408)</w:t>
            </w:r>
          </w:p>
        </w:tc>
      </w:tr>
      <w:tr>
        <w:trPr>
          <w:trHeight w:val="280"/>
        </w:trPr>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Increase in operating income, including depreciation and amortization</w:t>
            </w:r>
          </w:p>
        </w:tc>
        <w:tc>
          <w:tcPr>
            <w:tcW w:w="34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94,099</w:t>
            </w:r>
          </w:p>
        </w:tc>
      </w:tr>
      <w:tr>
        <w:trPr>
          <w:trHeight w:val="260"/>
        </w:trPr>
        <w:tc>
          <w:tcPr>
            <w:tcW w:w="7420" w:type="dxa"/>
            <w:vAlign w:val="bottom"/>
          </w:tcPr>
          <w:p>
            <w:pPr>
              <w:ind w:left="160"/>
              <w:spacing w:after="0"/>
              <w:rPr>
                <w:sz w:val="20"/>
                <w:szCs w:val="20"/>
                <w:color w:val="auto"/>
              </w:rPr>
            </w:pPr>
            <w:r>
              <w:rPr>
                <w:rFonts w:ascii="Arial" w:cs="Arial" w:eastAsia="Arial" w:hAnsi="Arial"/>
                <w:sz w:val="16"/>
                <w:szCs w:val="16"/>
                <w:color w:val="auto"/>
              </w:rPr>
              <w:t>Increase in interest income</w:t>
            </w:r>
          </w:p>
        </w:tc>
        <w:tc>
          <w:tcPr>
            <w:tcW w:w="340" w:type="dxa"/>
            <w:vAlign w:val="bottom"/>
          </w:tcPr>
          <w:p>
            <w:pPr>
              <w:spacing w:after="0"/>
              <w:rPr>
                <w:sz w:val="22"/>
                <w:szCs w:val="22"/>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27,152</w:t>
            </w:r>
          </w:p>
        </w:tc>
      </w:tr>
      <w:tr>
        <w:trPr>
          <w:trHeight w:val="280"/>
        </w:trPr>
        <w:tc>
          <w:tcPr>
            <w:tcW w:w="7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Decrease in losses on investments, net</w:t>
            </w:r>
          </w:p>
        </w:tc>
        <w:tc>
          <w:tcPr>
            <w:tcW w:w="34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1,761</w:t>
            </w:r>
          </w:p>
        </w:tc>
      </w:tr>
      <w:tr>
        <w:trPr>
          <w:trHeight w:val="264"/>
        </w:trPr>
        <w:tc>
          <w:tcPr>
            <w:tcW w:w="74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Increase in net income attributable to noncontrolling interests</w:t>
            </w:r>
          </w:p>
        </w:tc>
        <w:tc>
          <w:tcPr>
            <w:tcW w:w="3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r>
      <w:tr>
        <w:trPr>
          <w:trHeight w:val="24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HSS for the year ended December 31, 2018</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95,501</w:t>
            </w:r>
          </w:p>
        </w:tc>
      </w:tr>
      <w:tr>
        <w:trPr>
          <w:trHeight w:val="20"/>
        </w:trPr>
        <w:tc>
          <w:tcPr>
            <w:tcW w:w="7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table reconciles EBITDA to </w:t>
      </w:r>
      <w:r>
        <w:rPr>
          <w:rFonts w:ascii="Arial" w:cs="Arial" w:eastAsia="Arial" w:hAnsi="Arial"/>
          <w:sz w:val="18"/>
          <w:szCs w:val="18"/>
          <w:i w:val="1"/>
          <w:iCs w:val="1"/>
          <w:color w:val="auto"/>
        </w:rPr>
        <w:t>Net income (loss)</w:t>
      </w:r>
      <w:r>
        <w:rPr>
          <w:rFonts w:ascii="Arial" w:cs="Arial" w:eastAsia="Arial" w:hAnsi="Arial"/>
          <w:sz w:val="18"/>
          <w:szCs w:val="18"/>
          <w:color w:val="auto"/>
        </w:rPr>
        <w:t>, the most directly comparable U.S. GAAP measure in the accompanying financial statements.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60" w:type="dxa"/>
            <w:vAlign w:val="bottom"/>
          </w:tcPr>
          <w:p>
            <w:pPr>
              <w:spacing w:after="0"/>
              <w:rPr>
                <w:sz w:val="21"/>
                <w:szCs w:val="21"/>
                <w:color w:val="auto"/>
              </w:rPr>
            </w:pPr>
          </w:p>
        </w:tc>
        <w:tc>
          <w:tcPr>
            <w:tcW w:w="320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years ended December 31,</w:t>
            </w:r>
          </w:p>
        </w:tc>
        <w:tc>
          <w:tcPr>
            <w:tcW w:w="260" w:type="dxa"/>
            <w:vAlign w:val="bottom"/>
          </w:tcPr>
          <w:p>
            <w:pPr>
              <w:spacing w:after="0"/>
              <w:rPr>
                <w:sz w:val="21"/>
                <w:szCs w:val="21"/>
                <w:color w:val="auto"/>
              </w:rPr>
            </w:pPr>
          </w:p>
        </w:tc>
        <w:tc>
          <w:tcPr>
            <w:tcW w:w="1820" w:type="dxa"/>
            <w:vAlign w:val="bottom"/>
            <w:gridSpan w:val="2"/>
          </w:tcPr>
          <w:p>
            <w:pPr>
              <w:ind w:left="920"/>
              <w:spacing w:after="0"/>
              <w:rPr>
                <w:sz w:val="20"/>
                <w:szCs w:val="20"/>
                <w:color w:val="auto"/>
              </w:rPr>
            </w:pPr>
            <w:r>
              <w:rPr>
                <w:rFonts w:ascii="Arial" w:cs="Arial" w:eastAsia="Arial" w:hAnsi="Arial"/>
                <w:sz w:val="18"/>
                <w:szCs w:val="18"/>
                <w:b w:val="1"/>
                <w:bCs w:val="1"/>
                <w:color w:val="auto"/>
              </w:rPr>
              <w:t>Variance</w:t>
            </w:r>
          </w:p>
        </w:tc>
        <w:tc>
          <w:tcPr>
            <w:tcW w:w="980" w:type="dxa"/>
            <w:vAlign w:val="bottom"/>
          </w:tcPr>
          <w:p>
            <w:pPr>
              <w:spacing w:after="0"/>
              <w:rPr>
                <w:sz w:val="21"/>
                <w:szCs w:val="21"/>
                <w:color w:val="auto"/>
              </w:rPr>
            </w:pPr>
          </w:p>
        </w:tc>
      </w:tr>
      <w:tr>
        <w:trPr>
          <w:trHeight w:val="264"/>
        </w:trPr>
        <w:tc>
          <w:tcPr>
            <w:tcW w:w="516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82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9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gridSpan w:val="5"/>
          </w:tcPr>
          <w:p>
            <w:pPr>
              <w:ind w:left="320"/>
              <w:spacing w:after="0"/>
              <w:rPr>
                <w:sz w:val="20"/>
                <w:szCs w:val="20"/>
                <w:color w:val="auto"/>
              </w:rPr>
            </w:pPr>
            <w:r>
              <w:rPr>
                <w:rFonts w:ascii="Arial" w:cs="Arial" w:eastAsia="Arial" w:hAnsi="Arial"/>
                <w:sz w:val="18"/>
                <w:szCs w:val="18"/>
                <w:color w:val="auto"/>
              </w:rPr>
              <w:t>(Dollars in thousands)</w:t>
            </w:r>
          </w:p>
        </w:tc>
        <w:tc>
          <w:tcPr>
            <w:tcW w:w="980" w:type="dxa"/>
            <w:vAlign w:val="bottom"/>
          </w:tcPr>
          <w:p>
            <w:pPr>
              <w:spacing w:after="0"/>
              <w:rPr>
                <w:sz w:val="21"/>
                <w:szCs w:val="21"/>
                <w:color w:val="auto"/>
              </w:rPr>
            </w:pP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97,343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297,553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(200,210)</w:t>
            </w: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97"/>
        </w:trPr>
        <w:tc>
          <w:tcPr>
            <w:tcW w:w="5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200,617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213,526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(12,909)</w:t>
            </w: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46,369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(258,202)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304,571</w:t>
            </w:r>
          </w:p>
        </w:tc>
        <w:tc>
          <w:tcPr>
            <w:tcW w:w="6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551,416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496,798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54,618</w:t>
            </w:r>
          </w:p>
        </w:tc>
        <w:tc>
          <w:tcPr>
            <w:tcW w:w="6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6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16.4</w:t>
            </w:r>
          </w:p>
        </w:tc>
      </w:tr>
      <w:tr>
        <w:trPr>
          <w:trHeight w:val="257"/>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893,903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748,092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145,811</w:t>
            </w: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EBITDA was $894 million for the year ended December 31, 2018, an increase of $146 million, or 19.5%, compared to the same period in 2017. The increase was primarily due to an increase in operating income, excluding depreciation and amortization, of $149 million.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3"/>
          </w:tcPr>
          <w:p>
            <w:pPr>
              <w:spacing w:after="0"/>
              <w:rPr>
                <w:sz w:val="20"/>
                <w:szCs w:val="20"/>
                <w:color w:val="auto"/>
              </w:rPr>
            </w:pPr>
            <w:r>
              <w:rPr>
                <w:rFonts w:ascii="Arial" w:cs="Arial" w:eastAsia="Arial" w:hAnsi="Arial"/>
                <w:sz w:val="18"/>
                <w:szCs w:val="18"/>
                <w:b w:val="1"/>
                <w:bCs w:val="1"/>
                <w:color w:val="auto"/>
              </w:rPr>
              <w:t>Segment Operating Results and Capital Expenditures</w:t>
            </w: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42"/>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Corporate and</w:t>
            </w:r>
          </w:p>
        </w:tc>
        <w:tc>
          <w:tcPr>
            <w:tcW w:w="240" w:type="dxa"/>
            <w:vAlign w:val="bottom"/>
          </w:tcPr>
          <w:p>
            <w:pPr>
              <w:spacing w:after="0"/>
              <w:rPr>
                <w:sz w:val="24"/>
                <w:szCs w:val="24"/>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Hughes</w:t>
            </w:r>
          </w:p>
        </w:tc>
        <w:tc>
          <w:tcPr>
            <w:tcW w:w="4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ESS</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50"/>
        </w:trPr>
        <w:tc>
          <w:tcPr>
            <w:tcW w:w="4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60" w:type="dxa"/>
            <w:vAlign w:val="bottom"/>
            <w:gridSpan w:val="3"/>
          </w:tcPr>
          <w:p>
            <w:pPr>
              <w:jc w:val="right"/>
              <w:ind w:right="95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spacing w:after="0"/>
              <w:rPr>
                <w:sz w:val="24"/>
                <w:szCs w:val="24"/>
                <w:color w:val="auto"/>
              </w:rPr>
            </w:pPr>
          </w:p>
        </w:tc>
      </w:tr>
      <w:tr>
        <w:trPr>
          <w:trHeight w:val="243"/>
        </w:trPr>
        <w:tc>
          <w:tcPr>
            <w:tcW w:w="4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revenue</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1,716,528</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358,058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23,077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2,097,663</w:t>
            </w:r>
          </w:p>
        </w:tc>
      </w:tr>
      <w:tr>
        <w:trPr>
          <w:trHeight w:val="277"/>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390,108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313,541</w:t>
            </w:r>
          </w:p>
        </w:tc>
      </w:tr>
      <w:tr>
        <w:trPr>
          <w:trHeight w:val="263"/>
        </w:trPr>
        <w:tc>
          <w:tcPr>
            <w:tcW w:w="4240" w:type="dxa"/>
            <w:vAlign w:val="bottom"/>
          </w:tcPr>
          <w:p>
            <w:pPr>
              <w:ind w:left="280"/>
              <w:spacing w:after="0"/>
              <w:rPr>
                <w:sz w:val="20"/>
                <w:szCs w:val="20"/>
                <w:color w:val="auto"/>
              </w:rPr>
            </w:pPr>
            <w:r>
              <w:rPr>
                <w:rFonts w:ascii="Arial" w:cs="Arial" w:eastAsia="Arial" w:hAnsi="Arial"/>
                <w:sz w:val="18"/>
                <w:szCs w:val="18"/>
                <w:color w:val="auto"/>
              </w:rPr>
              <w:t>EBITDA</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601,319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308,058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(15,474)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893,903</w:t>
            </w:r>
          </w:p>
        </w:tc>
      </w:tr>
      <w:tr>
        <w:trPr>
          <w:trHeight w:val="277"/>
        </w:trPr>
        <w:tc>
          <w:tcPr>
            <w:tcW w:w="4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For the year ended December 31, 2017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50"/>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1,477,918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392,244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1,876,869</w:t>
            </w:r>
          </w:p>
        </w:tc>
      </w:tr>
      <w:tr>
        <w:trPr>
          <w:trHeight w:val="263"/>
        </w:trPr>
        <w:tc>
          <w:tcPr>
            <w:tcW w:w="424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376,502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20,725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397,227</w:t>
            </w:r>
          </w:p>
        </w:tc>
      </w:tr>
      <w:tr>
        <w:trPr>
          <w:trHeight w:val="277"/>
        </w:trPr>
        <w:tc>
          <w:tcPr>
            <w:tcW w:w="4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EBITDA</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475,222</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315,285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748,092</w:t>
            </w: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40"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80" w:type="dxa"/>
            <w:vAlign w:val="bottom"/>
          </w:tcPr>
          <w:p>
            <w:pPr>
              <w:spacing w:after="0"/>
              <w:rPr>
                <w:sz w:val="20"/>
                <w:szCs w:val="20"/>
                <w:color w:val="auto"/>
              </w:rPr>
            </w:pPr>
            <w:r>
              <w:rPr>
                <w:rFonts w:ascii="Arial" w:cs="Arial" w:eastAsia="Arial" w:hAnsi="Arial"/>
                <w:sz w:val="18"/>
                <w:szCs w:val="18"/>
                <w:i w:val="1"/>
                <w:iCs w:val="1"/>
                <w:color w:val="auto"/>
              </w:rPr>
              <w:t>Hughes Segment</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42"/>
        </w:trPr>
        <w:tc>
          <w:tcPr>
            <w:tcW w:w="3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0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w w:val="99"/>
              </w:rPr>
              <w:t>For the years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6"/>
        </w:trPr>
        <w:tc>
          <w:tcPr>
            <w:tcW w:w="3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4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rPr>
              <w:t>ended December 31,</w:t>
            </w:r>
          </w:p>
        </w:tc>
        <w:tc>
          <w:tcPr>
            <w:tcW w:w="300" w:type="dxa"/>
            <w:vAlign w:val="bottom"/>
          </w:tcPr>
          <w:p>
            <w:pPr>
              <w:spacing w:after="0"/>
              <w:rPr>
                <w:sz w:val="21"/>
                <w:szCs w:val="21"/>
                <w:color w:val="auto"/>
              </w:rPr>
            </w:pPr>
          </w:p>
        </w:tc>
        <w:tc>
          <w:tcPr>
            <w:tcW w:w="2020" w:type="dxa"/>
            <w:vAlign w:val="bottom"/>
          </w:tcPr>
          <w:p>
            <w:pPr>
              <w:jc w:val="right"/>
              <w:ind w:right="90"/>
              <w:spacing w:after="0"/>
              <w:rPr>
                <w:sz w:val="20"/>
                <w:szCs w:val="20"/>
                <w:color w:val="auto"/>
              </w:rPr>
            </w:pPr>
            <w:r>
              <w:rPr>
                <w:rFonts w:ascii="Arial" w:cs="Arial" w:eastAsia="Arial" w:hAnsi="Arial"/>
                <w:sz w:val="18"/>
                <w:szCs w:val="18"/>
                <w:b w:val="1"/>
                <w:bCs w:val="1"/>
                <w:color w:val="auto"/>
              </w:rPr>
              <w:t>Variance</w:t>
            </w:r>
          </w:p>
        </w:tc>
        <w:tc>
          <w:tcPr>
            <w:tcW w:w="1160" w:type="dxa"/>
            <w:vAlign w:val="bottom"/>
          </w:tcPr>
          <w:p>
            <w:pPr>
              <w:spacing w:after="0"/>
              <w:rPr>
                <w:sz w:val="21"/>
                <w:szCs w:val="21"/>
                <w:color w:val="auto"/>
              </w:rPr>
            </w:pPr>
          </w:p>
        </w:tc>
      </w:tr>
      <w:tr>
        <w:trPr>
          <w:trHeight w:val="264"/>
        </w:trPr>
        <w:tc>
          <w:tcPr>
            <w:tcW w:w="36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Amount</w:t>
            </w:r>
          </w:p>
        </w:tc>
        <w:tc>
          <w:tcPr>
            <w:tcW w:w="11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r>
      <w:tr>
        <w:trPr>
          <w:trHeight w:val="250"/>
        </w:trPr>
        <w:tc>
          <w:tcPr>
            <w:tcW w:w="3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60" w:type="dxa"/>
            <w:vAlign w:val="bottom"/>
            <w:gridSpan w:val="4"/>
          </w:tcPr>
          <w:p>
            <w:pPr>
              <w:jc w:val="center"/>
              <w:ind w:right="970"/>
              <w:spacing w:after="0"/>
              <w:rPr>
                <w:sz w:val="20"/>
                <w:szCs w:val="20"/>
                <w:color w:val="auto"/>
              </w:rPr>
            </w:pPr>
            <w:r>
              <w:rPr>
                <w:rFonts w:ascii="Arial" w:cs="Arial" w:eastAsia="Arial" w:hAnsi="Arial"/>
                <w:sz w:val="18"/>
                <w:szCs w:val="18"/>
                <w:color w:val="auto"/>
              </w:rPr>
              <w:t>(Dollars in thousands)</w:t>
            </w:r>
          </w:p>
        </w:tc>
        <w:tc>
          <w:tcPr>
            <w:tcW w:w="1160" w:type="dxa"/>
            <w:vAlign w:val="bottom"/>
          </w:tcPr>
          <w:p>
            <w:pPr>
              <w:spacing w:after="0"/>
              <w:rPr>
                <w:sz w:val="21"/>
                <w:szCs w:val="21"/>
                <w:color w:val="auto"/>
              </w:rPr>
            </w:pP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1,716,528</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1,477,918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238,610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63"/>
        </w:trPr>
        <w:tc>
          <w:tcPr>
            <w:tcW w:w="36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390,108</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376,502</w:t>
            </w:r>
          </w:p>
        </w:tc>
        <w:tc>
          <w:tcPr>
            <w:tcW w:w="100" w:type="dxa"/>
            <w:vAlign w:val="bottom"/>
          </w:tcPr>
          <w:p>
            <w:pPr>
              <w:spacing w:after="0"/>
              <w:rPr>
                <w:sz w:val="22"/>
                <w:szCs w:val="22"/>
                <w:color w:val="auto"/>
              </w:rPr>
            </w:pPr>
          </w:p>
        </w:tc>
        <w:tc>
          <w:tcPr>
            <w:tcW w:w="30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730"/>
              <w:spacing w:after="0"/>
              <w:rPr>
                <w:sz w:val="20"/>
                <w:szCs w:val="20"/>
                <w:color w:val="auto"/>
              </w:rPr>
            </w:pPr>
            <w:r>
              <w:rPr>
                <w:rFonts w:ascii="Arial" w:cs="Arial" w:eastAsia="Arial" w:hAnsi="Arial"/>
                <w:sz w:val="18"/>
                <w:szCs w:val="18"/>
                <w:color w:val="auto"/>
              </w:rPr>
              <w:t>13,606</w:t>
            </w: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7"/>
        </w:trPr>
        <w:tc>
          <w:tcPr>
            <w:tcW w:w="3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601,319</w:t>
            </w:r>
          </w:p>
        </w:tc>
        <w:tc>
          <w:tcPr>
            <w:tcW w:w="6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475,222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126,097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Total revenue for the year ended December 31, 2018 increased by $239 million, or 16.1%, compared to the same period in 2017. The increase was primarily due to an increase in sales of broadband services to our consumer and enterprise customers of $271 million and $28 million, respectively, and an increase in hardware sales of $3 million to our international enterprise customers. The increase was partially offset by (i) a decrease of $33 million in residential wholesale broadband services and a decrease in hardware sales of (ii) $23 million to our domestic enterprise customers, (iii) $8 million to our mobile satellite systems customers and (iv) $6 million to our consumer customers.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Capital expenditures for the year ended December 31, 2018 increased by $14 million, or 3.6%, compared to the same period in 2017, primarily due to increases in capital expenditures relating to our Telesat T19V satellite and our enterprise business of $31 million. The increases were partially offset by a decrease of $17 million in capital expenditures mainly associated with satellite ground facilities.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EBITDA for the year ended December 31, 2018 increased by $126 million, or 26.5%, compared to the same period in 2017. The increase was primarily due to an increase of $196 million in gross margin and an other-than-temporary impairment loss of $3 million on one of our available-for-sale securities in the first quarter of 2017. The increase was partially offset by (i) an increase of $66 million in selling, general and administrative expenses due to bad debt expense, the amortization of contract acquisition and fulfillment costs and an increase in marketing and promotional costs mainly associated with our consumer business and (ii) an unfavorable foreign exchange impact of $11 million in 2018 compared to the same period in 2017.</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80" w:type="dxa"/>
            <w:vAlign w:val="bottom"/>
          </w:tcPr>
          <w:p>
            <w:pPr>
              <w:spacing w:after="0"/>
              <w:rPr>
                <w:sz w:val="20"/>
                <w:szCs w:val="20"/>
                <w:color w:val="auto"/>
              </w:rPr>
            </w:pPr>
            <w:r>
              <w:rPr>
                <w:rFonts w:ascii="Arial" w:cs="Arial" w:eastAsia="Arial" w:hAnsi="Arial"/>
                <w:sz w:val="18"/>
                <w:szCs w:val="18"/>
                <w:i w:val="1"/>
                <w:iCs w:val="1"/>
                <w:color w:val="auto"/>
              </w:rPr>
              <w:t>ESS Segment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42"/>
        </w:trPr>
        <w:tc>
          <w:tcPr>
            <w:tcW w:w="4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9"/>
              </w:rPr>
              <w:t>For the years</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6"/>
        </w:trPr>
        <w:tc>
          <w:tcPr>
            <w:tcW w:w="4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rPr>
              <w:t>ended December 31,</w:t>
            </w: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rPr>
              <w:t>Variance</w:t>
            </w:r>
          </w:p>
        </w:tc>
        <w:tc>
          <w:tcPr>
            <w:tcW w:w="940" w:type="dxa"/>
            <w:vAlign w:val="bottom"/>
          </w:tcPr>
          <w:p>
            <w:pPr>
              <w:spacing w:after="0"/>
              <w:rPr>
                <w:sz w:val="21"/>
                <w:szCs w:val="21"/>
                <w:color w:val="auto"/>
              </w:rPr>
            </w:pPr>
          </w:p>
        </w:tc>
      </w:tr>
      <w:tr>
        <w:trPr>
          <w:trHeight w:val="264"/>
        </w:trPr>
        <w:tc>
          <w:tcPr>
            <w:tcW w:w="41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50"/>
        </w:trPr>
        <w:tc>
          <w:tcPr>
            <w:tcW w:w="4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60" w:type="dxa"/>
            <w:vAlign w:val="bottom"/>
            <w:gridSpan w:val="4"/>
          </w:tcPr>
          <w:p>
            <w:pPr>
              <w:jc w:val="right"/>
              <w:ind w:right="950"/>
              <w:spacing w:after="0"/>
              <w:rPr>
                <w:sz w:val="20"/>
                <w:szCs w:val="20"/>
                <w:color w:val="auto"/>
              </w:rPr>
            </w:pPr>
            <w:r>
              <w:rPr>
                <w:rFonts w:ascii="Arial" w:cs="Arial" w:eastAsia="Arial" w:hAnsi="Arial"/>
                <w:sz w:val="18"/>
                <w:szCs w:val="18"/>
                <w:color w:val="auto"/>
              </w:rPr>
              <w:t>(Dollars in thousands)</w:t>
            </w:r>
          </w:p>
        </w:tc>
        <w:tc>
          <w:tcPr>
            <w:tcW w:w="940" w:type="dxa"/>
            <w:vAlign w:val="bottom"/>
          </w:tcPr>
          <w:p>
            <w:pPr>
              <w:spacing w:after="0"/>
              <w:rPr>
                <w:sz w:val="21"/>
                <w:szCs w:val="21"/>
                <w:color w:val="auto"/>
              </w:rPr>
            </w:pPr>
          </w:p>
        </w:tc>
      </w:tr>
      <w:tr>
        <w:trPr>
          <w:trHeight w:val="277"/>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358,058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(34,186)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63"/>
        </w:trPr>
        <w:tc>
          <w:tcPr>
            <w:tcW w:w="41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(76,582)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20,725</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(97,307)</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308,058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(7,227)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32" w:lineRule="exact"/>
        <w:rPr>
          <w:sz w:val="20"/>
          <w:szCs w:val="20"/>
          <w:color w:val="auto"/>
        </w:rPr>
      </w:pPr>
    </w:p>
    <w:p>
      <w:pPr>
        <w:ind w:left="280" w:hanging="222"/>
        <w:spacing w:after="0"/>
        <w:tabs>
          <w:tab w:leader="none" w:pos="2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Total revenue for the year ended December 31, 2018 decreased by $34 million, or 8.7%, compared to the same period in 2017. The decrease was primarily attributable to revenue reduction of (i) $21 million resulting from the expiration of DISH Network’s agreement to lease satellite capacity from us on the EchoStar VII satellite at the end of June 2018, (ii) $7 million resulting from DISH Network’s termination of its agreement to lease satellite capacity from us on the EchoStar XII satellite at the end of September 2017, (iii) $4 million as a result of the satellite anomaly experienced by the EchoStar X satellite in December 2017 which reduced the satellite capacity leased to DISH Network and (iv) $3 million as a result of a decrease in satellite capacity leased to DISH Network on the EchoStar IX satellite.</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C</w:t>
      </w:r>
      <w:r>
        <w:rPr>
          <w:rFonts w:ascii="Arial" w:cs="Arial" w:eastAsia="Arial" w:hAnsi="Arial"/>
          <w:sz w:val="18"/>
          <w:szCs w:val="18"/>
          <w:color w:val="auto"/>
        </w:rPr>
        <w:t>apital expenditures for the year ended December 31, 2018 decreased by $97 million, compared to the same period in 2017, primarily reflect a</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of $ 77 million and a decrease in satellite expenditure as a result of the EchoStar 105/SES-11 satellite that was placed into service in the fourth quarter of 2017.</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for the year ended December 31, 2018 decreased by $7 million, or 2.3%, compared to the same period in 2017. The decrease was primarily due to the decrease in ESS segment total revenue of $34 million in 2018 compared to the same period in 2017. The decrease was partially offset by a decrease in satellite services costs of $19 million mainly associated with the termination of our agreement for satellite capacity on the AMC-15 satellite in December 2017 and an impairment loss of $6 million relating to our regulatory authorizations with indefinite lives in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9"/>
              </w:rPr>
              <w:t>For the years</w:t>
            </w: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6"/>
        </w:trPr>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rPr>
              <w:t>ended December 31,</w:t>
            </w:r>
          </w:p>
        </w:tc>
        <w:tc>
          <w:tcPr>
            <w:tcW w:w="240" w:type="dxa"/>
            <w:vAlign w:val="bottom"/>
          </w:tcPr>
          <w:p>
            <w:pPr>
              <w:spacing w:after="0"/>
              <w:rPr>
                <w:sz w:val="21"/>
                <w:szCs w:val="21"/>
                <w:color w:val="auto"/>
              </w:rPr>
            </w:pPr>
          </w:p>
        </w:tc>
        <w:tc>
          <w:tcPr>
            <w:tcW w:w="1700" w:type="dxa"/>
            <w:vAlign w:val="bottom"/>
          </w:tcPr>
          <w:p>
            <w:pPr>
              <w:jc w:val="right"/>
              <w:ind w:right="5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1"/>
                <w:szCs w:val="21"/>
                <w:color w:val="auto"/>
              </w:rPr>
            </w:pPr>
          </w:p>
        </w:tc>
      </w:tr>
      <w:tr>
        <w:trPr>
          <w:trHeight w:val="264"/>
        </w:trPr>
        <w:tc>
          <w:tcPr>
            <w:tcW w:w="39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50"/>
        </w:trPr>
        <w:tc>
          <w:tcPr>
            <w:tcW w:w="3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20" w:type="dxa"/>
            <w:vAlign w:val="bottom"/>
            <w:gridSpan w:val="4"/>
          </w:tcPr>
          <w:p>
            <w:pPr>
              <w:jc w:val="right"/>
              <w:ind w:right="103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23,077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16,370</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15</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26,941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bl>
    <w:p>
      <w:pPr>
        <w:spacing w:after="0" w:line="5"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EBITDA for the year ended December 31, 2018 was a loss of $ 15 million, an increase of $27 million, or 63.5%, compared to a loss of $42 million during same period in 2017. The change in EBITDA was primarily due to an increase in operating income, excluding depreciation and amortization, of $ 21 million and a net gain of $10 million due to the settlement of certain amounts due to and from a third party vendor in the second quarter of 2018.</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and transponder leases and services, TT&amp;C, professional services, facilities rental revenue and other services provided to DISH Network. “Services and other revenue — DISH Network” also includes subscriber wholesale service fees for the HughesNet satellite internet service (the “HughesNet service”) sold to DISH Network.</w:t>
      </w:r>
    </w:p>
    <w:p>
      <w:pPr>
        <w:spacing w:after="0" w:line="17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primarily includes the sales of enterprise and consumer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as well as maintenance and other contracted services. “Services and other revenue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other” also includes revenue associated with satellite and transponder leases and services, satellite uplinking/downlinking and other services provided to customers other than DISH Network.</w:t>
      </w:r>
    </w:p>
    <w:p>
      <w:pPr>
        <w:spacing w:after="0" w:line="1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 Equipment revenue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 and sales of satellite broadband equipment and related equipment, related to the HughesNet service, to DISH Network.</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customers, and to DISH Network, as well as the cost of providing maintenance and other contracted services. “Cost of sales — services and other” also includes the costs associated with satellite and transponder leases and services, TT&amp;C, professional services, facilities rental costs, and other services provided to our customers, including DISH Network.</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our enterprise and consumer markets and to DISH Network. Cost of sales - equipment also includes certain other costs associated with the deployment of equipment to our customers.</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EchoStar, DISH Network and other third parties.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0"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NARRATIVE ANALYSIS OF RESULTS OF OPERATIONS - Continued</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Impairment of long-lived assets</w:t>
      </w:r>
      <w:r>
        <w:rPr>
          <w:rFonts w:ascii="Arial" w:cs="Arial" w:eastAsia="Arial" w:hAnsi="Arial"/>
          <w:sz w:val="18"/>
          <w:szCs w:val="18"/>
          <w:color w:val="auto"/>
        </w:rPr>
        <w:t>. Impairment of long-lived assets includes our impairment losses related to our property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goodwill and other intangible assets.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premium amortization and discount accretion on debt securities.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capital lease obligations (net of capitalized interest), and amortization of debt issuance costs.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our investments in unconsolidated entities and adjustments to the carrying amount of investments in unconsolidated entities resulting from impairments and observable price changes.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in earnings of unconsolidated affiliate, and other non-operating income or expense items that are not appropriately classified elsewhere in our Consolidated Statements of Operations and Comprehensive Income (Loss).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excluding “Interest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expense, net, Income tax benefit (provision), net, and Depreciation and amortization. EBITDA is not a measure determined in accordance with U.S. GAAP. This non-GAAP measure is reconciled to “Net income”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HughesNet service, through retail, wholesale and small/medium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channels.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2018, our cash, cash equivalents and current marketable investment securities had a fair value of $2.5 billion. Of this amount, a total of $2.5 billion was invested in: (a) cash; (b) commercial paper and corporate notes with an overall average maturity of less than one year and rated in one of the four highest rating categories by at least two nationally recognized statistical rating organizations; (c) debt instruments of the United States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$2.5 billion as of December 31, 2018, a hypothetical 10% change in average interest rates during 2018 would not have had a material impact on the fair value of our cash, cash equivalents and debt securities portfolio due to the limited duration of our investments.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year ended December 31, 2018 of 2.4%. A change in interest rates would affect our future annual interest income from this portfolio, since funds would be re-invested at different rates as the instruments mature. A hypothetical 10% decrease in average interest rates during 2018 would have resulted in a decrease of approximately $6 million in annual interest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2018, we had investments with an aggregate carrying amount of $126 million in securities of privately held companies that we hold for strategic business purposes. The fair value of these investments is not readily determinable. We periodically review these investments and we may estimate fair value and adjust the carrying amount when there are indications of impairment or observable prices changes for the investments. A hypothetical adverse change equal to 10% of the carrying amount of these equity instruments during 2018 would have resulted in a decrease of approximately $12.6 million in the value of these investments.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objective in managing our exposure to foreign currency changes is to reduce earnings and cash flow volatility associated with foreign exchange rate fluctuations. Accordingly, we may enter into foreign currency forward contracts,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or take other measures, to mitigate risks associated with foreign currency denominated assets, liabilities, commitments and anticipated foreign currency transactions. As of December 31, 2018, we had $32 million of net foreign currency denominated receivables and payables outstanding and foreign currency forward contracts with a notional value of $7 million in place to partially mitigate foreign currency exchange risk. The estimated fair values of the foreign exchange contracts were not material as of December 31, 2018. The impact of a hypothetical 10% adverse change in exchange rates on the carrying amount of the net assets and liabilities of our foreign subsidiaries during 2018 would have been an estimated loss to the cumulative translation adjustment of $18 million as of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accompanying Consolidated Financial Statements are included in Item 15 of this Annual Report on Form 10-K beginning on page </w:t>
      </w:r>
      <w:hyperlink w:anchor="page44">
        <w:r>
          <w:rPr>
            <w:rFonts w:ascii="Arial" w:cs="Arial" w:eastAsia="Arial" w:hAnsi="Arial"/>
            <w:sz w:val="18"/>
            <w:szCs w:val="18"/>
            <w:color w:val="auto"/>
          </w:rPr>
          <w:t>F-</w:t>
        </w:r>
      </w:hyperlink>
      <w:r>
        <w:rPr>
          <w:rFonts w:ascii="Arial" w:cs="Arial" w:eastAsia="Arial" w:hAnsi="Arial"/>
          <w:sz w:val="18"/>
          <w:szCs w:val="18"/>
          <w:color w:val="auto"/>
        </w:rPr>
        <w:t>3.</w:t>
      </w:r>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15d-15(e) under the Securities Exchange Act of 1934, as amended (the “Exchange Act”)) as of the end of the period covered by this Annual Report on Form 10-K (“Form 10-K). Based upon that evaluation, our Chief Executive Officer and Chief Financial Officer concluded that our disclosure controls and procedures were effective as of the end of the period covered by this Form 10-K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has been no change in our internal control over financial reporting (as defined in Rule 15d-15(f) under the Exchange Act) that occurred during the three months ended December 31, 2018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660" w:right="20" w:hanging="409"/>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 and dispositions of our assets;</w:t>
      </w:r>
    </w:p>
    <w:p>
      <w:pPr>
        <w:spacing w:after="0" w:line="61" w:lineRule="exact"/>
        <w:rPr>
          <w:rFonts w:ascii="Arial" w:cs="Arial" w:eastAsia="Arial" w:hAnsi="Arial"/>
          <w:sz w:val="18"/>
          <w:szCs w:val="18"/>
          <w:color w:val="auto"/>
        </w:rPr>
      </w:pPr>
    </w:p>
    <w:p>
      <w:pPr>
        <w:jc w:val="both"/>
        <w:ind w:left="660" w:hanging="409"/>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our transactions are recorded as necessary to permit preparation of our financial statements in accordance with generally accepted accounting principles in the United States, and that our receipts and expenditures are being made only in accordance with authorizations of our management and our directors; and</w:t>
      </w:r>
    </w:p>
    <w:p>
      <w:pPr>
        <w:spacing w:after="0" w:line="66" w:lineRule="exact"/>
        <w:rPr>
          <w:rFonts w:ascii="Arial" w:cs="Arial" w:eastAsia="Arial" w:hAnsi="Arial"/>
          <w:sz w:val="18"/>
          <w:szCs w:val="18"/>
          <w:color w:val="auto"/>
        </w:rPr>
      </w:pPr>
    </w:p>
    <w:p>
      <w:pPr>
        <w:ind w:left="660" w:hanging="409"/>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based on the framework in Internal Control—Integrated Framework (2013) issued by the Committee of Sponsoring Organizations of the Treadway Commission. Based on this evaluation, our management has concluded that our internal control over financial reporting was effective as of December 31, 2018.</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February 21, 2019, EchoStar issued a press release (the “Press Release”) announcing its financial results for the quarter and year ended December 31, 2018. A copy of the Press Release is furnished herewith as Exhibit 99.1.</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foregoing information, including the exhibit related thereto, is furnished in response to Item 2.02 of Form 8-K and shall not be deemed “filed” for the purposes of Section 18 of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Independent Registered Public Accounting Firm</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Appointment of Independent Registered Public Accounting Firm for 2019</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KPMG LLP served as our independent registered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for the fiscal year ended December 31, 2018. EchoStar Corporation’s (“EchoStar”) board of directors, in its discretion, may direct the appointment of a different independent registered public accounting firm at any time during the year if EchoStar’s board of directors believes that a change would be in our best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KPMG LLP</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presents fees for professional services rendered by KPMG LLP on behalf of the Company for the years ended December 31, 2018 and 2017.</w:t>
      </w:r>
    </w:p>
    <w:p>
      <w:pPr>
        <w:spacing w:after="0" w:line="134"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28575</wp:posOffset>
            </wp:positionV>
            <wp:extent cx="250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 fees (1)</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Audit-related fees (2)</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Total audit and audited related fees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Tax fees (3)</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fees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50"/>
        </w:trPr>
        <w:tc>
          <w:tcPr>
            <w:tcW w:w="44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color w:val="auto"/>
              </w:rPr>
              <w:t>(Dollars in thousands)</w:t>
            </w:r>
          </w:p>
        </w:tc>
      </w:tr>
      <w:tr>
        <w:trPr>
          <w:trHeight w:val="257"/>
        </w:trPr>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1,828,355</w:t>
            </w:r>
          </w:p>
        </w:tc>
        <w:tc>
          <w:tcPr>
            <w:tcW w:w="12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1,760,310</w:t>
            </w:r>
          </w:p>
        </w:tc>
      </w:tr>
      <w:tr>
        <w:trPr>
          <w:trHeight w:val="277"/>
        </w:trPr>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112,158</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27,125</w:t>
            </w:r>
          </w:p>
        </w:tc>
      </w:tr>
      <w:tr>
        <w:trPr>
          <w:trHeight w:val="243"/>
        </w:trPr>
        <w:tc>
          <w:tcPr>
            <w:tcW w:w="4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1,940,513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1,787,435</w:t>
            </w:r>
          </w:p>
        </w:tc>
      </w:tr>
      <w:tr>
        <w:trPr>
          <w:trHeight w:val="277"/>
        </w:trPr>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78,794</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29,063</w:t>
            </w:r>
          </w:p>
        </w:tc>
      </w:tr>
      <w:tr>
        <w:trPr>
          <w:trHeight w:val="243"/>
        </w:trPr>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2,019,307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1,816,498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-857250</wp:posOffset>
            </wp:positionV>
            <wp:extent cx="710057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18034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-505460</wp:posOffset>
            </wp:positionV>
            <wp:extent cx="710057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0570" cy="17145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-162560</wp:posOffset>
            </wp:positionV>
            <wp:extent cx="710057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0570" cy="19748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520" w:space="720"/>
            <w:col w:w="4180"/>
          </w:cols>
          <w:pgMar w:left="240" w:top="140" w:right="239" w:bottom="1440" w:gutter="0" w:footer="0" w:header="0"/>
          <w:type w:val="continuous"/>
        </w:sectPr>
      </w:pPr>
    </w:p>
    <w:p>
      <w:pPr>
        <w:ind w:left="34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fees for the audit of our consolidated financial statements included in our Annual Report on Form 10-K, review of our unaudited financial statements included in our Quarterly Reports on Form 10-Q and fees in connection with statutory and other audits of our foreign subsidiaries.</w:t>
      </w:r>
    </w:p>
    <w:p>
      <w:pPr>
        <w:ind w:left="340" w:right="20" w:hanging="332"/>
        <w:spacing w:after="0" w:line="241" w:lineRule="auto"/>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fees for assurance and other services that are provided in connection with the issuance of consents, comfort letters, certifications, compliance with XBRL tagging, and professional consultations with respect to accounting issues or matters that are non-recurring in nature.</w:t>
      </w: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Consists of fees for tax consultation and tax compliance services.</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Registered Public Accounting Firm</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EchoStar’s Audit Committee is responsible for appointing, setting compensation, retaining, and overseeing the work of our independent registered public accounting firm. EchoStar’s Audit Committee has established a process regarding pre-approval of all audit and permissible non-audit services provided by the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Requests are submitted to EchoStar’s Audit Committee in one of the following ways: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Request for approval of services at a meeting of EchoStar’s Audit Committee;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Request for approval of services by members of EchoStar’s Audit Committee acting by written consent.</w:t>
      </w:r>
    </w:p>
    <w:p>
      <w:pPr>
        <w:spacing w:after="0" w:line="3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request may be made with respect to either specific services or a type of service for predictable or recurring services. Fees paid by us to KPMG LLP for services rendered in 2018 and 2017 were pre-approved by EchoStar’s Audit Committee.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0"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47" w:lineRule="exact"/>
        <w:rPr>
          <w:sz w:val="20"/>
          <w:szCs w:val="20"/>
          <w:color w:val="auto"/>
        </w:rPr>
      </w:pPr>
    </w:p>
    <w:p>
      <w:pPr>
        <w:ind w:left="580" w:hanging="41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w w:val="97"/>
              </w:rPr>
              <w:t>Page</w:t>
            </w: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57"/>
        </w:trPr>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80" w:type="dxa"/>
            <w:vAlign w:val="bottom"/>
            <w:gridSpan w:val="27"/>
          </w:tcPr>
          <w:p>
            <w:pPr>
              <w:ind w:left="100"/>
              <w:spacing w:after="0"/>
              <w:rPr>
                <w:sz w:val="20"/>
                <w:szCs w:val="20"/>
                <w:color w:val="auto"/>
              </w:rPr>
            </w:pPr>
            <w:r>
              <w:rPr>
                <w:rFonts w:ascii="Arial" w:cs="Arial" w:eastAsia="Arial" w:hAnsi="Arial"/>
                <w:sz w:val="18"/>
                <w:szCs w:val="18"/>
                <w:color w:val="auto"/>
              </w:rPr>
              <w:t>(1) Consolidated Financial Statements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513"/>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Index to Consolidated Financial Statements</w:t>
              </w:r>
            </w:hyperlink>
          </w:p>
        </w:tc>
        <w:tc>
          <w:tcPr>
            <w:tcW w:w="6540" w:type="dxa"/>
            <w:vAlign w:val="bottom"/>
            <w:gridSpan w:val="16"/>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96"/>
              </w:rPr>
            </w:pPr>
            <w:hyperlink w:anchor="page53">
              <w:r>
                <w:rPr>
                  <w:rFonts w:ascii="Arial" w:cs="Arial" w:eastAsia="Arial" w:hAnsi="Arial"/>
                  <w:sz w:val="18"/>
                  <w:szCs w:val="18"/>
                  <w:color w:val="0000EE"/>
                  <w:w w:val="96"/>
                </w:rPr>
                <w:t>F-1</w:t>
              </w:r>
            </w:hyperlink>
          </w:p>
        </w:tc>
        <w:tc>
          <w:tcPr>
            <w:tcW w:w="20" w:type="dxa"/>
            <w:vAlign w:val="bottom"/>
          </w:tcPr>
          <w:p>
            <w:pPr>
              <w:spacing w:after="0"/>
              <w:rPr>
                <w:sz w:val="24"/>
                <w:szCs w:val="24"/>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2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Report of Independent Registered Public Accounting Firm</w:t>
              </w:r>
            </w:hyperlink>
          </w:p>
        </w:tc>
        <w:tc>
          <w:tcPr>
            <w:tcW w:w="5400" w:type="dxa"/>
            <w:vAlign w:val="bottom"/>
            <w:gridSpan w:val="12"/>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0000EE"/>
            </w:tcBorders>
            <w:gridSpan w:val="4"/>
          </w:tcPr>
          <w:p>
            <w:pPr>
              <w:jc w:val="right"/>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F-2</w:t>
              </w:r>
            </w:hyperlink>
          </w:p>
        </w:tc>
        <w:tc>
          <w:tcPr>
            <w:tcW w:w="20" w:type="dxa"/>
            <w:vAlign w:val="bottom"/>
          </w:tcPr>
          <w:p>
            <w:pPr>
              <w:spacing w:after="0"/>
              <w:rPr>
                <w:sz w:val="20"/>
                <w:szCs w:val="20"/>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Balance Sheets as of December 31, 2018 and 2017</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6"/>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F-3</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 and Comprehensive Income (Loss) for the years ended December 31,</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7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2018, 2017 and 2016</w:t>
              </w:r>
            </w:hyperlink>
          </w:p>
        </w:tc>
        <w:tc>
          <w:tcPr>
            <w:tcW w:w="6900" w:type="dxa"/>
            <w:vAlign w:val="bottom"/>
            <w:tcBorders>
              <w:top w:val="single" w:sz="8" w:color="0000EE"/>
            </w:tcBorders>
            <w:gridSpan w:val="12"/>
          </w:tcPr>
          <w:p>
            <w:pPr>
              <w:spacing w:after="0"/>
              <w:rPr>
                <w:sz w:val="15"/>
                <w:szCs w:val="15"/>
                <w:color w:val="auto"/>
              </w:rPr>
            </w:pPr>
          </w:p>
        </w:tc>
        <w:tc>
          <w:tcPr>
            <w:tcW w:w="124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F-4</w:t>
              </w:r>
            </w:hyperlink>
          </w:p>
        </w:tc>
        <w:tc>
          <w:tcPr>
            <w:tcW w:w="20" w:type="dxa"/>
            <w:vAlign w:val="bottom"/>
          </w:tcPr>
          <w:p>
            <w:pPr>
              <w:spacing w:after="0"/>
              <w:rPr>
                <w:sz w:val="15"/>
                <w:szCs w:val="15"/>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Changes in Shareholders’ Equity for the years ended December 31, 2018, 2017 and</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2016</w:t>
              </w:r>
            </w:hyperlink>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90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19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0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F-5</w:t>
              </w:r>
            </w:hyperlink>
          </w:p>
        </w:tc>
        <w:tc>
          <w:tcPr>
            <w:tcW w:w="20" w:type="dxa"/>
            <w:vAlign w:val="bottom"/>
          </w:tcPr>
          <w:p>
            <w:pPr>
              <w:spacing w:after="0"/>
              <w:rPr>
                <w:sz w:val="15"/>
                <w:szCs w:val="15"/>
                <w:color w:val="auto"/>
              </w:rPr>
            </w:pPr>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20" w:type="dxa"/>
            <w:vAlign w:val="bottom"/>
            <w:gridSpan w:val="2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December 31, 2018, 2017 and 2016</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6"/>
          </w:tcPr>
          <w:p>
            <w:pPr>
              <w:jc w:val="right"/>
              <w:ind w:right="20"/>
              <w:spacing w:after="0"/>
              <w:rPr>
                <w:rFonts w:ascii="Arial" w:cs="Arial" w:eastAsia="Arial" w:hAnsi="Arial"/>
                <w:sz w:val="18"/>
                <w:szCs w:val="18"/>
                <w:color w:val="0000EE"/>
              </w:rPr>
            </w:pPr>
            <w:hyperlink w:anchor="page58">
              <w:r>
                <w:rPr>
                  <w:rFonts w:ascii="Arial" w:cs="Arial" w:eastAsia="Arial" w:hAnsi="Arial"/>
                  <w:sz w:val="18"/>
                  <w:szCs w:val="18"/>
                  <w:color w:val="0000EE"/>
                </w:rPr>
                <w:t>F-6</w:t>
              </w:r>
            </w:hyperlink>
          </w:p>
        </w:tc>
      </w:tr>
      <w:tr>
        <w:trPr>
          <w:trHeight w:val="237"/>
        </w:trPr>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740" w:type="dxa"/>
            <w:vAlign w:val="bottom"/>
            <w:tcBorders>
              <w:top w:val="single" w:sz="8" w:color="0000EE"/>
            </w:tcBorders>
            <w:gridSpan w:val="1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2280" w:type="dxa"/>
            <w:vAlign w:val="bottom"/>
            <w:gridSpan w:val="7"/>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0000EE"/>
            </w:tcBorders>
            <w:gridSpan w:val="4"/>
          </w:tcPr>
          <w:p>
            <w:pPr>
              <w:jc w:val="right"/>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F-7</w:t>
              </w:r>
            </w:hyperlink>
          </w:p>
        </w:tc>
        <w:tc>
          <w:tcPr>
            <w:tcW w:w="20" w:type="dxa"/>
            <w:vAlign w:val="bottom"/>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80" w:type="dxa"/>
            <w:vAlign w:val="bottom"/>
            <w:gridSpan w:val="27"/>
          </w:tcPr>
          <w:p>
            <w:pPr>
              <w:ind w:left="100"/>
              <w:spacing w:after="0"/>
              <w:rPr>
                <w:sz w:val="20"/>
                <w:szCs w:val="20"/>
                <w:color w:val="auto"/>
              </w:rPr>
            </w:pPr>
            <w:r>
              <w:rPr>
                <w:rFonts w:ascii="Arial" w:cs="Arial" w:eastAsia="Arial" w:hAnsi="Arial"/>
                <w:sz w:val="18"/>
                <w:szCs w:val="18"/>
                <w:color w:val="auto"/>
              </w:rPr>
              <w:t>(2) Financial Statement Schedules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3"/>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114">
              <w:r>
                <w:rPr>
                  <w:rFonts w:ascii="Arial" w:cs="Arial" w:eastAsia="Arial" w:hAnsi="Arial"/>
                  <w:sz w:val="18"/>
                  <w:szCs w:val="18"/>
                  <w:color w:val="0000EE"/>
                  <w:w w:val="99"/>
                </w:rPr>
                <w:t>Schedule II — Valuation and Qualifying Accounts</w:t>
              </w:r>
            </w:hyperlink>
          </w:p>
        </w:tc>
        <w:tc>
          <w:tcPr>
            <w:tcW w:w="6100" w:type="dxa"/>
            <w:vAlign w:val="bottom"/>
            <w:gridSpan w:val="14"/>
          </w:tcPr>
          <w:p>
            <w:pPr>
              <w:spacing w:after="0"/>
              <w:rPr>
                <w:sz w:val="24"/>
                <w:szCs w:val="24"/>
                <w:color w:val="auto"/>
              </w:rPr>
            </w:pPr>
          </w:p>
        </w:tc>
        <w:tc>
          <w:tcPr>
            <w:tcW w:w="380" w:type="dxa"/>
            <w:vAlign w:val="bottom"/>
            <w:tcBorders>
              <w:bottom w:val="single" w:sz="8" w:color="0000EE"/>
            </w:tcBorders>
            <w:gridSpan w:val="7"/>
          </w:tcPr>
          <w:p>
            <w:pPr>
              <w:jc w:val="right"/>
              <w:spacing w:after="0"/>
              <w:rPr>
                <w:rFonts w:ascii="Arial" w:cs="Arial" w:eastAsia="Arial" w:hAnsi="Arial"/>
                <w:sz w:val="18"/>
                <w:szCs w:val="18"/>
                <w:color w:val="0000EE"/>
                <w:w w:val="97"/>
              </w:rPr>
            </w:pPr>
            <w:hyperlink w:anchor="page114">
              <w:r>
                <w:rPr>
                  <w:rFonts w:ascii="Arial" w:cs="Arial" w:eastAsia="Arial" w:hAnsi="Arial"/>
                  <w:sz w:val="18"/>
                  <w:szCs w:val="18"/>
                  <w:color w:val="0000EE"/>
                  <w:w w:val="97"/>
                </w:rPr>
                <w:t>F-59</w:t>
              </w:r>
            </w:hyperlink>
          </w:p>
        </w:tc>
        <w:tc>
          <w:tcPr>
            <w:tcW w:w="20" w:type="dxa"/>
            <w:vAlign w:val="bottom"/>
          </w:tcPr>
          <w:p>
            <w:pPr>
              <w:spacing w:after="0"/>
              <w:rPr>
                <w:sz w:val="24"/>
                <w:szCs w:val="24"/>
                <w:color w:val="auto"/>
              </w:rPr>
            </w:pPr>
          </w:p>
        </w:tc>
      </w:tr>
      <w:tr>
        <w:trPr>
          <w:trHeight w:val="588"/>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80" w:type="dxa"/>
            <w:vAlign w:val="bottom"/>
            <w:gridSpan w:val="27"/>
          </w:tcPr>
          <w:p>
            <w:pPr>
              <w:ind w:left="100"/>
              <w:spacing w:after="0"/>
              <w:rPr>
                <w:sz w:val="20"/>
                <w:szCs w:val="20"/>
                <w:color w:val="auto"/>
              </w:rPr>
            </w:pPr>
            <w:r>
              <w:rPr>
                <w:rFonts w:ascii="Arial" w:cs="Arial" w:eastAsia="Arial" w:hAnsi="Arial"/>
                <w:sz w:val="18"/>
                <w:szCs w:val="18"/>
                <w:color w:val="auto"/>
              </w:rPr>
              <w:t>(3) Exhibits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29"/>
        </w:trPr>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11"/>
          </w:tcPr>
          <w:p>
            <w:pPr>
              <w:ind w:left="6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2"/>
        </w:trPr>
        <w:tc>
          <w:tcPr>
            <w:tcW w:w="960" w:type="dxa"/>
            <w:vAlign w:val="bottom"/>
            <w:gridSpan w:val="4"/>
          </w:tcPr>
          <w:p>
            <w:pPr>
              <w:jc w:val="right"/>
              <w:ind w:right="100"/>
              <w:spacing w:after="0" w:line="202" w:lineRule="exact"/>
              <w:rPr>
                <w:rFonts w:ascii="Arial" w:cs="Arial" w:eastAsia="Arial" w:hAnsi="Arial"/>
                <w:sz w:val="18"/>
                <w:szCs w:val="18"/>
                <w:color w:val="0000FF"/>
              </w:rPr>
            </w:pPr>
            <w:hyperlink r:id="rId15">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40" w:type="dxa"/>
            <w:vAlign w:val="bottom"/>
            <w:gridSpan w:val="19"/>
          </w:tcPr>
          <w:p>
            <w:pPr>
              <w:spacing w:after="0" w:line="202" w:lineRule="exact"/>
              <w:rPr>
                <w:rFonts w:ascii="Arial" w:cs="Arial" w:eastAsia="Arial" w:hAnsi="Arial"/>
                <w:sz w:val="18"/>
                <w:szCs w:val="18"/>
                <w:color w:val="0000FF"/>
              </w:rPr>
            </w:pPr>
            <w:hyperlink r:id="rId15">
              <w:r>
                <w:rPr>
                  <w:rFonts w:ascii="Arial" w:cs="Arial" w:eastAsia="Arial" w:hAnsi="Arial"/>
                  <w:sz w:val="18"/>
                  <w:szCs w:val="18"/>
                  <w:color w:val="0000FF"/>
                </w:rPr>
                <w:t>Agreement and Plan of Merger between EchoStar Corporation, EchoStar Satellite Services L.L.C., Broadband</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340" w:type="dxa"/>
            <w:vAlign w:val="bottom"/>
            <w:tcBorders>
              <w:right w:val="single" w:sz="8" w:color="0000FF"/>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15">
              <w:r>
                <w:rPr>
                  <w:rFonts w:ascii="Arial" w:cs="Arial" w:eastAsia="Arial" w:hAnsi="Arial"/>
                  <w:sz w:val="18"/>
                  <w:szCs w:val="18"/>
                  <w:color w:val="0000FF"/>
                </w:rPr>
                <w:t>Acquisition Corporation and Hughes Communications, Inc. dated as of February 13, 2011 (incorporated by reference</w:t>
              </w:r>
            </w:hyperlink>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15">
              <w:r>
                <w:rPr>
                  <w:rFonts w:ascii="Arial" w:cs="Arial" w:eastAsia="Arial" w:hAnsi="Arial"/>
                  <w:sz w:val="18"/>
                  <w:szCs w:val="18"/>
                  <w:color w:val="0000FF"/>
                </w:rPr>
                <w:t>to Exhibit 2.1 to Hughes Communications Inc.’s Current Report on Form 8-K, filed February 15, 2011, Commission</w:t>
              </w:r>
            </w:hyperlink>
          </w:p>
        </w:tc>
        <w:tc>
          <w:tcPr>
            <w:tcW w:w="160" w:type="dxa"/>
            <w:vAlign w:val="bottom"/>
            <w:gridSpan w:val="3"/>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5">
              <w:r>
                <w:rPr>
                  <w:rFonts w:ascii="Arial" w:cs="Arial" w:eastAsia="Arial" w:hAnsi="Arial"/>
                  <w:sz w:val="18"/>
                  <w:szCs w:val="18"/>
                  <w:color w:val="0000FF"/>
                </w:rPr>
                <w:t>File No. 1-33040).****</w:t>
              </w:r>
            </w:hyperlink>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440" w:type="dxa"/>
            <w:vAlign w:val="bottom"/>
          </w:tcPr>
          <w:p>
            <w:pPr>
              <w:spacing w:after="0"/>
              <w:rPr>
                <w:sz w:val="24"/>
                <w:szCs w:val="24"/>
                <w:color w:val="auto"/>
              </w:rPr>
            </w:pPr>
          </w:p>
        </w:tc>
        <w:tc>
          <w:tcPr>
            <w:tcW w:w="560" w:type="dxa"/>
            <w:vAlign w:val="bottom"/>
            <w:gridSpan w:val="4"/>
          </w:tcPr>
          <w:p>
            <w:pPr>
              <w:jc w:val="right"/>
              <w:ind w:right="40"/>
              <w:spacing w:after="0"/>
              <w:rPr>
                <w:rFonts w:ascii="Arial" w:cs="Arial" w:eastAsia="Arial" w:hAnsi="Arial"/>
                <w:sz w:val="18"/>
                <w:szCs w:val="18"/>
                <w:color w:val="0000FF"/>
                <w:w w:val="92"/>
              </w:rPr>
            </w:pPr>
            <w:hyperlink r:id="rId16">
              <w:r>
                <w:rPr>
                  <w:rFonts w:ascii="Arial" w:cs="Arial" w:eastAsia="Arial" w:hAnsi="Arial"/>
                  <w:sz w:val="18"/>
                  <w:szCs w:val="18"/>
                  <w:color w:val="0000FF"/>
                  <w:w w:val="92"/>
                </w:rPr>
                <w:t>3.</w:t>
              </w:r>
              <w:r>
                <w:rPr>
                  <w:rFonts w:ascii="Arial" w:cs="Arial" w:eastAsia="Arial" w:hAnsi="Arial"/>
                  <w:sz w:val="18"/>
                  <w:szCs w:val="18"/>
                  <w:u w:val="single" w:color="auto"/>
                  <w:color w:val="0000FF"/>
                  <w:w w:val="92"/>
                </w:rPr>
                <w:t>1(a)*</w:t>
              </w:r>
            </w:hyperlink>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7"/>
          </w:tcPr>
          <w:p>
            <w:pPr>
              <w:spacing w:after="0"/>
              <w:rPr>
                <w:rFonts w:ascii="Arial" w:cs="Arial" w:eastAsia="Arial" w:hAnsi="Arial"/>
                <w:sz w:val="18"/>
                <w:szCs w:val="18"/>
                <w:color w:val="0000FF"/>
              </w:rPr>
            </w:pPr>
            <w:hyperlink r:id="rId16">
              <w:r>
                <w:rPr>
                  <w:rFonts w:ascii="Arial" w:cs="Arial" w:eastAsia="Arial" w:hAnsi="Arial"/>
                  <w:sz w:val="18"/>
                  <w:szCs w:val="18"/>
                  <w:color w:val="0000FF"/>
                </w:rPr>
                <w:t>Articles of Incorporation of EH Holding Corporation (currently known as Hughes Satellite Systems Corporation), dated</w:t>
              </w:r>
            </w:hyperlink>
          </w:p>
        </w:tc>
      </w:tr>
      <w:tr>
        <w:trPr>
          <w:trHeight w:val="183"/>
        </w:trPr>
        <w:tc>
          <w:tcPr>
            <w:tcW w:w="44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6">
              <w:r>
                <w:rPr>
                  <w:rFonts w:ascii="Arial" w:cs="Arial" w:eastAsia="Arial" w:hAnsi="Arial"/>
                  <w:sz w:val="18"/>
                  <w:szCs w:val="18"/>
                  <w:color w:val="0000FF"/>
                </w:rPr>
                <w:t>as of March 16, 2011 (incorporated by reference to Exhibit 3.1(a) to the Company’s Registration Statement on</w:t>
              </w:r>
            </w:hyperlink>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16">
              <w:r>
                <w:rPr>
                  <w:rFonts w:ascii="Arial" w:cs="Arial" w:eastAsia="Arial" w:hAnsi="Arial"/>
                  <w:sz w:val="18"/>
                  <w:szCs w:val="18"/>
                  <w:color w:val="0000FF"/>
                </w:rPr>
                <w:t>Form S-4, Registration No. 333-179121).</w:t>
              </w:r>
            </w:hyperlink>
          </w:p>
        </w:tc>
        <w:tc>
          <w:tcPr>
            <w:tcW w:w="2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6"/>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440" w:type="dxa"/>
            <w:vAlign w:val="bottom"/>
          </w:tcPr>
          <w:p>
            <w:pPr>
              <w:spacing w:after="0"/>
              <w:rPr>
                <w:sz w:val="24"/>
                <w:szCs w:val="24"/>
                <w:color w:val="auto"/>
              </w:rPr>
            </w:pPr>
          </w:p>
        </w:tc>
        <w:tc>
          <w:tcPr>
            <w:tcW w:w="560" w:type="dxa"/>
            <w:vAlign w:val="bottom"/>
            <w:gridSpan w:val="4"/>
          </w:tcPr>
          <w:p>
            <w:pPr>
              <w:jc w:val="right"/>
              <w:ind w:right="40"/>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3.</w:t>
              </w:r>
              <w:r>
                <w:rPr>
                  <w:rFonts w:ascii="Arial" w:cs="Arial" w:eastAsia="Arial" w:hAnsi="Arial"/>
                  <w:sz w:val="18"/>
                  <w:szCs w:val="18"/>
                  <w:u w:val="single" w:color="auto"/>
                  <w:color w:val="0000FF"/>
                  <w:w w:val="92"/>
                </w:rPr>
                <w:t>1(b)*</w:t>
              </w:r>
            </w:hyperlink>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7"/>
          </w:tcPr>
          <w:p>
            <w:pPr>
              <w:spacing w:after="0"/>
              <w:rPr>
                <w:rFonts w:ascii="Arial" w:cs="Arial" w:eastAsia="Arial" w:hAnsi="Arial"/>
                <w:sz w:val="18"/>
                <w:szCs w:val="18"/>
                <w:color w:val="0000FF"/>
              </w:rPr>
            </w:pPr>
            <w:hyperlink r:id="rId17">
              <w:r>
                <w:rPr>
                  <w:rFonts w:ascii="Arial" w:cs="Arial" w:eastAsia="Arial" w:hAnsi="Arial"/>
                  <w:sz w:val="18"/>
                  <w:szCs w:val="18"/>
                  <w:color w:val="0000FF"/>
                </w:rPr>
                <w:t>Articles of Amendment of EH Holding Corporation (currently known as Hughes Satellite Systems Corporation), dated</w:t>
              </w:r>
            </w:hyperlink>
          </w:p>
        </w:tc>
      </w:tr>
      <w:tr>
        <w:trPr>
          <w:trHeight w:val="183"/>
        </w:trPr>
        <w:tc>
          <w:tcPr>
            <w:tcW w:w="44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17">
              <w:r>
                <w:rPr>
                  <w:rFonts w:ascii="Arial" w:cs="Arial" w:eastAsia="Arial" w:hAnsi="Arial"/>
                  <w:sz w:val="18"/>
                  <w:szCs w:val="18"/>
                  <w:color w:val="0000FF"/>
                </w:rPr>
                <w:t>as of October 26, 2011 (incorporated by reference to Exhibit 3.1(b) to the Company’s Registration Statement on</w:t>
              </w:r>
            </w:hyperlink>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8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7">
              <w:r>
                <w:rPr>
                  <w:rFonts w:ascii="Arial" w:cs="Arial" w:eastAsia="Arial" w:hAnsi="Arial"/>
                  <w:sz w:val="18"/>
                  <w:szCs w:val="18"/>
                  <w:color w:val="0000FF"/>
                </w:rPr>
                <w:t>Form S-4, Registration No. 333-179121).</w:t>
              </w:r>
            </w:hyperlink>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gridSpan w:val="6"/>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440" w:type="dxa"/>
            <w:vAlign w:val="bottom"/>
          </w:tcPr>
          <w:p>
            <w:pPr>
              <w:spacing w:after="0"/>
              <w:rPr>
                <w:sz w:val="24"/>
                <w:szCs w:val="24"/>
                <w:color w:val="auto"/>
              </w:rPr>
            </w:pPr>
          </w:p>
        </w:tc>
        <w:tc>
          <w:tcPr>
            <w:tcW w:w="560" w:type="dxa"/>
            <w:vAlign w:val="bottom"/>
            <w:gridSpan w:val="4"/>
          </w:tcPr>
          <w:p>
            <w:pPr>
              <w:jc w:val="right"/>
              <w:ind w:right="40"/>
              <w:spacing w:after="0"/>
              <w:rPr>
                <w:rFonts w:ascii="Arial" w:cs="Arial" w:eastAsia="Arial" w:hAnsi="Arial"/>
                <w:sz w:val="18"/>
                <w:szCs w:val="18"/>
                <w:color w:val="0000FF"/>
                <w:w w:val="94"/>
              </w:rPr>
            </w:pPr>
            <w:hyperlink r:id="rId18">
              <w:r>
                <w:rPr>
                  <w:rFonts w:ascii="Arial" w:cs="Arial" w:eastAsia="Arial" w:hAnsi="Arial"/>
                  <w:sz w:val="18"/>
                  <w:szCs w:val="18"/>
                  <w:color w:val="0000FF"/>
                  <w:w w:val="94"/>
                </w:rPr>
                <w:t>3.</w:t>
              </w:r>
              <w:r>
                <w:rPr>
                  <w:rFonts w:ascii="Arial" w:cs="Arial" w:eastAsia="Arial" w:hAnsi="Arial"/>
                  <w:sz w:val="18"/>
                  <w:szCs w:val="18"/>
                  <w:u w:val="single" w:color="auto"/>
                  <w:color w:val="0000FF"/>
                  <w:w w:val="94"/>
                </w:rPr>
                <w:t>1(c)*</w:t>
              </w:r>
            </w:hyperlink>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7"/>
          </w:tcPr>
          <w:p>
            <w:pPr>
              <w:spacing w:after="0"/>
              <w:rPr>
                <w:rFonts w:ascii="Arial" w:cs="Arial" w:eastAsia="Arial" w:hAnsi="Arial"/>
                <w:sz w:val="18"/>
                <w:szCs w:val="18"/>
                <w:color w:val="0000FF"/>
              </w:rPr>
            </w:pPr>
            <w:hyperlink r:id="rId18">
              <w:r>
                <w:rPr>
                  <w:rFonts w:ascii="Arial" w:cs="Arial" w:eastAsia="Arial" w:hAnsi="Arial"/>
                  <w:sz w:val="18"/>
                  <w:szCs w:val="18"/>
                  <w:color w:val="0000FF"/>
                </w:rPr>
                <w:t>Articles of Amendment of Hughes Satellite Systems Corporation, dated as of December 30, 2013 (incorporated by</w:t>
              </w:r>
            </w:hyperlink>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18">
              <w:r>
                <w:rPr>
                  <w:rFonts w:ascii="Arial" w:cs="Arial" w:eastAsia="Arial" w:hAnsi="Arial"/>
                  <w:sz w:val="18"/>
                  <w:szCs w:val="18"/>
                  <w:color w:val="0000FF"/>
                </w:rPr>
                <w:t>reference to Exhibit 3.1(c) to Hughes Satellite Systems Corporation’s Annual Report on Form 10-K for the year ended</w:t>
              </w:r>
            </w:hyperlink>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8">
              <w:r>
                <w:rPr>
                  <w:rFonts w:ascii="Arial" w:cs="Arial" w:eastAsia="Arial" w:hAnsi="Arial"/>
                  <w:sz w:val="18"/>
                  <w:szCs w:val="18"/>
                  <w:color w:val="0000FF"/>
                  <w:w w:val="99"/>
                </w:rPr>
                <w:t>December 31, 2013, filed February 21, 2014, Commission File No. 333-179121.</w:t>
              </w:r>
            </w:hyperlink>
          </w:p>
        </w:tc>
        <w:tc>
          <w:tcPr>
            <w:tcW w:w="2680" w:type="dxa"/>
            <w:vAlign w:val="bottom"/>
            <w:tcBorders>
              <w:top w:val="single" w:sz="8" w:color="0000FF"/>
            </w:tcBorders>
            <w:gridSpan w:val="9"/>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561"/>
        </w:trPr>
        <w:tc>
          <w:tcPr>
            <w:tcW w:w="440" w:type="dxa"/>
            <w:vAlign w:val="bottom"/>
          </w:tcPr>
          <w:p>
            <w:pPr>
              <w:spacing w:after="0"/>
              <w:rPr>
                <w:sz w:val="24"/>
                <w:szCs w:val="24"/>
                <w:color w:val="auto"/>
              </w:rPr>
            </w:pPr>
          </w:p>
        </w:tc>
        <w:tc>
          <w:tcPr>
            <w:tcW w:w="560" w:type="dxa"/>
            <w:vAlign w:val="bottom"/>
            <w:gridSpan w:val="4"/>
          </w:tcPr>
          <w:p>
            <w:pPr>
              <w:jc w:val="right"/>
              <w:ind w:right="40"/>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3.</w:t>
              </w:r>
              <w:r>
                <w:rPr>
                  <w:rFonts w:ascii="Arial" w:cs="Arial" w:eastAsia="Arial" w:hAnsi="Arial"/>
                  <w:sz w:val="18"/>
                  <w:szCs w:val="18"/>
                  <w:u w:val="single" w:color="auto"/>
                  <w:color w:val="0000FF"/>
                  <w:w w:val="92"/>
                </w:rPr>
                <w:t>1(d)*</w:t>
              </w:r>
            </w:hyperlink>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FF"/>
              </w:rPr>
            </w:pPr>
            <w:hyperlink r:id="rId19">
              <w:r>
                <w:rPr>
                  <w:rFonts w:ascii="Arial" w:cs="Arial" w:eastAsia="Arial" w:hAnsi="Arial"/>
                  <w:sz w:val="18"/>
                  <w:szCs w:val="18"/>
                  <w:color w:val="0000FF"/>
                </w:rPr>
                <w:t>Articles of Amendment of Hughes Satellite Systems Corporation, dated as of January 21, 2014 (incorporated by</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19">
              <w:r>
                <w:rPr>
                  <w:rFonts w:ascii="Arial" w:cs="Arial" w:eastAsia="Arial" w:hAnsi="Arial"/>
                  <w:sz w:val="18"/>
                  <w:szCs w:val="18"/>
                  <w:color w:val="0000FF"/>
                </w:rPr>
                <w:t>reference to Exhibit 3.1(d) to Hughes Satellite Systems Corporation’s Annual Report on Form 10-K for the year ended</w:t>
              </w:r>
            </w:hyperlink>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19">
              <w:r>
                <w:rPr>
                  <w:rFonts w:ascii="Arial" w:cs="Arial" w:eastAsia="Arial" w:hAnsi="Arial"/>
                  <w:sz w:val="18"/>
                  <w:szCs w:val="18"/>
                  <w:color w:val="0000FF"/>
                  <w:w w:val="99"/>
                </w:rPr>
                <w:t>December 31, 2013, filed February 21, 2014, Commission File No. 333-179121).</w:t>
              </w:r>
            </w:hyperlink>
          </w:p>
        </w:tc>
        <w:tc>
          <w:tcPr>
            <w:tcW w:w="2620" w:type="dxa"/>
            <w:vAlign w:val="bottom"/>
            <w:tcBorders>
              <w:top w:val="single" w:sz="8" w:color="0000FF"/>
            </w:tcBorders>
            <w:gridSpan w:val="8"/>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561"/>
        </w:trPr>
        <w:tc>
          <w:tcPr>
            <w:tcW w:w="440" w:type="dxa"/>
            <w:vAlign w:val="bottom"/>
          </w:tcPr>
          <w:p>
            <w:pPr>
              <w:spacing w:after="0"/>
              <w:rPr>
                <w:sz w:val="24"/>
                <w:szCs w:val="24"/>
                <w:color w:val="auto"/>
              </w:rPr>
            </w:pPr>
          </w:p>
        </w:tc>
        <w:tc>
          <w:tcPr>
            <w:tcW w:w="560" w:type="dxa"/>
            <w:vAlign w:val="bottom"/>
            <w:gridSpan w:val="4"/>
          </w:tcPr>
          <w:p>
            <w:pPr>
              <w:jc w:val="right"/>
              <w:ind w:right="40"/>
              <w:spacing w:after="0"/>
              <w:rPr>
                <w:rFonts w:ascii="Arial" w:cs="Arial" w:eastAsia="Arial" w:hAnsi="Arial"/>
                <w:sz w:val="18"/>
                <w:szCs w:val="18"/>
                <w:color w:val="0000FF"/>
                <w:w w:val="92"/>
              </w:rPr>
            </w:pPr>
            <w:hyperlink r:id="rId20">
              <w:r>
                <w:rPr>
                  <w:rFonts w:ascii="Arial" w:cs="Arial" w:eastAsia="Arial" w:hAnsi="Arial"/>
                  <w:sz w:val="18"/>
                  <w:szCs w:val="18"/>
                  <w:color w:val="0000FF"/>
                  <w:w w:val="92"/>
                </w:rPr>
                <w:t>3.</w:t>
              </w:r>
              <w:r>
                <w:rPr>
                  <w:rFonts w:ascii="Arial" w:cs="Arial" w:eastAsia="Arial" w:hAnsi="Arial"/>
                  <w:sz w:val="18"/>
                  <w:szCs w:val="18"/>
                  <w:u w:val="single" w:color="auto"/>
                  <w:color w:val="0000FF"/>
                  <w:w w:val="92"/>
                </w:rPr>
                <w:t>1(e)*</w:t>
              </w:r>
            </w:hyperlink>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gridSpan w:val="19"/>
          </w:tcPr>
          <w:p>
            <w:pPr>
              <w:spacing w:after="0"/>
              <w:rPr>
                <w:rFonts w:ascii="Arial" w:cs="Arial" w:eastAsia="Arial" w:hAnsi="Arial"/>
                <w:sz w:val="18"/>
                <w:szCs w:val="18"/>
                <w:color w:val="0000FF"/>
              </w:rPr>
            </w:pPr>
            <w:hyperlink r:id="rId20">
              <w:r>
                <w:rPr>
                  <w:rFonts w:ascii="Arial" w:cs="Arial" w:eastAsia="Arial" w:hAnsi="Arial"/>
                  <w:sz w:val="18"/>
                  <w:szCs w:val="18"/>
                  <w:color w:val="0000FF"/>
                </w:rPr>
                <w:t>Articles of Amendment of Hughes Satellite Systems Corporation, dated as of February 28, 2014 (incorporated by</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4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60" w:type="dxa"/>
            <w:vAlign w:val="bottom"/>
            <w:gridSpan w:val="9"/>
            <w:shd w:val="clear" w:color="auto" w:fill="0000FF"/>
          </w:tcPr>
          <w:p>
            <w:pPr>
              <w:spacing w:after="0" w:line="20" w:lineRule="exact"/>
              <w:rPr>
                <w:sz w:val="1"/>
                <w:szCs w:val="1"/>
                <w:color w:val="auto"/>
              </w:rPr>
            </w:pPr>
          </w:p>
        </w:tc>
        <w:tc>
          <w:tcPr>
            <w:tcW w:w="2800" w:type="dxa"/>
            <w:vAlign w:val="bottom"/>
            <w:gridSpan w:val="9"/>
            <w:shd w:val="clear" w:color="auto" w:fill="0000FF"/>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20">
              <w:r>
                <w:rPr>
                  <w:rFonts w:ascii="Arial" w:cs="Arial" w:eastAsia="Arial" w:hAnsi="Arial"/>
                  <w:sz w:val="18"/>
                  <w:szCs w:val="18"/>
                  <w:color w:val="0000FF"/>
                </w:rPr>
                <w:t>reference to Exhibit 3.1(a) to Hughes Satellite Systems Corporation’s Quarterly Report on Form 10-Q for the quarter</w:t>
              </w:r>
            </w:hyperlink>
          </w:p>
        </w:tc>
      </w:tr>
      <w:tr>
        <w:trPr>
          <w:trHeight w:val="183"/>
        </w:trPr>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1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20">
              <w:r>
                <w:rPr>
                  <w:rFonts w:ascii="Arial" w:cs="Arial" w:eastAsia="Arial" w:hAnsi="Arial"/>
                  <w:sz w:val="18"/>
                  <w:szCs w:val="18"/>
                  <w:color w:val="0000FF"/>
                  <w:w w:val="99"/>
                </w:rPr>
                <w:t>ended March 31, 2014, filed May 9, 2014, Commission File No. 333-179121).</w:t>
              </w:r>
            </w:hyperlink>
          </w:p>
        </w:tc>
        <w:tc>
          <w:tcPr>
            <w:tcW w:w="2880" w:type="dxa"/>
            <w:vAlign w:val="bottom"/>
            <w:tcBorders>
              <w:top w:val="single" w:sz="8" w:color="0000FF"/>
            </w:tcBorders>
            <w:gridSpan w:val="10"/>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40"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gridSpan w:val="18"/>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960" w:type="dxa"/>
            <w:vAlign w:val="bottom"/>
            <w:gridSpan w:val="6"/>
          </w:tcPr>
          <w:p>
            <w:pPr>
              <w:jc w:val="center"/>
              <w:ind w:right="560"/>
              <w:spacing w:after="0" w:line="202" w:lineRule="exact"/>
              <w:rPr>
                <w:rFonts w:ascii="Arial" w:cs="Arial" w:eastAsia="Arial" w:hAnsi="Arial"/>
                <w:sz w:val="18"/>
                <w:szCs w:val="18"/>
                <w:color w:val="0000FF"/>
                <w:w w:val="97"/>
              </w:rPr>
            </w:pPr>
            <w:hyperlink r:id="rId21">
              <w:r>
                <w:rPr>
                  <w:rFonts w:ascii="Arial" w:cs="Arial" w:eastAsia="Arial" w:hAnsi="Arial"/>
                  <w:sz w:val="18"/>
                  <w:szCs w:val="18"/>
                  <w:color w:val="0000FF"/>
                  <w:w w:val="97"/>
                </w:rPr>
                <w:t>3.</w:t>
              </w:r>
              <w:r>
                <w:rPr>
                  <w:rFonts w:ascii="Arial" w:cs="Arial" w:eastAsia="Arial" w:hAnsi="Arial"/>
                  <w:sz w:val="18"/>
                  <w:szCs w:val="18"/>
                  <w:u w:val="single" w:color="auto"/>
                  <w:color w:val="0000FF"/>
                  <w:w w:val="97"/>
                </w:rPr>
                <w:t>1(f)*</w:t>
              </w:r>
            </w:hyperlink>
          </w:p>
        </w:tc>
        <w:tc>
          <w:tcPr>
            <w:tcW w:w="20" w:type="dxa"/>
            <w:vAlign w:val="bottom"/>
          </w:tcPr>
          <w:p>
            <w:pPr>
              <w:spacing w:after="0"/>
              <w:rPr>
                <w:sz w:val="17"/>
                <w:szCs w:val="17"/>
                <w:color w:val="auto"/>
              </w:rPr>
            </w:pPr>
          </w:p>
        </w:tc>
        <w:tc>
          <w:tcPr>
            <w:tcW w:w="9440" w:type="dxa"/>
            <w:vAlign w:val="bottom"/>
            <w:gridSpan w:val="23"/>
          </w:tcPr>
          <w:p>
            <w:pPr>
              <w:spacing w:after="0" w:line="202" w:lineRule="exact"/>
              <w:rPr>
                <w:rFonts w:ascii="Arial" w:cs="Arial" w:eastAsia="Arial" w:hAnsi="Arial"/>
                <w:sz w:val="18"/>
                <w:szCs w:val="18"/>
                <w:color w:val="0000FF"/>
              </w:rPr>
            </w:pPr>
            <w:hyperlink r:id="rId21">
              <w:r>
                <w:rPr>
                  <w:rFonts w:ascii="Arial" w:cs="Arial" w:eastAsia="Arial" w:hAnsi="Arial"/>
                  <w:sz w:val="18"/>
                  <w:szCs w:val="18"/>
                  <w:color w:val="0000FF"/>
                </w:rPr>
                <w:t>Articles of Amendment to Articles of Incorporation of Hughes Satellite Systems Corporation, dated as of March 1,</w:t>
              </w:r>
            </w:hyperlink>
          </w:p>
        </w:tc>
      </w:tr>
      <w:tr>
        <w:trPr>
          <w:trHeight w:val="20"/>
        </w:trPr>
        <w:tc>
          <w:tcPr>
            <w:tcW w:w="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21">
              <w:r>
                <w:rPr>
                  <w:rFonts w:ascii="Arial" w:cs="Arial" w:eastAsia="Arial" w:hAnsi="Arial"/>
                  <w:sz w:val="18"/>
                  <w:szCs w:val="18"/>
                  <w:color w:val="0000FF"/>
                  <w:w w:val="99"/>
                </w:rPr>
                <w:t>2017 (incorporated by reference to Exhibit 32 to EchoStar Corporation’s Current Report on Form 8-K filed March 6,</w:t>
              </w:r>
            </w:hyperlink>
          </w:p>
        </w:tc>
        <w:tc>
          <w:tcPr>
            <w:tcW w:w="300" w:type="dxa"/>
            <w:vAlign w:val="bottom"/>
            <w:gridSpan w:val="8"/>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21">
              <w:r>
                <w:rPr>
                  <w:rFonts w:ascii="Arial" w:cs="Arial" w:eastAsia="Arial" w:hAnsi="Arial"/>
                  <w:sz w:val="18"/>
                  <w:szCs w:val="18"/>
                  <w:color w:val="0000FF"/>
                </w:rPr>
                <w:t>2017, Commission File No. 001-33807).</w:t>
              </w:r>
            </w:hyperlink>
          </w:p>
        </w:tc>
      </w:tr>
      <w:tr>
        <w:trPr>
          <w:trHeight w:val="20"/>
        </w:trPr>
        <w:tc>
          <w:tcPr>
            <w:tcW w:w="5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940" w:type="dxa"/>
            <w:vAlign w:val="bottom"/>
            <w:gridSpan w:val="4"/>
          </w:tcPr>
          <w:p>
            <w:pPr>
              <w:jc w:val="center"/>
              <w:ind w:left="372"/>
              <w:spacing w:after="0"/>
              <w:rPr>
                <w:rFonts w:ascii="Arial" w:cs="Arial" w:eastAsia="Arial" w:hAnsi="Arial"/>
                <w:sz w:val="18"/>
                <w:szCs w:val="18"/>
                <w:color w:val="0000FF"/>
                <w:w w:val="99"/>
              </w:rPr>
            </w:pPr>
            <w:hyperlink r:id="rId22">
              <w:r>
                <w:rPr>
                  <w:rFonts w:ascii="Arial" w:cs="Arial" w:eastAsia="Arial" w:hAnsi="Arial"/>
                  <w:sz w:val="18"/>
                  <w:szCs w:val="18"/>
                  <w:color w:val="0000FF"/>
                  <w:w w:val="99"/>
                </w:rPr>
                <w:t>3.</w:t>
              </w:r>
              <w:r>
                <w:rPr>
                  <w:rFonts w:ascii="Arial" w:cs="Arial" w:eastAsia="Arial" w:hAnsi="Arial"/>
                  <w:sz w:val="18"/>
                  <w:szCs w:val="18"/>
                  <w:u w:val="single" w:color="auto"/>
                  <w:color w:val="0000FF"/>
                  <w:w w:val="99"/>
                </w:rPr>
                <w:t>2*</w:t>
              </w:r>
            </w:hyperlink>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22">
              <w:r>
                <w:rPr>
                  <w:rFonts w:ascii="Arial" w:cs="Arial" w:eastAsia="Arial" w:hAnsi="Arial"/>
                  <w:sz w:val="18"/>
                  <w:szCs w:val="18"/>
                  <w:color w:val="0000FF"/>
                </w:rPr>
                <w:t>Bylaws of EH Holding Corporation (incorporated by reference to Exhibit 3.2 to the Company’s Registration Statement</w:t>
              </w:r>
            </w:hyperlink>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22">
              <w:r>
                <w:rPr>
                  <w:rFonts w:ascii="Arial" w:cs="Arial" w:eastAsia="Arial" w:hAnsi="Arial"/>
                  <w:sz w:val="18"/>
                  <w:szCs w:val="18"/>
                  <w:color w:val="0000FF"/>
                  <w:w w:val="99"/>
                </w:rPr>
                <w:t>on Form S-4, Registration No. 333-179121).</w:t>
              </w:r>
            </w:hyperlink>
          </w:p>
        </w:tc>
        <w:tc>
          <w:tcPr>
            <w:tcW w:w="5800" w:type="dxa"/>
            <w:vAlign w:val="bottom"/>
            <w:tcBorders>
              <w:top w:val="single" w:sz="8" w:color="0000FF"/>
            </w:tcBorders>
            <w:gridSpan w:val="17"/>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561"/>
        </w:trPr>
        <w:tc>
          <w:tcPr>
            <w:tcW w:w="940" w:type="dxa"/>
            <w:vAlign w:val="bottom"/>
            <w:gridSpan w:val="4"/>
          </w:tcPr>
          <w:p>
            <w:pPr>
              <w:jc w:val="center"/>
              <w:ind w:left="372"/>
              <w:spacing w:after="0"/>
              <w:rPr>
                <w:rFonts w:ascii="Arial" w:cs="Arial" w:eastAsia="Arial" w:hAnsi="Arial"/>
                <w:sz w:val="18"/>
                <w:szCs w:val="18"/>
                <w:color w:val="0000FF"/>
                <w:w w:val="99"/>
              </w:rPr>
            </w:pPr>
            <w:hyperlink r:id="rId23">
              <w:r>
                <w:rPr>
                  <w:rFonts w:ascii="Arial" w:cs="Arial" w:eastAsia="Arial" w:hAnsi="Arial"/>
                  <w:sz w:val="18"/>
                  <w:szCs w:val="18"/>
                  <w:color w:val="0000FF"/>
                  <w:w w:val="99"/>
                </w:rPr>
                <w:t>4.</w:t>
              </w:r>
              <w:r>
                <w:rPr>
                  <w:rFonts w:ascii="Arial" w:cs="Arial" w:eastAsia="Arial" w:hAnsi="Arial"/>
                  <w:sz w:val="18"/>
                  <w:szCs w:val="18"/>
                  <w:u w:val="single" w:color="auto"/>
                  <w:color w:val="0000FF"/>
                  <w:w w:val="99"/>
                </w:rPr>
                <w:t>1*</w:t>
              </w:r>
            </w:hyperlink>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23">
              <w:r>
                <w:rPr>
                  <w:rFonts w:ascii="Arial" w:cs="Arial" w:eastAsia="Arial" w:hAnsi="Arial"/>
                  <w:sz w:val="18"/>
                  <w:szCs w:val="18"/>
                  <w:color w:val="0000FF"/>
                </w:rPr>
                <w:t>Indenture relating to the EH Holding Corporation (currently known as Hughes Satellite Systems Corporation) 6 1/2%</w:t>
              </w:r>
            </w:hyperlink>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23">
              <w:r>
                <w:rPr>
                  <w:rFonts w:ascii="Arial" w:cs="Arial" w:eastAsia="Arial" w:hAnsi="Arial"/>
                  <w:sz w:val="18"/>
                  <w:szCs w:val="18"/>
                  <w:color w:val="0000FF"/>
                  <w:w w:val="99"/>
                </w:rPr>
                <w:t>Senior Secured Notes due 2019, dated as of June 1, 2011, by and among EH Holding Corporation, the guarantors</w:t>
              </w:r>
            </w:hyperlink>
          </w:p>
        </w:tc>
        <w:tc>
          <w:tcPr>
            <w:tcW w:w="140" w:type="dxa"/>
            <w:vAlign w:val="bottom"/>
            <w:tcBorders>
              <w:top w:val="single" w:sz="8" w:color="0000FF"/>
            </w:tcBorders>
            <w:gridSpan w:val="5"/>
          </w:tcPr>
          <w:p>
            <w:pPr>
              <w:spacing w:after="0"/>
              <w:rPr>
                <w:sz w:val="15"/>
                <w:szCs w:val="15"/>
                <w:color w:val="auto"/>
              </w:rPr>
            </w:pPr>
          </w:p>
        </w:tc>
        <w:tc>
          <w:tcPr>
            <w:tcW w:w="200" w:type="dxa"/>
            <w:vAlign w:val="bottom"/>
            <w:gridSpan w:val="5"/>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40" w:type="dxa"/>
            <w:vAlign w:val="bottom"/>
            <w:tcBorders>
              <w:bottom w:val="single" w:sz="8" w:color="0000FF"/>
            </w:tcBorders>
            <w:gridSpan w:val="10"/>
          </w:tcPr>
          <w:p>
            <w:pPr>
              <w:spacing w:after="0" w:line="182" w:lineRule="exact"/>
              <w:rPr>
                <w:rFonts w:ascii="Arial" w:cs="Arial" w:eastAsia="Arial" w:hAnsi="Arial"/>
                <w:sz w:val="18"/>
                <w:szCs w:val="18"/>
                <w:color w:val="0000FF"/>
                <w:w w:val="99"/>
              </w:rPr>
            </w:pPr>
            <w:hyperlink r:id="rId23">
              <w:r>
                <w:rPr>
                  <w:rFonts w:ascii="Arial" w:cs="Arial" w:eastAsia="Arial" w:hAnsi="Arial"/>
                  <w:sz w:val="18"/>
                  <w:szCs w:val="18"/>
                  <w:color w:val="0000FF"/>
                  <w:w w:val="99"/>
                </w:rPr>
                <w:t>listed on the signature page thereto, and Wells Fargo Bank, National Association, as collateral agent and trustee</w:t>
              </w:r>
            </w:hyperlink>
          </w:p>
        </w:tc>
        <w:tc>
          <w:tcPr>
            <w:tcW w:w="500" w:type="dxa"/>
            <w:vAlign w:val="bottom"/>
            <w:gridSpan w:val="13"/>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23">
              <w:r>
                <w:rPr>
                  <w:rFonts w:ascii="Arial" w:cs="Arial" w:eastAsia="Arial" w:hAnsi="Arial"/>
                  <w:sz w:val="18"/>
                  <w:szCs w:val="18"/>
                  <w:color w:val="0000FF"/>
                </w:rPr>
                <w:t>(incorporated by reference to Exhibit 4.1 to EchoStar Corporation’s Current Report on Form 8-K filed June 2, 2011,</w:t>
              </w:r>
            </w:hyperlink>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3">
              <w:r>
                <w:rPr>
                  <w:rFonts w:ascii="Arial" w:cs="Arial" w:eastAsia="Arial" w:hAnsi="Arial"/>
                  <w:sz w:val="18"/>
                  <w:szCs w:val="18"/>
                  <w:color w:val="0000FF"/>
                </w:rPr>
                <w:t>Commission File No. 001-33807).</w:t>
              </w:r>
            </w:hyperlink>
          </w:p>
        </w:tc>
        <w:tc>
          <w:tcPr>
            <w:tcW w:w="320" w:type="dxa"/>
            <w:vAlign w:val="bottom"/>
            <w:gridSpan w:val="9"/>
          </w:tcPr>
          <w:p>
            <w:pPr>
              <w:spacing w:after="0"/>
              <w:rPr>
                <w:sz w:val="15"/>
                <w:szCs w:val="15"/>
                <w:color w:val="auto"/>
              </w:rPr>
            </w:pPr>
          </w:p>
        </w:tc>
      </w:tr>
      <w:tr>
        <w:trPr>
          <w:trHeight w:val="20"/>
        </w:trPr>
        <w:tc>
          <w:tcPr>
            <w:tcW w:w="9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940" w:type="dxa"/>
            <w:vAlign w:val="bottom"/>
            <w:gridSpan w:val="4"/>
          </w:tcPr>
          <w:p>
            <w:pPr>
              <w:jc w:val="center"/>
              <w:ind w:left="372"/>
              <w:spacing w:after="0"/>
              <w:rPr>
                <w:rFonts w:ascii="Arial" w:cs="Arial" w:eastAsia="Arial" w:hAnsi="Arial"/>
                <w:sz w:val="18"/>
                <w:szCs w:val="18"/>
                <w:color w:val="0000FF"/>
                <w:w w:val="99"/>
              </w:rPr>
            </w:pPr>
            <w:hyperlink r:id="rId24">
              <w:r>
                <w:rPr>
                  <w:rFonts w:ascii="Arial" w:cs="Arial" w:eastAsia="Arial" w:hAnsi="Arial"/>
                  <w:sz w:val="18"/>
                  <w:szCs w:val="18"/>
                  <w:color w:val="0000FF"/>
                  <w:w w:val="99"/>
                </w:rPr>
                <w:t>4.</w:t>
              </w:r>
              <w:r>
                <w:rPr>
                  <w:rFonts w:ascii="Arial" w:cs="Arial" w:eastAsia="Arial" w:hAnsi="Arial"/>
                  <w:sz w:val="18"/>
                  <w:szCs w:val="18"/>
                  <w:u w:val="single" w:color="auto"/>
                  <w:color w:val="0000FF"/>
                  <w:w w:val="99"/>
                </w:rPr>
                <w:t>2*</w:t>
              </w:r>
            </w:hyperlink>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24">
              <w:r>
                <w:rPr>
                  <w:rFonts w:ascii="Arial" w:cs="Arial" w:eastAsia="Arial" w:hAnsi="Arial"/>
                  <w:sz w:val="18"/>
                  <w:szCs w:val="18"/>
                  <w:color w:val="0000FF"/>
                </w:rPr>
                <w:t>Indenture relating to the EH Holding Corporation (currently known as Hughes Satellite Systems Corporation) 7 5/8%</w:t>
              </w:r>
            </w:hyperlink>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24">
              <w:r>
                <w:rPr>
                  <w:rFonts w:ascii="Arial" w:cs="Arial" w:eastAsia="Arial" w:hAnsi="Arial"/>
                  <w:sz w:val="18"/>
                  <w:szCs w:val="18"/>
                  <w:color w:val="0000FF"/>
                  <w:w w:val="99"/>
                </w:rPr>
                <w:t>Senior Unsecured Notes due 2021, dated as of June 1, 2011, by and among EH Holding Corporation, the guarantors</w:t>
              </w:r>
            </w:hyperlink>
          </w:p>
        </w:tc>
        <w:tc>
          <w:tcPr>
            <w:tcW w:w="140" w:type="dxa"/>
            <w:vAlign w:val="bottom"/>
            <w:gridSpan w:val="3"/>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24">
              <w:r>
                <w:rPr>
                  <w:rFonts w:ascii="Arial" w:cs="Arial" w:eastAsia="Arial" w:hAnsi="Arial"/>
                  <w:sz w:val="18"/>
                  <w:szCs w:val="18"/>
                  <w:color w:val="0000FF"/>
                </w:rPr>
                <w:t>listed on the signature page thereto, and Wells Fargo Bank, National Association, as trustee (incorporated by</w:t>
              </w:r>
            </w:hyperlink>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24">
              <w:r>
                <w:rPr>
                  <w:rFonts w:ascii="Arial" w:cs="Arial" w:eastAsia="Arial" w:hAnsi="Arial"/>
                  <w:sz w:val="18"/>
                  <w:szCs w:val="18"/>
                  <w:color w:val="0000FF"/>
                  <w:w w:val="99"/>
                </w:rPr>
                <w:t>reference to Exhibit 4.2 to EchoStar Corporation’s Current Report on Form 8-K, filed June 2, 2011, Commission File</w:t>
              </w:r>
            </w:hyperlink>
          </w:p>
        </w:tc>
        <w:tc>
          <w:tcPr>
            <w:tcW w:w="200" w:type="dxa"/>
            <w:vAlign w:val="bottom"/>
            <w:gridSpan w:val="5"/>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24">
              <w:r>
                <w:rPr>
                  <w:rFonts w:ascii="Arial" w:cs="Arial" w:eastAsia="Arial" w:hAnsi="Arial"/>
                  <w:sz w:val="18"/>
                  <w:szCs w:val="18"/>
                  <w:color w:val="0000FF"/>
                </w:rPr>
                <w:t>No. 001-33807).</w:t>
              </w:r>
            </w:hyperlink>
          </w:p>
        </w:tc>
      </w:tr>
      <w:tr>
        <w:trPr>
          <w:trHeight w:val="20"/>
        </w:trPr>
        <w:tc>
          <w:tcPr>
            <w:tcW w:w="9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940" w:type="dxa"/>
            <w:vAlign w:val="bottom"/>
            <w:gridSpan w:val="4"/>
          </w:tcPr>
          <w:p>
            <w:pPr>
              <w:jc w:val="center"/>
              <w:ind w:left="372"/>
              <w:spacing w:after="0"/>
              <w:rPr>
                <w:rFonts w:ascii="Arial" w:cs="Arial" w:eastAsia="Arial" w:hAnsi="Arial"/>
                <w:sz w:val="18"/>
                <w:szCs w:val="18"/>
                <w:color w:val="0000FF"/>
                <w:w w:val="99"/>
              </w:rPr>
            </w:pPr>
            <w:hyperlink r:id="rId25">
              <w:r>
                <w:rPr>
                  <w:rFonts w:ascii="Arial" w:cs="Arial" w:eastAsia="Arial" w:hAnsi="Arial"/>
                  <w:sz w:val="18"/>
                  <w:szCs w:val="18"/>
                  <w:color w:val="0000FF"/>
                  <w:w w:val="99"/>
                </w:rPr>
                <w:t>4.</w:t>
              </w:r>
              <w:r>
                <w:rPr>
                  <w:rFonts w:ascii="Arial" w:cs="Arial" w:eastAsia="Arial" w:hAnsi="Arial"/>
                  <w:sz w:val="18"/>
                  <w:szCs w:val="18"/>
                  <w:u w:val="single" w:color="auto"/>
                  <w:color w:val="0000FF"/>
                  <w:w w:val="99"/>
                </w:rPr>
                <w:t>3*</w:t>
              </w:r>
            </w:hyperlink>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25">
              <w:r>
                <w:rPr>
                  <w:rFonts w:ascii="Arial" w:cs="Arial" w:eastAsia="Arial" w:hAnsi="Arial"/>
                  <w:sz w:val="18"/>
                  <w:szCs w:val="18"/>
                  <w:color w:val="0000FF"/>
                </w:rPr>
                <w:t>Supplemental Indenture relating to the 6 1/2% Senior Secured Notes due 2019 of EH Holding Corporation (currently</w:t>
              </w:r>
            </w:hyperlink>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9"/>
              </w:rPr>
            </w:pPr>
            <w:hyperlink r:id="rId25">
              <w:r>
                <w:rPr>
                  <w:rFonts w:ascii="Arial" w:cs="Arial" w:eastAsia="Arial" w:hAnsi="Arial"/>
                  <w:sz w:val="18"/>
                  <w:szCs w:val="18"/>
                  <w:color w:val="0000FF"/>
                  <w:w w:val="99"/>
                </w:rPr>
                <w:t>known as Hughes Satellite Systems Corporation), dated as of June 8, 2011, by and among EH Holding Corporation,</w:t>
              </w:r>
            </w:hyperlink>
          </w:p>
        </w:tc>
        <w:tc>
          <w:tcPr>
            <w:tcW w:w="200" w:type="dxa"/>
            <w:vAlign w:val="bottom"/>
            <w:gridSpan w:val="5"/>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25">
              <w:r>
                <w:rPr>
                  <w:rFonts w:ascii="Arial" w:cs="Arial" w:eastAsia="Arial" w:hAnsi="Arial"/>
                  <w:sz w:val="18"/>
                  <w:szCs w:val="18"/>
                  <w:color w:val="0000FF"/>
                  <w:w w:val="99"/>
                </w:rPr>
                <w:t>the guarantors listed on the signature page thereto, and Wells Fargo Bank, National Association, as collateral agent</w:t>
              </w:r>
            </w:hyperlink>
          </w:p>
        </w:tc>
        <w:tc>
          <w:tcPr>
            <w:tcW w:w="240" w:type="dxa"/>
            <w:vAlign w:val="bottom"/>
            <w:gridSpan w:val="6"/>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25">
              <w:r>
                <w:rPr>
                  <w:rFonts w:ascii="Arial" w:cs="Arial" w:eastAsia="Arial" w:hAnsi="Arial"/>
                  <w:sz w:val="18"/>
                  <w:szCs w:val="18"/>
                  <w:color w:val="0000FF"/>
                </w:rPr>
                <w:t>and trustee (incorporated by reference to Exhibit 4.2 to EchoStar Corporation’s Current Report on Form 8-K, filed</w:t>
              </w:r>
            </w:hyperlink>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5">
              <w:r>
                <w:rPr>
                  <w:rFonts w:ascii="Arial" w:cs="Arial" w:eastAsia="Arial" w:hAnsi="Arial"/>
                  <w:sz w:val="18"/>
                  <w:szCs w:val="18"/>
                  <w:color w:val="0000FF"/>
                </w:rPr>
                <w:t>June 9, 2011, Commission File No. 001-33807).</w:t>
              </w:r>
            </w:hyperlink>
          </w:p>
        </w:tc>
        <w:tc>
          <w:tcPr>
            <w:tcW w:w="440" w:type="dxa"/>
            <w:vAlign w:val="bottom"/>
            <w:gridSpan w:val="11"/>
          </w:tcPr>
          <w:p>
            <w:pPr>
              <w:spacing w:after="0"/>
              <w:rPr>
                <w:sz w:val="15"/>
                <w:szCs w:val="15"/>
                <w:color w:val="auto"/>
              </w:rPr>
            </w:pPr>
          </w:p>
        </w:tc>
      </w:tr>
      <w:tr>
        <w:trPr>
          <w:trHeight w:val="20"/>
        </w:trPr>
        <w:tc>
          <w:tcPr>
            <w:tcW w:w="9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940" w:type="dxa"/>
            <w:vAlign w:val="bottom"/>
            <w:gridSpan w:val="4"/>
          </w:tcPr>
          <w:p>
            <w:pPr>
              <w:jc w:val="center"/>
              <w:ind w:left="372"/>
              <w:spacing w:after="0"/>
              <w:rPr>
                <w:rFonts w:ascii="Arial" w:cs="Arial" w:eastAsia="Arial" w:hAnsi="Arial"/>
                <w:sz w:val="18"/>
                <w:szCs w:val="18"/>
                <w:color w:val="0000FF"/>
                <w:w w:val="99"/>
              </w:rPr>
            </w:pPr>
            <w:hyperlink r:id="rId26">
              <w:r>
                <w:rPr>
                  <w:rFonts w:ascii="Arial" w:cs="Arial" w:eastAsia="Arial" w:hAnsi="Arial"/>
                  <w:sz w:val="18"/>
                  <w:szCs w:val="18"/>
                  <w:color w:val="0000FF"/>
                  <w:w w:val="99"/>
                </w:rPr>
                <w:t>4.</w:t>
              </w:r>
              <w:r>
                <w:rPr>
                  <w:rFonts w:ascii="Arial" w:cs="Arial" w:eastAsia="Arial" w:hAnsi="Arial"/>
                  <w:sz w:val="18"/>
                  <w:szCs w:val="18"/>
                  <w:u w:val="single" w:color="auto"/>
                  <w:color w:val="0000FF"/>
                  <w:w w:val="99"/>
                </w:rPr>
                <w:t>4*</w:t>
              </w:r>
            </w:hyperlink>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26">
              <w:r>
                <w:rPr>
                  <w:rFonts w:ascii="Arial" w:cs="Arial" w:eastAsia="Arial" w:hAnsi="Arial"/>
                  <w:sz w:val="18"/>
                  <w:szCs w:val="18"/>
                  <w:color w:val="0000FF"/>
                </w:rPr>
                <w:t>Supplemental Indenture relating to the 7 5/8% Senior Unsecured Notes due 2021 of EH Holding Corporation</w:t>
              </w:r>
            </w:hyperlink>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6"/>
            <w:shd w:val="clear" w:color="auto" w:fill="0000FF"/>
          </w:tcPr>
          <w:p>
            <w:pPr>
              <w:spacing w:after="0" w:line="20" w:lineRule="exact"/>
              <w:rPr>
                <w:sz w:val="1"/>
                <w:szCs w:val="1"/>
                <w:color w:val="auto"/>
              </w:rPr>
            </w:pPr>
          </w:p>
        </w:tc>
        <w:tc>
          <w:tcPr>
            <w:tcW w:w="3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26">
              <w:r>
                <w:rPr>
                  <w:rFonts w:ascii="Arial" w:cs="Arial" w:eastAsia="Arial" w:hAnsi="Arial"/>
                  <w:sz w:val="18"/>
                  <w:szCs w:val="18"/>
                  <w:color w:val="0000FF"/>
                  <w:w w:val="99"/>
                </w:rPr>
                <w:t>(currently known as Hughes Satellite Systems Corporation), dated as of June 8, 2011, by and among EH Holding</w:t>
              </w:r>
            </w:hyperlink>
          </w:p>
        </w:tc>
        <w:tc>
          <w:tcPr>
            <w:tcW w:w="440" w:type="dxa"/>
            <w:vAlign w:val="bottom"/>
            <w:gridSpan w:val="11"/>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26">
              <w:r>
                <w:rPr>
                  <w:rFonts w:ascii="Arial" w:cs="Arial" w:eastAsia="Arial" w:hAnsi="Arial"/>
                  <w:sz w:val="18"/>
                  <w:szCs w:val="18"/>
                  <w:color w:val="0000FF"/>
                </w:rPr>
                <w:t>Corporation, the guarantors listed on the signature page thereto, and Wells Fargo Bank, National Association, as</w:t>
              </w:r>
            </w:hyperlink>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6"/>
            <w:shd w:val="clear" w:color="auto" w:fill="0000FF"/>
          </w:tcPr>
          <w:p>
            <w:pPr>
              <w:spacing w:after="0" w:line="20" w:lineRule="exact"/>
              <w:rPr>
                <w:sz w:val="1"/>
                <w:szCs w:val="1"/>
                <w:color w:val="auto"/>
              </w:rPr>
            </w:pPr>
          </w:p>
        </w:tc>
        <w:tc>
          <w:tcPr>
            <w:tcW w:w="3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8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r:id="rId26">
              <w:r>
                <w:rPr>
                  <w:rFonts w:ascii="Arial" w:cs="Arial" w:eastAsia="Arial" w:hAnsi="Arial"/>
                  <w:sz w:val="18"/>
                  <w:szCs w:val="18"/>
                  <w:color w:val="0000FF"/>
                  <w:w w:val="99"/>
                </w:rPr>
                <w:t>trustee (incorporated by reference to Exhibit 4.3 to EchoStar Corporation’s Current Report on Form 8-K, filed June 9,</w:t>
              </w:r>
            </w:hyperlink>
          </w:p>
        </w:tc>
        <w:tc>
          <w:tcPr>
            <w:tcW w:w="160" w:type="dxa"/>
            <w:vAlign w:val="bottom"/>
            <w:gridSpan w:val="4"/>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26">
              <w:r>
                <w:rPr>
                  <w:rFonts w:ascii="Arial" w:cs="Arial" w:eastAsia="Arial" w:hAnsi="Arial"/>
                  <w:sz w:val="18"/>
                  <w:szCs w:val="18"/>
                  <w:color w:val="0000FF"/>
                </w:rPr>
                <w:t>2011, Commission File No. 001-33807).</w:t>
              </w:r>
            </w:hyperlink>
          </w:p>
        </w:tc>
      </w:tr>
      <w:tr>
        <w:trPr>
          <w:trHeight w:val="20"/>
        </w:trPr>
        <w:tc>
          <w:tcPr>
            <w:tcW w:w="9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3"/>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940" w:type="dxa"/>
            <w:vAlign w:val="bottom"/>
            <w:gridSpan w:val="4"/>
          </w:tcPr>
          <w:p>
            <w:pPr>
              <w:jc w:val="center"/>
              <w:ind w:left="372"/>
              <w:spacing w:after="0"/>
              <w:rPr>
                <w:rFonts w:ascii="Arial" w:cs="Arial" w:eastAsia="Arial" w:hAnsi="Arial"/>
                <w:sz w:val="18"/>
                <w:szCs w:val="18"/>
                <w:color w:val="0000FF"/>
                <w:w w:val="99"/>
              </w:rPr>
            </w:pPr>
            <w:hyperlink r:id="rId27">
              <w:r>
                <w:rPr>
                  <w:rFonts w:ascii="Arial" w:cs="Arial" w:eastAsia="Arial" w:hAnsi="Arial"/>
                  <w:sz w:val="18"/>
                  <w:szCs w:val="18"/>
                  <w:color w:val="0000FF"/>
                  <w:w w:val="99"/>
                </w:rPr>
                <w:t>4.</w:t>
              </w:r>
              <w:r>
                <w:rPr>
                  <w:rFonts w:ascii="Arial" w:cs="Arial" w:eastAsia="Arial" w:hAnsi="Arial"/>
                  <w:sz w:val="18"/>
                  <w:szCs w:val="18"/>
                  <w:u w:val="single" w:color="auto"/>
                  <w:color w:val="0000FF"/>
                  <w:w w:val="99"/>
                </w:rPr>
                <w:t>5*</w:t>
              </w:r>
            </w:hyperlink>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27">
              <w:r>
                <w:rPr>
                  <w:rFonts w:ascii="Arial" w:cs="Arial" w:eastAsia="Arial" w:hAnsi="Arial"/>
                  <w:sz w:val="18"/>
                  <w:szCs w:val="18"/>
                  <w:color w:val="0000FF"/>
                </w:rPr>
                <w:t>Registration Rights Agreement, dated as of June 1, 2011, among EH Holding Corporation (currently known as</w:t>
              </w:r>
            </w:hyperlink>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6"/>
            <w:shd w:val="clear" w:color="auto" w:fill="0000FF"/>
          </w:tcPr>
          <w:p>
            <w:pPr>
              <w:spacing w:after="0" w:line="20" w:lineRule="exact"/>
              <w:rPr>
                <w:sz w:val="1"/>
                <w:szCs w:val="1"/>
                <w:color w:val="auto"/>
              </w:rPr>
            </w:pPr>
          </w:p>
        </w:tc>
        <w:tc>
          <w:tcPr>
            <w:tcW w:w="35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6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27">
              <w:r>
                <w:rPr>
                  <w:rFonts w:ascii="Arial" w:cs="Arial" w:eastAsia="Arial" w:hAnsi="Arial"/>
                  <w:sz w:val="18"/>
                  <w:szCs w:val="18"/>
                  <w:color w:val="0000FF"/>
                  <w:w w:val="99"/>
                </w:rPr>
                <w:t>Hughes Satellite Systems Corporation), the guarantors listed on the signature page thereto and Deutsche Bank</w:t>
              </w:r>
            </w:hyperlink>
          </w:p>
        </w:tc>
        <w:tc>
          <w:tcPr>
            <w:tcW w:w="580" w:type="dxa"/>
            <w:vAlign w:val="bottom"/>
            <w:gridSpan w:val="14"/>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27">
              <w:r>
                <w:rPr>
                  <w:rFonts w:ascii="Arial" w:cs="Arial" w:eastAsia="Arial" w:hAnsi="Arial"/>
                  <w:sz w:val="18"/>
                  <w:szCs w:val="18"/>
                  <w:color w:val="0000FF"/>
                  <w:w w:val="99"/>
                </w:rPr>
                <w:t>Securities Inc. (incorporated by reference to Exhibit 4.3 to EchoStar Corporation’s Current Report on Form 8-K, filed</w:t>
              </w:r>
            </w:hyperlink>
          </w:p>
        </w:tc>
        <w:tc>
          <w:tcPr>
            <w:tcW w:w="200" w:type="dxa"/>
            <w:vAlign w:val="bottom"/>
            <w:gridSpan w:val="5"/>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27">
              <w:r>
                <w:rPr>
                  <w:rFonts w:ascii="Arial" w:cs="Arial" w:eastAsia="Arial" w:hAnsi="Arial"/>
                  <w:sz w:val="18"/>
                  <w:szCs w:val="18"/>
                  <w:color w:val="0000FF"/>
                </w:rPr>
                <w:t>June 2, 2011, Commission File No. 001-33807).</w:t>
              </w:r>
            </w:hyperlink>
          </w:p>
        </w:tc>
      </w:tr>
      <w:tr>
        <w:trPr>
          <w:trHeight w:val="20"/>
        </w:trPr>
        <w:tc>
          <w:tcPr>
            <w:tcW w:w="9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940" w:type="dxa"/>
            <w:vAlign w:val="bottom"/>
            <w:gridSpan w:val="4"/>
          </w:tcPr>
          <w:p>
            <w:pPr>
              <w:jc w:val="center"/>
              <w:ind w:left="372"/>
              <w:spacing w:after="0"/>
              <w:rPr>
                <w:rFonts w:ascii="Arial" w:cs="Arial" w:eastAsia="Arial" w:hAnsi="Arial"/>
                <w:sz w:val="18"/>
                <w:szCs w:val="18"/>
                <w:color w:val="0000FF"/>
                <w:w w:val="99"/>
              </w:rPr>
            </w:pPr>
            <w:hyperlink r:id="rId28">
              <w:r>
                <w:rPr>
                  <w:rFonts w:ascii="Arial" w:cs="Arial" w:eastAsia="Arial" w:hAnsi="Arial"/>
                  <w:sz w:val="18"/>
                  <w:szCs w:val="18"/>
                  <w:color w:val="0000FF"/>
                  <w:w w:val="99"/>
                </w:rPr>
                <w:t>4.</w:t>
              </w:r>
              <w:r>
                <w:rPr>
                  <w:rFonts w:ascii="Arial" w:cs="Arial" w:eastAsia="Arial" w:hAnsi="Arial"/>
                  <w:sz w:val="18"/>
                  <w:szCs w:val="18"/>
                  <w:u w:val="single" w:color="auto"/>
                  <w:color w:val="0000FF"/>
                  <w:w w:val="99"/>
                </w:rPr>
                <w:t>6*</w:t>
              </w:r>
            </w:hyperlink>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28">
              <w:r>
                <w:rPr>
                  <w:rFonts w:ascii="Arial" w:cs="Arial" w:eastAsia="Arial" w:hAnsi="Arial"/>
                  <w:sz w:val="18"/>
                  <w:szCs w:val="18"/>
                  <w:color w:val="0000FF"/>
                </w:rPr>
                <w:t>Security Agreement, dated as of June 8, 2011, among EH Holding Corporation (currently known as Hughes Satellite</w:t>
              </w:r>
            </w:hyperlink>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28">
              <w:r>
                <w:rPr>
                  <w:rFonts w:ascii="Arial" w:cs="Arial" w:eastAsia="Arial" w:hAnsi="Arial"/>
                  <w:sz w:val="18"/>
                  <w:szCs w:val="18"/>
                  <w:color w:val="0000FF"/>
                  <w:w w:val="99"/>
                </w:rPr>
                <w:t>Systems Corporation), the guarantors listed on the signature pages thereto, and Wells Fargo Bank, National</w:t>
              </w:r>
            </w:hyperlink>
          </w:p>
        </w:tc>
        <w:tc>
          <w:tcPr>
            <w:tcW w:w="620" w:type="dxa"/>
            <w:vAlign w:val="bottom"/>
            <w:tcBorders>
              <w:top w:val="single" w:sz="8" w:color="0000FF"/>
            </w:tcBorders>
            <w:gridSpan w:val="11"/>
          </w:tcPr>
          <w:p>
            <w:pPr>
              <w:spacing w:after="0"/>
              <w:rPr>
                <w:sz w:val="15"/>
                <w:szCs w:val="15"/>
                <w:color w:val="auto"/>
              </w:rPr>
            </w:pPr>
          </w:p>
        </w:tc>
        <w:tc>
          <w:tcPr>
            <w:tcW w:w="200" w:type="dxa"/>
            <w:vAlign w:val="bottom"/>
            <w:gridSpan w:val="5"/>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28">
              <w:r>
                <w:rPr>
                  <w:rFonts w:ascii="Arial" w:cs="Arial" w:eastAsia="Arial" w:hAnsi="Arial"/>
                  <w:sz w:val="18"/>
                  <w:szCs w:val="18"/>
                  <w:color w:val="0000FF"/>
                  <w:w w:val="99"/>
                </w:rPr>
                <w:t>Association, as collateral agent (incorporated by reference to Exhibit 4.1 to EchoStar Corporation’s Current Report on</w:t>
              </w:r>
            </w:hyperlink>
          </w:p>
        </w:tc>
        <w:tc>
          <w:tcPr>
            <w:tcW w:w="100" w:type="dxa"/>
            <w:vAlign w:val="bottom"/>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6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28">
              <w:r>
                <w:rPr>
                  <w:rFonts w:ascii="Arial" w:cs="Arial" w:eastAsia="Arial" w:hAnsi="Arial"/>
                  <w:sz w:val="18"/>
                  <w:szCs w:val="18"/>
                  <w:color w:val="0000FF"/>
                  <w:w w:val="99"/>
                </w:rPr>
                <w:t>Form 8-K, filed June 9, 2011, Commission File No. 001-33807).</w:t>
              </w:r>
            </w:hyperlink>
          </w:p>
        </w:tc>
        <w:tc>
          <w:tcPr>
            <w:tcW w:w="4380" w:type="dxa"/>
            <w:vAlign w:val="bottom"/>
            <w:gridSpan w:val="17"/>
          </w:tcPr>
          <w:p>
            <w:pPr>
              <w:spacing w:after="0"/>
              <w:rPr>
                <w:sz w:val="15"/>
                <w:szCs w:val="15"/>
                <w:color w:val="auto"/>
              </w:rPr>
            </w:pPr>
          </w:p>
        </w:tc>
      </w:tr>
      <w:tr>
        <w:trPr>
          <w:trHeight w:val="561"/>
        </w:trPr>
        <w:tc>
          <w:tcPr>
            <w:tcW w:w="940" w:type="dxa"/>
            <w:vAlign w:val="bottom"/>
            <w:gridSpan w:val="4"/>
          </w:tcPr>
          <w:p>
            <w:pPr>
              <w:jc w:val="center"/>
              <w:ind w:left="372"/>
              <w:spacing w:after="0"/>
              <w:rPr>
                <w:rFonts w:ascii="Arial" w:cs="Arial" w:eastAsia="Arial" w:hAnsi="Arial"/>
                <w:sz w:val="18"/>
                <w:szCs w:val="18"/>
                <w:color w:val="0000FF"/>
                <w:w w:val="99"/>
              </w:rPr>
            </w:pPr>
            <w:hyperlink r:id="rId29">
              <w:r>
                <w:rPr>
                  <w:rFonts w:ascii="Arial" w:cs="Arial" w:eastAsia="Arial" w:hAnsi="Arial"/>
                  <w:sz w:val="18"/>
                  <w:szCs w:val="18"/>
                  <w:color w:val="0000FF"/>
                  <w:w w:val="99"/>
                </w:rPr>
                <w:t>4.</w:t>
              </w:r>
              <w:r>
                <w:rPr>
                  <w:rFonts w:ascii="Arial" w:cs="Arial" w:eastAsia="Arial" w:hAnsi="Arial"/>
                  <w:sz w:val="18"/>
                  <w:szCs w:val="18"/>
                  <w:u w:val="single" w:color="auto"/>
                  <w:color w:val="0000FF"/>
                  <w:w w:val="99"/>
                </w:rPr>
                <w:t>7*</w:t>
              </w:r>
            </w:hyperlink>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29">
              <w:r>
                <w:rPr>
                  <w:rFonts w:ascii="Arial" w:cs="Arial" w:eastAsia="Arial" w:hAnsi="Arial"/>
                  <w:sz w:val="18"/>
                  <w:szCs w:val="18"/>
                  <w:color w:val="0000FF"/>
                </w:rPr>
                <w:t>Second Supplemental Indenture relating to the 6 1/2% Senior Secured Notes due 2019 of Hughes Satellite Systems</w:t>
              </w:r>
            </w:hyperlink>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8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9"/>
              </w:rPr>
            </w:pPr>
            <w:hyperlink r:id="rId29">
              <w:r>
                <w:rPr>
                  <w:rFonts w:ascii="Arial" w:cs="Arial" w:eastAsia="Arial" w:hAnsi="Arial"/>
                  <w:sz w:val="18"/>
                  <w:szCs w:val="18"/>
                  <w:color w:val="0000FF"/>
                  <w:w w:val="99"/>
                </w:rPr>
                <w:t>Corporation, dated as of March 28, 2014, by and among Hughes Satellite Systems Corporation, the guarantors and</w:t>
              </w:r>
            </w:hyperlink>
          </w:p>
        </w:tc>
        <w:tc>
          <w:tcPr>
            <w:tcW w:w="60" w:type="dxa"/>
            <w:vAlign w:val="bottom"/>
            <w:tcBorders>
              <w:top w:val="single" w:sz="8" w:color="0000FF"/>
            </w:tcBorders>
            <w:gridSpan w:val="2"/>
          </w:tcPr>
          <w:p>
            <w:pPr>
              <w:spacing w:after="0"/>
              <w:rPr>
                <w:sz w:val="15"/>
                <w:szCs w:val="15"/>
                <w:color w:val="auto"/>
              </w:rPr>
            </w:pPr>
          </w:p>
        </w:tc>
        <w:tc>
          <w:tcPr>
            <w:tcW w:w="200" w:type="dxa"/>
            <w:vAlign w:val="bottom"/>
            <w:gridSpan w:val="5"/>
          </w:tcPr>
          <w:p>
            <w:pPr>
              <w:spacing w:after="0"/>
              <w:rPr>
                <w:sz w:val="15"/>
                <w:szCs w:val="15"/>
                <w:color w:val="auto"/>
              </w:rPr>
            </w:pPr>
          </w:p>
        </w:tc>
      </w:tr>
      <w:tr>
        <w:trPr>
          <w:trHeight w:val="183"/>
        </w:trPr>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29">
              <w:r>
                <w:rPr>
                  <w:rFonts w:ascii="Arial" w:cs="Arial" w:eastAsia="Arial" w:hAnsi="Arial"/>
                  <w:sz w:val="18"/>
                  <w:szCs w:val="18"/>
                  <w:color w:val="0000FF"/>
                  <w:w w:val="99"/>
                </w:rPr>
                <w:t>the supplemental guarantors listed on the signature pages thereto, and Wells Fargo Bank, National Association, as</w:t>
              </w:r>
            </w:hyperlink>
          </w:p>
        </w:tc>
        <w:tc>
          <w:tcPr>
            <w:tcW w:w="300" w:type="dxa"/>
            <w:vAlign w:val="bottom"/>
            <w:gridSpan w:val="8"/>
          </w:tcPr>
          <w:p>
            <w:pPr>
              <w:spacing w:after="0"/>
              <w:rPr>
                <w:sz w:val="15"/>
                <w:szCs w:val="15"/>
                <w:color w:val="auto"/>
              </w:rPr>
            </w:pPr>
          </w:p>
        </w:tc>
      </w:tr>
    </w:tbl>
    <w:p>
      <w:pPr>
        <w:spacing w:after="0" w:line="13" w:lineRule="exact"/>
        <w:rPr>
          <w:sz w:val="20"/>
          <w:szCs w:val="20"/>
          <w:color w:val="auto"/>
        </w:rPr>
      </w:pPr>
    </w:p>
    <w:p>
      <w:pPr>
        <w:ind w:left="1980" w:right="280"/>
        <w:spacing w:after="0" w:line="246" w:lineRule="auto"/>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collateral agent and trustee (incorporated by reference to Exhibit 4.1 to EchoStar Corporation’s Quarterly Report on</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Form 10-Q for the quarter ended March 31, 2014, filed May 9, 2014, Commission File No. 001-33807).</w:t>
        </w:r>
      </w:hyperlink>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160" w:type="dxa"/>
            <w:vAlign w:val="bottom"/>
            <w:gridSpan w:val="29"/>
          </w:tcPr>
          <w:p>
            <w:pPr>
              <w:ind w:left="104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900" w:type="dxa"/>
            <w:vAlign w:val="bottom"/>
            <w:tcBorders>
              <w:top w:val="single" w:sz="8" w:color="auto"/>
            </w:tcBorders>
            <w:gridSpan w:val="2"/>
          </w:tcPr>
          <w:p>
            <w:pPr>
              <w:jc w:val="center"/>
              <w:ind w:left="416"/>
              <w:spacing w:after="0" w:line="202"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4.</w:t>
              </w:r>
              <w:r>
                <w:rPr>
                  <w:rFonts w:ascii="Arial" w:cs="Arial" w:eastAsia="Arial" w:hAnsi="Arial"/>
                  <w:sz w:val="18"/>
                  <w:szCs w:val="18"/>
                  <w:u w:val="single" w:color="auto"/>
                  <w:color w:val="0000FF"/>
                  <w:w w:val="99"/>
                </w:rPr>
                <w:t>8*</w:t>
              </w:r>
            </w:hyperlink>
          </w:p>
        </w:tc>
        <w:tc>
          <w:tcPr>
            <w:tcW w:w="48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40" w:type="dxa"/>
            <w:vAlign w:val="bottom"/>
            <w:tcBorders>
              <w:top w:val="single" w:sz="8" w:color="auto"/>
            </w:tcBorders>
            <w:gridSpan w:val="31"/>
          </w:tcPr>
          <w:p>
            <w:pPr>
              <w:spacing w:after="0" w:line="202" w:lineRule="exact"/>
              <w:rPr>
                <w:rFonts w:ascii="Arial" w:cs="Arial" w:eastAsia="Arial" w:hAnsi="Arial"/>
                <w:sz w:val="18"/>
                <w:szCs w:val="18"/>
                <w:color w:val="0000FF"/>
              </w:rPr>
            </w:pPr>
            <w:hyperlink r:id="rId30">
              <w:r>
                <w:rPr>
                  <w:rFonts w:ascii="Arial" w:cs="Arial" w:eastAsia="Arial" w:hAnsi="Arial"/>
                  <w:sz w:val="18"/>
                  <w:szCs w:val="18"/>
                  <w:color w:val="0000FF"/>
                </w:rPr>
                <w:t>Second Supplemental Indenture relating to the 7 5/8% Senior Unsecured Notes due 2021 of Hughes Satellite</w:t>
              </w:r>
            </w:hyperlink>
          </w:p>
        </w:tc>
      </w:tr>
      <w:tr>
        <w:trPr>
          <w:trHeight w:val="183"/>
        </w:trPr>
        <w:tc>
          <w:tcPr>
            <w:tcW w:w="540" w:type="dxa"/>
            <w:vAlign w:val="bottom"/>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Systems Corporation, dated as of March 28, 2014, by and among Hughes Satellite Systems Corporation, the</w:t>
              </w:r>
            </w:hyperlink>
          </w:p>
        </w:tc>
        <w:tc>
          <w:tcPr>
            <w:tcW w:w="40" w:type="dxa"/>
            <w:vAlign w:val="bottom"/>
            <w:tcBorders>
              <w:top w:val="single" w:sz="8" w:color="0000FF"/>
            </w:tcBorders>
          </w:tcPr>
          <w:p>
            <w:pPr>
              <w:spacing w:after="0"/>
              <w:rPr>
                <w:sz w:val="15"/>
                <w:szCs w:val="15"/>
                <w:color w:val="auto"/>
              </w:rPr>
            </w:pPr>
          </w:p>
        </w:tc>
        <w:tc>
          <w:tcPr>
            <w:tcW w:w="740" w:type="dxa"/>
            <w:vAlign w:val="bottom"/>
            <w:gridSpan w:val="19"/>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60" w:type="dxa"/>
            <w:vAlign w:val="bottom"/>
            <w:tcBorders>
              <w:bottom w:val="single" w:sz="8" w:color="0000FF"/>
            </w:tcBorders>
            <w:gridSpan w:val="22"/>
          </w:tcPr>
          <w:p>
            <w:pPr>
              <w:spacing w:after="0" w:line="182" w:lineRule="exact"/>
              <w:rPr>
                <w:rFonts w:ascii="Arial" w:cs="Arial" w:eastAsia="Arial" w:hAnsi="Arial"/>
                <w:sz w:val="18"/>
                <w:szCs w:val="18"/>
                <w:color w:val="0000FF"/>
              </w:rPr>
            </w:pPr>
            <w:hyperlink r:id="rId30">
              <w:r>
                <w:rPr>
                  <w:rFonts w:ascii="Arial" w:cs="Arial" w:eastAsia="Arial" w:hAnsi="Arial"/>
                  <w:sz w:val="18"/>
                  <w:szCs w:val="18"/>
                  <w:color w:val="0000FF"/>
                </w:rPr>
                <w:t>guarantors and the supplemental guarantors listed on the signature pages thereto, and Wells Fargo Bank, National</w:t>
              </w:r>
            </w:hyperlink>
          </w:p>
        </w:tc>
        <w:tc>
          <w:tcPr>
            <w:tcW w:w="280" w:type="dxa"/>
            <w:vAlign w:val="bottom"/>
            <w:gridSpan w:val="9"/>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1"/>
          </w:tcPr>
          <w:p>
            <w:pPr>
              <w:spacing w:after="0" w:line="182" w:lineRule="exact"/>
              <w:rPr>
                <w:rFonts w:ascii="Arial" w:cs="Arial" w:eastAsia="Arial" w:hAnsi="Arial"/>
                <w:sz w:val="18"/>
                <w:szCs w:val="18"/>
                <w:color w:val="0000FF"/>
              </w:rPr>
            </w:pPr>
            <w:hyperlink r:id="rId30">
              <w:r>
                <w:rPr>
                  <w:rFonts w:ascii="Arial" w:cs="Arial" w:eastAsia="Arial" w:hAnsi="Arial"/>
                  <w:sz w:val="18"/>
                  <w:szCs w:val="18"/>
                  <w:color w:val="0000FF"/>
                </w:rPr>
                <w:t>Association, as trustee (incorporated by reference to Exhibit 4.2 to EchoStar Corporation’s Quarterly Report on</w:t>
              </w:r>
            </w:hyperlink>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30">
              <w:r>
                <w:rPr>
                  <w:rFonts w:ascii="Arial" w:cs="Arial" w:eastAsia="Arial" w:hAnsi="Arial"/>
                  <w:sz w:val="18"/>
                  <w:szCs w:val="18"/>
                  <w:color w:val="0000FF"/>
                  <w:w w:val="99"/>
                </w:rPr>
                <w:t>Form 10-Q for the quarter ended March 31, 2014, filed May 9, 2014, Commission File No. 001-33807).</w:t>
              </w:r>
            </w:hyperlink>
          </w:p>
        </w:tc>
        <w:tc>
          <w:tcPr>
            <w:tcW w:w="640" w:type="dxa"/>
            <w:vAlign w:val="bottom"/>
            <w:tcBorders>
              <w:top w:val="single" w:sz="8" w:color="0000FF"/>
            </w:tcBorders>
            <w:gridSpan w:val="5"/>
          </w:tcPr>
          <w:p>
            <w:pPr>
              <w:spacing w:after="0"/>
              <w:rPr>
                <w:sz w:val="15"/>
                <w:szCs w:val="15"/>
                <w:color w:val="auto"/>
              </w:rPr>
            </w:pPr>
          </w:p>
        </w:tc>
        <w:tc>
          <w:tcPr>
            <w:tcW w:w="640" w:type="dxa"/>
            <w:vAlign w:val="bottom"/>
            <w:gridSpan w:val="17"/>
          </w:tcPr>
          <w:p>
            <w:pPr>
              <w:spacing w:after="0"/>
              <w:rPr>
                <w:sz w:val="15"/>
                <w:szCs w:val="15"/>
                <w:color w:val="auto"/>
              </w:rPr>
            </w:pPr>
          </w:p>
        </w:tc>
      </w:tr>
      <w:tr>
        <w:trPr>
          <w:trHeight w:val="561"/>
        </w:trPr>
        <w:tc>
          <w:tcPr>
            <w:tcW w:w="900" w:type="dxa"/>
            <w:vAlign w:val="bottom"/>
            <w:gridSpan w:val="2"/>
          </w:tcPr>
          <w:p>
            <w:pPr>
              <w:jc w:val="center"/>
              <w:ind w:left="416"/>
              <w:spacing w:after="0"/>
              <w:rPr>
                <w:rFonts w:ascii="Arial" w:cs="Arial" w:eastAsia="Arial" w:hAnsi="Arial"/>
                <w:sz w:val="18"/>
                <w:szCs w:val="18"/>
                <w:color w:val="0000FF"/>
                <w:w w:val="99"/>
              </w:rPr>
            </w:pPr>
            <w:hyperlink r:id="rId31">
              <w:r>
                <w:rPr>
                  <w:rFonts w:ascii="Arial" w:cs="Arial" w:eastAsia="Arial" w:hAnsi="Arial"/>
                  <w:sz w:val="18"/>
                  <w:szCs w:val="18"/>
                  <w:color w:val="0000FF"/>
                  <w:w w:val="99"/>
                </w:rPr>
                <w:t>4.</w:t>
              </w:r>
              <w:r>
                <w:rPr>
                  <w:rFonts w:ascii="Arial" w:cs="Arial" w:eastAsia="Arial" w:hAnsi="Arial"/>
                  <w:sz w:val="18"/>
                  <w:szCs w:val="18"/>
                  <w:u w:val="single" w:color="auto"/>
                  <w:color w:val="0000FF"/>
                  <w:w w:val="99"/>
                </w:rPr>
                <w:t>9*</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1"/>
          </w:tcPr>
          <w:p>
            <w:pPr>
              <w:spacing w:after="0"/>
              <w:rPr>
                <w:rFonts w:ascii="Arial" w:cs="Arial" w:eastAsia="Arial" w:hAnsi="Arial"/>
                <w:sz w:val="18"/>
                <w:szCs w:val="18"/>
                <w:color w:val="0000FF"/>
              </w:rPr>
            </w:pPr>
            <w:hyperlink r:id="rId31">
              <w:r>
                <w:rPr>
                  <w:rFonts w:ascii="Arial" w:cs="Arial" w:eastAsia="Arial" w:hAnsi="Arial"/>
                  <w:sz w:val="18"/>
                  <w:szCs w:val="18"/>
                  <w:color w:val="0000FF"/>
                </w:rPr>
                <w:t>Joinder Agreement, dated as of March 28, 2014, to the Security Agreement dated as of June 8, 2011, by and among</w:t>
              </w:r>
            </w:hyperlink>
          </w:p>
        </w:tc>
      </w:tr>
      <w:tr>
        <w:trPr>
          <w:trHeight w:val="183"/>
        </w:trPr>
        <w:tc>
          <w:tcPr>
            <w:tcW w:w="540" w:type="dxa"/>
            <w:vAlign w:val="bottom"/>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6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31">
              <w:r>
                <w:rPr>
                  <w:rFonts w:ascii="Arial" w:cs="Arial" w:eastAsia="Arial" w:hAnsi="Arial"/>
                  <w:sz w:val="18"/>
                  <w:szCs w:val="18"/>
                  <w:color w:val="0000FF"/>
                </w:rPr>
                <w:t>EchoStar XI Holding L.L.C., EchoStar XIV Holding L.L.C., and Wells Fargo Bank, National Association, as collateral</w:t>
              </w:r>
            </w:hyperlink>
          </w:p>
        </w:tc>
        <w:tc>
          <w:tcPr>
            <w:tcW w:w="180" w:type="dxa"/>
            <w:vAlign w:val="bottom"/>
            <w:gridSpan w:val="7"/>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8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31">
              <w:r>
                <w:rPr>
                  <w:rFonts w:ascii="Arial" w:cs="Arial" w:eastAsia="Arial" w:hAnsi="Arial"/>
                  <w:sz w:val="18"/>
                  <w:szCs w:val="18"/>
                  <w:color w:val="0000FF"/>
                </w:rPr>
                <w:t>agent (incorporated by reference to Exhibit 4.3 to EchoStar Corporation’s Quarterly Report on Form 10-Q for the</w:t>
              </w:r>
            </w:hyperlink>
          </w:p>
        </w:tc>
        <w:tc>
          <w:tcPr>
            <w:tcW w:w="260" w:type="dxa"/>
            <w:vAlign w:val="bottom"/>
            <w:gridSpan w:val="8"/>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31">
              <w:r>
                <w:rPr>
                  <w:rFonts w:ascii="Arial" w:cs="Arial" w:eastAsia="Arial" w:hAnsi="Arial"/>
                  <w:sz w:val="18"/>
                  <w:szCs w:val="18"/>
                  <w:color w:val="0000FF"/>
                  <w:w w:val="99"/>
                </w:rPr>
                <w:t>quarter ended March 31, 2014, filed May 9, 2014, Commission File No. 001-33807).</w:t>
              </w:r>
            </w:hyperlink>
          </w:p>
        </w:tc>
        <w:tc>
          <w:tcPr>
            <w:tcW w:w="2240" w:type="dxa"/>
            <w:vAlign w:val="bottom"/>
            <w:tcBorders>
              <w:top w:val="single" w:sz="8" w:color="0000FF"/>
            </w:tcBorders>
            <w:gridSpan w:val="11"/>
          </w:tcPr>
          <w:p>
            <w:pPr>
              <w:spacing w:after="0"/>
              <w:rPr>
                <w:sz w:val="15"/>
                <w:szCs w:val="15"/>
                <w:color w:val="auto"/>
              </w:rPr>
            </w:pPr>
          </w:p>
        </w:tc>
        <w:tc>
          <w:tcPr>
            <w:tcW w:w="520" w:type="dxa"/>
            <w:vAlign w:val="bottom"/>
            <w:gridSpan w:val="15"/>
          </w:tcPr>
          <w:p>
            <w:pPr>
              <w:spacing w:after="0"/>
              <w:rPr>
                <w:sz w:val="15"/>
                <w:szCs w:val="15"/>
                <w:color w:val="auto"/>
              </w:rPr>
            </w:pPr>
          </w:p>
        </w:tc>
      </w:tr>
      <w:tr>
        <w:trPr>
          <w:trHeight w:val="561"/>
        </w:trPr>
        <w:tc>
          <w:tcPr>
            <w:tcW w:w="540" w:type="dxa"/>
            <w:vAlign w:val="bottom"/>
          </w:tcPr>
          <w:p>
            <w:pPr>
              <w:spacing w:after="0"/>
              <w:rPr>
                <w:sz w:val="24"/>
                <w:szCs w:val="24"/>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85"/>
              </w:rPr>
            </w:pPr>
            <w:hyperlink r:id="rId23">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10*</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tcBorders>
              <w:bottom w:val="single" w:sz="8" w:color="0000FF"/>
            </w:tcBorders>
            <w:gridSpan w:val="6"/>
          </w:tcPr>
          <w:p>
            <w:pPr>
              <w:spacing w:after="0"/>
              <w:rPr>
                <w:rFonts w:ascii="Arial" w:cs="Arial" w:eastAsia="Arial" w:hAnsi="Arial"/>
                <w:sz w:val="18"/>
                <w:szCs w:val="18"/>
                <w:color w:val="0000FF"/>
                <w:w w:val="99"/>
              </w:rPr>
            </w:pPr>
            <w:hyperlink r:id="rId23">
              <w:r>
                <w:rPr>
                  <w:rFonts w:ascii="Arial" w:cs="Arial" w:eastAsia="Arial" w:hAnsi="Arial"/>
                  <w:sz w:val="18"/>
                  <w:szCs w:val="18"/>
                  <w:color w:val="0000FF"/>
                  <w:w w:val="99"/>
                </w:rPr>
                <w:t>Form of Note for 6 1/2% Senior Secured Notes due 2019 (included as part of Exhibit 4.1).</w:t>
              </w:r>
            </w:hyperlink>
          </w:p>
        </w:tc>
        <w:tc>
          <w:tcPr>
            <w:tcW w:w="2320" w:type="dxa"/>
            <w:vAlign w:val="bottom"/>
            <w:gridSpan w:val="25"/>
          </w:tcPr>
          <w:p>
            <w:pPr>
              <w:spacing w:after="0"/>
              <w:rPr>
                <w:sz w:val="24"/>
                <w:szCs w:val="24"/>
                <w:color w:val="auto"/>
              </w:rPr>
            </w:pPr>
          </w:p>
        </w:tc>
      </w:tr>
      <w:tr>
        <w:trPr>
          <w:trHeight w:val="574"/>
        </w:trPr>
        <w:tc>
          <w:tcPr>
            <w:tcW w:w="540" w:type="dxa"/>
            <w:vAlign w:val="bottom"/>
          </w:tcPr>
          <w:p>
            <w:pPr>
              <w:spacing w:after="0"/>
              <w:rPr>
                <w:sz w:val="24"/>
                <w:szCs w:val="24"/>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85"/>
              </w:rPr>
            </w:pPr>
            <w:hyperlink r:id="rId24">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11*</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FF"/>
            </w:tcBorders>
            <w:gridSpan w:val="7"/>
          </w:tcPr>
          <w:p>
            <w:pPr>
              <w:spacing w:after="0"/>
              <w:rPr>
                <w:rFonts w:ascii="Arial" w:cs="Arial" w:eastAsia="Arial" w:hAnsi="Arial"/>
                <w:sz w:val="18"/>
                <w:szCs w:val="18"/>
                <w:color w:val="0000FF"/>
                <w:w w:val="99"/>
              </w:rPr>
            </w:pPr>
            <w:hyperlink r:id="rId24">
              <w:r>
                <w:rPr>
                  <w:rFonts w:ascii="Arial" w:cs="Arial" w:eastAsia="Arial" w:hAnsi="Arial"/>
                  <w:sz w:val="18"/>
                  <w:szCs w:val="18"/>
                  <w:color w:val="0000FF"/>
                  <w:w w:val="99"/>
                </w:rPr>
                <w:t>Form of Note for 7 5/8% Senior Unsecured Notes due 2021 (included as part of Exhibit 4.2).</w:t>
              </w:r>
            </w:hyperlink>
          </w:p>
        </w:tc>
        <w:tc>
          <w:tcPr>
            <w:tcW w:w="2120" w:type="dxa"/>
            <w:vAlign w:val="bottom"/>
            <w:gridSpan w:val="24"/>
          </w:tcPr>
          <w:p>
            <w:pPr>
              <w:spacing w:after="0"/>
              <w:rPr>
                <w:sz w:val="24"/>
                <w:szCs w:val="24"/>
                <w:color w:val="auto"/>
              </w:rPr>
            </w:pPr>
          </w:p>
        </w:tc>
      </w:tr>
      <w:tr>
        <w:trPr>
          <w:trHeight w:val="574"/>
        </w:trPr>
        <w:tc>
          <w:tcPr>
            <w:tcW w:w="540" w:type="dxa"/>
            <w:vAlign w:val="bottom"/>
          </w:tcPr>
          <w:p>
            <w:pPr>
              <w:spacing w:after="0"/>
              <w:rPr>
                <w:sz w:val="24"/>
                <w:szCs w:val="24"/>
                <w:color w:val="auto"/>
              </w:rPr>
            </w:pPr>
          </w:p>
        </w:tc>
        <w:tc>
          <w:tcPr>
            <w:tcW w:w="360" w:type="dxa"/>
            <w:vAlign w:val="bottom"/>
          </w:tcPr>
          <w:p>
            <w:pPr>
              <w:jc w:val="center"/>
              <w:spacing w:after="0"/>
              <w:rPr>
                <w:rFonts w:ascii="Arial" w:cs="Arial" w:eastAsia="Arial" w:hAnsi="Arial"/>
                <w:sz w:val="18"/>
                <w:szCs w:val="18"/>
                <w:color w:val="0000FF"/>
                <w:w w:val="85"/>
              </w:rPr>
            </w:pPr>
            <w:hyperlink r:id="rId32">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12*</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1"/>
          </w:tcPr>
          <w:p>
            <w:pPr>
              <w:spacing w:after="0"/>
              <w:rPr>
                <w:rFonts w:ascii="Arial" w:cs="Arial" w:eastAsia="Arial" w:hAnsi="Arial"/>
                <w:sz w:val="18"/>
                <w:szCs w:val="18"/>
                <w:color w:val="0000FF"/>
              </w:rPr>
            </w:pPr>
            <w:hyperlink r:id="rId32">
              <w:r>
                <w:rPr>
                  <w:rFonts w:ascii="Arial" w:cs="Arial" w:eastAsia="Arial" w:hAnsi="Arial"/>
                  <w:sz w:val="18"/>
                  <w:szCs w:val="18"/>
                  <w:color w:val="0000FF"/>
                </w:rPr>
                <w:t>Indenture, relating to the 5.250% Senior Secured Notes, dated as of July 27, 2016, among Hughes Satellite Systems</w:t>
              </w:r>
            </w:hyperlink>
          </w:p>
        </w:tc>
      </w:tr>
      <w:tr>
        <w:trPr>
          <w:trHeight w:val="20"/>
        </w:trPr>
        <w:tc>
          <w:tcPr>
            <w:tcW w:w="5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bottom w:val="single" w:sz="8" w:color="0000FF"/>
            </w:tcBorders>
            <w:gridSpan w:val="29"/>
          </w:tcPr>
          <w:p>
            <w:pPr>
              <w:spacing w:after="0" w:line="182"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Corporation, the guarantors party thereto, U.S. Bank National Association, as trustee, and Wells Fargo Bank, National</w:t>
              </w:r>
            </w:hyperlink>
          </w:p>
        </w:tc>
        <w:tc>
          <w:tcPr>
            <w:tcW w:w="60" w:type="dxa"/>
            <w:vAlign w:val="bottom"/>
            <w:gridSpan w:val="2"/>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bottom w:val="single" w:sz="8" w:color="0000FF"/>
            </w:tcBorders>
            <w:gridSpan w:val="27"/>
          </w:tcPr>
          <w:p>
            <w:pPr>
              <w:spacing w:after="0" w:line="182" w:lineRule="exact"/>
              <w:rPr>
                <w:rFonts w:ascii="Arial" w:cs="Arial" w:eastAsia="Arial" w:hAnsi="Arial"/>
                <w:sz w:val="18"/>
                <w:szCs w:val="18"/>
                <w:color w:val="0000FF"/>
                <w:w w:val="99"/>
              </w:rPr>
            </w:pPr>
            <w:hyperlink r:id="rId32">
              <w:r>
                <w:rPr>
                  <w:rFonts w:ascii="Arial" w:cs="Arial" w:eastAsia="Arial" w:hAnsi="Arial"/>
                  <w:sz w:val="18"/>
                  <w:szCs w:val="18"/>
                  <w:color w:val="0000FF"/>
                  <w:w w:val="99"/>
                </w:rPr>
                <w:t>Association, as collateral agent (incorporated by reference to Exhibit 4.1 to EchoStar Corporation’s Current Report on</w:t>
              </w:r>
            </w:hyperlink>
          </w:p>
        </w:tc>
        <w:tc>
          <w:tcPr>
            <w:tcW w:w="100" w:type="dxa"/>
            <w:vAlign w:val="bottom"/>
            <w:gridSpan w:val="4"/>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1"/>
          </w:tcPr>
          <w:p>
            <w:pPr>
              <w:spacing w:after="0" w:line="182" w:lineRule="exact"/>
              <w:rPr>
                <w:rFonts w:ascii="Arial" w:cs="Arial" w:eastAsia="Arial" w:hAnsi="Arial"/>
                <w:sz w:val="18"/>
                <w:szCs w:val="18"/>
                <w:color w:val="0000FF"/>
              </w:rPr>
            </w:pPr>
            <w:hyperlink r:id="rId32">
              <w:r>
                <w:rPr>
                  <w:rFonts w:ascii="Arial" w:cs="Arial" w:eastAsia="Arial" w:hAnsi="Arial"/>
                  <w:sz w:val="18"/>
                  <w:szCs w:val="18"/>
                  <w:color w:val="0000FF"/>
                </w:rPr>
                <w:t>Form 8-K filed on July 27, 2016, Commission File No. 001-33807).</w:t>
              </w:r>
            </w:hyperlink>
          </w:p>
        </w:tc>
      </w:tr>
      <w:tr>
        <w:trPr>
          <w:trHeight w:val="20"/>
        </w:trPr>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1"/>
        </w:trPr>
        <w:tc>
          <w:tcPr>
            <w:tcW w:w="540" w:type="dxa"/>
            <w:vAlign w:val="bottom"/>
          </w:tcPr>
          <w:p>
            <w:pPr>
              <w:spacing w:after="0"/>
              <w:rPr>
                <w:sz w:val="24"/>
                <w:szCs w:val="24"/>
                <w:color w:val="auto"/>
              </w:rPr>
            </w:pPr>
          </w:p>
        </w:tc>
        <w:tc>
          <w:tcPr>
            <w:tcW w:w="360" w:type="dxa"/>
            <w:vAlign w:val="bottom"/>
          </w:tcPr>
          <w:p>
            <w:pPr>
              <w:jc w:val="center"/>
              <w:spacing w:after="0"/>
              <w:rPr>
                <w:rFonts w:ascii="Arial" w:cs="Arial" w:eastAsia="Arial" w:hAnsi="Arial"/>
                <w:sz w:val="18"/>
                <w:szCs w:val="18"/>
                <w:color w:val="0000FF"/>
                <w:w w:val="85"/>
              </w:rPr>
            </w:pPr>
            <w:hyperlink r:id="rId33">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13*</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1"/>
          </w:tcPr>
          <w:p>
            <w:pPr>
              <w:spacing w:after="0"/>
              <w:rPr>
                <w:rFonts w:ascii="Arial" w:cs="Arial" w:eastAsia="Arial" w:hAnsi="Arial"/>
                <w:sz w:val="18"/>
                <w:szCs w:val="18"/>
                <w:color w:val="0000FF"/>
              </w:rPr>
            </w:pPr>
            <w:hyperlink r:id="rId33">
              <w:r>
                <w:rPr>
                  <w:rFonts w:ascii="Arial" w:cs="Arial" w:eastAsia="Arial" w:hAnsi="Arial"/>
                  <w:sz w:val="18"/>
                  <w:szCs w:val="18"/>
                  <w:color w:val="0000FF"/>
                </w:rPr>
                <w:t>Indenture, relating to the 6.625% Senior Unsecured Notes, dated as of July 27, 2016, among Hughes Satellite</w:t>
              </w:r>
            </w:hyperlink>
          </w:p>
        </w:tc>
      </w:tr>
      <w:tr>
        <w:trPr>
          <w:trHeight w:val="20"/>
        </w:trPr>
        <w:tc>
          <w:tcPr>
            <w:tcW w:w="5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60" w:type="dxa"/>
            <w:vAlign w:val="bottom"/>
            <w:tcBorders>
              <w:bottom w:val="single" w:sz="8" w:color="0000FF"/>
            </w:tcBorders>
            <w:gridSpan w:val="22"/>
          </w:tcPr>
          <w:p>
            <w:pPr>
              <w:spacing w:after="0" w:line="182" w:lineRule="exact"/>
              <w:rPr>
                <w:rFonts w:ascii="Arial" w:cs="Arial" w:eastAsia="Arial" w:hAnsi="Arial"/>
                <w:sz w:val="18"/>
                <w:szCs w:val="18"/>
                <w:color w:val="0000FF"/>
              </w:rPr>
            </w:pPr>
            <w:hyperlink r:id="rId33">
              <w:r>
                <w:rPr>
                  <w:rFonts w:ascii="Arial" w:cs="Arial" w:eastAsia="Arial" w:hAnsi="Arial"/>
                  <w:sz w:val="18"/>
                  <w:szCs w:val="18"/>
                  <w:color w:val="0000FF"/>
                </w:rPr>
                <w:t>Systems Corporation, the guarantors party thereto and U.S. Bank National Association, as trustee (incorporated by</w:t>
              </w:r>
            </w:hyperlink>
          </w:p>
        </w:tc>
        <w:tc>
          <w:tcPr>
            <w:tcW w:w="280" w:type="dxa"/>
            <w:vAlign w:val="bottom"/>
            <w:gridSpan w:val="9"/>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r:id="rId33">
              <w:r>
                <w:rPr>
                  <w:rFonts w:ascii="Arial" w:cs="Arial" w:eastAsia="Arial" w:hAnsi="Arial"/>
                  <w:sz w:val="18"/>
                  <w:szCs w:val="18"/>
                  <w:color w:val="0000FF"/>
                  <w:w w:val="99"/>
                </w:rPr>
                <w:t>reference to Exhibit 4.2 to EchoStar Corporation’s Current Report on Form 8-K filed on July 27, 2016, Commission</w:t>
              </w:r>
            </w:hyperlink>
          </w:p>
        </w:tc>
        <w:tc>
          <w:tcPr>
            <w:tcW w:w="340" w:type="dxa"/>
            <w:vAlign w:val="bottom"/>
            <w:gridSpan w:val="12"/>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1"/>
          </w:tcPr>
          <w:p>
            <w:pPr>
              <w:spacing w:after="0" w:line="182" w:lineRule="exact"/>
              <w:rPr>
                <w:rFonts w:ascii="Arial" w:cs="Arial" w:eastAsia="Arial" w:hAnsi="Arial"/>
                <w:sz w:val="18"/>
                <w:szCs w:val="18"/>
                <w:color w:val="0000FF"/>
              </w:rPr>
            </w:pPr>
            <w:hyperlink r:id="rId33">
              <w:r>
                <w:rPr>
                  <w:rFonts w:ascii="Arial" w:cs="Arial" w:eastAsia="Arial" w:hAnsi="Arial"/>
                  <w:sz w:val="18"/>
                  <w:szCs w:val="18"/>
                  <w:color w:val="0000FF"/>
                </w:rPr>
                <w:t>File No. 001-33807).</w:t>
              </w:r>
            </w:hyperlink>
          </w:p>
        </w:tc>
      </w:tr>
      <w:tr>
        <w:trPr>
          <w:trHeight w:val="20"/>
        </w:trPr>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1"/>
        </w:trPr>
        <w:tc>
          <w:tcPr>
            <w:tcW w:w="540" w:type="dxa"/>
            <w:vAlign w:val="bottom"/>
          </w:tcPr>
          <w:p>
            <w:pPr>
              <w:spacing w:after="0"/>
              <w:rPr>
                <w:sz w:val="24"/>
                <w:szCs w:val="24"/>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85"/>
              </w:rPr>
            </w:pPr>
            <w:hyperlink r:id="rId34">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14*</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60" w:type="dxa"/>
            <w:vAlign w:val="bottom"/>
            <w:tcBorders>
              <w:bottom w:val="single" w:sz="8" w:color="0000FF"/>
            </w:tcBorders>
            <w:gridSpan w:val="11"/>
          </w:tcPr>
          <w:p>
            <w:pPr>
              <w:spacing w:after="0"/>
              <w:rPr>
                <w:rFonts w:ascii="Arial" w:cs="Arial" w:eastAsia="Arial" w:hAnsi="Arial"/>
                <w:sz w:val="18"/>
                <w:szCs w:val="18"/>
                <w:color w:val="0000FF"/>
                <w:w w:val="99"/>
              </w:rPr>
            </w:pPr>
            <w:hyperlink r:id="rId34">
              <w:r>
                <w:rPr>
                  <w:rFonts w:ascii="Arial" w:cs="Arial" w:eastAsia="Arial" w:hAnsi="Arial"/>
                  <w:sz w:val="18"/>
                  <w:szCs w:val="18"/>
                  <w:color w:val="0000FF"/>
                  <w:w w:val="99"/>
                </w:rPr>
                <w:t>Registration Rights Agreement, dated as of July 27, 2016, among Hughes Satellite Systems Corporation, the</w:t>
              </w:r>
            </w:hyperlink>
          </w:p>
        </w:tc>
        <w:tc>
          <w:tcPr>
            <w:tcW w:w="780" w:type="dxa"/>
            <w:vAlign w:val="bottom"/>
            <w:gridSpan w:val="20"/>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1"/>
          </w:tcPr>
          <w:p>
            <w:pPr>
              <w:spacing w:after="0" w:line="182" w:lineRule="exact"/>
              <w:rPr>
                <w:rFonts w:ascii="Arial" w:cs="Arial" w:eastAsia="Arial" w:hAnsi="Arial"/>
                <w:sz w:val="18"/>
                <w:szCs w:val="18"/>
                <w:color w:val="0000FF"/>
              </w:rPr>
            </w:pPr>
            <w:hyperlink r:id="rId34">
              <w:r>
                <w:rPr>
                  <w:rFonts w:ascii="Arial" w:cs="Arial" w:eastAsia="Arial" w:hAnsi="Arial"/>
                  <w:sz w:val="18"/>
                  <w:szCs w:val="18"/>
                  <w:color w:val="0000FF"/>
                </w:rPr>
                <w:t>guarantors party thereto and Deutsche Bank Securities Inc. (incorporated by reference to Exhibit 4.3 to EchoStar</w:t>
              </w:r>
            </w:hyperlink>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34">
              <w:r>
                <w:rPr>
                  <w:rFonts w:ascii="Arial" w:cs="Arial" w:eastAsia="Arial" w:hAnsi="Arial"/>
                  <w:sz w:val="18"/>
                  <w:szCs w:val="18"/>
                  <w:color w:val="0000FF"/>
                  <w:w w:val="99"/>
                </w:rPr>
                <w:t>Corporation’s Current Report on Form 8-K filed on July 27, 2016, Commission File No. 001-33807).</w:t>
              </w:r>
            </w:hyperlink>
          </w:p>
        </w:tc>
        <w:tc>
          <w:tcPr>
            <w:tcW w:w="1060" w:type="dxa"/>
            <w:vAlign w:val="bottom"/>
            <w:tcBorders>
              <w:top w:val="single" w:sz="8" w:color="0000FF"/>
            </w:tcBorders>
            <w:gridSpan w:val="9"/>
          </w:tcPr>
          <w:p>
            <w:pPr>
              <w:spacing w:after="0"/>
              <w:rPr>
                <w:sz w:val="15"/>
                <w:szCs w:val="15"/>
                <w:color w:val="auto"/>
              </w:rPr>
            </w:pPr>
          </w:p>
        </w:tc>
        <w:tc>
          <w:tcPr>
            <w:tcW w:w="480" w:type="dxa"/>
            <w:vAlign w:val="bottom"/>
            <w:gridSpan w:val="14"/>
          </w:tcPr>
          <w:p>
            <w:pPr>
              <w:spacing w:after="0"/>
              <w:rPr>
                <w:sz w:val="15"/>
                <w:szCs w:val="15"/>
                <w:color w:val="auto"/>
              </w:rPr>
            </w:pPr>
          </w:p>
        </w:tc>
      </w:tr>
      <w:tr>
        <w:trPr>
          <w:trHeight w:val="561"/>
        </w:trPr>
        <w:tc>
          <w:tcPr>
            <w:tcW w:w="540" w:type="dxa"/>
            <w:vAlign w:val="bottom"/>
          </w:tcPr>
          <w:p>
            <w:pPr>
              <w:spacing w:after="0"/>
              <w:rPr>
                <w:sz w:val="24"/>
                <w:szCs w:val="24"/>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85"/>
              </w:rPr>
            </w:pPr>
            <w:hyperlink r:id="rId35">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15*</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0000FF"/>
            </w:tcBorders>
            <w:gridSpan w:val="28"/>
          </w:tcPr>
          <w:p>
            <w:pPr>
              <w:spacing w:after="0"/>
              <w:rPr>
                <w:rFonts w:ascii="Arial" w:cs="Arial" w:eastAsia="Arial" w:hAnsi="Arial"/>
                <w:sz w:val="18"/>
                <w:szCs w:val="18"/>
                <w:color w:val="0000FF"/>
                <w:w w:val="99"/>
              </w:rPr>
            </w:pPr>
            <w:hyperlink r:id="rId35">
              <w:r>
                <w:rPr>
                  <w:rFonts w:ascii="Arial" w:cs="Arial" w:eastAsia="Arial" w:hAnsi="Arial"/>
                  <w:sz w:val="18"/>
                  <w:szCs w:val="18"/>
                  <w:color w:val="0000FF"/>
                  <w:w w:val="99"/>
                </w:rPr>
                <w:t>Additional Secured Party Joinder, dated as of July 27, 2016, among U.S. Bank National Association, as trustee, Wells</w:t>
              </w:r>
            </w:hyperlink>
          </w:p>
        </w:tc>
        <w:tc>
          <w:tcPr>
            <w:tcW w:w="80" w:type="dxa"/>
            <w:vAlign w:val="bottom"/>
            <w:gridSpan w:val="3"/>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2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35">
              <w:r>
                <w:rPr>
                  <w:rFonts w:ascii="Arial" w:cs="Arial" w:eastAsia="Arial" w:hAnsi="Arial"/>
                  <w:sz w:val="18"/>
                  <w:szCs w:val="18"/>
                  <w:color w:val="0000FF"/>
                  <w:w w:val="99"/>
                </w:rPr>
                <w:t>Fargo Bank, National Association, as collateral agent and Hughes Satellite Systems Corporation (incorporated by</w:t>
              </w:r>
            </w:hyperlink>
          </w:p>
        </w:tc>
        <w:tc>
          <w:tcPr>
            <w:tcW w:w="420" w:type="dxa"/>
            <w:vAlign w:val="bottom"/>
            <w:gridSpan w:val="13"/>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bottom w:val="single" w:sz="8" w:color="0000FF"/>
            </w:tcBorders>
            <w:gridSpan w:val="19"/>
          </w:tcPr>
          <w:p>
            <w:pPr>
              <w:spacing w:after="0" w:line="182" w:lineRule="exact"/>
              <w:rPr>
                <w:rFonts w:ascii="Arial" w:cs="Arial" w:eastAsia="Arial" w:hAnsi="Arial"/>
                <w:sz w:val="18"/>
                <w:szCs w:val="18"/>
                <w:color w:val="0000FF"/>
                <w:w w:val="99"/>
              </w:rPr>
            </w:pPr>
            <w:hyperlink r:id="rId35">
              <w:r>
                <w:rPr>
                  <w:rFonts w:ascii="Arial" w:cs="Arial" w:eastAsia="Arial" w:hAnsi="Arial"/>
                  <w:sz w:val="18"/>
                  <w:szCs w:val="18"/>
                  <w:color w:val="0000FF"/>
                  <w:w w:val="99"/>
                </w:rPr>
                <w:t>reference to Exhibit 4.4 to EchoStar Corporation’s Current Report on Form 8-K filed on July 27, 2016, Commission</w:t>
              </w:r>
            </w:hyperlink>
          </w:p>
        </w:tc>
        <w:tc>
          <w:tcPr>
            <w:tcW w:w="340" w:type="dxa"/>
            <w:vAlign w:val="bottom"/>
            <w:gridSpan w:val="12"/>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1"/>
          </w:tcPr>
          <w:p>
            <w:pPr>
              <w:spacing w:after="0" w:line="182" w:lineRule="exact"/>
              <w:rPr>
                <w:rFonts w:ascii="Arial" w:cs="Arial" w:eastAsia="Arial" w:hAnsi="Arial"/>
                <w:sz w:val="18"/>
                <w:szCs w:val="18"/>
                <w:color w:val="0000FF"/>
              </w:rPr>
            </w:pPr>
            <w:hyperlink r:id="rId35">
              <w:r>
                <w:rPr>
                  <w:rFonts w:ascii="Arial" w:cs="Arial" w:eastAsia="Arial" w:hAnsi="Arial"/>
                  <w:sz w:val="18"/>
                  <w:szCs w:val="18"/>
                  <w:color w:val="0000FF"/>
                </w:rPr>
                <w:t>File No. 001-33807).</w:t>
              </w:r>
            </w:hyperlink>
          </w:p>
        </w:tc>
      </w:tr>
      <w:tr>
        <w:trPr>
          <w:trHeight w:val="20"/>
        </w:trPr>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1"/>
        </w:trPr>
        <w:tc>
          <w:tcPr>
            <w:tcW w:w="540" w:type="dxa"/>
            <w:vAlign w:val="bottom"/>
          </w:tcPr>
          <w:p>
            <w:pPr>
              <w:spacing w:after="0"/>
              <w:rPr>
                <w:sz w:val="24"/>
                <w:szCs w:val="24"/>
                <w:color w:val="auto"/>
              </w:rPr>
            </w:pPr>
          </w:p>
        </w:tc>
        <w:tc>
          <w:tcPr>
            <w:tcW w:w="360" w:type="dxa"/>
            <w:vAlign w:val="bottom"/>
          </w:tcPr>
          <w:p>
            <w:pPr>
              <w:jc w:val="center"/>
              <w:spacing w:after="0"/>
              <w:rPr>
                <w:rFonts w:ascii="Arial" w:cs="Arial" w:eastAsia="Arial" w:hAnsi="Arial"/>
                <w:sz w:val="18"/>
                <w:szCs w:val="18"/>
                <w:color w:val="0000FF"/>
                <w:w w:val="85"/>
              </w:rPr>
            </w:pPr>
            <w:hyperlink r:id="rId32">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16*</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1"/>
          </w:tcPr>
          <w:p>
            <w:pPr>
              <w:spacing w:after="0"/>
              <w:rPr>
                <w:rFonts w:ascii="Arial" w:cs="Arial" w:eastAsia="Arial" w:hAnsi="Arial"/>
                <w:sz w:val="18"/>
                <w:szCs w:val="18"/>
                <w:color w:val="0000FF"/>
              </w:rPr>
            </w:pPr>
            <w:hyperlink r:id="rId32">
              <w:r>
                <w:rPr>
                  <w:rFonts w:ascii="Arial" w:cs="Arial" w:eastAsia="Arial" w:hAnsi="Arial"/>
                  <w:sz w:val="18"/>
                  <w:szCs w:val="18"/>
                  <w:color w:val="0000FF"/>
                </w:rPr>
                <w:t>Form of 5.250% Senior Secured Note due 2026 (included as part of Exhibit 4.12).</w:t>
              </w:r>
            </w:hyperlink>
          </w:p>
        </w:tc>
      </w:tr>
      <w:tr>
        <w:trPr>
          <w:trHeight w:val="20"/>
        </w:trPr>
        <w:tc>
          <w:tcPr>
            <w:tcW w:w="5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540" w:type="dxa"/>
            <w:vAlign w:val="bottom"/>
          </w:tcPr>
          <w:p>
            <w:pPr>
              <w:spacing w:after="0"/>
              <w:rPr>
                <w:sz w:val="24"/>
                <w:szCs w:val="24"/>
                <w:color w:val="auto"/>
              </w:rPr>
            </w:pPr>
          </w:p>
        </w:tc>
        <w:tc>
          <w:tcPr>
            <w:tcW w:w="360" w:type="dxa"/>
            <w:vAlign w:val="bottom"/>
          </w:tcPr>
          <w:p>
            <w:pPr>
              <w:jc w:val="center"/>
              <w:spacing w:after="0"/>
              <w:rPr>
                <w:rFonts w:ascii="Arial" w:cs="Arial" w:eastAsia="Arial" w:hAnsi="Arial"/>
                <w:sz w:val="18"/>
                <w:szCs w:val="18"/>
                <w:color w:val="0000FF"/>
                <w:w w:val="85"/>
              </w:rPr>
            </w:pPr>
            <w:hyperlink r:id="rId33">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17*</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31"/>
          </w:tcPr>
          <w:p>
            <w:pPr>
              <w:spacing w:after="0"/>
              <w:rPr>
                <w:rFonts w:ascii="Arial" w:cs="Arial" w:eastAsia="Arial" w:hAnsi="Arial"/>
                <w:sz w:val="18"/>
                <w:szCs w:val="18"/>
                <w:color w:val="0000FF"/>
              </w:rPr>
            </w:pPr>
            <w:hyperlink r:id="rId33">
              <w:r>
                <w:rPr>
                  <w:rFonts w:ascii="Arial" w:cs="Arial" w:eastAsia="Arial" w:hAnsi="Arial"/>
                  <w:sz w:val="18"/>
                  <w:szCs w:val="18"/>
                  <w:color w:val="0000FF"/>
                </w:rPr>
                <w:t>Form of 6.625% Senior Unsecured Note due 2026 (included as part of Exhibit 4.13).</w:t>
              </w:r>
            </w:hyperlink>
          </w:p>
        </w:tc>
      </w:tr>
      <w:tr>
        <w:trPr>
          <w:trHeight w:val="20"/>
        </w:trPr>
        <w:tc>
          <w:tcPr>
            <w:tcW w:w="540" w:type="dxa"/>
            <w:vAlign w:val="bottom"/>
            <w:tcBorders>
              <w:right w:val="single" w:sz="8" w:color="0000FF"/>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74"/>
        </w:trPr>
        <w:tc>
          <w:tcPr>
            <w:tcW w:w="540" w:type="dxa"/>
            <w:vAlign w:val="bottom"/>
          </w:tcPr>
          <w:p>
            <w:pPr>
              <w:spacing w:after="0"/>
              <w:rPr>
                <w:sz w:val="24"/>
                <w:szCs w:val="24"/>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85"/>
              </w:rPr>
            </w:pPr>
            <w:hyperlink r:id="rId36">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18*</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30"/>
          </w:tcPr>
          <w:p>
            <w:pPr>
              <w:spacing w:after="0"/>
              <w:rPr>
                <w:rFonts w:ascii="Arial" w:cs="Arial" w:eastAsia="Arial" w:hAnsi="Arial"/>
                <w:sz w:val="18"/>
                <w:szCs w:val="18"/>
                <w:color w:val="0000FF"/>
                <w:w w:val="99"/>
              </w:rPr>
            </w:pPr>
            <w:hyperlink r:id="rId36">
              <w:r>
                <w:rPr>
                  <w:rFonts w:ascii="Arial" w:cs="Arial" w:eastAsia="Arial" w:hAnsi="Arial"/>
                  <w:sz w:val="18"/>
                  <w:szCs w:val="18"/>
                  <w:color w:val="0000FF"/>
                  <w:w w:val="99"/>
                </w:rPr>
                <w:t>Joinder Agreement, dated as of March 23, 2017, to the Security Agreement dated as of June 8, 2011, by and between</w:t>
              </w:r>
            </w:hyperlink>
          </w:p>
        </w:tc>
        <w:tc>
          <w:tcPr>
            <w:tcW w:w="40" w:type="dxa"/>
            <w:vAlign w:val="bottom"/>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4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36">
              <w:r>
                <w:rPr>
                  <w:rFonts w:ascii="Arial" w:cs="Arial" w:eastAsia="Arial" w:hAnsi="Arial"/>
                  <w:sz w:val="18"/>
                  <w:szCs w:val="18"/>
                  <w:color w:val="0000FF"/>
                  <w:w w:val="99"/>
                </w:rPr>
                <w:t>Cheyenne Data Center L.L.C. and Wells Fargo Bank, National Association, as collateral agent (incorporated by</w:t>
              </w:r>
            </w:hyperlink>
          </w:p>
        </w:tc>
        <w:tc>
          <w:tcPr>
            <w:tcW w:w="600" w:type="dxa"/>
            <w:vAlign w:val="bottom"/>
            <w:gridSpan w:val="16"/>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1"/>
          </w:tcPr>
          <w:p>
            <w:pPr>
              <w:spacing w:after="0" w:line="182" w:lineRule="exact"/>
              <w:rPr>
                <w:rFonts w:ascii="Arial" w:cs="Arial" w:eastAsia="Arial" w:hAnsi="Arial"/>
                <w:sz w:val="18"/>
                <w:szCs w:val="18"/>
                <w:color w:val="0000FF"/>
              </w:rPr>
            </w:pPr>
            <w:hyperlink r:id="rId36">
              <w:r>
                <w:rPr>
                  <w:rFonts w:ascii="Arial" w:cs="Arial" w:eastAsia="Arial" w:hAnsi="Arial"/>
                  <w:sz w:val="18"/>
                  <w:szCs w:val="18"/>
                  <w:color w:val="0000FF"/>
                </w:rPr>
                <w:t>reference to Exhibit 4.18 to Hughes Satellite Systems Corporation’s Registration Statement on Form S-4, filed April 6,</w:t>
              </w:r>
            </w:hyperlink>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36">
              <w:r>
                <w:rPr>
                  <w:rFonts w:ascii="Arial" w:cs="Arial" w:eastAsia="Arial" w:hAnsi="Arial"/>
                  <w:sz w:val="18"/>
                  <w:szCs w:val="18"/>
                  <w:color w:val="0000FF"/>
                </w:rPr>
                <w:t>2017, Commission File No. 333-179121).</w:t>
              </w:r>
            </w:hyperlink>
          </w:p>
        </w:tc>
        <w:tc>
          <w:tcPr>
            <w:tcW w:w="100" w:type="dxa"/>
            <w:vAlign w:val="bottom"/>
            <w:gridSpan w:val="4"/>
          </w:tcPr>
          <w:p>
            <w:pPr>
              <w:spacing w:after="0"/>
              <w:rPr>
                <w:sz w:val="15"/>
                <w:szCs w:val="15"/>
                <w:color w:val="auto"/>
              </w:rPr>
            </w:pPr>
          </w:p>
        </w:tc>
      </w:tr>
      <w:tr>
        <w:trPr>
          <w:trHeight w:val="20"/>
        </w:trPr>
        <w:tc>
          <w:tcPr>
            <w:tcW w:w="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2"/>
            <w:shd w:val="clear" w:color="auto" w:fill="0000FF"/>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61"/>
        </w:trPr>
        <w:tc>
          <w:tcPr>
            <w:tcW w:w="540" w:type="dxa"/>
            <w:vAlign w:val="bottom"/>
          </w:tcPr>
          <w:p>
            <w:pPr>
              <w:spacing w:after="0"/>
              <w:rPr>
                <w:sz w:val="24"/>
                <w:szCs w:val="24"/>
                <w:color w:val="auto"/>
              </w:rPr>
            </w:pPr>
          </w:p>
        </w:tc>
        <w:tc>
          <w:tcPr>
            <w:tcW w:w="360" w:type="dxa"/>
            <w:vAlign w:val="bottom"/>
            <w:tcBorders>
              <w:bottom w:val="single" w:sz="8" w:color="0000FF"/>
            </w:tcBorders>
          </w:tcPr>
          <w:p>
            <w:pPr>
              <w:jc w:val="center"/>
              <w:spacing w:after="0"/>
              <w:rPr>
                <w:rFonts w:ascii="Arial" w:cs="Arial" w:eastAsia="Arial" w:hAnsi="Arial"/>
                <w:sz w:val="18"/>
                <w:szCs w:val="18"/>
                <w:color w:val="0000FF"/>
                <w:w w:val="85"/>
              </w:rPr>
            </w:pPr>
            <w:hyperlink r:id="rId37">
              <w:r>
                <w:rPr>
                  <w:rFonts w:ascii="Arial" w:cs="Arial" w:eastAsia="Arial" w:hAnsi="Arial"/>
                  <w:sz w:val="18"/>
                  <w:szCs w:val="18"/>
                  <w:color w:val="0000FF"/>
                  <w:w w:val="85"/>
                </w:rPr>
                <w:t>4.</w:t>
              </w:r>
              <w:r>
                <w:rPr>
                  <w:rFonts w:ascii="Arial" w:cs="Arial" w:eastAsia="Arial" w:hAnsi="Arial"/>
                  <w:sz w:val="18"/>
                  <w:szCs w:val="18"/>
                  <w:u w:val="single" w:color="auto"/>
                  <w:color w:val="0000FF"/>
                  <w:w w:val="85"/>
                </w:rPr>
                <w:t>19*</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00" w:type="dxa"/>
            <w:vAlign w:val="bottom"/>
            <w:tcBorders>
              <w:bottom w:val="single" w:sz="8" w:color="0000FF"/>
            </w:tcBorders>
            <w:gridSpan w:val="26"/>
          </w:tcPr>
          <w:p>
            <w:pPr>
              <w:spacing w:after="0"/>
              <w:rPr>
                <w:rFonts w:ascii="Arial" w:cs="Arial" w:eastAsia="Arial" w:hAnsi="Arial"/>
                <w:sz w:val="18"/>
                <w:szCs w:val="18"/>
                <w:color w:val="0000FF"/>
                <w:w w:val="99"/>
              </w:rPr>
            </w:pPr>
            <w:hyperlink r:id="rId37">
              <w:r>
                <w:rPr>
                  <w:rFonts w:ascii="Arial" w:cs="Arial" w:eastAsia="Arial" w:hAnsi="Arial"/>
                  <w:sz w:val="18"/>
                  <w:szCs w:val="18"/>
                  <w:color w:val="0000FF"/>
                  <w:w w:val="99"/>
                </w:rPr>
                <w:t>Supplemental Indenture relating to Hughes Satellite Systems Corporation’s 5.250% Senior Secured Notes due 2026,</w:t>
              </w:r>
            </w:hyperlink>
          </w:p>
        </w:tc>
        <w:tc>
          <w:tcPr>
            <w:tcW w:w="140" w:type="dxa"/>
            <w:vAlign w:val="bottom"/>
            <w:gridSpan w:val="5"/>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2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37">
              <w:r>
                <w:rPr>
                  <w:rFonts w:ascii="Arial" w:cs="Arial" w:eastAsia="Arial" w:hAnsi="Arial"/>
                  <w:sz w:val="18"/>
                  <w:szCs w:val="18"/>
                  <w:color w:val="0000FF"/>
                  <w:w w:val="99"/>
                </w:rPr>
                <w:t>dated March 23, 2017, by and among Hughes Satellite Systems Corporation, the guarantors and the supplemental</w:t>
              </w:r>
            </w:hyperlink>
          </w:p>
        </w:tc>
        <w:tc>
          <w:tcPr>
            <w:tcW w:w="320" w:type="dxa"/>
            <w:vAlign w:val="bottom"/>
            <w:gridSpan w:val="11"/>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37">
              <w:r>
                <w:rPr>
                  <w:rFonts w:ascii="Arial" w:cs="Arial" w:eastAsia="Arial" w:hAnsi="Arial"/>
                  <w:sz w:val="18"/>
                  <w:szCs w:val="18"/>
                  <w:color w:val="0000FF"/>
                  <w:w w:val="99"/>
                </w:rPr>
                <w:t>guarantor listed on the signature pages thereto, U.S. Bank National Association, as trustee, and Wells Fargo Bank,</w:t>
              </w:r>
            </w:hyperlink>
          </w:p>
        </w:tc>
        <w:tc>
          <w:tcPr>
            <w:tcW w:w="300" w:type="dxa"/>
            <w:vAlign w:val="bottom"/>
            <w:gridSpan w:val="10"/>
          </w:tcPr>
          <w:p>
            <w:pPr>
              <w:spacing w:after="0"/>
              <w:rPr>
                <w:sz w:val="15"/>
                <w:szCs w:val="15"/>
                <w:color w:val="auto"/>
              </w:rPr>
            </w:pPr>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31"/>
          </w:tcPr>
          <w:p>
            <w:pPr>
              <w:spacing w:after="0" w:line="182" w:lineRule="exact"/>
              <w:rPr>
                <w:rFonts w:ascii="Arial" w:cs="Arial" w:eastAsia="Arial" w:hAnsi="Arial"/>
                <w:sz w:val="18"/>
                <w:szCs w:val="18"/>
                <w:color w:val="0000FF"/>
              </w:rPr>
            </w:pPr>
            <w:hyperlink r:id="rId37">
              <w:r>
                <w:rPr>
                  <w:rFonts w:ascii="Arial" w:cs="Arial" w:eastAsia="Arial" w:hAnsi="Arial"/>
                  <w:sz w:val="18"/>
                  <w:szCs w:val="18"/>
                  <w:color w:val="0000FF"/>
                </w:rPr>
                <w:t>National Association, as collateral agent (incorporated by reference to Exhibit 4.19 to Hughes Satellite Systems</w:t>
              </w:r>
            </w:hyperlink>
          </w:p>
        </w:tc>
      </w:tr>
      <w:tr>
        <w:trPr>
          <w:trHeight w:val="183"/>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37">
              <w:r>
                <w:rPr>
                  <w:rFonts w:ascii="Arial" w:cs="Arial" w:eastAsia="Arial" w:hAnsi="Arial"/>
                  <w:sz w:val="18"/>
                  <w:szCs w:val="18"/>
                  <w:color w:val="0000FF"/>
                  <w:w w:val="99"/>
                </w:rPr>
                <w:t>Corporation’s Registration Statement on Form S-4, filed April 6, 2017, Commission File No. 333-179121).</w:t>
              </w:r>
            </w:hyperlink>
          </w:p>
        </w:tc>
        <w:tc>
          <w:tcPr>
            <w:tcW w:w="460" w:type="dxa"/>
            <w:vAlign w:val="bottom"/>
            <w:tcBorders>
              <w:top w:val="single" w:sz="8" w:color="0000FF"/>
            </w:tcBorders>
            <w:gridSpan w:val="5"/>
          </w:tcPr>
          <w:p>
            <w:pPr>
              <w:spacing w:after="0"/>
              <w:rPr>
                <w:sz w:val="15"/>
                <w:szCs w:val="15"/>
                <w:color w:val="auto"/>
              </w:rPr>
            </w:pPr>
          </w:p>
        </w:tc>
        <w:tc>
          <w:tcPr>
            <w:tcW w:w="600" w:type="dxa"/>
            <w:vAlign w:val="bottom"/>
            <w:gridSpan w:val="16"/>
          </w:tcPr>
          <w:p>
            <w:pPr>
              <w:spacing w:after="0"/>
              <w:rPr>
                <w:sz w:val="15"/>
                <w:szCs w:val="15"/>
                <w:color w:val="auto"/>
              </w:rPr>
            </w:pPr>
          </w:p>
        </w:tc>
      </w:tr>
      <w:tr>
        <w:trPr>
          <w:trHeight w:val="49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300" w:type="dxa"/>
            <w:vAlign w:val="bottom"/>
            <w:gridSpan w:val="4"/>
          </w:tcPr>
          <w:p>
            <w:pPr>
              <w:jc w:val="right"/>
              <w:ind w:right="1368"/>
              <w:spacing w:after="0"/>
              <w:rPr>
                <w:sz w:val="20"/>
                <w:szCs w:val="20"/>
                <w:color w:val="auto"/>
              </w:rPr>
            </w:pPr>
            <w:r>
              <w:rPr>
                <w:rFonts w:ascii="Arial" w:cs="Arial" w:eastAsia="Arial" w:hAnsi="Arial"/>
                <w:sz w:val="18"/>
                <w:szCs w:val="18"/>
                <w:color w:val="auto"/>
              </w:rPr>
              <w:t>42</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60" w:type="dxa"/>
            <w:vAlign w:val="bottom"/>
            <w:gridSpan w:val="24"/>
          </w:tcPr>
          <w:p>
            <w:pPr>
              <w:ind w:left="84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2"/>
          </w:tcPr>
          <w:p>
            <w:pPr>
              <w:jc w:val="right"/>
              <w:ind w:right="480"/>
              <w:spacing w:after="0"/>
              <w:rPr>
                <w:rFonts w:ascii="Arial" w:cs="Arial" w:eastAsia="Arial" w:hAnsi="Arial"/>
                <w:sz w:val="18"/>
                <w:szCs w:val="18"/>
                <w:color w:val="0000FF"/>
                <w:w w:val="95"/>
              </w:rPr>
            </w:pPr>
            <w:hyperlink r:id="rId38">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20*</w:t>
              </w:r>
            </w:hyperlink>
          </w:p>
        </w:tc>
        <w:tc>
          <w:tcPr>
            <w:tcW w:w="5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27"/>
          </w:tcPr>
          <w:p>
            <w:pPr>
              <w:spacing w:after="0"/>
              <w:rPr>
                <w:rFonts w:ascii="Arial" w:cs="Arial" w:eastAsia="Arial" w:hAnsi="Arial"/>
                <w:sz w:val="18"/>
                <w:szCs w:val="18"/>
                <w:color w:val="0000FF"/>
              </w:rPr>
            </w:pPr>
            <w:hyperlink r:id="rId38">
              <w:r>
                <w:rPr>
                  <w:rFonts w:ascii="Arial" w:cs="Arial" w:eastAsia="Arial" w:hAnsi="Arial"/>
                  <w:sz w:val="18"/>
                  <w:szCs w:val="18"/>
                  <w:color w:val="0000FF"/>
                </w:rPr>
                <w:t>Supplemental Indenture relating to Hughes Satellite Systems Corporation’s 6.625% Senior Notes due 2026, dated as</w:t>
              </w:r>
            </w:hyperlink>
          </w:p>
        </w:tc>
      </w:tr>
      <w:tr>
        <w:trPr>
          <w:trHeight w:val="183"/>
        </w:trPr>
        <w:tc>
          <w:tcPr>
            <w:tcW w:w="48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2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of March 23, 2017, by and among Hughes Satellite Systems Corporation, the guarantors and the supplemental</w:t>
              </w:r>
            </w:hyperlink>
          </w:p>
        </w:tc>
        <w:tc>
          <w:tcPr>
            <w:tcW w:w="500" w:type="dxa"/>
            <w:vAlign w:val="bottom"/>
            <w:tcBorders>
              <w:top w:val="single" w:sz="8" w:color="0000FF"/>
            </w:tcBorders>
            <w:gridSpan w:val="12"/>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38">
              <w:r>
                <w:rPr>
                  <w:rFonts w:ascii="Arial" w:cs="Arial" w:eastAsia="Arial" w:hAnsi="Arial"/>
                  <w:sz w:val="18"/>
                  <w:szCs w:val="18"/>
                  <w:color w:val="0000FF"/>
                </w:rPr>
                <w:t>guarantor listed on the signature pages thereto and U.S. Bank National Association, as trustee (incorporated by</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tcBorders>
              <w:bottom w:val="single" w:sz="8" w:color="0000FF"/>
            </w:tcBorders>
            <w:gridSpan w:val="25"/>
          </w:tcPr>
          <w:p>
            <w:pPr>
              <w:spacing w:after="0" w:line="182" w:lineRule="exact"/>
              <w:rPr>
                <w:rFonts w:ascii="Arial" w:cs="Arial" w:eastAsia="Arial" w:hAnsi="Arial"/>
                <w:sz w:val="18"/>
                <w:szCs w:val="18"/>
                <w:color w:val="0000FF"/>
                <w:w w:val="99"/>
              </w:rPr>
            </w:pPr>
            <w:hyperlink r:id="rId38">
              <w:r>
                <w:rPr>
                  <w:rFonts w:ascii="Arial" w:cs="Arial" w:eastAsia="Arial" w:hAnsi="Arial"/>
                  <w:sz w:val="18"/>
                  <w:szCs w:val="18"/>
                  <w:color w:val="0000FF"/>
                  <w:w w:val="99"/>
                </w:rPr>
                <w:t>reference to Exhibit 4.20 to Hughes Satellite Systems Corporation’s Registration Statement on Form S-4, filed April 6,</w:t>
              </w:r>
            </w:hyperlink>
          </w:p>
        </w:tc>
        <w:tc>
          <w:tcPr>
            <w:tcW w:w="80" w:type="dxa"/>
            <w:vAlign w:val="bottom"/>
            <w:gridSpan w:val="2"/>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38">
              <w:r>
                <w:rPr>
                  <w:rFonts w:ascii="Arial" w:cs="Arial" w:eastAsia="Arial" w:hAnsi="Arial"/>
                  <w:sz w:val="18"/>
                  <w:szCs w:val="18"/>
                  <w:color w:val="0000FF"/>
                </w:rPr>
                <w:t>2017, Commission File No. 333-179121).</w:t>
              </w:r>
            </w:hyperlink>
          </w:p>
        </w:tc>
      </w:tr>
      <w:tr>
        <w:trPr>
          <w:trHeight w:val="20"/>
        </w:trPr>
        <w:tc>
          <w:tcPr>
            <w:tcW w:w="13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1"/>
        </w:trPr>
        <w:tc>
          <w:tcPr>
            <w:tcW w:w="480" w:type="dxa"/>
            <w:vAlign w:val="bottom"/>
          </w:tcPr>
          <w:p>
            <w:pPr>
              <w:spacing w:after="0"/>
              <w:rPr>
                <w:sz w:val="24"/>
                <w:szCs w:val="24"/>
                <w:color w:val="auto"/>
              </w:rPr>
            </w:pPr>
          </w:p>
        </w:tc>
        <w:tc>
          <w:tcPr>
            <w:tcW w:w="900" w:type="dxa"/>
            <w:vAlign w:val="bottom"/>
            <w:gridSpan w:val="2"/>
          </w:tcPr>
          <w:p>
            <w:pPr>
              <w:jc w:val="right"/>
              <w:ind w:right="480"/>
              <w:spacing w:after="0"/>
              <w:rPr>
                <w:rFonts w:ascii="Arial" w:cs="Arial" w:eastAsia="Arial" w:hAnsi="Arial"/>
                <w:sz w:val="18"/>
                <w:szCs w:val="18"/>
                <w:color w:val="0000FF"/>
                <w:w w:val="95"/>
              </w:rPr>
            </w:pPr>
            <w:hyperlink r:id="rId39">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21*</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7"/>
          </w:tcPr>
          <w:p>
            <w:pPr>
              <w:spacing w:after="0"/>
              <w:rPr>
                <w:rFonts w:ascii="Arial" w:cs="Arial" w:eastAsia="Arial" w:hAnsi="Arial"/>
                <w:sz w:val="18"/>
                <w:szCs w:val="18"/>
                <w:color w:val="0000FF"/>
              </w:rPr>
            </w:pPr>
            <w:hyperlink r:id="rId39">
              <w:r>
                <w:rPr>
                  <w:rFonts w:ascii="Arial" w:cs="Arial" w:eastAsia="Arial" w:hAnsi="Arial"/>
                  <w:sz w:val="18"/>
                  <w:szCs w:val="18"/>
                  <w:color w:val="0000FF"/>
                </w:rPr>
                <w:t>Third Supplemental Indenture relating to Hughes Satellite Systems Corporation’s 6½% Senior Secured Notes due</w:t>
              </w:r>
            </w:hyperlink>
          </w:p>
        </w:tc>
      </w:tr>
      <w:tr>
        <w:trPr>
          <w:trHeight w:val="183"/>
        </w:trPr>
        <w:tc>
          <w:tcPr>
            <w:tcW w:w="48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2019, dated March 23, 2017, by and among Hughes Satellite Systems Corporation, the guarantors and the</w:t>
              </w:r>
            </w:hyperlink>
          </w:p>
        </w:tc>
        <w:tc>
          <w:tcPr>
            <w:tcW w:w="560" w:type="dxa"/>
            <w:vAlign w:val="bottom"/>
            <w:tcBorders>
              <w:top w:val="single" w:sz="8" w:color="0000FF"/>
            </w:tcBorders>
            <w:gridSpan w:val="9"/>
          </w:tcPr>
          <w:p>
            <w:pPr>
              <w:spacing w:after="0"/>
              <w:rPr>
                <w:sz w:val="15"/>
                <w:szCs w:val="15"/>
                <w:color w:val="auto"/>
              </w:rPr>
            </w:pPr>
          </w:p>
        </w:tc>
        <w:tc>
          <w:tcPr>
            <w:tcW w:w="380" w:type="dxa"/>
            <w:vAlign w:val="bottom"/>
            <w:gridSpan w:val="12"/>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00" w:type="dxa"/>
            <w:vAlign w:val="bottom"/>
            <w:tcBorders>
              <w:bottom w:val="single" w:sz="8" w:color="0000FF"/>
            </w:tcBorders>
            <w:gridSpan w:val="9"/>
          </w:tcPr>
          <w:p>
            <w:pPr>
              <w:spacing w:after="0" w:line="18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supplemental guarantor listed on the signature pages thereto and Wells Fargo Bank, National Association, as</w:t>
              </w:r>
            </w:hyperlink>
          </w:p>
        </w:tc>
        <w:tc>
          <w:tcPr>
            <w:tcW w:w="740" w:type="dxa"/>
            <w:vAlign w:val="bottom"/>
            <w:gridSpan w:val="18"/>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39">
              <w:r>
                <w:rPr>
                  <w:rFonts w:ascii="Arial" w:cs="Arial" w:eastAsia="Arial" w:hAnsi="Arial"/>
                  <w:sz w:val="18"/>
                  <w:szCs w:val="18"/>
                  <w:color w:val="0000FF"/>
                </w:rPr>
                <w:t>collateral agent and trustee (incorporated by reference to Exhibit 4.21 to Hughes Satellite Systems Corporation’s</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6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Registration Statement on Form S-4, filed April 6, 2017, Commission File No. 333-179121).</w:t>
              </w:r>
            </w:hyperlink>
          </w:p>
        </w:tc>
        <w:tc>
          <w:tcPr>
            <w:tcW w:w="1680" w:type="dxa"/>
            <w:vAlign w:val="bottom"/>
            <w:tcBorders>
              <w:top w:val="single" w:sz="8" w:color="0000FF"/>
            </w:tcBorders>
            <w:gridSpan w:val="10"/>
          </w:tcPr>
          <w:p>
            <w:pPr>
              <w:spacing w:after="0"/>
              <w:rPr>
                <w:sz w:val="15"/>
                <w:szCs w:val="15"/>
                <w:color w:val="auto"/>
              </w:rPr>
            </w:pPr>
          </w:p>
        </w:tc>
        <w:tc>
          <w:tcPr>
            <w:tcW w:w="500" w:type="dxa"/>
            <w:vAlign w:val="bottom"/>
            <w:gridSpan w:val="13"/>
          </w:tcPr>
          <w:p>
            <w:pPr>
              <w:spacing w:after="0"/>
              <w:rPr>
                <w:sz w:val="15"/>
                <w:szCs w:val="15"/>
                <w:color w:val="auto"/>
              </w:rPr>
            </w:pPr>
          </w:p>
        </w:tc>
      </w:tr>
      <w:tr>
        <w:trPr>
          <w:trHeight w:val="561"/>
        </w:trPr>
        <w:tc>
          <w:tcPr>
            <w:tcW w:w="480" w:type="dxa"/>
            <w:vAlign w:val="bottom"/>
          </w:tcPr>
          <w:p>
            <w:pPr>
              <w:spacing w:after="0"/>
              <w:rPr>
                <w:sz w:val="24"/>
                <w:szCs w:val="24"/>
                <w:color w:val="auto"/>
              </w:rPr>
            </w:pPr>
          </w:p>
        </w:tc>
        <w:tc>
          <w:tcPr>
            <w:tcW w:w="900" w:type="dxa"/>
            <w:vAlign w:val="bottom"/>
            <w:gridSpan w:val="2"/>
          </w:tcPr>
          <w:p>
            <w:pPr>
              <w:jc w:val="right"/>
              <w:ind w:right="480"/>
              <w:spacing w:after="0"/>
              <w:rPr>
                <w:rFonts w:ascii="Arial" w:cs="Arial" w:eastAsia="Arial" w:hAnsi="Arial"/>
                <w:sz w:val="18"/>
                <w:szCs w:val="18"/>
                <w:color w:val="0000FF"/>
                <w:w w:val="95"/>
              </w:rPr>
            </w:pPr>
            <w:hyperlink r:id="rId40">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22*</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7"/>
          </w:tcPr>
          <w:p>
            <w:pPr>
              <w:spacing w:after="0"/>
              <w:rPr>
                <w:rFonts w:ascii="Arial" w:cs="Arial" w:eastAsia="Arial" w:hAnsi="Arial"/>
                <w:sz w:val="18"/>
                <w:szCs w:val="18"/>
                <w:color w:val="0000FF"/>
              </w:rPr>
            </w:pPr>
            <w:hyperlink r:id="rId40">
              <w:r>
                <w:rPr>
                  <w:rFonts w:ascii="Arial" w:cs="Arial" w:eastAsia="Arial" w:hAnsi="Arial"/>
                  <w:sz w:val="18"/>
                  <w:szCs w:val="18"/>
                  <w:color w:val="0000FF"/>
                </w:rPr>
                <w:t>Third Supplemental Indenture relating to Hughes Satellite Systems Corporation’s 7⅝% Senior Notes due 2021, dated</w:t>
              </w:r>
            </w:hyperlink>
          </w:p>
        </w:tc>
      </w:tr>
      <w:tr>
        <w:trPr>
          <w:trHeight w:val="183"/>
        </w:trPr>
        <w:tc>
          <w:tcPr>
            <w:tcW w:w="48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March 23, 2017, by and among Hughes Satellite Systems Corporation, the guarantors and the supplemental</w:t>
              </w:r>
            </w:hyperlink>
          </w:p>
        </w:tc>
        <w:tc>
          <w:tcPr>
            <w:tcW w:w="720" w:type="dxa"/>
            <w:vAlign w:val="bottom"/>
            <w:tcBorders>
              <w:top w:val="single" w:sz="8" w:color="0000FF"/>
            </w:tcBorders>
            <w:gridSpan w:val="17"/>
          </w:tcPr>
          <w:p>
            <w:pPr>
              <w:spacing w:after="0"/>
              <w:rPr>
                <w:sz w:val="15"/>
                <w:szCs w:val="15"/>
                <w:color w:val="auto"/>
              </w:rPr>
            </w:pPr>
          </w:p>
        </w:tc>
        <w:tc>
          <w:tcPr>
            <w:tcW w:w="100" w:type="dxa"/>
            <w:vAlign w:val="bottom"/>
            <w:gridSpan w:val="3"/>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40">
              <w:r>
                <w:rPr>
                  <w:rFonts w:ascii="Arial" w:cs="Arial" w:eastAsia="Arial" w:hAnsi="Arial"/>
                  <w:sz w:val="18"/>
                  <w:szCs w:val="18"/>
                  <w:color w:val="0000FF"/>
                </w:rPr>
                <w:t>guarantor listed on the signature pages thereto and Wells Fargo Bank, National Association, as trustee (incorporated</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9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40">
              <w:r>
                <w:rPr>
                  <w:rFonts w:ascii="Arial" w:cs="Arial" w:eastAsia="Arial" w:hAnsi="Arial"/>
                  <w:sz w:val="18"/>
                  <w:szCs w:val="18"/>
                  <w:color w:val="0000FF"/>
                </w:rPr>
                <w:t>by reference to Exhibit 4.22 to Hughes Satellite Systems Corporation’s Registration Statement on Form S-4, filed April</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top w:val="single" w:sz="8" w:color="0000FF"/>
            </w:tcBorders>
            <w:gridSpan w:val="26"/>
          </w:tcPr>
          <w:p>
            <w:pPr>
              <w:spacing w:after="0" w:line="182" w:lineRule="exact"/>
              <w:rPr>
                <w:rFonts w:ascii="Arial" w:cs="Arial" w:eastAsia="Arial" w:hAnsi="Arial"/>
                <w:sz w:val="18"/>
                <w:szCs w:val="18"/>
                <w:color w:val="0000FF"/>
              </w:rPr>
            </w:pPr>
            <w:hyperlink r:id="rId40">
              <w:r>
                <w:rPr>
                  <w:rFonts w:ascii="Arial" w:cs="Arial" w:eastAsia="Arial" w:hAnsi="Arial"/>
                  <w:sz w:val="18"/>
                  <w:szCs w:val="18"/>
                  <w:color w:val="0000FF"/>
                </w:rPr>
                <w:t>6, 2017, Commission File No. 333-179121).</w:t>
              </w:r>
            </w:hyperlink>
          </w:p>
        </w:tc>
        <w:tc>
          <w:tcPr>
            <w:tcW w:w="60" w:type="dxa"/>
            <w:vAlign w:val="bottom"/>
          </w:tcPr>
          <w:p>
            <w:pPr>
              <w:spacing w:after="0"/>
              <w:rPr>
                <w:sz w:val="15"/>
                <w:szCs w:val="15"/>
                <w:color w:val="auto"/>
              </w:rPr>
            </w:pPr>
          </w:p>
        </w:tc>
      </w:tr>
      <w:tr>
        <w:trPr>
          <w:trHeight w:val="20"/>
        </w:trPr>
        <w:tc>
          <w:tcPr>
            <w:tcW w:w="13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763"/>
        </w:trPr>
        <w:tc>
          <w:tcPr>
            <w:tcW w:w="480" w:type="dxa"/>
            <w:vAlign w:val="bottom"/>
          </w:tcPr>
          <w:p>
            <w:pPr>
              <w:spacing w:after="0"/>
              <w:rPr>
                <w:sz w:val="24"/>
                <w:szCs w:val="24"/>
                <w:color w:val="auto"/>
              </w:rPr>
            </w:pPr>
          </w:p>
        </w:tc>
        <w:tc>
          <w:tcPr>
            <w:tcW w:w="900" w:type="dxa"/>
            <w:vAlign w:val="bottom"/>
            <w:gridSpan w:val="2"/>
          </w:tcPr>
          <w:p>
            <w:pPr>
              <w:jc w:val="right"/>
              <w:ind w:right="480"/>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23*</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7"/>
          </w:tcPr>
          <w:p>
            <w:pPr>
              <w:spacing w:after="0"/>
              <w:rPr>
                <w:rFonts w:ascii="Arial" w:cs="Arial" w:eastAsia="Arial" w:hAnsi="Arial"/>
                <w:sz w:val="18"/>
                <w:szCs w:val="18"/>
                <w:color w:val="0000FF"/>
              </w:rPr>
            </w:pPr>
            <w:hyperlink r:id="rId41">
              <w:r>
                <w:rPr>
                  <w:rFonts w:ascii="Arial" w:cs="Arial" w:eastAsia="Arial" w:hAnsi="Arial"/>
                  <w:sz w:val="18"/>
                  <w:szCs w:val="18"/>
                  <w:color w:val="0000FF"/>
                </w:rPr>
                <w:t>Joinder Agreement, dated as of August 10, 2017, to the Security Agreement dated as of June 8, 2011, by and</w:t>
              </w:r>
            </w:hyperlink>
          </w:p>
        </w:tc>
      </w:tr>
      <w:tr>
        <w:trPr>
          <w:trHeight w:val="20"/>
        </w:trPr>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56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2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between HNS Americas, L.L.C., HNS Americas II, L.L.C. and Wells Fargo Bank, National Association, as collateral</w:t>
              </w:r>
            </w:hyperlink>
          </w:p>
        </w:tc>
        <w:tc>
          <w:tcPr>
            <w:tcW w:w="320" w:type="dxa"/>
            <w:vAlign w:val="bottom"/>
            <w:gridSpan w:val="9"/>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41">
              <w:r>
                <w:rPr>
                  <w:rFonts w:ascii="Arial" w:cs="Arial" w:eastAsia="Arial" w:hAnsi="Arial"/>
                  <w:sz w:val="18"/>
                  <w:szCs w:val="18"/>
                  <w:color w:val="0000FF"/>
                </w:rPr>
                <w:t>agent (incorporated by reference to Exhibit 4.23 to Hughes Satellite Systems Corporation’s Annual Report</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564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8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on Form 10-K for the year ended December 31, 2017, filed February 22, 2018, Commission File No. 333-179121).</w:t>
              </w:r>
            </w:hyperlink>
          </w:p>
        </w:tc>
        <w:tc>
          <w:tcPr>
            <w:tcW w:w="360" w:type="dxa"/>
            <w:vAlign w:val="bottom"/>
            <w:gridSpan w:val="11"/>
          </w:tcPr>
          <w:p>
            <w:pPr>
              <w:spacing w:after="0"/>
              <w:rPr>
                <w:sz w:val="15"/>
                <w:szCs w:val="15"/>
                <w:color w:val="auto"/>
              </w:rPr>
            </w:pPr>
          </w:p>
        </w:tc>
      </w:tr>
      <w:tr>
        <w:trPr>
          <w:trHeight w:val="561"/>
        </w:trPr>
        <w:tc>
          <w:tcPr>
            <w:tcW w:w="480" w:type="dxa"/>
            <w:vAlign w:val="bottom"/>
          </w:tcPr>
          <w:p>
            <w:pPr>
              <w:spacing w:after="0"/>
              <w:rPr>
                <w:sz w:val="24"/>
                <w:szCs w:val="24"/>
                <w:color w:val="auto"/>
              </w:rPr>
            </w:pPr>
          </w:p>
        </w:tc>
        <w:tc>
          <w:tcPr>
            <w:tcW w:w="900" w:type="dxa"/>
            <w:vAlign w:val="bottom"/>
            <w:gridSpan w:val="2"/>
          </w:tcPr>
          <w:p>
            <w:pPr>
              <w:jc w:val="right"/>
              <w:ind w:right="480"/>
              <w:spacing w:after="0"/>
              <w:rPr>
                <w:rFonts w:ascii="Arial" w:cs="Arial" w:eastAsia="Arial" w:hAnsi="Arial"/>
                <w:sz w:val="18"/>
                <w:szCs w:val="18"/>
                <w:color w:val="0000FF"/>
                <w:w w:val="95"/>
              </w:rPr>
            </w:pPr>
            <w:hyperlink r:id="rId42">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24*</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7"/>
          </w:tcPr>
          <w:p>
            <w:pPr>
              <w:spacing w:after="0"/>
              <w:rPr>
                <w:rFonts w:ascii="Arial" w:cs="Arial" w:eastAsia="Arial" w:hAnsi="Arial"/>
                <w:sz w:val="18"/>
                <w:szCs w:val="18"/>
                <w:color w:val="0000FF"/>
              </w:rPr>
            </w:pPr>
            <w:hyperlink r:id="rId42">
              <w:r>
                <w:rPr>
                  <w:rFonts w:ascii="Arial" w:cs="Arial" w:eastAsia="Arial" w:hAnsi="Arial"/>
                  <w:sz w:val="18"/>
                  <w:szCs w:val="18"/>
                  <w:color w:val="0000FF"/>
                </w:rPr>
                <w:t>Second Supplemental Indenture relating to Hughes Satellite Systems Corporation’s 5.250% Senior Secured Notes</w:t>
              </w:r>
            </w:hyperlink>
          </w:p>
        </w:tc>
      </w:tr>
      <w:tr>
        <w:trPr>
          <w:trHeight w:val="183"/>
        </w:trPr>
        <w:tc>
          <w:tcPr>
            <w:tcW w:w="48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0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42">
              <w:r>
                <w:rPr>
                  <w:rFonts w:ascii="Arial" w:cs="Arial" w:eastAsia="Arial" w:hAnsi="Arial"/>
                  <w:sz w:val="18"/>
                  <w:szCs w:val="18"/>
                  <w:color w:val="0000FF"/>
                </w:rPr>
                <w:t>due 2026, dated August 10, 2017, by and among Hughes Satellite Systems Corporation, the guarantors and the</w:t>
              </w:r>
            </w:hyperlink>
          </w:p>
        </w:tc>
        <w:tc>
          <w:tcPr>
            <w:tcW w:w="340" w:type="dxa"/>
            <w:vAlign w:val="bottom"/>
            <w:gridSpan w:val="10"/>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572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42">
              <w:r>
                <w:rPr>
                  <w:rFonts w:ascii="Arial" w:cs="Arial" w:eastAsia="Arial" w:hAnsi="Arial"/>
                  <w:sz w:val="18"/>
                  <w:szCs w:val="18"/>
                  <w:color w:val="0000FF"/>
                </w:rPr>
                <w:t>supplemental guarantor listed on the signature pages thereto, U.S. Bank National Association, as trustee, and Wells</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Fargo Bank, National Association, as collateral agent (incorporated by reference to Exhibit 4.24 to Hughes Satellite</w:t>
              </w:r>
            </w:hyperlink>
          </w:p>
        </w:tc>
        <w:tc>
          <w:tcPr>
            <w:tcW w:w="80" w:type="dxa"/>
            <w:vAlign w:val="bottom"/>
            <w:tcBorders>
              <w:top w:val="single" w:sz="8" w:color="0000FF"/>
            </w:tcBorders>
          </w:tcPr>
          <w:p>
            <w:pPr>
              <w:spacing w:after="0"/>
              <w:rPr>
                <w:sz w:val="15"/>
                <w:szCs w:val="15"/>
                <w:color w:val="auto"/>
              </w:rPr>
            </w:pPr>
          </w:p>
        </w:tc>
        <w:tc>
          <w:tcPr>
            <w:tcW w:w="220" w:type="dxa"/>
            <w:vAlign w:val="bottom"/>
            <w:gridSpan w:val="7"/>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7"/>
          </w:tcPr>
          <w:p>
            <w:pPr>
              <w:spacing w:after="0" w:line="182" w:lineRule="exact"/>
              <w:rPr>
                <w:rFonts w:ascii="Arial" w:cs="Arial" w:eastAsia="Arial" w:hAnsi="Arial"/>
                <w:sz w:val="18"/>
                <w:szCs w:val="18"/>
                <w:color w:val="0000FF"/>
              </w:rPr>
            </w:pPr>
            <w:hyperlink r:id="rId42">
              <w:r>
                <w:rPr>
                  <w:rFonts w:ascii="Arial" w:cs="Arial" w:eastAsia="Arial" w:hAnsi="Arial"/>
                  <w:sz w:val="18"/>
                  <w:szCs w:val="18"/>
                  <w:color w:val="0000FF"/>
                </w:rPr>
                <w:t>Systems Corporation’s Annual Report on Form 10-K for the year ended December 31, 2017, filed February 22, 2018,</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42">
              <w:r>
                <w:rPr>
                  <w:rFonts w:ascii="Arial" w:cs="Arial" w:eastAsia="Arial" w:hAnsi="Arial"/>
                  <w:sz w:val="18"/>
                  <w:szCs w:val="18"/>
                  <w:color w:val="0000FF"/>
                </w:rPr>
                <w:t>Commission File No. 333-179121).</w:t>
              </w:r>
            </w:hyperlink>
          </w:p>
        </w:tc>
        <w:tc>
          <w:tcPr>
            <w:tcW w:w="140" w:type="dxa"/>
            <w:vAlign w:val="bottom"/>
            <w:gridSpan w:val="5"/>
          </w:tcPr>
          <w:p>
            <w:pPr>
              <w:spacing w:after="0"/>
              <w:rPr>
                <w:sz w:val="15"/>
                <w:szCs w:val="15"/>
                <w:color w:val="auto"/>
              </w:rPr>
            </w:pPr>
          </w:p>
        </w:tc>
      </w:tr>
      <w:tr>
        <w:trPr>
          <w:trHeight w:val="20"/>
        </w:trPr>
        <w:tc>
          <w:tcPr>
            <w:tcW w:w="13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1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561"/>
        </w:trPr>
        <w:tc>
          <w:tcPr>
            <w:tcW w:w="480" w:type="dxa"/>
            <w:vAlign w:val="bottom"/>
          </w:tcPr>
          <w:p>
            <w:pPr>
              <w:spacing w:after="0"/>
              <w:rPr>
                <w:sz w:val="24"/>
                <w:szCs w:val="24"/>
                <w:color w:val="auto"/>
              </w:rPr>
            </w:pPr>
          </w:p>
        </w:tc>
        <w:tc>
          <w:tcPr>
            <w:tcW w:w="900" w:type="dxa"/>
            <w:vAlign w:val="bottom"/>
            <w:gridSpan w:val="2"/>
          </w:tcPr>
          <w:p>
            <w:pPr>
              <w:jc w:val="right"/>
              <w:ind w:right="480"/>
              <w:spacing w:after="0"/>
              <w:rPr>
                <w:rFonts w:ascii="Arial" w:cs="Arial" w:eastAsia="Arial" w:hAnsi="Arial"/>
                <w:sz w:val="18"/>
                <w:szCs w:val="18"/>
                <w:color w:val="0000FF"/>
                <w:w w:val="95"/>
              </w:rPr>
            </w:pPr>
            <w:hyperlink r:id="rId43">
              <w:r>
                <w:rPr>
                  <w:rFonts w:ascii="Arial" w:cs="Arial" w:eastAsia="Arial" w:hAnsi="Arial"/>
                  <w:sz w:val="18"/>
                  <w:szCs w:val="18"/>
                  <w:color w:val="0000FF"/>
                  <w:w w:val="95"/>
                </w:rPr>
                <w:t>4.</w:t>
              </w:r>
              <w:r>
                <w:rPr>
                  <w:rFonts w:ascii="Arial" w:cs="Arial" w:eastAsia="Arial" w:hAnsi="Arial"/>
                  <w:sz w:val="18"/>
                  <w:szCs w:val="18"/>
                  <w:u w:val="single" w:color="auto"/>
                  <w:color w:val="0000FF"/>
                  <w:w w:val="95"/>
                </w:rPr>
                <w:t>25*</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7"/>
          </w:tcPr>
          <w:p>
            <w:pPr>
              <w:spacing w:after="0"/>
              <w:rPr>
                <w:rFonts w:ascii="Arial" w:cs="Arial" w:eastAsia="Arial" w:hAnsi="Arial"/>
                <w:sz w:val="18"/>
                <w:szCs w:val="18"/>
                <w:color w:val="0000FF"/>
              </w:rPr>
            </w:pPr>
            <w:hyperlink r:id="rId43">
              <w:r>
                <w:rPr>
                  <w:rFonts w:ascii="Arial" w:cs="Arial" w:eastAsia="Arial" w:hAnsi="Arial"/>
                  <w:sz w:val="18"/>
                  <w:szCs w:val="18"/>
                  <w:color w:val="0000FF"/>
                </w:rPr>
                <w:t>Second Supplemental Indenture relating to Hughes Satellite Systems Corporation’s 6.625% Senior Notes due 2026,</w:t>
              </w:r>
            </w:hyperlink>
          </w:p>
        </w:tc>
      </w:tr>
      <w:tr>
        <w:trPr>
          <w:trHeight w:val="183"/>
        </w:trPr>
        <w:tc>
          <w:tcPr>
            <w:tcW w:w="48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dated as of August 10, 2017, by and among Hughes Satellite Systems Corporation, the guarantors and the</w:t>
              </w:r>
            </w:hyperlink>
          </w:p>
        </w:tc>
        <w:tc>
          <w:tcPr>
            <w:tcW w:w="780" w:type="dxa"/>
            <w:vAlign w:val="bottom"/>
            <w:tcBorders>
              <w:top w:val="single" w:sz="8" w:color="0000FF"/>
            </w:tcBorders>
            <w:gridSpan w:val="15"/>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4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43">
              <w:r>
                <w:rPr>
                  <w:rFonts w:ascii="Arial" w:cs="Arial" w:eastAsia="Arial" w:hAnsi="Arial"/>
                  <w:sz w:val="18"/>
                  <w:szCs w:val="18"/>
                  <w:color w:val="0000FF"/>
                  <w:w w:val="99"/>
                </w:rPr>
                <w:t>supplemental guarantor listed on the signature pages thereto and U.S. Bank National Association, as trustee</w:t>
              </w:r>
            </w:hyperlink>
          </w:p>
        </w:tc>
        <w:tc>
          <w:tcPr>
            <w:tcW w:w="800" w:type="dxa"/>
            <w:vAlign w:val="bottom"/>
            <w:gridSpan w:val="19"/>
          </w:tcPr>
          <w:p>
            <w:pPr>
              <w:spacing w:after="0"/>
              <w:rPr>
                <w:sz w:val="15"/>
                <w:szCs w:val="15"/>
                <w:color w:val="auto"/>
              </w:rPr>
            </w:pPr>
          </w:p>
        </w:tc>
      </w:tr>
    </w:tbl>
    <w:p>
      <w:pPr>
        <w:spacing w:after="0" w:line="13" w:lineRule="exact"/>
        <w:rPr>
          <w:sz w:val="20"/>
          <w:szCs w:val="20"/>
          <w:color w:val="auto"/>
        </w:rPr>
      </w:pPr>
    </w:p>
    <w:p>
      <w:pPr>
        <w:ind w:left="1980" w:right="100"/>
        <w:spacing w:after="0" w:line="246" w:lineRule="auto"/>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(incorporated by reference to Exhibit 4.25 to Hughes Satellite Systems Corporation’s Annual Report on Form 10-K for</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the year ended December 31, 2017, filed February 22, 2018, Commission File No. 333-179121).</w:t>
        </w:r>
      </w:hyperlink>
    </w:p>
    <w:p>
      <w:pPr>
        <w:sectPr>
          <w:pgSz w:w="11900" w:h="16838" w:orient="portrait"/>
          <w:cols w:equalWidth="0" w:num="1">
            <w:col w:w="11420"/>
          </w:cols>
          <w:pgMar w:left="240" w:top="140" w:right="239" w:bottom="1440" w:gutter="0" w:footer="0" w:header="0"/>
        </w:sectPr>
      </w:pPr>
    </w:p>
    <w:p>
      <w:pPr>
        <w:spacing w:after="0" w:line="359" w:lineRule="exact"/>
        <w:rPr>
          <w:sz w:val="20"/>
          <w:szCs w:val="20"/>
          <w:color w:val="auto"/>
        </w:rPr>
      </w:pPr>
    </w:p>
    <w:p>
      <w:pPr>
        <w:ind w:left="480"/>
        <w:spacing w:after="0"/>
        <w:rPr>
          <w:rFonts w:ascii="Arial" w:cs="Arial" w:eastAsia="Arial" w:hAnsi="Arial"/>
          <w:sz w:val="17"/>
          <w:szCs w:val="17"/>
          <w:u w:val="single" w:color="auto"/>
          <w:color w:val="0000FF"/>
        </w:rPr>
      </w:pPr>
      <w:hyperlink r:id="rId44">
        <w:r>
          <w:rPr>
            <w:rFonts w:ascii="Arial" w:cs="Arial" w:eastAsia="Arial" w:hAnsi="Arial"/>
            <w:sz w:val="17"/>
            <w:szCs w:val="17"/>
            <w:u w:val="single" w:color="auto"/>
            <w:color w:val="0000FF"/>
          </w:rPr>
          <w:t>4.26*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0"/>
        <w:spacing w:after="0"/>
        <w:rPr>
          <w:rFonts w:ascii="Arial" w:cs="Arial" w:eastAsia="Arial" w:hAnsi="Arial"/>
          <w:sz w:val="17"/>
          <w:szCs w:val="17"/>
          <w:u w:val="single" w:color="auto"/>
          <w:color w:val="0000FF"/>
        </w:rPr>
      </w:pPr>
      <w:hyperlink r:id="rId45">
        <w:r>
          <w:rPr>
            <w:rFonts w:ascii="Arial" w:cs="Arial" w:eastAsia="Arial" w:hAnsi="Arial"/>
            <w:sz w:val="17"/>
            <w:szCs w:val="17"/>
            <w:u w:val="single" w:color="auto"/>
            <w:color w:val="0000FF"/>
          </w:rPr>
          <w:t>4.27*</w:t>
        </w:r>
      </w:hyperlink>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ind w:right="280"/>
        <w:spacing w:after="0" w:line="237" w:lineRule="auto"/>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Fourth Supplemental Indenture relating to Hughes Satellite Systems Corporation’s 6½% Senior Secured Notes due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2019, dated August 10, 2017, by and among Hughes Satellite Systems Corporation, the guarantors and the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supplemental guarantor listed on the signature pages thereto and Wells Fargo Bank, National Association, as</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collateral agent and trustee (incorporated by reference to Exhibit 4.26 to Hughes Satellite Systems Corporation’s</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Annual Report on Form 10-K for the year ended December 31, 2017, filed February 22, 2018, Commission File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No. 333-179121).</w:t>
        </w:r>
      </w:hyperlink>
    </w:p>
    <w:p>
      <w:pPr>
        <w:spacing w:after="0" w:line="394" w:lineRule="exact"/>
        <w:rPr>
          <w:rFonts w:ascii="Arial" w:cs="Arial" w:eastAsia="Arial" w:hAnsi="Arial"/>
          <w:sz w:val="18"/>
          <w:szCs w:val="18"/>
          <w:u w:val="single" w:color="auto"/>
          <w:color w:val="0000FF"/>
        </w:rPr>
      </w:pPr>
    </w:p>
    <w:p>
      <w:pPr>
        <w:ind w:right="160"/>
        <w:spacing w:after="0" w:line="238" w:lineRule="auto"/>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Fourth Supplemental Indenture relating to Hughes Satellite Systems Corporation’s 7⅝% Senior Notes due 2021,</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dated August 10, 2017, by and among Hughes Satellite Systems Corporation, the guarantors and the supplemental</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guarantor listed on the signature pages thereto and Wells Fargo Bank, National Association, as trustee (incorporated</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by reference to Exhibit 4.27 to Hughes Satellite Systems Corporation’s Annual Report on Form 10-K for the year</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ended December 31, 2017, filed February 22, 2018, Commission File No. 333-179121).</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1260" w:space="720"/>
            <w:col w:w="9440"/>
          </w:cols>
          <w:pgMar w:left="240" w:top="140" w:right="239" w:bottom="1440" w:gutter="0" w:footer="0" w:header="0"/>
          <w:type w:val="continuous"/>
        </w:sectPr>
      </w:pPr>
    </w:p>
    <w:p>
      <w:pPr>
        <w:spacing w:after="0" w:line="84"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40"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20" w:type="dxa"/>
            <w:vAlign w:val="bottom"/>
            <w:gridSpan w:val="20"/>
          </w:tcPr>
          <w:p>
            <w:pPr>
              <w:ind w:left="200"/>
              <w:spacing w:after="0"/>
              <w:rPr>
                <w:sz w:val="20"/>
                <w:szCs w:val="20"/>
                <w:color w:val="auto"/>
              </w:rPr>
            </w:pPr>
            <w:r>
              <w:rPr>
                <w:rFonts w:ascii="Arial" w:cs="Arial" w:eastAsia="Arial" w:hAnsi="Arial"/>
                <w:sz w:val="14"/>
                <w:szCs w:val="14"/>
                <w:b w:val="1"/>
                <w:bCs w:val="1"/>
                <w:color w:val="auto"/>
              </w:rPr>
              <w:t>Description</w:t>
            </w:r>
          </w:p>
        </w:tc>
      </w:tr>
      <w:tr>
        <w:trPr>
          <w:trHeight w:val="526"/>
        </w:trPr>
        <w:tc>
          <w:tcPr>
            <w:tcW w:w="900" w:type="dxa"/>
            <w:vAlign w:val="bottom"/>
            <w:tcBorders>
              <w:top w:val="single" w:sz="8" w:color="auto"/>
            </w:tcBorders>
            <w:gridSpan w:val="2"/>
          </w:tcPr>
          <w:p>
            <w:pPr>
              <w:jc w:val="center"/>
              <w:ind w:left="394"/>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hyperlink>
          </w:p>
        </w:tc>
        <w:tc>
          <w:tcPr>
            <w:tcW w:w="48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24"/>
          </w:tcPr>
          <w:p>
            <w:pPr>
              <w:spacing w:after="0"/>
              <w:rPr>
                <w:rFonts w:ascii="Arial" w:cs="Arial" w:eastAsia="Arial" w:hAnsi="Arial"/>
                <w:sz w:val="18"/>
                <w:szCs w:val="18"/>
                <w:color w:val="0000FF"/>
              </w:rPr>
            </w:pPr>
            <w:hyperlink r:id="rId46">
              <w:r>
                <w:rPr>
                  <w:rFonts w:ascii="Arial" w:cs="Arial" w:eastAsia="Arial" w:hAnsi="Arial"/>
                  <w:sz w:val="18"/>
                  <w:szCs w:val="18"/>
                  <w:color w:val="0000FF"/>
                </w:rPr>
                <w:t>Form of Tax Sharing Agreement between EchoStar Corporation and DISH Network Corporation (incorporated by</w:t>
              </w:r>
            </w:hyperlink>
          </w:p>
        </w:tc>
      </w:tr>
      <w:tr>
        <w:trPr>
          <w:trHeight w:val="209"/>
        </w:trPr>
        <w:tc>
          <w:tcPr>
            <w:tcW w:w="48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40" w:type="dxa"/>
            <w:vAlign w:val="bottom"/>
            <w:gridSpan w:val="24"/>
          </w:tcPr>
          <w:p>
            <w:pPr>
              <w:spacing w:after="0"/>
              <w:rPr>
                <w:rFonts w:ascii="Arial" w:cs="Arial" w:eastAsia="Arial" w:hAnsi="Arial"/>
                <w:sz w:val="18"/>
                <w:szCs w:val="18"/>
                <w:color w:val="0000FF"/>
              </w:rPr>
            </w:pPr>
            <w:hyperlink r:id="rId46">
              <w:r>
                <w:rPr>
                  <w:rFonts w:ascii="Arial" w:cs="Arial" w:eastAsia="Arial" w:hAnsi="Arial"/>
                  <w:sz w:val="18"/>
                  <w:szCs w:val="18"/>
                  <w:color w:val="0000FF"/>
                </w:rPr>
                <w:t>reference to Exhibit 10.2 to Amendment No. 1 of EchoStar Corporation’s Form 10, filed December 12, 2007,</w:t>
              </w:r>
            </w:hyperlink>
          </w:p>
        </w:tc>
      </w:tr>
      <w:tr>
        <w:trPr>
          <w:trHeight w:val="217"/>
        </w:trPr>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40" w:type="dxa"/>
            <w:vAlign w:val="bottom"/>
            <w:gridSpan w:val="24"/>
          </w:tcPr>
          <w:p>
            <w:pPr>
              <w:spacing w:after="0"/>
              <w:rPr>
                <w:rFonts w:ascii="Arial" w:cs="Arial" w:eastAsia="Arial" w:hAnsi="Arial"/>
                <w:sz w:val="18"/>
                <w:szCs w:val="18"/>
                <w:color w:val="0000FF"/>
              </w:rPr>
            </w:pPr>
            <w:hyperlink r:id="rId46">
              <w:r>
                <w:rPr>
                  <w:rFonts w:ascii="Arial" w:cs="Arial" w:eastAsia="Arial" w:hAnsi="Arial"/>
                  <w:sz w:val="18"/>
                  <w:szCs w:val="18"/>
                  <w:color w:val="0000FF"/>
                </w:rPr>
                <w:t>Commission File No. 001-33807).</w:t>
              </w:r>
            </w:hyperlink>
          </w:p>
        </w:tc>
      </w:tr>
      <w:tr>
        <w:trPr>
          <w:trHeight w:val="540"/>
        </w:trPr>
        <w:tc>
          <w:tcPr>
            <w:tcW w:w="48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4"/>
          </w:tcPr>
          <w:p>
            <w:pPr>
              <w:spacing w:after="0"/>
              <w:rPr>
                <w:rFonts w:ascii="Arial" w:cs="Arial" w:eastAsia="Arial" w:hAnsi="Arial"/>
                <w:sz w:val="18"/>
                <w:szCs w:val="18"/>
                <w:color w:val="0000FF"/>
              </w:rPr>
            </w:pPr>
            <w:hyperlink r:id="rId47">
              <w:r>
                <w:rPr>
                  <w:rFonts w:ascii="Arial" w:cs="Arial" w:eastAsia="Arial" w:hAnsi="Arial"/>
                  <w:sz w:val="18"/>
                  <w:szCs w:val="18"/>
                  <w:color w:val="0000FF"/>
                </w:rPr>
                <w:t>Form of EchoStar Corporation 2008 Class B CEO Stock Option Plan (incorporated by reference to Exhibit 10.25 to</w:t>
              </w:r>
            </w:hyperlink>
          </w:p>
        </w:tc>
      </w:tr>
      <w:tr>
        <w:trPr>
          <w:trHeight w:val="20"/>
        </w:trPr>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Amendment No. 1 of EchoStar Corporation’s Form 10 filed December 12, 2007, Commission File No. 001-33807).**</w:t>
              </w:r>
            </w:hyperlink>
          </w:p>
        </w:tc>
        <w:tc>
          <w:tcPr>
            <w:tcW w:w="200" w:type="dxa"/>
            <w:vAlign w:val="bottom"/>
            <w:gridSpan w:val="3"/>
          </w:tcPr>
          <w:p>
            <w:pPr>
              <w:spacing w:after="0"/>
              <w:rPr>
                <w:sz w:val="15"/>
                <w:szCs w:val="15"/>
                <w:color w:val="auto"/>
              </w:rPr>
            </w:pPr>
          </w:p>
        </w:tc>
      </w:tr>
      <w:tr>
        <w:trPr>
          <w:trHeight w:val="561"/>
        </w:trPr>
        <w:tc>
          <w:tcPr>
            <w:tcW w:w="48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4"/>
          </w:tcPr>
          <w:p>
            <w:pPr>
              <w:spacing w:after="0"/>
              <w:rPr>
                <w:rFonts w:ascii="Arial" w:cs="Arial" w:eastAsia="Arial" w:hAnsi="Arial"/>
                <w:sz w:val="18"/>
                <w:szCs w:val="18"/>
                <w:color w:val="0000FF"/>
              </w:rPr>
            </w:pPr>
            <w:hyperlink r:id="rId48">
              <w:r>
                <w:rPr>
                  <w:rFonts w:ascii="Arial" w:cs="Arial" w:eastAsia="Arial" w:hAnsi="Arial"/>
                  <w:sz w:val="18"/>
                  <w:szCs w:val="18"/>
                  <w:color w:val="0000FF"/>
                </w:rPr>
                <w:t>QuetzSat-1 Satellite Service Agreement, dated November 24, 2008, between SES Latin America S.A. and EchoStar</w:t>
              </w:r>
            </w:hyperlink>
          </w:p>
        </w:tc>
      </w:tr>
      <w:tr>
        <w:trPr>
          <w:trHeight w:val="20"/>
        </w:trPr>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tcBorders>
              <w:bottom w:val="single" w:sz="8" w:color="0000FF"/>
            </w:tcBorders>
            <w:gridSpan w:val="22"/>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77 Corporation, a direct wholly-owned subsidiary of EchoStar Corporation (incorporated by reference to Exhibit 10.24</w:t>
              </w:r>
            </w:hyperlink>
          </w:p>
        </w:tc>
        <w:tc>
          <w:tcPr>
            <w:tcW w:w="120" w:type="dxa"/>
            <w:vAlign w:val="bottom"/>
            <w:gridSpan w:val="2"/>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to EchoStar Corporation’s Annual Report on Form 10-K for the year ended December 31, 2009, filed March 1, 2010,</w:t>
              </w:r>
            </w:hyperlink>
          </w:p>
        </w:tc>
        <w:tc>
          <w:tcPr>
            <w:tcW w:w="200" w:type="dxa"/>
            <w:vAlign w:val="bottom"/>
            <w:gridSpan w:val="3"/>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Commission File No. 001-33807).***</w:t>
              </w:r>
            </w:hyperlink>
          </w:p>
        </w:tc>
        <w:tc>
          <w:tcPr>
            <w:tcW w:w="6540" w:type="dxa"/>
            <w:vAlign w:val="bottom"/>
            <w:gridSpan w:val="22"/>
          </w:tcPr>
          <w:p>
            <w:pPr>
              <w:spacing w:after="0"/>
              <w:rPr>
                <w:sz w:val="15"/>
                <w:szCs w:val="15"/>
                <w:color w:val="auto"/>
              </w:rPr>
            </w:pPr>
          </w:p>
        </w:tc>
      </w:tr>
      <w:tr>
        <w:trPr>
          <w:trHeight w:val="561"/>
        </w:trPr>
        <w:tc>
          <w:tcPr>
            <w:tcW w:w="48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4*</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4"/>
          </w:tcPr>
          <w:p>
            <w:pPr>
              <w:spacing w:after="0"/>
              <w:rPr>
                <w:rFonts w:ascii="Arial" w:cs="Arial" w:eastAsia="Arial" w:hAnsi="Arial"/>
                <w:sz w:val="18"/>
                <w:szCs w:val="18"/>
                <w:color w:val="0000FF"/>
              </w:rPr>
            </w:pPr>
            <w:hyperlink r:id="rId49">
              <w:r>
                <w:rPr>
                  <w:rFonts w:ascii="Arial" w:cs="Arial" w:eastAsia="Arial" w:hAnsi="Arial"/>
                  <w:sz w:val="18"/>
                  <w:szCs w:val="18"/>
                  <w:color w:val="0000FF"/>
                </w:rPr>
                <w:t>QuetzSat-1 Satellite Service Agreement, dated November 24, 2008, between EchoStar 77 Corporation, a direct</w:t>
              </w:r>
            </w:hyperlink>
          </w:p>
        </w:tc>
      </w:tr>
      <w:tr>
        <w:trPr>
          <w:trHeight w:val="183"/>
        </w:trPr>
        <w:tc>
          <w:tcPr>
            <w:tcW w:w="48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2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wholly-owned subsidiary of EchoStar Corporation, and DISH Network L.L.C. (incorporated by reference to</w:t>
              </w:r>
            </w:hyperlink>
          </w:p>
        </w:tc>
        <w:tc>
          <w:tcPr>
            <w:tcW w:w="440" w:type="dxa"/>
            <w:vAlign w:val="bottom"/>
            <w:tcBorders>
              <w:top w:val="single" w:sz="8" w:color="0000FF"/>
            </w:tcBorders>
            <w:gridSpan w:val="3"/>
          </w:tcPr>
          <w:p>
            <w:pPr>
              <w:spacing w:after="0"/>
              <w:rPr>
                <w:sz w:val="15"/>
                <w:szCs w:val="15"/>
                <w:color w:val="auto"/>
              </w:rPr>
            </w:pPr>
          </w:p>
        </w:tc>
        <w:tc>
          <w:tcPr>
            <w:tcW w:w="580" w:type="dxa"/>
            <w:vAlign w:val="bottom"/>
            <w:gridSpan w:val="9"/>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Exhibit 10.25 to EchoStar Corporation’s Annual Report on Form 10-K of EchoStar Corporation for the year ended</w:t>
              </w:r>
            </w:hyperlink>
          </w:p>
        </w:tc>
        <w:tc>
          <w:tcPr>
            <w:tcW w:w="440" w:type="dxa"/>
            <w:vAlign w:val="bottom"/>
            <w:gridSpan w:val="7"/>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4"/>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December 31, 2009, filed March 1, 2010, Commission File No. 001-33807).***</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48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5*</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4"/>
          </w:tcPr>
          <w:p>
            <w:pPr>
              <w:spacing w:after="0"/>
              <w:rPr>
                <w:rFonts w:ascii="Arial" w:cs="Arial" w:eastAsia="Arial" w:hAnsi="Arial"/>
                <w:sz w:val="18"/>
                <w:szCs w:val="18"/>
                <w:color w:val="0000FF"/>
              </w:rPr>
            </w:pPr>
            <w:hyperlink r:id="rId50">
              <w:r>
                <w:rPr>
                  <w:rFonts w:ascii="Arial" w:cs="Arial" w:eastAsia="Arial" w:hAnsi="Arial"/>
                  <w:sz w:val="18"/>
                  <w:szCs w:val="18"/>
                  <w:color w:val="0000FF"/>
                </w:rPr>
                <w:t>Amended and Restated EchoStar Corporation 2008 Stock Incentive Plan (the “2008 Stock Incentive Plan”)</w:t>
              </w:r>
            </w:hyperlink>
          </w:p>
        </w:tc>
      </w:tr>
      <w:tr>
        <w:trPr>
          <w:trHeight w:val="20"/>
        </w:trPr>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4"/>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(incorporated by reference to EchoStar Corporation’s Definitive Proxy Statement on Form 14, filed September 18,</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2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2014, Commission File No. 001-33807).**</w:t>
              </w:r>
            </w:hyperlink>
          </w:p>
        </w:tc>
        <w:tc>
          <w:tcPr>
            <w:tcW w:w="420" w:type="dxa"/>
            <w:vAlign w:val="bottom"/>
            <w:gridSpan w:val="6"/>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48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6*</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4"/>
          </w:tcPr>
          <w:p>
            <w:pPr>
              <w:spacing w:after="0"/>
              <w:rPr>
                <w:rFonts w:ascii="Arial" w:cs="Arial" w:eastAsia="Arial" w:hAnsi="Arial"/>
                <w:sz w:val="18"/>
                <w:szCs w:val="18"/>
                <w:color w:val="0000FF"/>
              </w:rPr>
            </w:pPr>
            <w:hyperlink r:id="rId51">
              <w:r>
                <w:rPr>
                  <w:rFonts w:ascii="Arial" w:cs="Arial" w:eastAsia="Arial" w:hAnsi="Arial"/>
                  <w:sz w:val="18"/>
                  <w:szCs w:val="18"/>
                  <w:color w:val="0000FF"/>
                </w:rPr>
                <w:t>NIMIQ 5 Whole RF Channel Service Agreement, dated September 15, 2009, between Telesat Canada and EchoStar</w:t>
              </w:r>
            </w:hyperlink>
          </w:p>
        </w:tc>
      </w:tr>
      <w:tr>
        <w:trPr>
          <w:trHeight w:val="20"/>
        </w:trPr>
        <w:tc>
          <w:tcPr>
            <w:tcW w:w="4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23"/>
          </w:tcPr>
          <w:p>
            <w:pPr>
              <w:spacing w:after="0" w:line="18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Corporation (incorporated by reference to Exhibit 10.30 to EchoStar Corporation’s Annual Report on Form 10-K for the</w:t>
              </w:r>
            </w:hyperlink>
          </w:p>
        </w:tc>
        <w:tc>
          <w:tcPr>
            <w:tcW w:w="20" w:type="dxa"/>
            <w:vAlign w:val="bottom"/>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6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51">
              <w:r>
                <w:rPr>
                  <w:rFonts w:ascii="Arial" w:cs="Arial" w:eastAsia="Arial" w:hAnsi="Arial"/>
                  <w:sz w:val="18"/>
                  <w:szCs w:val="18"/>
                  <w:color w:val="0000FF"/>
                  <w:w w:val="99"/>
                </w:rPr>
                <w:t>year ended December 31, 2009, filed March 1, 2010, Commission File No. 001-33807).***</w:t>
              </w:r>
            </w:hyperlink>
          </w:p>
        </w:tc>
        <w:tc>
          <w:tcPr>
            <w:tcW w:w="2280" w:type="dxa"/>
            <w:vAlign w:val="bottom"/>
            <w:gridSpan w:val="16"/>
          </w:tcPr>
          <w:p>
            <w:pPr>
              <w:spacing w:after="0"/>
              <w:rPr>
                <w:sz w:val="15"/>
                <w:szCs w:val="15"/>
                <w:color w:val="auto"/>
              </w:rPr>
            </w:pPr>
          </w:p>
        </w:tc>
      </w:tr>
      <w:tr>
        <w:trPr>
          <w:trHeight w:val="561"/>
        </w:trPr>
        <w:tc>
          <w:tcPr>
            <w:tcW w:w="48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color w:val="0000FF"/>
                <w:w w:val="99"/>
              </w:rPr>
            </w:pPr>
            <w:hyperlink r:id="rId52">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7*</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4"/>
          </w:tcPr>
          <w:p>
            <w:pPr>
              <w:spacing w:after="0"/>
              <w:rPr>
                <w:rFonts w:ascii="Arial" w:cs="Arial" w:eastAsia="Arial" w:hAnsi="Arial"/>
                <w:sz w:val="18"/>
                <w:szCs w:val="18"/>
                <w:color w:val="0000FF"/>
              </w:rPr>
            </w:pPr>
            <w:hyperlink r:id="rId52">
              <w:r>
                <w:rPr>
                  <w:rFonts w:ascii="Arial" w:cs="Arial" w:eastAsia="Arial" w:hAnsi="Arial"/>
                  <w:sz w:val="18"/>
                  <w:szCs w:val="18"/>
                  <w:color w:val="0000FF"/>
                </w:rPr>
                <w:t>NIMIQ 5 Whole RF Channel Service Agreement, dated September 15, 2009, between EchoStar Corporation and</w:t>
              </w:r>
            </w:hyperlink>
          </w:p>
        </w:tc>
      </w:tr>
      <w:tr>
        <w:trPr>
          <w:trHeight w:val="183"/>
        </w:trPr>
        <w:tc>
          <w:tcPr>
            <w:tcW w:w="48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52">
              <w:r>
                <w:rPr>
                  <w:rFonts w:ascii="Arial" w:cs="Arial" w:eastAsia="Arial" w:hAnsi="Arial"/>
                  <w:sz w:val="18"/>
                  <w:szCs w:val="18"/>
                  <w:color w:val="0000FF"/>
                </w:rPr>
                <w:t>DISH Network L.L.C. (incorporated by reference to Exhibit 10.31 to EchoStar Corporation’s Annual Report on</w:t>
              </w:r>
            </w:hyperlink>
          </w:p>
        </w:tc>
        <w:tc>
          <w:tcPr>
            <w:tcW w:w="480" w:type="dxa"/>
            <w:vAlign w:val="bottom"/>
            <w:gridSpan w:val="8"/>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52">
              <w:r>
                <w:rPr>
                  <w:rFonts w:ascii="Arial" w:cs="Arial" w:eastAsia="Arial" w:hAnsi="Arial"/>
                  <w:sz w:val="18"/>
                  <w:szCs w:val="18"/>
                  <w:color w:val="0000FF"/>
                </w:rPr>
                <w:t>Form 10-K for the year ended December 31, 2009, Commission File No. 001-33807).***</w:t>
              </w:r>
            </w:hyperlink>
          </w:p>
        </w:tc>
        <w:tc>
          <w:tcPr>
            <w:tcW w:w="760" w:type="dxa"/>
            <w:vAlign w:val="bottom"/>
            <w:gridSpan w:val="10"/>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561"/>
        </w:trPr>
        <w:tc>
          <w:tcPr>
            <w:tcW w:w="48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color w:val="0000FF"/>
                <w:w w:val="99"/>
              </w:rPr>
            </w:pPr>
            <w:hyperlink r:id="rId53">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8*</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4"/>
          </w:tcPr>
          <w:p>
            <w:pPr>
              <w:spacing w:after="0"/>
              <w:rPr>
                <w:rFonts w:ascii="Arial" w:cs="Arial" w:eastAsia="Arial" w:hAnsi="Arial"/>
                <w:sz w:val="18"/>
                <w:szCs w:val="18"/>
                <w:color w:val="0000FF"/>
              </w:rPr>
            </w:pPr>
            <w:hyperlink r:id="rId53">
              <w:r>
                <w:rPr>
                  <w:rFonts w:ascii="Arial" w:cs="Arial" w:eastAsia="Arial" w:hAnsi="Arial"/>
                  <w:sz w:val="18"/>
                  <w:szCs w:val="18"/>
                  <w:color w:val="0000FF"/>
                </w:rPr>
                <w:t>EchoStar XVI Satellite Transponder Service Agreement between EchoStar Satellite Operating Corporation and DISH</w:t>
              </w:r>
            </w:hyperlink>
          </w:p>
        </w:tc>
      </w:tr>
      <w:tr>
        <w:trPr>
          <w:trHeight w:val="183"/>
        </w:trPr>
        <w:tc>
          <w:tcPr>
            <w:tcW w:w="48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53">
              <w:r>
                <w:rPr>
                  <w:rFonts w:ascii="Arial" w:cs="Arial" w:eastAsia="Arial" w:hAnsi="Arial"/>
                  <w:sz w:val="18"/>
                  <w:szCs w:val="18"/>
                  <w:color w:val="0000FF"/>
                </w:rPr>
                <w:t>Network L.L.C., effective December 21, 2009 (incorporated by reference to Exhibit 10.36 to EchoStar Corporation’s</w:t>
              </w:r>
            </w:hyperlink>
          </w:p>
        </w:tc>
        <w:tc>
          <w:tcPr>
            <w:tcW w:w="200" w:type="dxa"/>
            <w:vAlign w:val="bottom"/>
            <w:gridSpan w:val="3"/>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300" w:type="dxa"/>
            <w:vAlign w:val="bottom"/>
            <w:gridSpan w:val="3"/>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4"/>
          </w:tcPr>
          <w:p>
            <w:pPr>
              <w:spacing w:after="0" w:line="182" w:lineRule="exact"/>
              <w:rPr>
                <w:rFonts w:ascii="Arial" w:cs="Arial" w:eastAsia="Arial" w:hAnsi="Arial"/>
                <w:sz w:val="18"/>
                <w:szCs w:val="18"/>
                <w:color w:val="0000FF"/>
              </w:rPr>
            </w:pPr>
            <w:hyperlink r:id="rId53">
              <w:r>
                <w:rPr>
                  <w:rFonts w:ascii="Arial" w:cs="Arial" w:eastAsia="Arial" w:hAnsi="Arial"/>
                  <w:sz w:val="18"/>
                  <w:szCs w:val="18"/>
                  <w:color w:val="0000FF"/>
                </w:rPr>
                <w:t>Annual Report on Form 10-K for the year ended December 31, 2009, filed March 1, 2010, Commission File No. 001-</w:t>
              </w:r>
            </w:hyperlink>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gridSpan w:val="2"/>
          </w:tcPr>
          <w:p>
            <w:pPr>
              <w:ind w:left="20"/>
              <w:spacing w:after="0" w:line="182" w:lineRule="exact"/>
              <w:rPr>
                <w:rFonts w:ascii="Arial" w:cs="Arial" w:eastAsia="Arial" w:hAnsi="Arial"/>
                <w:sz w:val="18"/>
                <w:szCs w:val="18"/>
                <w:color w:val="0000FF"/>
                <w:w w:val="97"/>
              </w:rPr>
            </w:pPr>
            <w:hyperlink r:id="rId53">
              <w:r>
                <w:rPr>
                  <w:rFonts w:ascii="Arial" w:cs="Arial" w:eastAsia="Arial" w:hAnsi="Arial"/>
                  <w:sz w:val="18"/>
                  <w:szCs w:val="18"/>
                  <w:color w:val="0000FF"/>
                  <w:w w:val="97"/>
                </w:rPr>
                <w:t>33807).***</w:t>
              </w:r>
            </w:hyperlink>
          </w:p>
        </w:tc>
        <w:tc>
          <w:tcPr>
            <w:tcW w:w="2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30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561"/>
        </w:trPr>
        <w:tc>
          <w:tcPr>
            <w:tcW w:w="480" w:type="dxa"/>
            <w:vAlign w:val="bottom"/>
          </w:tcPr>
          <w:p>
            <w:pPr>
              <w:spacing w:after="0"/>
              <w:rPr>
                <w:sz w:val="24"/>
                <w:szCs w:val="24"/>
                <w:color w:val="auto"/>
              </w:rPr>
            </w:pPr>
          </w:p>
        </w:tc>
        <w:tc>
          <w:tcPr>
            <w:tcW w:w="420" w:type="dxa"/>
            <w:vAlign w:val="bottom"/>
          </w:tcPr>
          <w:p>
            <w:pPr>
              <w:jc w:val="center"/>
              <w:spacing w:after="0"/>
              <w:rPr>
                <w:rFonts w:ascii="Arial" w:cs="Arial" w:eastAsia="Arial" w:hAnsi="Arial"/>
                <w:sz w:val="18"/>
                <w:szCs w:val="18"/>
                <w:color w:val="0000FF"/>
                <w:w w:val="99"/>
              </w:rPr>
            </w:pPr>
            <w:hyperlink r:id="rId54">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9*</w:t>
              </w:r>
            </w:hyperlink>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4"/>
          </w:tcPr>
          <w:p>
            <w:pPr>
              <w:spacing w:after="0"/>
              <w:rPr>
                <w:rFonts w:ascii="Arial" w:cs="Arial" w:eastAsia="Arial" w:hAnsi="Arial"/>
                <w:sz w:val="18"/>
                <w:szCs w:val="18"/>
                <w:color w:val="0000FF"/>
              </w:rPr>
            </w:pPr>
            <w:hyperlink r:id="rId54">
              <w:r>
                <w:rPr>
                  <w:rFonts w:ascii="Arial" w:cs="Arial" w:eastAsia="Arial" w:hAnsi="Arial"/>
                  <w:sz w:val="18"/>
                  <w:szCs w:val="18"/>
                  <w:color w:val="0000FF"/>
                </w:rPr>
                <w:t>Form of Indemnification Agreement (incorporated by reference to Exhibit 10.1 to the Current Report on Form 8-K of</w:t>
              </w:r>
            </w:hyperlink>
          </w:p>
        </w:tc>
      </w:tr>
      <w:tr>
        <w:trPr>
          <w:trHeight w:val="183"/>
        </w:trPr>
        <w:tc>
          <w:tcPr>
            <w:tcW w:w="48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Hughes Communications, Inc., filed June 22, 2006, (Commission File No. 000-51784)). **</w:t>
              </w:r>
            </w:hyperlink>
          </w:p>
        </w:tc>
        <w:tc>
          <w:tcPr>
            <w:tcW w:w="2040" w:type="dxa"/>
            <w:vAlign w:val="bottom"/>
            <w:tcBorders>
              <w:top w:val="single" w:sz="8" w:color="0000FF"/>
            </w:tcBorders>
            <w:gridSpan w:val="13"/>
          </w:tcPr>
          <w:p>
            <w:pPr>
              <w:spacing w:after="0"/>
              <w:rPr>
                <w:sz w:val="15"/>
                <w:szCs w:val="15"/>
                <w:color w:val="auto"/>
              </w:rPr>
            </w:pPr>
          </w:p>
        </w:tc>
        <w:tc>
          <w:tcPr>
            <w:tcW w:w="280" w:type="dxa"/>
            <w:vAlign w:val="bottom"/>
            <w:gridSpan w:val="4"/>
          </w:tcPr>
          <w:p>
            <w:pPr>
              <w:spacing w:after="0"/>
              <w:rPr>
                <w:sz w:val="15"/>
                <w:szCs w:val="15"/>
                <w:color w:val="auto"/>
              </w:rPr>
            </w:pPr>
          </w:p>
        </w:tc>
      </w:tr>
      <w:tr>
        <w:trPr>
          <w:trHeight w:val="561"/>
        </w:trPr>
        <w:tc>
          <w:tcPr>
            <w:tcW w:w="1380" w:type="dxa"/>
            <w:vAlign w:val="bottom"/>
            <w:gridSpan w:val="3"/>
          </w:tcPr>
          <w:p>
            <w:pPr>
              <w:jc w:val="center"/>
              <w:spacing w:after="0"/>
              <w:rPr>
                <w:rFonts w:ascii="Arial" w:cs="Arial" w:eastAsia="Arial" w:hAnsi="Arial"/>
                <w:sz w:val="18"/>
                <w:szCs w:val="18"/>
                <w:color w:val="0000FF"/>
                <w:w w:val="99"/>
              </w:rPr>
            </w:pPr>
            <w:hyperlink r:id="rId55">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10*</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4"/>
          </w:tcPr>
          <w:p>
            <w:pPr>
              <w:spacing w:after="0"/>
              <w:rPr>
                <w:rFonts w:ascii="Arial" w:cs="Arial" w:eastAsia="Arial" w:hAnsi="Arial"/>
                <w:sz w:val="18"/>
                <w:szCs w:val="18"/>
                <w:color w:val="0000FF"/>
              </w:rPr>
            </w:pPr>
            <w:hyperlink r:id="rId55">
              <w:r>
                <w:rPr>
                  <w:rFonts w:ascii="Arial" w:cs="Arial" w:eastAsia="Arial" w:hAnsi="Arial"/>
                  <w:sz w:val="18"/>
                  <w:szCs w:val="18"/>
                  <w:color w:val="0000FF"/>
                </w:rPr>
                <w:t>Employment Agreement, dated as of April 23, 2005 by and between Hughes Network Systems, LLC and Pradman</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4"/>
            <w:shd w:val="clear" w:color="auto" w:fill="0000FF"/>
          </w:tcPr>
          <w:p>
            <w:pPr>
              <w:spacing w:after="0" w:line="20" w:lineRule="exact"/>
              <w:rPr>
                <w:sz w:val="1"/>
                <w:szCs w:val="1"/>
                <w:color w:val="auto"/>
              </w:rPr>
            </w:pPr>
          </w:p>
        </w:tc>
        <w:tc>
          <w:tcPr>
            <w:tcW w:w="348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8"/>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4"/>
          </w:tcPr>
          <w:p>
            <w:pPr>
              <w:spacing w:after="0" w:line="182" w:lineRule="exact"/>
              <w:rPr>
                <w:rFonts w:ascii="Arial" w:cs="Arial" w:eastAsia="Arial" w:hAnsi="Arial"/>
                <w:sz w:val="18"/>
                <w:szCs w:val="18"/>
                <w:color w:val="0000FF"/>
              </w:rPr>
            </w:pPr>
            <w:hyperlink r:id="rId55">
              <w:r>
                <w:rPr>
                  <w:rFonts w:ascii="Arial" w:cs="Arial" w:eastAsia="Arial" w:hAnsi="Arial"/>
                  <w:sz w:val="18"/>
                  <w:szCs w:val="18"/>
                  <w:color w:val="0000FF"/>
                </w:rPr>
                <w:t>Kaul (incorporated by reference to Exhibit 10.3 to Hughes Communications, Inc.’s Registration Statement on Form S-</w:t>
              </w:r>
            </w:hyperlink>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1, filed December 5, 2005 (File No. 333-130136)).**</w:t>
              </w:r>
            </w:hyperlink>
          </w:p>
        </w:tc>
        <w:tc>
          <w:tcPr>
            <w:tcW w:w="5200" w:type="dxa"/>
            <w:vAlign w:val="bottom"/>
            <w:tcBorders>
              <w:top w:val="single" w:sz="8" w:color="0000FF"/>
            </w:tcBorders>
            <w:gridSpan w:val="18"/>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507"/>
        </w:trPr>
        <w:tc>
          <w:tcPr>
            <w:tcW w:w="1380" w:type="dxa"/>
            <w:vAlign w:val="bottom"/>
            <w:gridSpan w:val="3"/>
          </w:tcPr>
          <w:p>
            <w:pPr>
              <w:jc w:val="center"/>
              <w:spacing w:after="0"/>
              <w:rPr>
                <w:rFonts w:ascii="Arial" w:cs="Arial" w:eastAsia="Arial" w:hAnsi="Arial"/>
                <w:sz w:val="18"/>
                <w:szCs w:val="18"/>
                <w:color w:val="0000FF"/>
                <w:w w:val="99"/>
              </w:rPr>
            </w:pPr>
            <w:hyperlink r:id="rId56">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11*</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4"/>
          </w:tcPr>
          <w:p>
            <w:pPr>
              <w:spacing w:after="0"/>
              <w:rPr>
                <w:rFonts w:ascii="Arial" w:cs="Arial" w:eastAsia="Arial" w:hAnsi="Arial"/>
                <w:sz w:val="18"/>
                <w:szCs w:val="18"/>
                <w:color w:val="0000FF"/>
              </w:rPr>
            </w:pPr>
            <w:hyperlink r:id="rId56">
              <w:r>
                <w:rPr>
                  <w:rFonts w:ascii="Arial" w:cs="Arial" w:eastAsia="Arial" w:hAnsi="Arial"/>
                  <w:sz w:val="18"/>
                  <w:szCs w:val="18"/>
                  <w:color w:val="0000FF"/>
                </w:rPr>
                <w:t>Amendment to Employment Agreement, dated as of December 23, 2010 by and between Hughes</w:t>
              </w:r>
            </w:hyperlink>
          </w:p>
        </w:tc>
      </w:tr>
      <w:tr>
        <w:trPr>
          <w:trHeight w:val="183"/>
        </w:trPr>
        <w:tc>
          <w:tcPr>
            <w:tcW w:w="480" w:type="dxa"/>
            <w:vAlign w:val="bottom"/>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Communications, Inc. and Pradman Kaul (incorporated by reference to Exhibit 10.29 to Hughes</w:t>
              </w:r>
            </w:hyperlink>
          </w:p>
        </w:tc>
        <w:tc>
          <w:tcPr>
            <w:tcW w:w="160" w:type="dxa"/>
            <w:vAlign w:val="bottom"/>
            <w:tcBorders>
              <w:top w:val="single" w:sz="8" w:color="0000FF"/>
            </w:tcBorders>
          </w:tcPr>
          <w:p>
            <w:pPr>
              <w:spacing w:after="0"/>
              <w:rPr>
                <w:sz w:val="15"/>
                <w:szCs w:val="15"/>
                <w:color w:val="auto"/>
              </w:rPr>
            </w:pPr>
          </w:p>
        </w:tc>
        <w:tc>
          <w:tcPr>
            <w:tcW w:w="1680" w:type="dxa"/>
            <w:vAlign w:val="bottom"/>
            <w:gridSpan w:val="14"/>
          </w:tcPr>
          <w:p>
            <w:pPr>
              <w:spacing w:after="0"/>
              <w:rPr>
                <w:sz w:val="15"/>
                <w:szCs w:val="15"/>
                <w:color w:val="auto"/>
              </w:rPr>
            </w:pPr>
          </w:p>
        </w:tc>
      </w:tr>
      <w:tr>
        <w:trPr>
          <w:trHeight w:val="183"/>
        </w:trPr>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4"/>
          </w:tcPr>
          <w:p>
            <w:pPr>
              <w:spacing w:after="0" w:line="182" w:lineRule="exact"/>
              <w:rPr>
                <w:rFonts w:ascii="Arial" w:cs="Arial" w:eastAsia="Arial" w:hAnsi="Arial"/>
                <w:sz w:val="18"/>
                <w:szCs w:val="18"/>
                <w:color w:val="0000FF"/>
              </w:rPr>
            </w:pPr>
            <w:hyperlink r:id="rId56">
              <w:r>
                <w:rPr>
                  <w:rFonts w:ascii="Arial" w:cs="Arial" w:eastAsia="Arial" w:hAnsi="Arial"/>
                  <w:sz w:val="18"/>
                  <w:szCs w:val="18"/>
                  <w:color w:val="0000FF"/>
                </w:rPr>
                <w:t>Communications, Inc.’s Annual Report on Form 10-K, filed March 7, 2011 (File No. 001-33040)).**</w:t>
              </w:r>
            </w:hyperlink>
          </w:p>
        </w:tc>
      </w:tr>
      <w:tr>
        <w:trPr>
          <w:trHeight w:val="817"/>
        </w:trPr>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20" w:type="dxa"/>
            <w:vAlign w:val="bottom"/>
            <w:tcBorders>
              <w:top w:val="single" w:sz="8" w:color="0000FF"/>
            </w:tcBorders>
            <w:gridSpan w:val="4"/>
          </w:tcPr>
          <w:p>
            <w:pPr>
              <w:ind w:left="3640"/>
              <w:spacing w:after="0"/>
              <w:rPr>
                <w:sz w:val="20"/>
                <w:szCs w:val="20"/>
                <w:color w:val="auto"/>
              </w:rPr>
            </w:pPr>
            <w:r>
              <w:rPr>
                <w:rFonts w:ascii="Arial" w:cs="Arial" w:eastAsia="Arial" w:hAnsi="Arial"/>
                <w:sz w:val="18"/>
                <w:szCs w:val="18"/>
                <w:color w:val="auto"/>
              </w:rPr>
              <w:t>44</w:t>
            </w:r>
          </w:p>
        </w:tc>
        <w:tc>
          <w:tcPr>
            <w:tcW w:w="20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gridSpan w:val="5"/>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5920" w:type="dxa"/>
            <w:vAlign w:val="bottom"/>
            <w:gridSpan w:val="20"/>
          </w:tcPr>
          <w:p>
            <w:pPr>
              <w:ind w:left="80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1380" w:type="dxa"/>
            <w:vAlign w:val="bottom"/>
            <w:tcBorders>
              <w:top w:val="single" w:sz="8" w:color="auto"/>
            </w:tcBorders>
            <w:gridSpan w:val="4"/>
          </w:tcPr>
          <w:p>
            <w:pPr>
              <w:jc w:val="right"/>
              <w:ind w:right="420"/>
              <w:spacing w:after="0" w:line="202" w:lineRule="exact"/>
              <w:rPr>
                <w:rFonts w:ascii="Arial" w:cs="Arial" w:eastAsia="Arial" w:hAnsi="Arial"/>
                <w:sz w:val="18"/>
                <w:szCs w:val="18"/>
                <w:color w:val="0000FF"/>
              </w:rPr>
            </w:pPr>
            <w:hyperlink r:id="rId57">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5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40" w:type="dxa"/>
            <w:vAlign w:val="bottom"/>
            <w:tcBorders>
              <w:top w:val="single" w:sz="8" w:color="auto"/>
            </w:tcBorders>
            <w:gridSpan w:val="22"/>
          </w:tcPr>
          <w:p>
            <w:pPr>
              <w:spacing w:after="0" w:line="202" w:lineRule="exact"/>
              <w:rPr>
                <w:rFonts w:ascii="Arial" w:cs="Arial" w:eastAsia="Arial" w:hAnsi="Arial"/>
                <w:sz w:val="18"/>
                <w:szCs w:val="18"/>
                <w:color w:val="0000FF"/>
              </w:rPr>
            </w:pPr>
            <w:hyperlink r:id="rId57">
              <w:r>
                <w:rPr>
                  <w:rFonts w:ascii="Arial" w:cs="Arial" w:eastAsia="Arial" w:hAnsi="Arial"/>
                  <w:sz w:val="18"/>
                  <w:szCs w:val="18"/>
                  <w:color w:val="0000FF"/>
                </w:rPr>
                <w:t>Amendment to Employment Agreement, dated as of April 1, 2016, between Hughes Communications, Inc. and</w:t>
              </w:r>
            </w:hyperlink>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20" w:type="dxa"/>
            <w:vAlign w:val="bottom"/>
            <w:tcBorders>
              <w:bottom w:val="single" w:sz="8" w:color="0000FF"/>
            </w:tcBorders>
            <w:gridSpan w:val="20"/>
          </w:tcPr>
          <w:p>
            <w:pPr>
              <w:spacing w:after="0" w:line="182" w:lineRule="exact"/>
              <w:rPr>
                <w:rFonts w:ascii="Arial" w:cs="Arial" w:eastAsia="Arial" w:hAnsi="Arial"/>
                <w:sz w:val="18"/>
                <w:szCs w:val="18"/>
                <w:color w:val="0000FF"/>
                <w:w w:val="99"/>
              </w:rPr>
            </w:pPr>
            <w:hyperlink r:id="rId57">
              <w:r>
                <w:rPr>
                  <w:rFonts w:ascii="Arial" w:cs="Arial" w:eastAsia="Arial" w:hAnsi="Arial"/>
                  <w:sz w:val="18"/>
                  <w:szCs w:val="18"/>
                  <w:color w:val="0000FF"/>
                  <w:w w:val="99"/>
                </w:rPr>
                <w:t>Pradman Kaul (incorporated by reference to Exhibit 10.1 to the Current Report on Form 8-K of EchoStar Corporation,</w:t>
              </w:r>
            </w:hyperlink>
          </w:p>
        </w:tc>
        <w:tc>
          <w:tcPr>
            <w:tcW w:w="120" w:type="dxa"/>
            <w:vAlign w:val="bottom"/>
            <w:gridSpan w:val="2"/>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2"/>
          </w:tcPr>
          <w:p>
            <w:pPr>
              <w:spacing w:after="0" w:line="182" w:lineRule="exact"/>
              <w:rPr>
                <w:rFonts w:ascii="Arial" w:cs="Arial" w:eastAsia="Arial" w:hAnsi="Arial"/>
                <w:sz w:val="18"/>
                <w:szCs w:val="18"/>
                <w:color w:val="0000FF"/>
              </w:rPr>
            </w:pPr>
            <w:hyperlink r:id="rId57">
              <w:r>
                <w:rPr>
                  <w:rFonts w:ascii="Arial" w:cs="Arial" w:eastAsia="Arial" w:hAnsi="Arial"/>
                  <w:sz w:val="18"/>
                  <w:szCs w:val="18"/>
                  <w:color w:val="0000FF"/>
                </w:rPr>
                <w:t>filed April 6, 2016, Commission File No. 001-33807). **</w:t>
              </w:r>
            </w:hyperlink>
          </w:p>
        </w:tc>
      </w:tr>
      <w:tr>
        <w:trPr>
          <w:trHeight w:val="20"/>
        </w:trPr>
        <w:tc>
          <w:tcPr>
            <w:tcW w:w="8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1380" w:type="dxa"/>
            <w:vAlign w:val="bottom"/>
            <w:gridSpan w:val="4"/>
          </w:tcPr>
          <w:p>
            <w:pPr>
              <w:jc w:val="right"/>
              <w:ind w:right="420"/>
              <w:spacing w:after="0"/>
              <w:rPr>
                <w:rFonts w:ascii="Arial" w:cs="Arial" w:eastAsia="Arial" w:hAnsi="Arial"/>
                <w:sz w:val="18"/>
                <w:szCs w:val="18"/>
                <w:color w:val="0000FF"/>
              </w:rPr>
            </w:pPr>
            <w:hyperlink r:id="rId58">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r>
              <w:rPr>
                <w:rFonts w:ascii="Arial" w:cs="Arial" w:eastAsia="Arial" w:hAnsi="Arial"/>
                <w:sz w:val="18"/>
                <w:szCs w:val="18"/>
                <w:color w:val="000000"/>
              </w:rPr>
              <w: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rPr>
            </w:pPr>
            <w:hyperlink r:id="rId58">
              <w:r>
                <w:rPr>
                  <w:rFonts w:ascii="Arial" w:cs="Arial" w:eastAsia="Arial" w:hAnsi="Arial"/>
                  <w:sz w:val="18"/>
                  <w:szCs w:val="18"/>
                  <w:color w:val="0000FF"/>
                </w:rPr>
                <w:t>First Amendment to EchoStar XVI Satellite Transponder Service Agreement, dated December 21, 2012 between</w:t>
              </w:r>
            </w:hyperlink>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EchoStar Satellite Operating Corporation and DISH Network L.L.C. (incorporated by reference to Exhibit 10.37 to</w:t>
              </w:r>
            </w:hyperlink>
          </w:p>
        </w:tc>
        <w:tc>
          <w:tcPr>
            <w:tcW w:w="440" w:type="dxa"/>
            <w:vAlign w:val="bottom"/>
            <w:gridSpan w:val="8"/>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2"/>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Hughes Satellite Systems Corporation’s Annual Report on Form 10-K, for the year ended December 31, 2012, filed</w:t>
              </w:r>
            </w:hyperlink>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February 20, 2013, File No. 333-179121).***</w:t>
              </w:r>
            </w:hyperlink>
          </w:p>
        </w:tc>
        <w:tc>
          <w:tcPr>
            <w:tcW w:w="300" w:type="dxa"/>
            <w:vAlign w:val="bottom"/>
            <w:gridSpan w:val="6"/>
          </w:tcPr>
          <w:p>
            <w:pPr>
              <w:spacing w:after="0"/>
              <w:rPr>
                <w:sz w:val="15"/>
                <w:szCs w:val="15"/>
                <w:color w:val="auto"/>
              </w:rPr>
            </w:pPr>
          </w:p>
        </w:tc>
      </w:tr>
      <w:tr>
        <w:trPr>
          <w:trHeight w:val="20"/>
        </w:trPr>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1380" w:type="dxa"/>
            <w:vAlign w:val="bottom"/>
            <w:gridSpan w:val="4"/>
          </w:tcPr>
          <w:p>
            <w:pPr>
              <w:jc w:val="right"/>
              <w:ind w:right="420"/>
              <w:spacing w:after="0"/>
              <w:rPr>
                <w:rFonts w:ascii="Arial" w:cs="Arial" w:eastAsia="Arial" w:hAnsi="Arial"/>
                <w:sz w:val="18"/>
                <w:szCs w:val="18"/>
                <w:color w:val="0000FF"/>
              </w:rPr>
            </w:pPr>
            <w:hyperlink r:id="rId59">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rPr>
            </w:pPr>
            <w:hyperlink r:id="rId59">
              <w:r>
                <w:rPr>
                  <w:rFonts w:ascii="Arial" w:cs="Arial" w:eastAsia="Arial" w:hAnsi="Arial"/>
                  <w:sz w:val="18"/>
                  <w:szCs w:val="18"/>
                  <w:color w:val="0000FF"/>
                </w:rPr>
                <w:t>Form of Satellite Transponder Service Agreement by and between EchoStar Satellite Operating Corporation and</w:t>
              </w:r>
            </w:hyperlink>
          </w:p>
        </w:tc>
      </w:tr>
      <w:tr>
        <w:trPr>
          <w:trHeight w:val="183"/>
        </w:trPr>
        <w:tc>
          <w:tcPr>
            <w:tcW w:w="440" w:type="dxa"/>
            <w:vAlign w:val="bottom"/>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59">
              <w:r>
                <w:rPr>
                  <w:rFonts w:ascii="Arial" w:cs="Arial" w:eastAsia="Arial" w:hAnsi="Arial"/>
                  <w:sz w:val="18"/>
                  <w:szCs w:val="18"/>
                  <w:color w:val="0000FF"/>
                </w:rPr>
                <w:t>DISH Operating L.L.C (incorporated by reference to Exhibit 10.3 to EchoStar Corporation’s Quarterly Report on</w:t>
              </w:r>
            </w:hyperlink>
          </w:p>
        </w:tc>
        <w:tc>
          <w:tcPr>
            <w:tcW w:w="500" w:type="dxa"/>
            <w:vAlign w:val="bottom"/>
            <w:gridSpan w:val="10"/>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Form 10-Q for the quarter ended March 31, 2014, filed May 9, 2014, Commission File No. 001-33807).</w:t>
              </w:r>
            </w:hyperlink>
          </w:p>
        </w:tc>
        <w:tc>
          <w:tcPr>
            <w:tcW w:w="680" w:type="dxa"/>
            <w:vAlign w:val="bottom"/>
            <w:tcBorders>
              <w:top w:val="single" w:sz="8" w:color="0000FF"/>
            </w:tcBorders>
            <w:gridSpan w:val="3"/>
          </w:tcPr>
          <w:p>
            <w:pPr>
              <w:spacing w:after="0"/>
              <w:rPr>
                <w:sz w:val="15"/>
                <w:szCs w:val="15"/>
                <w:color w:val="auto"/>
              </w:rPr>
            </w:pPr>
          </w:p>
        </w:tc>
        <w:tc>
          <w:tcPr>
            <w:tcW w:w="600" w:type="dxa"/>
            <w:vAlign w:val="bottom"/>
            <w:gridSpan w:val="11"/>
          </w:tcPr>
          <w:p>
            <w:pPr>
              <w:spacing w:after="0"/>
              <w:rPr>
                <w:sz w:val="15"/>
                <w:szCs w:val="15"/>
                <w:color w:val="auto"/>
              </w:rPr>
            </w:pPr>
          </w:p>
        </w:tc>
      </w:tr>
      <w:tr>
        <w:trPr>
          <w:trHeight w:val="561"/>
        </w:trPr>
        <w:tc>
          <w:tcPr>
            <w:tcW w:w="1380" w:type="dxa"/>
            <w:vAlign w:val="bottom"/>
            <w:gridSpan w:val="4"/>
          </w:tcPr>
          <w:p>
            <w:pPr>
              <w:jc w:val="right"/>
              <w:ind w:right="420"/>
              <w:spacing w:after="0"/>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rPr>
            </w:pPr>
            <w:hyperlink r:id="rId60">
              <w:r>
                <w:rPr>
                  <w:rFonts w:ascii="Arial" w:cs="Arial" w:eastAsia="Arial" w:hAnsi="Arial"/>
                  <w:sz w:val="18"/>
                  <w:szCs w:val="18"/>
                  <w:color w:val="0000FF"/>
                </w:rPr>
                <w:t>Form of Restricted Stock Unit Agreement for 2008 Stock Incentive Plan — Executive or Director (incorporated by</w:t>
              </w:r>
            </w:hyperlink>
          </w:p>
        </w:tc>
      </w:tr>
      <w:tr>
        <w:trPr>
          <w:trHeight w:val="183"/>
        </w:trPr>
        <w:tc>
          <w:tcPr>
            <w:tcW w:w="440" w:type="dxa"/>
            <w:vAlign w:val="bottom"/>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reference to Exhibit 10.1 to EchoStar Corporation’s Quarterly Report on Form 10-Q for the quarter ended</w:t>
              </w:r>
            </w:hyperlink>
          </w:p>
        </w:tc>
        <w:tc>
          <w:tcPr>
            <w:tcW w:w="460" w:type="dxa"/>
            <w:vAlign w:val="bottom"/>
            <w:gridSpan w:val="9"/>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60">
              <w:r>
                <w:rPr>
                  <w:rFonts w:ascii="Arial" w:cs="Arial" w:eastAsia="Arial" w:hAnsi="Arial"/>
                  <w:sz w:val="18"/>
                  <w:szCs w:val="18"/>
                  <w:color w:val="0000FF"/>
                  <w:w w:val="99"/>
                </w:rPr>
                <w:t>September 30, 2015, filed November 6, 2015, Commission File No. 001-33807).**</w:t>
              </w:r>
            </w:hyperlink>
          </w:p>
        </w:tc>
        <w:tc>
          <w:tcPr>
            <w:tcW w:w="1820" w:type="dxa"/>
            <w:vAlign w:val="bottom"/>
            <w:tcBorders>
              <w:top w:val="single" w:sz="8" w:color="0000FF"/>
            </w:tcBorders>
            <w:gridSpan w:val="3"/>
          </w:tcPr>
          <w:p>
            <w:pPr>
              <w:spacing w:after="0"/>
              <w:rPr>
                <w:sz w:val="15"/>
                <w:szCs w:val="15"/>
                <w:color w:val="auto"/>
              </w:rPr>
            </w:pPr>
          </w:p>
        </w:tc>
        <w:tc>
          <w:tcPr>
            <w:tcW w:w="1100" w:type="dxa"/>
            <w:vAlign w:val="bottom"/>
            <w:gridSpan w:val="13"/>
          </w:tcPr>
          <w:p>
            <w:pPr>
              <w:spacing w:after="0"/>
              <w:rPr>
                <w:sz w:val="15"/>
                <w:szCs w:val="15"/>
                <w:color w:val="auto"/>
              </w:rPr>
            </w:pPr>
          </w:p>
        </w:tc>
      </w:tr>
      <w:tr>
        <w:trPr>
          <w:trHeight w:val="561"/>
        </w:trPr>
        <w:tc>
          <w:tcPr>
            <w:tcW w:w="1380" w:type="dxa"/>
            <w:vAlign w:val="bottom"/>
            <w:gridSpan w:val="4"/>
          </w:tcPr>
          <w:p>
            <w:pPr>
              <w:jc w:val="right"/>
              <w:ind w:right="420"/>
              <w:spacing w:after="0"/>
              <w:rPr>
                <w:rFonts w:ascii="Arial" w:cs="Arial" w:eastAsia="Arial" w:hAnsi="Arial"/>
                <w:sz w:val="18"/>
                <w:szCs w:val="18"/>
                <w:color w:val="0000FF"/>
              </w:rPr>
            </w:pPr>
            <w:hyperlink r:id="rId61">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rPr>
            </w:pPr>
            <w:hyperlink r:id="rId61">
              <w:r>
                <w:rPr>
                  <w:rFonts w:ascii="Arial" w:cs="Arial" w:eastAsia="Arial" w:hAnsi="Arial"/>
                  <w:sz w:val="18"/>
                  <w:szCs w:val="18"/>
                  <w:color w:val="0000FF"/>
                </w:rPr>
                <w:t>Form of Stock Option Agreement for 2008 Stock Incentive Plan (1999) (incorporated by reference to Exhibit 10.31 to</w:t>
              </w:r>
            </w:hyperlink>
          </w:p>
        </w:tc>
      </w:tr>
      <w:tr>
        <w:trPr>
          <w:trHeight w:val="183"/>
        </w:trPr>
        <w:tc>
          <w:tcPr>
            <w:tcW w:w="440" w:type="dxa"/>
            <w:vAlign w:val="bottom"/>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Hughes Satellite System Corporation’s Annual Report on Form 10-K for the year ended December 31, 2015, filed</w:t>
              </w:r>
            </w:hyperlink>
          </w:p>
        </w:tc>
        <w:tc>
          <w:tcPr>
            <w:tcW w:w="200" w:type="dxa"/>
            <w:vAlign w:val="bottom"/>
            <w:gridSpan w:val="5"/>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February 24, 2016, Commission File No. 333-179121). **</w:t>
              </w:r>
            </w:hyperlink>
          </w:p>
        </w:tc>
        <w:tc>
          <w:tcPr>
            <w:tcW w:w="440" w:type="dxa"/>
            <w:vAlign w:val="bottom"/>
            <w:gridSpan w:val="8"/>
          </w:tcPr>
          <w:p>
            <w:pPr>
              <w:spacing w:after="0"/>
              <w:rPr>
                <w:sz w:val="15"/>
                <w:szCs w:val="15"/>
                <w:color w:val="auto"/>
              </w:rPr>
            </w:pPr>
          </w:p>
        </w:tc>
      </w:tr>
      <w:tr>
        <w:trPr>
          <w:trHeight w:val="20"/>
        </w:trPr>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1380" w:type="dxa"/>
            <w:vAlign w:val="bottom"/>
            <w:gridSpan w:val="4"/>
          </w:tcPr>
          <w:p>
            <w:pPr>
              <w:jc w:val="right"/>
              <w:ind w:right="420"/>
              <w:spacing w:after="0"/>
              <w:rPr>
                <w:rFonts w:ascii="Arial" w:cs="Arial" w:eastAsia="Arial" w:hAnsi="Arial"/>
                <w:sz w:val="18"/>
                <w:szCs w:val="18"/>
                <w:color w:val="0000FF"/>
              </w:rPr>
            </w:pPr>
            <w:hyperlink r:id="rId62">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rPr>
            </w:pPr>
            <w:hyperlink r:id="rId62">
              <w:r>
                <w:rPr>
                  <w:rFonts w:ascii="Arial" w:cs="Arial" w:eastAsia="Arial" w:hAnsi="Arial"/>
                  <w:sz w:val="18"/>
                  <w:szCs w:val="18"/>
                  <w:color w:val="0000FF"/>
                </w:rPr>
                <w:t>Form of Stock Option Agreement for 2008 Stock Incentive Plan — Employee (2008) (incorporated by reference to</w:t>
              </w:r>
            </w:hyperlink>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62">
              <w:r>
                <w:rPr>
                  <w:rFonts w:ascii="Arial" w:cs="Arial" w:eastAsia="Arial" w:hAnsi="Arial"/>
                  <w:sz w:val="18"/>
                  <w:szCs w:val="18"/>
                  <w:color w:val="0000FF"/>
                  <w:w w:val="99"/>
                </w:rPr>
                <w:t>Exhibit 10.32 to Hughes Satellite System Corporation’s Annual Report on Form 10-K for the year ended December 31,</w:t>
              </w:r>
            </w:hyperlink>
          </w:p>
        </w:tc>
        <w:tc>
          <w:tcPr>
            <w:tcW w:w="2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2"/>
          </w:tcPr>
          <w:p>
            <w:pPr>
              <w:spacing w:after="0" w:line="182" w:lineRule="exact"/>
              <w:rPr>
                <w:rFonts w:ascii="Arial" w:cs="Arial" w:eastAsia="Arial" w:hAnsi="Arial"/>
                <w:sz w:val="18"/>
                <w:szCs w:val="18"/>
                <w:color w:val="0000FF"/>
              </w:rPr>
            </w:pPr>
            <w:hyperlink r:id="rId62">
              <w:r>
                <w:rPr>
                  <w:rFonts w:ascii="Arial" w:cs="Arial" w:eastAsia="Arial" w:hAnsi="Arial"/>
                  <w:sz w:val="18"/>
                  <w:szCs w:val="18"/>
                  <w:color w:val="0000FF"/>
                </w:rPr>
                <w:t>2015, filed February 24, 2016, Commission File No. 333-179121). **</w:t>
              </w:r>
            </w:hyperlink>
          </w:p>
        </w:tc>
      </w:tr>
      <w:tr>
        <w:trPr>
          <w:trHeight w:val="20"/>
        </w:trPr>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561"/>
        </w:trPr>
        <w:tc>
          <w:tcPr>
            <w:tcW w:w="1380" w:type="dxa"/>
            <w:vAlign w:val="bottom"/>
            <w:gridSpan w:val="4"/>
          </w:tcPr>
          <w:p>
            <w:pPr>
              <w:jc w:val="right"/>
              <w:ind w:right="420"/>
              <w:spacing w:after="0"/>
              <w:rPr>
                <w:rFonts w:ascii="Arial" w:cs="Arial" w:eastAsia="Arial" w:hAnsi="Arial"/>
                <w:sz w:val="18"/>
                <w:szCs w:val="18"/>
                <w:color w:val="0000FF"/>
              </w:rPr>
            </w:pPr>
            <w:hyperlink r:id="rId63">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rPr>
            </w:pPr>
            <w:hyperlink r:id="rId63">
              <w:r>
                <w:rPr>
                  <w:rFonts w:ascii="Arial" w:cs="Arial" w:eastAsia="Arial" w:hAnsi="Arial"/>
                  <w:sz w:val="18"/>
                  <w:szCs w:val="18"/>
                  <w:color w:val="0000FF"/>
                </w:rPr>
                <w:t>Form of Stock Option Agreement for 2008 Stock Incentive Plan — Executive (2008) (incorporated by reference to</w:t>
              </w:r>
            </w:hyperlink>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34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Exhibit 10.33 to Hughes Satellite System Corporation’s Annual Report on Form 10-K for the year ended December 31,</w:t>
              </w:r>
            </w:hyperlink>
          </w:p>
        </w:tc>
        <w:tc>
          <w:tcPr>
            <w:tcW w:w="2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2"/>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2015, filed February 24, 2016, Commission File No. 333-179121). **</w:t>
              </w:r>
            </w:hyperlink>
          </w:p>
        </w:tc>
      </w:tr>
      <w:tr>
        <w:trPr>
          <w:trHeight w:val="20"/>
        </w:trPr>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561"/>
        </w:trPr>
        <w:tc>
          <w:tcPr>
            <w:tcW w:w="1380" w:type="dxa"/>
            <w:vAlign w:val="bottom"/>
            <w:gridSpan w:val="4"/>
          </w:tcPr>
          <w:p>
            <w:pPr>
              <w:jc w:val="right"/>
              <w:ind w:right="420"/>
              <w:spacing w:after="0"/>
              <w:rPr>
                <w:rFonts w:ascii="Arial" w:cs="Arial" w:eastAsia="Arial" w:hAnsi="Arial"/>
                <w:sz w:val="18"/>
                <w:szCs w:val="18"/>
                <w:color w:val="0000FF"/>
              </w:rPr>
            </w:pPr>
            <w:hyperlink r:id="rId64">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rPr>
            </w:pPr>
            <w:hyperlink r:id="rId64">
              <w:r>
                <w:rPr>
                  <w:rFonts w:ascii="Arial" w:cs="Arial" w:eastAsia="Arial" w:hAnsi="Arial"/>
                  <w:sz w:val="18"/>
                  <w:szCs w:val="18"/>
                  <w:color w:val="0000FF"/>
                </w:rPr>
                <w:t>Form of Stock Option Agreement for 2008 Stock Incentive Plan — Employee (2014) (incorporated by reference to</w:t>
              </w:r>
            </w:hyperlink>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34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64">
              <w:r>
                <w:rPr>
                  <w:rFonts w:ascii="Arial" w:cs="Arial" w:eastAsia="Arial" w:hAnsi="Arial"/>
                  <w:sz w:val="18"/>
                  <w:szCs w:val="18"/>
                  <w:color w:val="0000FF"/>
                  <w:w w:val="99"/>
                </w:rPr>
                <w:t>Exhibit 10.34 to Hughes Satellite System Corporation’s Annual Report on Form 10-K for the year ended December 31,</w:t>
              </w:r>
            </w:hyperlink>
          </w:p>
        </w:tc>
        <w:tc>
          <w:tcPr>
            <w:tcW w:w="2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2"/>
          </w:tcPr>
          <w:p>
            <w:pPr>
              <w:spacing w:after="0" w:line="182" w:lineRule="exact"/>
              <w:rPr>
                <w:rFonts w:ascii="Arial" w:cs="Arial" w:eastAsia="Arial" w:hAnsi="Arial"/>
                <w:sz w:val="18"/>
                <w:szCs w:val="18"/>
                <w:color w:val="0000FF"/>
              </w:rPr>
            </w:pPr>
            <w:hyperlink r:id="rId64">
              <w:r>
                <w:rPr>
                  <w:rFonts w:ascii="Arial" w:cs="Arial" w:eastAsia="Arial" w:hAnsi="Arial"/>
                  <w:sz w:val="18"/>
                  <w:szCs w:val="18"/>
                  <w:color w:val="0000FF"/>
                </w:rPr>
                <w:t>2015, filed February 24, 2016, Commission File No. 333-179121). **</w:t>
              </w:r>
            </w:hyperlink>
          </w:p>
        </w:tc>
      </w:tr>
      <w:tr>
        <w:trPr>
          <w:trHeight w:val="20"/>
        </w:trPr>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561"/>
        </w:trPr>
        <w:tc>
          <w:tcPr>
            <w:tcW w:w="1380" w:type="dxa"/>
            <w:vAlign w:val="bottom"/>
            <w:gridSpan w:val="4"/>
          </w:tcPr>
          <w:p>
            <w:pPr>
              <w:jc w:val="right"/>
              <w:ind w:right="420"/>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rPr>
            </w:pPr>
            <w:hyperlink r:id="rId65">
              <w:r>
                <w:rPr>
                  <w:rFonts w:ascii="Arial" w:cs="Arial" w:eastAsia="Arial" w:hAnsi="Arial"/>
                  <w:sz w:val="18"/>
                  <w:szCs w:val="18"/>
                  <w:color w:val="0000FF"/>
                </w:rPr>
                <w:t>Form of Stock Option Agreement for 2008 Stock Incentive Plan — Executive (2014) (incorporated by reference to</w:t>
              </w:r>
            </w:hyperlink>
          </w:p>
        </w:tc>
      </w:tr>
      <w:tr>
        <w:trPr>
          <w:trHeight w:val="20"/>
        </w:trPr>
        <w:tc>
          <w:tcPr>
            <w:tcW w:w="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340" w:type="dxa"/>
            <w:vAlign w:val="bottom"/>
            <w:gridSpan w:val="6"/>
            <w:shd w:val="clear" w:color="auto" w:fill="0000FF"/>
          </w:tcPr>
          <w:p>
            <w:pPr>
              <w:spacing w:after="0" w:line="20" w:lineRule="exact"/>
              <w:rPr>
                <w:sz w:val="1"/>
                <w:szCs w:val="1"/>
                <w:color w:val="auto"/>
              </w:rPr>
            </w:pPr>
          </w:p>
        </w:tc>
        <w:tc>
          <w:tcPr>
            <w:tcW w:w="184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65">
              <w:r>
                <w:rPr>
                  <w:rFonts w:ascii="Arial" w:cs="Arial" w:eastAsia="Arial" w:hAnsi="Arial"/>
                  <w:sz w:val="18"/>
                  <w:szCs w:val="18"/>
                  <w:color w:val="0000FF"/>
                  <w:w w:val="99"/>
                </w:rPr>
                <w:t>Exhibit 10.35 to Hughes Satellite System Corporation’s Annual Report on Form 10-K for the year ended December 31,</w:t>
              </w:r>
            </w:hyperlink>
          </w:p>
        </w:tc>
        <w:tc>
          <w:tcPr>
            <w:tcW w:w="20" w:type="dxa"/>
            <w:vAlign w:val="bottom"/>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2"/>
          </w:tcPr>
          <w:p>
            <w:pPr>
              <w:spacing w:after="0" w:line="182" w:lineRule="exact"/>
              <w:rPr>
                <w:rFonts w:ascii="Arial" w:cs="Arial" w:eastAsia="Arial" w:hAnsi="Arial"/>
                <w:sz w:val="18"/>
                <w:szCs w:val="18"/>
                <w:color w:val="0000FF"/>
              </w:rPr>
            </w:pPr>
            <w:hyperlink r:id="rId65">
              <w:r>
                <w:rPr>
                  <w:rFonts w:ascii="Arial" w:cs="Arial" w:eastAsia="Arial" w:hAnsi="Arial"/>
                  <w:sz w:val="18"/>
                  <w:szCs w:val="18"/>
                  <w:color w:val="0000FF"/>
                </w:rPr>
                <w:t>2015, filed February 24, 2016, Commission File No. 333-179121). **</w:t>
              </w:r>
            </w:hyperlink>
          </w:p>
        </w:tc>
      </w:tr>
      <w:tr>
        <w:trPr>
          <w:trHeight w:val="20"/>
        </w:trPr>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660" w:type="dxa"/>
            <w:vAlign w:val="bottom"/>
            <w:gridSpan w:val="4"/>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561"/>
        </w:trPr>
        <w:tc>
          <w:tcPr>
            <w:tcW w:w="1380" w:type="dxa"/>
            <w:vAlign w:val="bottom"/>
            <w:gridSpan w:val="4"/>
          </w:tcPr>
          <w:p>
            <w:pPr>
              <w:jc w:val="right"/>
              <w:ind w:right="420"/>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rPr>
            </w:pPr>
            <w:hyperlink r:id="rId66">
              <w:r>
                <w:rPr>
                  <w:rFonts w:ascii="Arial" w:cs="Arial" w:eastAsia="Arial" w:hAnsi="Arial"/>
                  <w:sz w:val="18"/>
                  <w:szCs w:val="18"/>
                  <w:color w:val="0000FF"/>
                </w:rPr>
                <w:t>Form of Restricted Stock Unit Agreement for 2008 Stock Incentive Plan — Executive or Director (2011) (incorporated</w:t>
              </w:r>
            </w:hyperlink>
          </w:p>
        </w:tc>
      </w:tr>
      <w:tr>
        <w:trPr>
          <w:trHeight w:val="183"/>
        </w:trPr>
        <w:tc>
          <w:tcPr>
            <w:tcW w:w="440" w:type="dxa"/>
            <w:vAlign w:val="bottom"/>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66">
              <w:r>
                <w:rPr>
                  <w:rFonts w:ascii="Arial" w:cs="Arial" w:eastAsia="Arial" w:hAnsi="Arial"/>
                  <w:sz w:val="18"/>
                  <w:szCs w:val="18"/>
                  <w:color w:val="0000FF"/>
                  <w:w w:val="99"/>
                </w:rPr>
                <w:t>by reference to Exhibit 10.36 to Hughes Satellite System Corporation’s Annual Report on Form 10-K for the year</w:t>
              </w:r>
            </w:hyperlink>
          </w:p>
        </w:tc>
        <w:tc>
          <w:tcPr>
            <w:tcW w:w="360" w:type="dxa"/>
            <w:vAlign w:val="bottom"/>
            <w:tcBorders>
              <w:top w:val="single" w:sz="8" w:color="0000FF"/>
            </w:tcBorders>
            <w:gridSpan w:val="7"/>
          </w:tcPr>
          <w:p>
            <w:pPr>
              <w:spacing w:after="0"/>
              <w:rPr>
                <w:sz w:val="15"/>
                <w:szCs w:val="15"/>
                <w:color w:val="auto"/>
              </w:rPr>
            </w:pPr>
          </w:p>
        </w:tc>
        <w:tc>
          <w:tcPr>
            <w:tcW w:w="140" w:type="dxa"/>
            <w:vAlign w:val="bottom"/>
            <w:gridSpan w:val="3"/>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2"/>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ended December 31, 2015, filed February 24, 2016, Commission File No. 333-179121).**</w:t>
              </w:r>
            </w:hyperlink>
          </w:p>
        </w:tc>
      </w:tr>
      <w:tr>
        <w:trPr>
          <w:trHeight w:val="20"/>
        </w:trPr>
        <w:tc>
          <w:tcPr>
            <w:tcW w:w="13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340" w:type="dxa"/>
            <w:vAlign w:val="bottom"/>
            <w:gridSpan w:val="6"/>
            <w:shd w:val="clear" w:color="auto" w:fill="0000FF"/>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561"/>
        </w:trPr>
        <w:tc>
          <w:tcPr>
            <w:tcW w:w="1380" w:type="dxa"/>
            <w:vAlign w:val="bottom"/>
            <w:gridSpan w:val="4"/>
          </w:tcPr>
          <w:p>
            <w:pPr>
              <w:jc w:val="right"/>
              <w:ind w:right="420"/>
              <w:spacing w:after="0"/>
              <w:rPr>
                <w:rFonts w:ascii="Arial" w:cs="Arial" w:eastAsia="Arial" w:hAnsi="Arial"/>
                <w:sz w:val="18"/>
                <w:szCs w:val="18"/>
                <w:color w:val="0000FF"/>
              </w:rPr>
            </w:pPr>
            <w:hyperlink r:id="rId67">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2"/>
          </w:tcPr>
          <w:p>
            <w:pPr>
              <w:spacing w:after="0"/>
              <w:rPr>
                <w:rFonts w:ascii="Arial" w:cs="Arial" w:eastAsia="Arial" w:hAnsi="Arial"/>
                <w:sz w:val="18"/>
                <w:szCs w:val="18"/>
                <w:color w:val="0000FF"/>
              </w:rPr>
            </w:pPr>
            <w:hyperlink r:id="rId67">
              <w:r>
                <w:rPr>
                  <w:rFonts w:ascii="Arial" w:cs="Arial" w:eastAsia="Arial" w:hAnsi="Arial"/>
                  <w:sz w:val="18"/>
                  <w:szCs w:val="18"/>
                  <w:color w:val="0000FF"/>
                </w:rPr>
                <w:t>EchoStar Corporation Executive Officer Bonus Incentive Plan, dated as of May 4, 2016 (incorporated by reference to</w:t>
              </w:r>
            </w:hyperlink>
          </w:p>
        </w:tc>
      </w:tr>
      <w:tr>
        <w:trPr>
          <w:trHeight w:val="183"/>
        </w:trPr>
        <w:tc>
          <w:tcPr>
            <w:tcW w:w="440" w:type="dxa"/>
            <w:vAlign w:val="bottom"/>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Exhibit 10.1 to EchoStar Corporation’s Current Report on Form 8-K, filed May 5, 2016, Commission File No. 001-</w:t>
              </w:r>
            </w:hyperlink>
          </w:p>
        </w:tc>
        <w:tc>
          <w:tcPr>
            <w:tcW w:w="280" w:type="dxa"/>
            <w:vAlign w:val="bottom"/>
            <w:tcBorders>
              <w:top w:val="single" w:sz="8" w:color="0000FF"/>
            </w:tcBorders>
            <w:gridSpan w:val="4"/>
          </w:tcPr>
          <w:p>
            <w:pPr>
              <w:spacing w:after="0"/>
              <w:rPr>
                <w:sz w:val="15"/>
                <w:szCs w:val="15"/>
                <w:color w:val="auto"/>
              </w:rPr>
            </w:pPr>
          </w:p>
        </w:tc>
        <w:tc>
          <w:tcPr>
            <w:tcW w:w="160" w:type="dxa"/>
            <w:vAlign w:val="bottom"/>
            <w:gridSpan w:val="4"/>
          </w:tcPr>
          <w:p>
            <w:pPr>
              <w:spacing w:after="0"/>
              <w:rPr>
                <w:sz w:val="15"/>
                <w:szCs w:val="15"/>
                <w:color w:val="auto"/>
              </w:rPr>
            </w:pPr>
          </w:p>
        </w:tc>
      </w:tr>
      <w:tr>
        <w:trPr>
          <w:trHeight w:val="183"/>
        </w:trPr>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540" w:type="dxa"/>
            <w:vAlign w:val="bottom"/>
            <w:gridSpan w:val="3"/>
          </w:tcPr>
          <w:p>
            <w:pPr>
              <w:ind w:left="20"/>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33807).**</w:t>
              </w:r>
            </w:hyperlink>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817"/>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600" w:type="dxa"/>
            <w:vAlign w:val="bottom"/>
            <w:gridSpan w:val="2"/>
          </w:tcPr>
          <w:p>
            <w:pPr>
              <w:jc w:val="right"/>
              <w:ind w:right="448"/>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gridSpan w:val="8"/>
          </w:tcPr>
          <w:p>
            <w:pPr>
              <w:ind w:left="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00" w:type="dxa"/>
            <w:vAlign w:val="bottom"/>
            <w:gridSpan w:val="18"/>
          </w:tcPr>
          <w:p>
            <w:pPr>
              <w:ind w:left="18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960" w:type="dxa"/>
            <w:vAlign w:val="bottom"/>
            <w:tcBorders>
              <w:top w:val="single" w:sz="8" w:color="auto"/>
            </w:tcBorders>
            <w:gridSpan w:val="4"/>
          </w:tcPr>
          <w:p>
            <w:pPr>
              <w:jc w:val="center"/>
              <w:ind w:left="352"/>
              <w:spacing w:after="0" w:line="202" w:lineRule="exact"/>
              <w:rPr>
                <w:rFonts w:ascii="Arial" w:cs="Arial" w:eastAsia="Arial" w:hAnsi="Arial"/>
                <w:sz w:val="18"/>
                <w:szCs w:val="18"/>
                <w:color w:val="0000FF"/>
                <w:w w:val="99"/>
              </w:rPr>
            </w:pPr>
            <w:hyperlink r:id="rId68">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23*</w:t>
              </w:r>
            </w:hyperlink>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440" w:type="dxa"/>
            <w:vAlign w:val="bottom"/>
            <w:tcBorders>
              <w:top w:val="single" w:sz="8" w:color="auto"/>
            </w:tcBorders>
            <w:gridSpan w:val="23"/>
          </w:tcPr>
          <w:p>
            <w:pPr>
              <w:spacing w:after="0" w:line="202" w:lineRule="exact"/>
              <w:rPr>
                <w:rFonts w:ascii="Arial" w:cs="Arial" w:eastAsia="Arial" w:hAnsi="Arial"/>
                <w:sz w:val="18"/>
                <w:szCs w:val="18"/>
                <w:color w:val="0000FF"/>
              </w:rPr>
            </w:pPr>
            <w:hyperlink r:id="rId68">
              <w:r>
                <w:rPr>
                  <w:rFonts w:ascii="Arial" w:cs="Arial" w:eastAsia="Arial" w:hAnsi="Arial"/>
                  <w:sz w:val="18"/>
                  <w:szCs w:val="18"/>
                  <w:color w:val="0000FF"/>
                </w:rPr>
                <w:t>EchoStar Corporation 2017 Stock Incentive Plan (incorporated by reference to EchoStar Corporation’s Definitive</w:t>
              </w:r>
            </w:hyperlink>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96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68">
              <w:r>
                <w:rPr>
                  <w:rFonts w:ascii="Arial" w:cs="Arial" w:eastAsia="Arial" w:hAnsi="Arial"/>
                  <w:sz w:val="18"/>
                  <w:szCs w:val="18"/>
                  <w:color w:val="0000FF"/>
                  <w:w w:val="99"/>
                </w:rPr>
                <w:t>Proxy Statement on Form 14, filed March 23, 2017, Commission File No. 001-33807).**</w:t>
              </w:r>
            </w:hyperlink>
          </w:p>
        </w:tc>
        <w:tc>
          <w:tcPr>
            <w:tcW w:w="1960" w:type="dxa"/>
            <w:vAlign w:val="bottom"/>
            <w:tcBorders>
              <w:top w:val="single" w:sz="8" w:color="0000FF"/>
            </w:tcBorders>
            <w:gridSpan w:val="3"/>
          </w:tcPr>
          <w:p>
            <w:pPr>
              <w:spacing w:after="0"/>
              <w:rPr>
                <w:sz w:val="15"/>
                <w:szCs w:val="15"/>
                <w:color w:val="auto"/>
              </w:rPr>
            </w:pPr>
          </w:p>
        </w:tc>
        <w:tc>
          <w:tcPr>
            <w:tcW w:w="520" w:type="dxa"/>
            <w:vAlign w:val="bottom"/>
            <w:gridSpan w:val="10"/>
          </w:tcPr>
          <w:p>
            <w:pPr>
              <w:spacing w:after="0"/>
              <w:rPr>
                <w:sz w:val="15"/>
                <w:szCs w:val="15"/>
                <w:color w:val="auto"/>
              </w:rPr>
            </w:pPr>
          </w:p>
        </w:tc>
      </w:tr>
      <w:tr>
        <w:trPr>
          <w:trHeight w:val="561"/>
        </w:trPr>
        <w:tc>
          <w:tcPr>
            <w:tcW w:w="960" w:type="dxa"/>
            <w:vAlign w:val="bottom"/>
            <w:gridSpan w:val="4"/>
          </w:tcPr>
          <w:p>
            <w:pPr>
              <w:jc w:val="center"/>
              <w:ind w:left="352"/>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24*</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68">
              <w:r>
                <w:rPr>
                  <w:rFonts w:ascii="Arial" w:cs="Arial" w:eastAsia="Arial" w:hAnsi="Arial"/>
                  <w:sz w:val="18"/>
                  <w:szCs w:val="18"/>
                  <w:color w:val="0000FF"/>
                </w:rPr>
                <w:t>Amended and Restated EchoStar Corporation 2017 Employee Stock Purchase Plan (incorporated by reference to</w:t>
              </w:r>
            </w:hyperlink>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6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EchoStar Corporation’s Definitive Proxy Statement on Form 14, filed March 23, 2017, Commission File No. 001-</w:t>
              </w:r>
            </w:hyperlink>
          </w:p>
        </w:tc>
        <w:tc>
          <w:tcPr>
            <w:tcW w:w="380" w:type="dxa"/>
            <w:vAlign w:val="bottom"/>
            <w:gridSpan w:val="7"/>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80" w:type="dxa"/>
            <w:vAlign w:val="bottom"/>
            <w:gridSpan w:val="3"/>
          </w:tcPr>
          <w:p>
            <w:pPr>
              <w:ind w:left="20"/>
              <w:spacing w:after="0" w:line="182" w:lineRule="exact"/>
              <w:rPr>
                <w:rFonts w:ascii="Arial" w:cs="Arial" w:eastAsia="Arial" w:hAnsi="Arial"/>
                <w:sz w:val="18"/>
                <w:szCs w:val="18"/>
                <w:color w:val="0000FF"/>
              </w:rPr>
            </w:pPr>
            <w:hyperlink r:id="rId68">
              <w:r>
                <w:rPr>
                  <w:rFonts w:ascii="Arial" w:cs="Arial" w:eastAsia="Arial" w:hAnsi="Arial"/>
                  <w:sz w:val="18"/>
                  <w:szCs w:val="18"/>
                  <w:color w:val="0000FF"/>
                </w:rPr>
                <w:t>33807).**</w:t>
              </w:r>
            </w:hyperlink>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960" w:type="dxa"/>
            <w:vAlign w:val="bottom"/>
            <w:gridSpan w:val="4"/>
          </w:tcPr>
          <w:p>
            <w:pPr>
              <w:jc w:val="center"/>
              <w:ind w:left="352"/>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25*</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69">
              <w:r>
                <w:rPr>
                  <w:rFonts w:ascii="Arial" w:cs="Arial" w:eastAsia="Arial" w:hAnsi="Arial"/>
                  <w:sz w:val="18"/>
                  <w:szCs w:val="18"/>
                  <w:color w:val="0000FF"/>
                </w:rPr>
                <w:t>EchoStar Non-Qualified Plan -- Executive Plan and Adoption Agreement, as amended (incorporated by reference to</w:t>
              </w:r>
            </w:hyperlink>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Exhibit 10.1 to EchoStar Corporation’s Quarterly Report on Form 10-Q for the quarter ended June 30, 2017, filed</w:t>
              </w:r>
            </w:hyperlink>
          </w:p>
        </w:tc>
        <w:tc>
          <w:tcPr>
            <w:tcW w:w="240" w:type="dxa"/>
            <w:vAlign w:val="bottom"/>
            <w:tcBorders>
              <w:top w:val="single" w:sz="8" w:color="0000FF"/>
            </w:tcBorders>
            <w:gridSpan w:val="4"/>
          </w:tcPr>
          <w:p>
            <w:pPr>
              <w:spacing w:after="0"/>
              <w:rPr>
                <w:sz w:val="15"/>
                <w:szCs w:val="15"/>
                <w:color w:val="auto"/>
              </w:rPr>
            </w:pPr>
          </w:p>
        </w:tc>
        <w:tc>
          <w:tcPr>
            <w:tcW w:w="240" w:type="dxa"/>
            <w:vAlign w:val="bottom"/>
            <w:gridSpan w:val="5"/>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69">
              <w:r>
                <w:rPr>
                  <w:rFonts w:ascii="Arial" w:cs="Arial" w:eastAsia="Arial" w:hAnsi="Arial"/>
                  <w:sz w:val="18"/>
                  <w:szCs w:val="18"/>
                  <w:color w:val="0000FF"/>
                  <w:w w:val="99"/>
                </w:rPr>
                <w:t>August 9, 2017, Commission File No. 001-33807).**</w:t>
              </w:r>
            </w:hyperlink>
          </w:p>
        </w:tc>
        <w:tc>
          <w:tcPr>
            <w:tcW w:w="5300" w:type="dxa"/>
            <w:vAlign w:val="bottom"/>
            <w:gridSpan w:val="18"/>
          </w:tcPr>
          <w:p>
            <w:pPr>
              <w:spacing w:after="0"/>
              <w:rPr>
                <w:sz w:val="15"/>
                <w:szCs w:val="15"/>
                <w:color w:val="auto"/>
              </w:rPr>
            </w:pPr>
          </w:p>
        </w:tc>
      </w:tr>
      <w:tr>
        <w:trPr>
          <w:trHeight w:val="561"/>
        </w:trPr>
        <w:tc>
          <w:tcPr>
            <w:tcW w:w="960" w:type="dxa"/>
            <w:vAlign w:val="bottom"/>
            <w:gridSpan w:val="4"/>
          </w:tcPr>
          <w:p>
            <w:pPr>
              <w:jc w:val="center"/>
              <w:ind w:left="352"/>
              <w:spacing w:after="0"/>
              <w:rPr>
                <w:rFonts w:ascii="Arial" w:cs="Arial" w:eastAsia="Arial" w:hAnsi="Arial"/>
                <w:sz w:val="18"/>
                <w:szCs w:val="18"/>
                <w:color w:val="0000FF"/>
                <w:w w:val="99"/>
              </w:rPr>
            </w:pPr>
            <w:hyperlink r:id="rId70">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26*</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70">
              <w:r>
                <w:rPr>
                  <w:rFonts w:ascii="Arial" w:cs="Arial" w:eastAsia="Arial" w:hAnsi="Arial"/>
                  <w:sz w:val="18"/>
                  <w:szCs w:val="18"/>
                  <w:color w:val="0000FF"/>
                </w:rPr>
                <w:t>Form of Stock Option Agreement for the EchoStar Corporation 2017 Stock Incentive Plan - Employee (2017)</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20" w:type="dxa"/>
            <w:vAlign w:val="bottom"/>
            <w:tcBorders>
              <w:left w:val="single" w:sz="8" w:color="0000FF"/>
            </w:tcBorders>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(incorporated by reference to Exhibit 10.2 to EchoStar Corporation’s Quarterly Report on Form 10-Q for the quarter</w:t>
              </w:r>
            </w:hyperlink>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ended June 30, 2017, filed August 9, 2017, Commission File No. 001-33807).**</w:t>
              </w:r>
            </w:hyperlink>
          </w:p>
        </w:tc>
        <w:tc>
          <w:tcPr>
            <w:tcW w:w="300" w:type="dxa"/>
            <w:vAlign w:val="bottom"/>
            <w:gridSpan w:val="6"/>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960" w:type="dxa"/>
            <w:vAlign w:val="bottom"/>
            <w:gridSpan w:val="4"/>
          </w:tcPr>
          <w:p>
            <w:pPr>
              <w:jc w:val="center"/>
              <w:ind w:left="352"/>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27*</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71">
              <w:r>
                <w:rPr>
                  <w:rFonts w:ascii="Arial" w:cs="Arial" w:eastAsia="Arial" w:hAnsi="Arial"/>
                  <w:sz w:val="18"/>
                  <w:szCs w:val="18"/>
                  <w:color w:val="0000FF"/>
                </w:rPr>
                <w:t>Form of Stock Option Agreement for the EchoStar Corporation 2017 Stock Incentive Plan - Executive (2017)</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(incorporated by reference to Exhibit 10.3 to EchoStar Corporation’s Quarterly Report on Form 10-Q for the quarter</w:t>
              </w:r>
            </w:hyperlink>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71">
              <w:r>
                <w:rPr>
                  <w:rFonts w:ascii="Arial" w:cs="Arial" w:eastAsia="Arial" w:hAnsi="Arial"/>
                  <w:sz w:val="18"/>
                  <w:szCs w:val="18"/>
                  <w:color w:val="0000FF"/>
                  <w:w w:val="99"/>
                </w:rPr>
                <w:t>ended June 30, 2017, filed August 9, 2017, Commission File No. 001-33807). **</w:t>
              </w:r>
            </w:hyperlink>
          </w:p>
        </w:tc>
        <w:tc>
          <w:tcPr>
            <w:tcW w:w="2780" w:type="dxa"/>
            <w:vAlign w:val="bottom"/>
            <w:tcBorders>
              <w:top w:val="single" w:sz="8" w:color="0000FF"/>
            </w:tcBorders>
            <w:gridSpan w:val="9"/>
          </w:tcPr>
          <w:p>
            <w:pPr>
              <w:spacing w:after="0"/>
              <w:rPr>
                <w:sz w:val="15"/>
                <w:szCs w:val="15"/>
                <w:color w:val="auto"/>
              </w:rPr>
            </w:pPr>
          </w:p>
        </w:tc>
        <w:tc>
          <w:tcPr>
            <w:tcW w:w="300" w:type="dxa"/>
            <w:vAlign w:val="bottom"/>
            <w:gridSpan w:val="6"/>
          </w:tcPr>
          <w:p>
            <w:pPr>
              <w:spacing w:after="0"/>
              <w:rPr>
                <w:sz w:val="15"/>
                <w:szCs w:val="15"/>
                <w:color w:val="auto"/>
              </w:rPr>
            </w:pPr>
          </w:p>
        </w:tc>
      </w:tr>
      <w:tr>
        <w:trPr>
          <w:trHeight w:val="561"/>
        </w:trPr>
        <w:tc>
          <w:tcPr>
            <w:tcW w:w="960" w:type="dxa"/>
            <w:vAlign w:val="bottom"/>
            <w:gridSpan w:val="4"/>
          </w:tcPr>
          <w:p>
            <w:pPr>
              <w:jc w:val="center"/>
              <w:ind w:left="352"/>
              <w:spacing w:after="0"/>
              <w:rPr>
                <w:rFonts w:ascii="Arial" w:cs="Arial" w:eastAsia="Arial" w:hAnsi="Arial"/>
                <w:sz w:val="18"/>
                <w:szCs w:val="18"/>
                <w:color w:val="0000FF"/>
                <w:w w:val="99"/>
              </w:rPr>
            </w:pPr>
            <w:hyperlink r:id="rId72">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28*</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72">
              <w:r>
                <w:rPr>
                  <w:rFonts w:ascii="Arial" w:cs="Arial" w:eastAsia="Arial" w:hAnsi="Arial"/>
                  <w:sz w:val="18"/>
                  <w:szCs w:val="18"/>
                  <w:color w:val="0000FF"/>
                </w:rPr>
                <w:t>Form of Restricted Stock Unit Agreement for the EchoStar Corporation 2017 Stock Incentive Plan - Executive (2017)</w:t>
              </w:r>
            </w:hyperlink>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6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72">
              <w:r>
                <w:rPr>
                  <w:rFonts w:ascii="Arial" w:cs="Arial" w:eastAsia="Arial" w:hAnsi="Arial"/>
                  <w:sz w:val="18"/>
                  <w:szCs w:val="18"/>
                  <w:color w:val="0000FF"/>
                </w:rPr>
                <w:t>(incorporated by reference to Exhibit 10.5 to EchoStar Corporation’s Quarterly Report on Form 10-Q for the quarter</w:t>
              </w:r>
            </w:hyperlink>
          </w:p>
        </w:tc>
        <w:tc>
          <w:tcPr>
            <w:tcW w:w="180" w:type="dxa"/>
            <w:vAlign w:val="bottom"/>
            <w:gridSpan w:val="4"/>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4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72">
              <w:r>
                <w:rPr>
                  <w:rFonts w:ascii="Arial" w:cs="Arial" w:eastAsia="Arial" w:hAnsi="Arial"/>
                  <w:sz w:val="18"/>
                  <w:szCs w:val="18"/>
                  <w:color w:val="0000FF"/>
                </w:rPr>
                <w:t>ended June 30, 2017, filed August 9, 2017, Commission File No. 001-33807).**</w:t>
              </w:r>
            </w:hyperlink>
          </w:p>
        </w:tc>
        <w:tc>
          <w:tcPr>
            <w:tcW w:w="300" w:type="dxa"/>
            <w:vAlign w:val="bottom"/>
            <w:gridSpan w:val="6"/>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960" w:type="dxa"/>
            <w:vAlign w:val="bottom"/>
            <w:gridSpan w:val="4"/>
          </w:tcPr>
          <w:p>
            <w:pPr>
              <w:jc w:val="center"/>
              <w:ind w:left="352"/>
              <w:spacing w:after="0"/>
              <w:rPr>
                <w:rFonts w:ascii="Arial" w:cs="Arial" w:eastAsia="Arial" w:hAnsi="Arial"/>
                <w:sz w:val="18"/>
                <w:szCs w:val="18"/>
                <w:color w:val="0000FF"/>
                <w:w w:val="99"/>
              </w:rPr>
            </w:pPr>
            <w:hyperlink r:id="rId73">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29*</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r:id="rId73">
              <w:r>
                <w:rPr>
                  <w:rFonts w:ascii="Arial" w:cs="Arial" w:eastAsia="Arial" w:hAnsi="Arial"/>
                  <w:sz w:val="18"/>
                  <w:szCs w:val="18"/>
                  <w:color w:val="0000FF"/>
                </w:rPr>
                <w:t>Letter Agreement between EchoStar Corporation and DISH Network Corporation, dated August 3, 2018, amending</w:t>
              </w:r>
            </w:hyperlink>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top w:val="single" w:sz="8" w:color="0000FF"/>
              <w:bottom w:val="single" w:sz="8" w:color="0000FF"/>
            </w:tcBorders>
            <w:gridSpan w:val="22"/>
          </w:tcPr>
          <w:p>
            <w:pPr>
              <w:spacing w:after="0" w:line="182" w:lineRule="exact"/>
              <w:rPr>
                <w:rFonts w:ascii="Arial" w:cs="Arial" w:eastAsia="Arial" w:hAnsi="Arial"/>
                <w:sz w:val="18"/>
                <w:szCs w:val="18"/>
                <w:color w:val="0000FF"/>
              </w:rPr>
            </w:pPr>
            <w:hyperlink r:id="rId73">
              <w:r>
                <w:rPr>
                  <w:rFonts w:ascii="Arial" w:cs="Arial" w:eastAsia="Arial" w:hAnsi="Arial"/>
                  <w:sz w:val="18"/>
                  <w:szCs w:val="18"/>
                  <w:color w:val="0000FF"/>
                </w:rPr>
                <w:t>that certain Form of Tax Sharing Agreement between EchoStar Corporation and DISH Network (incorporated by</w:t>
              </w:r>
            </w:hyperlink>
          </w:p>
        </w:tc>
        <w:tc>
          <w:tcPr>
            <w:tcW w:w="20" w:type="dxa"/>
            <w:vAlign w:val="bottom"/>
          </w:tcPr>
          <w:p>
            <w:pPr>
              <w:spacing w:after="0"/>
              <w:rPr>
                <w:sz w:val="15"/>
                <w:szCs w:val="15"/>
                <w:color w:val="auto"/>
              </w:rPr>
            </w:pPr>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gridSpan w:val="23"/>
          </w:tcPr>
          <w:p>
            <w:pPr>
              <w:spacing w:after="0" w:line="182" w:lineRule="exact"/>
              <w:rPr>
                <w:rFonts w:ascii="Arial" w:cs="Arial" w:eastAsia="Arial" w:hAnsi="Arial"/>
                <w:sz w:val="18"/>
                <w:szCs w:val="18"/>
                <w:color w:val="0000FF"/>
              </w:rPr>
            </w:pPr>
            <w:hyperlink r:id="rId73">
              <w:r>
                <w:rPr>
                  <w:rFonts w:ascii="Arial" w:cs="Arial" w:eastAsia="Arial" w:hAnsi="Arial"/>
                  <w:sz w:val="18"/>
                  <w:szCs w:val="18"/>
                  <w:color w:val="0000FF"/>
                </w:rPr>
                <w:t>reference to Exhibit 10.1 to Hughes Satellite System Corporation’s Quarterly Report on Form 10-Q for the quarter</w:t>
              </w:r>
            </w:hyperlink>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73">
              <w:r>
                <w:rPr>
                  <w:rFonts w:ascii="Arial" w:cs="Arial" w:eastAsia="Arial" w:hAnsi="Arial"/>
                  <w:sz w:val="18"/>
                  <w:szCs w:val="18"/>
                  <w:color w:val="0000FF"/>
                </w:rPr>
                <w:t>ended September 2018, filed November 8, 2018, Commission File No. 333-179121).</w:t>
              </w:r>
            </w:hyperlink>
          </w:p>
        </w:tc>
        <w:tc>
          <w:tcPr>
            <w:tcW w:w="40" w:type="dxa"/>
            <w:vAlign w:val="bottom"/>
            <w:gridSpan w:val="2"/>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006"/>
        </w:trPr>
        <w:tc>
          <w:tcPr>
            <w:tcW w:w="340" w:type="dxa"/>
            <w:vAlign w:val="bottom"/>
          </w:tcPr>
          <w:p>
            <w:pPr>
              <w:spacing w:after="0"/>
              <w:rPr>
                <w:sz w:val="24"/>
                <w:szCs w:val="24"/>
                <w:color w:val="auto"/>
              </w:rPr>
            </w:pPr>
          </w:p>
        </w:tc>
        <w:tc>
          <w:tcPr>
            <w:tcW w:w="720" w:type="dxa"/>
            <w:vAlign w:val="bottom"/>
            <w:tcBorders>
              <w:bottom w:val="single" w:sz="8" w:color="0000FF"/>
            </w:tcBorders>
            <w:gridSpan w:val="5"/>
          </w:tcPr>
          <w:p>
            <w:pPr>
              <w:jc w:val="center"/>
              <w:ind w:right="20"/>
              <w:spacing w:after="0"/>
              <w:rPr>
                <w:rFonts w:ascii="Arial" w:cs="Arial" w:eastAsia="Arial" w:hAnsi="Arial"/>
                <w:sz w:val="18"/>
                <w:szCs w:val="18"/>
                <w:color w:val="0000FF"/>
                <w:w w:val="99"/>
              </w:rPr>
            </w:pPr>
            <w:hyperlink w:anchor="page115">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30(H)</w:t>
              </w:r>
            </w:hyperlink>
          </w:p>
        </w:tc>
        <w:tc>
          <w:tcPr>
            <w:tcW w:w="9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115">
              <w:r>
                <w:rPr>
                  <w:rFonts w:ascii="Arial" w:cs="Arial" w:eastAsia="Arial" w:hAnsi="Arial"/>
                  <w:sz w:val="18"/>
                  <w:szCs w:val="18"/>
                  <w:color w:val="0000FF"/>
                  <w:w w:val="99"/>
                </w:rPr>
                <w:t>Amendment to EchoStar Non-Qualified Plan-Executive Plan and Adoption Agreement, dated November 1, 2018**</w:t>
              </w:r>
            </w:hyperlink>
          </w:p>
        </w:tc>
        <w:tc>
          <w:tcPr>
            <w:tcW w:w="400" w:type="dxa"/>
            <w:vAlign w:val="bottom"/>
            <w:gridSpan w:val="8"/>
          </w:tcPr>
          <w:p>
            <w:pPr>
              <w:spacing w:after="0"/>
              <w:rPr>
                <w:sz w:val="24"/>
                <w:szCs w:val="24"/>
                <w:color w:val="auto"/>
              </w:rPr>
            </w:pPr>
          </w:p>
        </w:tc>
      </w:tr>
      <w:tr>
        <w:trPr>
          <w:trHeight w:val="574"/>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3"/>
          </w:tcPr>
          <w:p>
            <w:pPr>
              <w:jc w:val="center"/>
              <w:ind w:right="20"/>
              <w:spacing w:after="0"/>
              <w:rPr>
                <w:rFonts w:ascii="Arial" w:cs="Arial" w:eastAsia="Arial" w:hAnsi="Arial"/>
                <w:sz w:val="18"/>
                <w:szCs w:val="18"/>
                <w:color w:val="0000FF"/>
                <w:w w:val="98"/>
              </w:rPr>
            </w:pPr>
            <w:hyperlink w:anchor="page121">
              <w:r>
                <w:rPr>
                  <w:rFonts w:ascii="Arial" w:cs="Arial" w:eastAsia="Arial" w:hAnsi="Arial"/>
                  <w:sz w:val="18"/>
                  <w:szCs w:val="18"/>
                  <w:color w:val="0000FF"/>
                  <w:w w:val="98"/>
                </w:rPr>
                <w:t>31.</w:t>
              </w:r>
              <w:r>
                <w:rPr>
                  <w:rFonts w:ascii="Arial" w:cs="Arial" w:eastAsia="Arial" w:hAnsi="Arial"/>
                  <w:sz w:val="18"/>
                  <w:szCs w:val="18"/>
                  <w:u w:val="single" w:color="auto"/>
                  <w:color w:val="0000FF"/>
                  <w:w w:val="98"/>
                </w:rPr>
                <w:t>1</w:t>
              </w:r>
              <w:r>
                <w:rPr>
                  <w:rFonts w:ascii="Arial" w:cs="Arial" w:eastAsia="Arial" w:hAnsi="Arial"/>
                  <w:sz w:val="18"/>
                  <w:szCs w:val="18"/>
                  <w:color w:val="0000FF"/>
                  <w:w w:val="98"/>
                </w:rPr>
                <w:t xml:space="preserve"> (H)</w:t>
              </w:r>
            </w:hyperlink>
          </w:p>
        </w:tc>
        <w:tc>
          <w:tcPr>
            <w:tcW w:w="9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Section 302 Certification of Chief Executive Officer.</w:t>
              </w:r>
            </w:hyperlink>
          </w:p>
        </w:tc>
      </w:tr>
      <w:tr>
        <w:trPr>
          <w:trHeight w:val="574"/>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Borders>
              <w:top w:val="single" w:sz="8" w:color="0000FF"/>
            </w:tcBorders>
            <w:gridSpan w:val="3"/>
          </w:tcPr>
          <w:p>
            <w:pPr>
              <w:jc w:val="center"/>
              <w:ind w:right="20"/>
              <w:spacing w:after="0"/>
              <w:rPr>
                <w:rFonts w:ascii="Arial" w:cs="Arial" w:eastAsia="Arial" w:hAnsi="Arial"/>
                <w:sz w:val="18"/>
                <w:szCs w:val="18"/>
                <w:color w:val="0000FF"/>
                <w:w w:val="98"/>
              </w:rPr>
            </w:pPr>
            <w:hyperlink w:anchor="page122">
              <w:r>
                <w:rPr>
                  <w:rFonts w:ascii="Arial" w:cs="Arial" w:eastAsia="Arial" w:hAnsi="Arial"/>
                  <w:sz w:val="18"/>
                  <w:szCs w:val="18"/>
                  <w:color w:val="0000FF"/>
                  <w:w w:val="98"/>
                </w:rPr>
                <w:t>31.</w:t>
              </w:r>
              <w:r>
                <w:rPr>
                  <w:rFonts w:ascii="Arial" w:cs="Arial" w:eastAsia="Arial" w:hAnsi="Arial"/>
                  <w:sz w:val="18"/>
                  <w:szCs w:val="18"/>
                  <w:u w:val="single" w:color="auto"/>
                  <w:color w:val="0000FF"/>
                  <w:w w:val="98"/>
                </w:rPr>
                <w:t>2</w:t>
              </w:r>
              <w:r>
                <w:rPr>
                  <w:rFonts w:ascii="Arial" w:cs="Arial" w:eastAsia="Arial" w:hAnsi="Arial"/>
                  <w:sz w:val="18"/>
                  <w:szCs w:val="18"/>
                  <w:color w:val="0000FF"/>
                  <w:w w:val="98"/>
                </w:rPr>
                <w:t xml:space="preserve"> (H)</w:t>
              </w:r>
            </w:hyperlink>
          </w:p>
        </w:tc>
        <w:tc>
          <w:tcPr>
            <w:tcW w:w="9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4060" w:type="dxa"/>
            <w:vAlign w:val="bottom"/>
            <w:tcBorders>
              <w:top w:val="single" w:sz="8" w:color="0000FF"/>
            </w:tcBorders>
            <w:gridSpan w:val="4"/>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Section 302 Certification of Chief Financial Officer.</w:t>
              </w:r>
            </w:hyperlink>
          </w:p>
        </w:tc>
        <w:tc>
          <w:tcPr>
            <w:tcW w:w="5380" w:type="dxa"/>
            <w:vAlign w:val="bottom"/>
            <w:gridSpan w:val="19"/>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020" w:type="dxa"/>
            <w:vAlign w:val="bottom"/>
            <w:gridSpan w:val="1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74"/>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gridSpan w:val="3"/>
          </w:tcPr>
          <w:p>
            <w:pPr>
              <w:jc w:val="center"/>
              <w:ind w:right="20"/>
              <w:spacing w:after="0"/>
              <w:rPr>
                <w:rFonts w:ascii="Arial" w:cs="Arial" w:eastAsia="Arial" w:hAnsi="Arial"/>
                <w:sz w:val="18"/>
                <w:szCs w:val="18"/>
                <w:color w:val="0000FF"/>
                <w:w w:val="98"/>
              </w:rPr>
            </w:pPr>
            <w:hyperlink w:anchor="page123">
              <w:r>
                <w:rPr>
                  <w:rFonts w:ascii="Arial" w:cs="Arial" w:eastAsia="Arial" w:hAnsi="Arial"/>
                  <w:sz w:val="18"/>
                  <w:szCs w:val="18"/>
                  <w:color w:val="0000FF"/>
                  <w:w w:val="98"/>
                </w:rPr>
                <w:t>32.</w:t>
              </w:r>
              <w:r>
                <w:rPr>
                  <w:rFonts w:ascii="Arial" w:cs="Arial" w:eastAsia="Arial" w:hAnsi="Arial"/>
                  <w:sz w:val="18"/>
                  <w:szCs w:val="18"/>
                  <w:u w:val="single" w:color="auto"/>
                  <w:color w:val="0000FF"/>
                  <w:w w:val="98"/>
                </w:rPr>
                <w:t>1</w:t>
              </w:r>
              <w:r>
                <w:rPr>
                  <w:rFonts w:ascii="Arial" w:cs="Arial" w:eastAsia="Arial" w:hAnsi="Arial"/>
                  <w:sz w:val="18"/>
                  <w:szCs w:val="18"/>
                  <w:color w:val="0000FF"/>
                  <w:w w:val="98"/>
                </w:rPr>
                <w:t xml:space="preserve"> (H)</w:t>
              </w:r>
            </w:hyperlink>
          </w:p>
        </w:tc>
        <w:tc>
          <w:tcPr>
            <w:tcW w:w="9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w:anchor="page123">
              <w:r>
                <w:rPr>
                  <w:rFonts w:ascii="Arial" w:cs="Arial" w:eastAsia="Arial" w:hAnsi="Arial"/>
                  <w:sz w:val="18"/>
                  <w:szCs w:val="18"/>
                  <w:color w:val="0000FF"/>
                </w:rPr>
                <w:t>Section 906 Certifications of Chief Executive Officer and Chief Financial Officer.</w:t>
              </w:r>
            </w:hyperlink>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3460" w:type="dxa"/>
            <w:vAlign w:val="bottom"/>
            <w:gridSpan w:val="5"/>
            <w:shd w:val="clear" w:color="auto" w:fill="0000FF"/>
          </w:tcPr>
          <w:p>
            <w:pPr>
              <w:spacing w:after="0" w:line="20" w:lineRule="exact"/>
              <w:rPr>
                <w:sz w:val="1"/>
                <w:szCs w:val="1"/>
                <w:color w:val="auto"/>
              </w:rPr>
            </w:pPr>
          </w:p>
        </w:tc>
        <w:tc>
          <w:tcPr>
            <w:tcW w:w="3020" w:type="dxa"/>
            <w:vAlign w:val="bottom"/>
            <w:gridSpan w:val="1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574"/>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2"/>
          </w:tcPr>
          <w:p>
            <w:pPr>
              <w:jc w:val="center"/>
              <w:spacing w:after="0"/>
              <w:rPr>
                <w:rFonts w:ascii="Arial" w:cs="Arial" w:eastAsia="Arial" w:hAnsi="Arial"/>
                <w:sz w:val="18"/>
                <w:szCs w:val="18"/>
                <w:color w:val="0000FF"/>
                <w:w w:val="99"/>
              </w:rPr>
            </w:pPr>
            <w:hyperlink w:anchor="page124">
              <w:r>
                <w:rPr>
                  <w:rFonts w:ascii="Arial" w:cs="Arial" w:eastAsia="Arial" w:hAnsi="Arial"/>
                  <w:sz w:val="18"/>
                  <w:szCs w:val="18"/>
                  <w:color w:val="0000FF"/>
                  <w:w w:val="99"/>
                </w:rPr>
                <w:t>99.</w:t>
              </w:r>
              <w:r>
                <w:rPr>
                  <w:rFonts w:ascii="Arial" w:cs="Arial" w:eastAsia="Arial" w:hAnsi="Arial"/>
                  <w:sz w:val="18"/>
                  <w:szCs w:val="18"/>
                  <w:u w:val="single" w:color="auto"/>
                  <w:color w:val="0000FF"/>
                  <w:w w:val="99"/>
                </w:rPr>
                <w:t>1(I)</w:t>
              </w:r>
            </w:hyperlink>
          </w:p>
        </w:tc>
        <w:tc>
          <w:tcPr>
            <w:tcW w:w="10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23"/>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Press release dated February 21, 2018 issued by EchoStar Corporation regarding financial results for the quarter and</w:t>
              </w:r>
            </w:hyperlink>
          </w:p>
        </w:tc>
      </w:tr>
      <w:tr>
        <w:trPr>
          <w:trHeight w:val="183"/>
        </w:trPr>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w:anchor="page124">
              <w:r>
                <w:rPr>
                  <w:rFonts w:ascii="Arial" w:cs="Arial" w:eastAsia="Arial" w:hAnsi="Arial"/>
                  <w:sz w:val="18"/>
                  <w:szCs w:val="18"/>
                  <w:color w:val="0000FF"/>
                </w:rPr>
                <w:t>full year ended December 31, 2018.</w:t>
              </w:r>
            </w:hyperlink>
          </w:p>
        </w:tc>
        <w:tc>
          <w:tcPr>
            <w:tcW w:w="100" w:type="dxa"/>
            <w:vAlign w:val="bottom"/>
            <w:gridSpan w:val="3"/>
          </w:tcPr>
          <w:p>
            <w:pPr>
              <w:spacing w:after="0"/>
              <w:rPr>
                <w:sz w:val="15"/>
                <w:szCs w:val="15"/>
                <w:color w:val="auto"/>
              </w:rPr>
            </w:pPr>
          </w:p>
        </w:tc>
      </w:tr>
      <w:tr>
        <w:trPr>
          <w:trHeight w:val="20"/>
        </w:trPr>
        <w:tc>
          <w:tcPr>
            <w:tcW w:w="19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6580" w:type="dxa"/>
            <w:vAlign w:val="bottom"/>
            <w:gridSpan w:val="21"/>
          </w:tcPr>
          <w:p>
            <w:pPr>
              <w:spacing w:after="0" w:line="20" w:lineRule="exact"/>
              <w:rPr>
                <w:sz w:val="1"/>
                <w:szCs w:val="1"/>
                <w:color w:val="auto"/>
              </w:rPr>
            </w:pPr>
          </w:p>
        </w:tc>
      </w:tr>
      <w:tr>
        <w:trPr>
          <w:trHeight w:val="601"/>
        </w:trPr>
        <w:tc>
          <w:tcPr>
            <w:tcW w:w="1960" w:type="dxa"/>
            <w:vAlign w:val="bottom"/>
            <w:gridSpan w:val="8"/>
          </w:tcPr>
          <w:p>
            <w:pPr>
              <w:jc w:val="center"/>
              <w:ind w:right="560"/>
              <w:spacing w:after="0"/>
              <w:rPr>
                <w:sz w:val="20"/>
                <w:szCs w:val="20"/>
                <w:color w:val="auto"/>
              </w:rPr>
            </w:pPr>
            <w:r>
              <w:rPr>
                <w:rFonts w:ascii="Arial" w:cs="Arial" w:eastAsia="Arial" w:hAnsi="Arial"/>
                <w:sz w:val="18"/>
                <w:szCs w:val="18"/>
                <w:color w:val="auto"/>
                <w:w w:val="98"/>
              </w:rPr>
              <w:t>101.SCH</w:t>
            </w:r>
          </w:p>
        </w:tc>
        <w:tc>
          <w:tcPr>
            <w:tcW w:w="20" w:type="dxa"/>
            <w:vAlign w:val="bottom"/>
          </w:tcPr>
          <w:p>
            <w:pPr>
              <w:spacing w:after="0"/>
              <w:rPr>
                <w:sz w:val="24"/>
                <w:szCs w:val="24"/>
                <w:color w:val="auto"/>
              </w:rPr>
            </w:pPr>
          </w:p>
        </w:tc>
        <w:tc>
          <w:tcPr>
            <w:tcW w:w="9440" w:type="dxa"/>
            <w:vAlign w:val="bottom"/>
            <w:gridSpan w:val="23"/>
          </w:tcPr>
          <w:p>
            <w:pPr>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960" w:type="dxa"/>
            <w:vAlign w:val="bottom"/>
            <w:gridSpan w:val="8"/>
          </w:tcPr>
          <w:p>
            <w:pPr>
              <w:jc w:val="center"/>
              <w:ind w:right="580"/>
              <w:spacing w:after="0"/>
              <w:rPr>
                <w:sz w:val="20"/>
                <w:szCs w:val="20"/>
                <w:color w:val="auto"/>
              </w:rPr>
            </w:pPr>
            <w:r>
              <w:rPr>
                <w:rFonts w:ascii="Arial" w:cs="Arial" w:eastAsia="Arial" w:hAnsi="Arial"/>
                <w:sz w:val="18"/>
                <w:szCs w:val="18"/>
                <w:color w:val="auto"/>
                <w:w w:val="99"/>
              </w:rPr>
              <w:t>101.CAL</w:t>
            </w:r>
          </w:p>
        </w:tc>
        <w:tc>
          <w:tcPr>
            <w:tcW w:w="20" w:type="dxa"/>
            <w:vAlign w:val="bottom"/>
          </w:tcPr>
          <w:p>
            <w:pPr>
              <w:spacing w:after="0"/>
              <w:rPr>
                <w:sz w:val="24"/>
                <w:szCs w:val="24"/>
                <w:color w:val="auto"/>
              </w:rPr>
            </w:pPr>
          </w:p>
        </w:tc>
        <w:tc>
          <w:tcPr>
            <w:tcW w:w="944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960" w:type="dxa"/>
            <w:vAlign w:val="bottom"/>
            <w:gridSpan w:val="8"/>
          </w:tcPr>
          <w:p>
            <w:pPr>
              <w:jc w:val="center"/>
              <w:ind w:right="5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44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w:t>
            </w: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40"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17"/>
                <w:szCs w:val="17"/>
                <w:color w:val="auto"/>
              </w:rPr>
            </w:pPr>
          </w:p>
        </w:tc>
        <w:tc>
          <w:tcPr>
            <w:tcW w:w="9460" w:type="dxa"/>
            <w:vAlign w:val="bottom"/>
            <w:tcBorders>
              <w:bottom w:val="single" w:sz="8" w:color="auto"/>
            </w:tcBorders>
          </w:tcPr>
          <w:p>
            <w:pPr>
              <w:ind w:left="4340"/>
              <w:spacing w:after="0"/>
              <w:rPr>
                <w:sz w:val="20"/>
                <w:szCs w:val="20"/>
                <w:color w:val="auto"/>
              </w:rPr>
            </w:pPr>
            <w:r>
              <w:rPr>
                <w:rFonts w:ascii="Arial" w:cs="Arial" w:eastAsia="Arial" w:hAnsi="Arial"/>
                <w:sz w:val="14"/>
                <w:szCs w:val="14"/>
                <w:b w:val="1"/>
                <w:bCs w:val="1"/>
                <w:color w:val="auto"/>
              </w:rPr>
              <w:t>Description</w:t>
            </w:r>
          </w:p>
        </w:tc>
      </w:tr>
      <w:tr>
        <w:trPr>
          <w:trHeight w:val="567"/>
        </w:trPr>
        <w:tc>
          <w:tcPr>
            <w:tcW w:w="1960" w:type="dxa"/>
            <w:vAlign w:val="bottom"/>
            <w:gridSpan w:val="2"/>
          </w:tcPr>
          <w:p>
            <w:pPr>
              <w:ind w:left="360"/>
              <w:spacing w:after="0"/>
              <w:rPr>
                <w:sz w:val="20"/>
                <w:szCs w:val="20"/>
                <w:color w:val="auto"/>
              </w:rPr>
            </w:pPr>
            <w:r>
              <w:rPr>
                <w:rFonts w:ascii="Arial" w:cs="Arial" w:eastAsia="Arial" w:hAnsi="Arial"/>
                <w:sz w:val="18"/>
                <w:szCs w:val="18"/>
                <w:color w:val="auto"/>
              </w:rPr>
              <w:t>101.LAB</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960" w:type="dxa"/>
            <w:vAlign w:val="bottom"/>
            <w:gridSpan w:val="2"/>
          </w:tcPr>
          <w:p>
            <w:pPr>
              <w:ind w:left="340"/>
              <w:spacing w:after="0"/>
              <w:rPr>
                <w:sz w:val="20"/>
                <w:szCs w:val="20"/>
                <w:color w:val="auto"/>
              </w:rPr>
            </w:pPr>
            <w:r>
              <w:rPr>
                <w:rFonts w:ascii="Arial" w:cs="Arial" w:eastAsia="Arial" w:hAnsi="Arial"/>
                <w:sz w:val="18"/>
                <w:szCs w:val="18"/>
                <w:color w:val="auto"/>
              </w:rPr>
              <w:t>101.PRE</w:t>
            </w:r>
          </w:p>
        </w:tc>
        <w:tc>
          <w:tcPr>
            <w:tcW w:w="946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2"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Certain portions of the exhibit have been omitted and separately filed with the Securities and Exchange Commission with a request for confidential treatment.</w:t>
      </w:r>
    </w:p>
    <w:p>
      <w:pPr>
        <w:spacing w:after="0" w:line="1" w:lineRule="exact"/>
        <w:rPr>
          <w:rFonts w:ascii="Arial" w:cs="Arial" w:eastAsia="Arial" w:hAnsi="Arial"/>
          <w:sz w:val="14"/>
          <w:szCs w:val="14"/>
          <w:color w:val="auto"/>
        </w:rPr>
      </w:pPr>
    </w:p>
    <w:p>
      <w:pPr>
        <w:ind w:left="420" w:right="20" w:hanging="412"/>
        <w:spacing w:after="0" w:line="258"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11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HUGHES SATELLITE SYSTEMS CORPORATION</w:t>
      </w:r>
    </w:p>
    <w:p>
      <w:pPr>
        <w:spacing w:after="0" w:line="200" w:lineRule="exact"/>
        <w:rPr>
          <w:sz w:val="20"/>
          <w:szCs w:val="20"/>
          <w:color w:val="auto"/>
        </w:rPr>
      </w:pPr>
    </w:p>
    <w:p>
      <w:pPr>
        <w:spacing w:after="0" w:line="345"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26035</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6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J. Rayner</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Operating Officer, 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Treasurer</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2019</w:t>
      </w:r>
    </w:p>
    <w:p>
      <w:pPr>
        <w:spacing w:after="0" w:line="23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7"/>
                <w:szCs w:val="17"/>
                <w:color w:val="auto"/>
              </w:rPr>
            </w:pPr>
          </w:p>
        </w:tc>
        <w:tc>
          <w:tcPr>
            <w:tcW w:w="516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7"/>
                <w:szCs w:val="17"/>
                <w:color w:val="auto"/>
              </w:rPr>
            </w:pPr>
          </w:p>
        </w:tc>
        <w:tc>
          <w:tcPr>
            <w:tcW w:w="250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Date</w:t>
            </w:r>
          </w:p>
        </w:tc>
      </w:tr>
      <w:tr>
        <w:trPr>
          <w:trHeight w:val="50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220" w:type="dxa"/>
            <w:vAlign w:val="bottom"/>
          </w:tcPr>
          <w:p>
            <w:pPr>
              <w:spacing w:after="0"/>
              <w:rPr>
                <w:sz w:val="24"/>
                <w:szCs w:val="24"/>
                <w:color w:val="auto"/>
              </w:rPr>
            </w:pP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2500" w:type="dxa"/>
            <w:vAlign w:val="bottom"/>
          </w:tcPr>
          <w:p>
            <w:pPr>
              <w:ind w:left="20"/>
              <w:spacing w:after="0"/>
              <w:rPr>
                <w:sz w:val="20"/>
                <w:szCs w:val="20"/>
                <w:color w:val="auto"/>
              </w:rPr>
            </w:pPr>
            <w:r>
              <w:rPr>
                <w:rFonts w:ascii="Arial" w:cs="Arial" w:eastAsia="Arial" w:hAnsi="Arial"/>
                <w:sz w:val="18"/>
                <w:szCs w:val="18"/>
                <w:color w:val="auto"/>
              </w:rPr>
              <w:t>February 21,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220" w:type="dxa"/>
            <w:vAlign w:val="bottom"/>
          </w:tcPr>
          <w:p>
            <w:pPr>
              <w:spacing w:after="0"/>
              <w:rPr>
                <w:sz w:val="21"/>
                <w:szCs w:val="21"/>
                <w:color w:val="auto"/>
              </w:rPr>
            </w:pPr>
          </w:p>
        </w:tc>
        <w:tc>
          <w:tcPr>
            <w:tcW w:w="5260" w:type="dxa"/>
            <w:vAlign w:val="bottom"/>
            <w:gridSpan w:val="2"/>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2500" w:type="dxa"/>
            <w:vAlign w:val="bottom"/>
          </w:tcPr>
          <w:p>
            <w:pPr>
              <w:spacing w:after="0"/>
              <w:rPr>
                <w:sz w:val="21"/>
                <w:szCs w:val="21"/>
                <w:color w:val="auto"/>
              </w:rPr>
            </w:pPr>
          </w:p>
        </w:tc>
      </w:tr>
      <w:tr>
        <w:trPr>
          <w:trHeight w:val="520"/>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c>
          <w:tcPr>
            <w:tcW w:w="220" w:type="dxa"/>
            <w:vAlign w:val="bottom"/>
          </w:tcPr>
          <w:p>
            <w:pPr>
              <w:spacing w:after="0"/>
              <w:rPr>
                <w:sz w:val="24"/>
                <w:szCs w:val="24"/>
                <w:color w:val="auto"/>
              </w:rPr>
            </w:pP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Chief Financial Officer,</w:t>
            </w:r>
          </w:p>
        </w:tc>
        <w:tc>
          <w:tcPr>
            <w:tcW w:w="2500" w:type="dxa"/>
            <w:vAlign w:val="bottom"/>
          </w:tcPr>
          <w:p>
            <w:pPr>
              <w:ind w:left="20"/>
              <w:spacing w:after="0"/>
              <w:rPr>
                <w:sz w:val="20"/>
                <w:szCs w:val="20"/>
                <w:color w:val="auto"/>
              </w:rPr>
            </w:pPr>
            <w:r>
              <w:rPr>
                <w:rFonts w:ascii="Arial" w:cs="Arial" w:eastAsia="Arial" w:hAnsi="Arial"/>
                <w:sz w:val="18"/>
                <w:szCs w:val="18"/>
                <w:color w:val="auto"/>
              </w:rPr>
              <w:t>February 21,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220" w:type="dxa"/>
            <w:vAlign w:val="bottom"/>
          </w:tcPr>
          <w:p>
            <w:pPr>
              <w:spacing w:after="0"/>
              <w:rPr>
                <w:sz w:val="21"/>
                <w:szCs w:val="21"/>
                <w:color w:val="auto"/>
              </w:rPr>
            </w:pP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Chief Operating Officer and Treasurer</w:t>
            </w:r>
          </w:p>
        </w:tc>
        <w:tc>
          <w:tcPr>
            <w:tcW w:w="2500" w:type="dxa"/>
            <w:vAlign w:val="bottom"/>
          </w:tcPr>
          <w:p>
            <w:pPr>
              <w:spacing w:after="0"/>
              <w:rPr>
                <w:sz w:val="21"/>
                <w:szCs w:val="21"/>
                <w:color w:val="auto"/>
              </w:rPr>
            </w:pPr>
          </w:p>
        </w:tc>
      </w:tr>
      <w:tr>
        <w:trPr>
          <w:trHeight w:val="257"/>
        </w:trPr>
        <w:tc>
          <w:tcPr>
            <w:tcW w:w="3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60" w:type="dxa"/>
            <w:vAlign w:val="bottom"/>
            <w:gridSpan w:val="2"/>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2500" w:type="dxa"/>
            <w:vAlign w:val="bottom"/>
          </w:tcPr>
          <w:p>
            <w:pPr>
              <w:spacing w:after="0"/>
              <w:rPr>
                <w:sz w:val="22"/>
                <w:szCs w:val="22"/>
                <w:color w:val="auto"/>
              </w:rPr>
            </w:pPr>
          </w:p>
        </w:tc>
      </w:tr>
      <w:tr>
        <w:trPr>
          <w:trHeight w:val="534"/>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Charles W. Ergen</w:t>
            </w:r>
          </w:p>
        </w:tc>
        <w:tc>
          <w:tcPr>
            <w:tcW w:w="220" w:type="dxa"/>
            <w:vAlign w:val="bottom"/>
          </w:tcPr>
          <w:p>
            <w:pPr>
              <w:spacing w:after="0"/>
              <w:rPr>
                <w:sz w:val="24"/>
                <w:szCs w:val="24"/>
                <w:color w:val="auto"/>
              </w:rPr>
            </w:pP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Chairman</w:t>
            </w:r>
          </w:p>
        </w:tc>
        <w:tc>
          <w:tcPr>
            <w:tcW w:w="2500" w:type="dxa"/>
            <w:vAlign w:val="bottom"/>
          </w:tcPr>
          <w:p>
            <w:pPr>
              <w:ind w:left="20"/>
              <w:spacing w:after="0"/>
              <w:rPr>
                <w:sz w:val="20"/>
                <w:szCs w:val="20"/>
                <w:color w:val="auto"/>
              </w:rPr>
            </w:pPr>
            <w:r>
              <w:rPr>
                <w:rFonts w:ascii="Arial" w:cs="Arial" w:eastAsia="Arial" w:hAnsi="Arial"/>
                <w:sz w:val="18"/>
                <w:szCs w:val="18"/>
                <w:color w:val="auto"/>
              </w:rPr>
              <w:t>February 21,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Charles W. Ergen</w:t>
            </w:r>
          </w:p>
        </w:tc>
        <w:tc>
          <w:tcPr>
            <w:tcW w:w="220" w:type="dxa"/>
            <w:vAlign w:val="bottom"/>
          </w:tcPr>
          <w:p>
            <w:pPr>
              <w:spacing w:after="0"/>
              <w:rPr>
                <w:sz w:val="21"/>
                <w:szCs w:val="21"/>
                <w:color w:val="auto"/>
              </w:rPr>
            </w:pPr>
          </w:p>
        </w:tc>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520"/>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Dean A. Manson</w:t>
            </w:r>
          </w:p>
        </w:tc>
        <w:tc>
          <w:tcPr>
            <w:tcW w:w="220" w:type="dxa"/>
            <w:vAlign w:val="bottom"/>
          </w:tcPr>
          <w:p>
            <w:pPr>
              <w:spacing w:after="0"/>
              <w:rPr>
                <w:sz w:val="24"/>
                <w:szCs w:val="24"/>
                <w:color w:val="auto"/>
              </w:rPr>
            </w:pP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General Counsel</w:t>
            </w:r>
          </w:p>
        </w:tc>
        <w:tc>
          <w:tcPr>
            <w:tcW w:w="2500" w:type="dxa"/>
            <w:vAlign w:val="bottom"/>
          </w:tcPr>
          <w:p>
            <w:pPr>
              <w:ind w:left="20"/>
              <w:spacing w:after="0"/>
              <w:rPr>
                <w:sz w:val="20"/>
                <w:szCs w:val="20"/>
                <w:color w:val="auto"/>
              </w:rPr>
            </w:pPr>
            <w:r>
              <w:rPr>
                <w:rFonts w:ascii="Arial" w:cs="Arial" w:eastAsia="Arial" w:hAnsi="Arial"/>
                <w:sz w:val="18"/>
                <w:szCs w:val="18"/>
                <w:color w:val="auto"/>
              </w:rPr>
              <w:t>February 21, 2019</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Dean A. Manson</w:t>
            </w:r>
          </w:p>
        </w:tc>
        <w:tc>
          <w:tcPr>
            <w:tcW w:w="220" w:type="dxa"/>
            <w:vAlign w:val="bottom"/>
          </w:tcPr>
          <w:p>
            <w:pPr>
              <w:spacing w:after="0"/>
              <w:rPr>
                <w:sz w:val="21"/>
                <w:szCs w:val="21"/>
                <w:color w:val="auto"/>
              </w:rPr>
            </w:pPr>
          </w:p>
        </w:tc>
        <w:tc>
          <w:tcPr>
            <w:tcW w:w="5260" w:type="dxa"/>
            <w:vAlign w:val="bottom"/>
            <w:gridSpan w:val="2"/>
          </w:tcPr>
          <w:p>
            <w:pPr>
              <w:ind w:left="40"/>
              <w:spacing w:after="0"/>
              <w:rPr>
                <w:sz w:val="20"/>
                <w:szCs w:val="20"/>
                <w:color w:val="auto"/>
              </w:rPr>
            </w:pPr>
            <w:r>
              <w:rPr>
                <w:rFonts w:ascii="Arial" w:cs="Arial" w:eastAsia="Arial" w:hAnsi="Arial"/>
                <w:sz w:val="18"/>
                <w:szCs w:val="18"/>
                <w:color w:val="auto"/>
              </w:rPr>
              <w:t>Secretary and Director</w:t>
            </w:r>
          </w:p>
        </w:tc>
        <w:tc>
          <w:tcPr>
            <w:tcW w:w="2500" w:type="dxa"/>
            <w:vAlign w:val="bottom"/>
          </w:tcPr>
          <w:p>
            <w:pPr>
              <w:spacing w:after="0"/>
              <w:rPr>
                <w:sz w:val="21"/>
                <w:szCs w:val="21"/>
                <w:color w:val="auto"/>
              </w:rPr>
            </w:pPr>
          </w:p>
        </w:tc>
      </w:tr>
      <w:tr>
        <w:trPr>
          <w:trHeight w:val="689"/>
        </w:trPr>
        <w:tc>
          <w:tcPr>
            <w:tcW w:w="3440" w:type="dxa"/>
            <w:vAlign w:val="bottom"/>
          </w:tcPr>
          <w:p>
            <w:pPr>
              <w:spacing w:after="0"/>
              <w:rPr>
                <w:sz w:val="24"/>
                <w:szCs w:val="24"/>
                <w:color w:val="auto"/>
              </w:rPr>
            </w:pPr>
          </w:p>
        </w:tc>
        <w:tc>
          <w:tcPr>
            <w:tcW w:w="5380" w:type="dxa"/>
            <w:vAlign w:val="bottom"/>
            <w:gridSpan w:val="2"/>
          </w:tcPr>
          <w:p>
            <w:pPr>
              <w:jc w:val="right"/>
              <w:ind w:right="29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2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6"/>
        </w:trPr>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912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0520" w:type="dxa"/>
            <w:vAlign w:val="bottom"/>
            <w:gridSpan w:val="12"/>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Page</w:t>
            </w:r>
          </w:p>
        </w:tc>
      </w:tr>
      <w:tr>
        <w:trPr>
          <w:trHeight w:val="203"/>
        </w:trPr>
        <w:tc>
          <w:tcPr>
            <w:tcW w:w="60" w:type="dxa"/>
            <w:vAlign w:val="bottom"/>
          </w:tcPr>
          <w:p>
            <w:pPr>
              <w:spacing w:after="0"/>
              <w:rPr>
                <w:sz w:val="17"/>
                <w:szCs w:val="17"/>
                <w:color w:val="auto"/>
              </w:rPr>
            </w:pPr>
          </w:p>
        </w:tc>
        <w:tc>
          <w:tcPr>
            <w:tcW w:w="10460" w:type="dxa"/>
            <w:vAlign w:val="bottom"/>
            <w:gridSpan w:val="11"/>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Index to Consolidated Financial Statements</w:t>
              </w:r>
            </w:hyperlink>
          </w:p>
        </w:tc>
        <w:tc>
          <w:tcPr>
            <w:tcW w:w="900" w:type="dxa"/>
            <w:vAlign w:val="bottom"/>
            <w:gridSpan w:val="3"/>
          </w:tcPr>
          <w:p>
            <w:pPr>
              <w:ind w:left="60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F-1</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458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Report of Independent Registered Public Accounting Firm</w:t>
              </w:r>
            </w:hyperlink>
          </w:p>
        </w:tc>
        <w:tc>
          <w:tcPr>
            <w:tcW w:w="5880" w:type="dxa"/>
            <w:vAlign w:val="bottom"/>
            <w:gridSpan w:val="5"/>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F-2</w:t>
              </w:r>
            </w:hyperlink>
          </w:p>
        </w:tc>
        <w:tc>
          <w:tcPr>
            <w:tcW w:w="20" w:type="dxa"/>
            <w:vAlign w:val="bottom"/>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10460" w:type="dxa"/>
            <w:vAlign w:val="bottom"/>
            <w:gridSpan w:val="1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Balance Sheets as of December 31, 2018 and 2017</w:t>
              </w:r>
            </w:hyperlink>
          </w:p>
        </w:tc>
        <w:tc>
          <w:tcPr>
            <w:tcW w:w="900" w:type="dxa"/>
            <w:vAlign w:val="bottom"/>
            <w:gridSpan w:val="3"/>
          </w:tcPr>
          <w:p>
            <w:pPr>
              <w:ind w:left="600"/>
              <w:spacing w:after="0"/>
              <w:rPr>
                <w:rFonts w:ascii="Arial" w:cs="Arial" w:eastAsia="Arial" w:hAnsi="Arial"/>
                <w:sz w:val="18"/>
                <w:szCs w:val="18"/>
                <w:color w:val="0000EE"/>
              </w:rPr>
            </w:pPr>
            <w:hyperlink w:anchor="page55">
              <w:r>
                <w:rPr>
                  <w:rFonts w:ascii="Arial" w:cs="Arial" w:eastAsia="Arial" w:hAnsi="Arial"/>
                  <w:sz w:val="18"/>
                  <w:szCs w:val="18"/>
                  <w:color w:val="0000EE"/>
                </w:rPr>
                <w:t>F-3</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10460" w:type="dxa"/>
            <w:vAlign w:val="bottom"/>
            <w:gridSpan w:val="1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Statements of Operations and Comprehensive Income (Loss) for the years ended December 31, 2018, 2017 and</w:t>
              </w:r>
            </w:hyperlink>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60" w:type="dxa"/>
            <w:vAlign w:val="bottom"/>
          </w:tcPr>
          <w:p>
            <w:pPr>
              <w:spacing w:after="0"/>
              <w:rPr>
                <w:sz w:val="15"/>
                <w:szCs w:val="15"/>
                <w:color w:val="auto"/>
              </w:rPr>
            </w:pPr>
          </w:p>
        </w:tc>
        <w:tc>
          <w:tcPr>
            <w:tcW w:w="540" w:type="dxa"/>
            <w:vAlign w:val="bottom"/>
            <w:tcBorders>
              <w:top w:val="single" w:sz="8" w:color="0000EE"/>
            </w:tcBorders>
            <w:gridSpan w:val="2"/>
          </w:tcPr>
          <w:p>
            <w:pPr>
              <w:jc w:val="right"/>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2016</w:t>
              </w:r>
            </w:hyperlink>
          </w:p>
        </w:tc>
        <w:tc>
          <w:tcPr>
            <w:tcW w:w="800" w:type="dxa"/>
            <w:vAlign w:val="bottom"/>
            <w:tcBorders>
              <w:top w:val="single" w:sz="8" w:color="0000EE"/>
            </w:tcBorders>
          </w:tcPr>
          <w:p>
            <w:pPr>
              <w:spacing w:after="0"/>
              <w:rPr>
                <w:sz w:val="15"/>
                <w:szCs w:val="15"/>
                <w:color w:val="auto"/>
              </w:rPr>
            </w:pPr>
          </w:p>
        </w:tc>
        <w:tc>
          <w:tcPr>
            <w:tcW w:w="2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2500" w:type="dxa"/>
            <w:vAlign w:val="bottom"/>
            <w:tcBorders>
              <w:top w:val="single" w:sz="8" w:color="0000EE"/>
            </w:tcBorders>
          </w:tcPr>
          <w:p>
            <w:pPr>
              <w:spacing w:after="0"/>
              <w:rPr>
                <w:sz w:val="15"/>
                <w:szCs w:val="15"/>
                <w:color w:val="auto"/>
              </w:rPr>
            </w:pPr>
          </w:p>
        </w:tc>
        <w:tc>
          <w:tcPr>
            <w:tcW w:w="170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3"/>
          </w:tcPr>
          <w:p>
            <w:pPr>
              <w:ind w:left="600"/>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F-4</w:t>
              </w:r>
            </w:hyperlink>
          </w:p>
        </w:tc>
      </w:tr>
      <w:tr>
        <w:trPr>
          <w:trHeight w:val="20"/>
        </w:trPr>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60" w:type="dxa"/>
            <w:vAlign w:val="bottom"/>
          </w:tcPr>
          <w:p>
            <w:pPr>
              <w:spacing w:after="0"/>
              <w:rPr>
                <w:sz w:val="20"/>
                <w:szCs w:val="20"/>
                <w:color w:val="auto"/>
              </w:rPr>
            </w:pPr>
          </w:p>
        </w:tc>
        <w:tc>
          <w:tcPr>
            <w:tcW w:w="94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Consolidated Statements of Changes in Shareholders’ Equity for the years ended December 31, 2018, 2017 and 2016</w:t>
              </w:r>
            </w:hyperlink>
          </w:p>
        </w:tc>
        <w:tc>
          <w:tcPr>
            <w:tcW w:w="106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F-5</w:t>
              </w:r>
            </w:hyperlink>
          </w:p>
        </w:tc>
        <w:tc>
          <w:tcPr>
            <w:tcW w:w="20" w:type="dxa"/>
            <w:vAlign w:val="bottom"/>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10460" w:type="dxa"/>
            <w:vAlign w:val="bottom"/>
            <w:gridSpan w:val="1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Cash Flows for the years ended December 31, 2018, 2017 and 2016</w:t>
              </w:r>
            </w:hyperlink>
          </w:p>
        </w:tc>
        <w:tc>
          <w:tcPr>
            <w:tcW w:w="900" w:type="dxa"/>
            <w:vAlign w:val="bottom"/>
            <w:gridSpan w:val="3"/>
          </w:tcPr>
          <w:p>
            <w:pPr>
              <w:ind w:left="600"/>
              <w:spacing w:after="0"/>
              <w:rPr>
                <w:rFonts w:ascii="Arial" w:cs="Arial" w:eastAsia="Arial" w:hAnsi="Arial"/>
                <w:sz w:val="18"/>
                <w:szCs w:val="18"/>
                <w:color w:val="0000EE"/>
              </w:rPr>
            </w:pPr>
            <w:hyperlink w:anchor="page58">
              <w:r>
                <w:rPr>
                  <w:rFonts w:ascii="Arial" w:cs="Arial" w:eastAsia="Arial" w:hAnsi="Arial"/>
                  <w:sz w:val="18"/>
                  <w:szCs w:val="18"/>
                  <w:color w:val="0000EE"/>
                </w:rPr>
                <w:t>F-6</w:t>
              </w:r>
            </w:hyperlink>
          </w:p>
        </w:tc>
      </w:tr>
      <w:tr>
        <w:trPr>
          <w:trHeight w:val="237"/>
        </w:trPr>
        <w:tc>
          <w:tcPr>
            <w:tcW w:w="60" w:type="dxa"/>
            <w:vAlign w:val="bottom"/>
          </w:tcPr>
          <w:p>
            <w:pPr>
              <w:spacing w:after="0"/>
              <w:rPr>
                <w:sz w:val="20"/>
                <w:szCs w:val="20"/>
                <w:color w:val="auto"/>
              </w:rPr>
            </w:pPr>
          </w:p>
        </w:tc>
        <w:tc>
          <w:tcPr>
            <w:tcW w:w="7700" w:type="dxa"/>
            <w:vAlign w:val="bottom"/>
            <w:tcBorders>
              <w:top w:val="single" w:sz="8" w:color="0000EE"/>
            </w:tcBorders>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Notes to Consolidated Financial Statements</w:t>
              </w:r>
            </w:hyperlink>
          </w:p>
        </w:tc>
        <w:tc>
          <w:tcPr>
            <w:tcW w:w="2760" w:type="dxa"/>
            <w:vAlign w:val="bottom"/>
            <w:gridSpan w:val="3"/>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Borders>
              <w:top w:val="single" w:sz="8" w:color="0000EE"/>
            </w:tcBorders>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F-7</w:t>
              </w:r>
            </w:hyperlink>
          </w:p>
        </w:tc>
        <w:tc>
          <w:tcPr>
            <w:tcW w:w="20" w:type="dxa"/>
            <w:vAlign w:val="bottom"/>
          </w:tcPr>
          <w:p>
            <w:pPr>
              <w:spacing w:after="0"/>
              <w:rPr>
                <w:sz w:val="20"/>
                <w:szCs w:val="20"/>
                <w:color w:val="auto"/>
              </w:rPr>
            </w:pPr>
          </w:p>
        </w:tc>
      </w:tr>
      <w:tr>
        <w:trPr>
          <w:trHeight w:val="709"/>
        </w:trPr>
        <w:tc>
          <w:tcPr>
            <w:tcW w:w="6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60" w:type="dxa"/>
            <w:vAlign w:val="bottom"/>
            <w:gridSpan w:val="4"/>
          </w:tcPr>
          <w:p>
            <w:pPr>
              <w:jc w:val="center"/>
              <w:ind w:right="4360"/>
              <w:spacing w:after="0"/>
              <w:rPr>
                <w:sz w:val="20"/>
                <w:szCs w:val="20"/>
                <w:color w:val="auto"/>
              </w:rPr>
            </w:pPr>
            <w:r>
              <w:rPr>
                <w:rFonts w:ascii="Arial" w:cs="Arial" w:eastAsia="Arial" w:hAnsi="Arial"/>
                <w:sz w:val="18"/>
                <w:szCs w:val="18"/>
                <w:color w:val="auto"/>
                <w:w w:val="96"/>
              </w:rPr>
              <w:t>F-1</w:t>
            </w:r>
          </w:p>
        </w:tc>
        <w:tc>
          <w:tcPr>
            <w:tcW w:w="60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Hughes Satellite Systems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Opinion on the </w:t>
      </w:r>
      <w:r>
        <w:rPr>
          <w:rFonts w:ascii="Arial" w:cs="Arial" w:eastAsia="Arial" w:hAnsi="Arial"/>
          <w:sz w:val="18"/>
          <w:szCs w:val="18"/>
          <w:color w:val="auto"/>
        </w:rPr>
        <w:t>Consolidated</w:t>
      </w:r>
      <w:r>
        <w:rPr>
          <w:rFonts w:ascii="Arial" w:cs="Arial" w:eastAsia="Arial" w:hAnsi="Arial"/>
          <w:sz w:val="18"/>
          <w:szCs w:val="18"/>
          <w:i w:val="1"/>
          <w:iCs w:val="1"/>
          <w:color w:val="auto"/>
        </w:rPr>
        <w:t xml:space="preserve"> Financial Statements</w:t>
      </w:r>
    </w:p>
    <w:p>
      <w:pPr>
        <w:spacing w:after="0" w:line="108"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We have audited the accompanying consolidated balance sheets of Hughes Satellite Systems Corporation and subsidiaries (the “Company”) as of December 31, 2018 and 2017, the related consolidated statements of operations and comprehensive income (loss), changes in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 xml:space="preserve">year period ended December 31, 2018, and the related notes </w:t>
      </w:r>
      <w:r>
        <w:rPr>
          <w:rFonts w:ascii="Arial" w:cs="Arial" w:eastAsia="Arial" w:hAnsi="Arial"/>
          <w:sz w:val="18"/>
          <w:szCs w:val="18"/>
          <w:i w:val="1"/>
          <w:iCs w:val="1"/>
          <w:color w:val="auto"/>
        </w:rPr>
        <w:t>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 schedule II </w:t>
      </w:r>
      <w:r>
        <w:rPr>
          <w:rFonts w:ascii="Arial" w:cs="Arial" w:eastAsia="Arial" w:hAnsi="Arial"/>
          <w:sz w:val="18"/>
          <w:szCs w:val="18"/>
          <w:color w:val="auto"/>
        </w:rPr>
        <w:t>listed in Item 15, (collectively, the “consolidated financial statements”). In our opinion, the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in conformity with U.S. generally accepted accounting principles.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2 to the consolidated financial statements, the Company has changed its method of accounting for revenue recognition in 2018 due to the adoption of Accounting Standards Update No. 2014-09, Revenue from Contracts with Customers and changed its method of accounting for marketable investment securities and fair value measurements due to the adoption of Accounting Standards Update No. 2016-01, Recognition and Measurement of Financial Assets and Financial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40" w:right="239" w:bottom="1440" w:gutter="0" w:footer="0" w:header="0"/>
        </w:sectPr>
      </w:pPr>
    </w:p>
    <w:bookmarkStart w:id="54" w:name="page55"/>
    <w:bookmarkEnd w:id="54"/>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3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(Dollars in thousands, except per share amounts)</w:t>
      </w:r>
    </w:p>
    <w:p>
      <w:pPr>
        <w:spacing w:after="0" w:line="205" w:lineRule="exact"/>
        <w:rPr>
          <w:sz w:val="20"/>
          <w:szCs w:val="20"/>
          <w:color w:val="auto"/>
        </w:rPr>
      </w:pPr>
    </w:p>
    <w:p>
      <w:pPr>
        <w:jc w:val="right"/>
        <w:ind w:right="700"/>
        <w:spacing w:after="0"/>
        <w:rPr>
          <w:sz w:val="20"/>
          <w:szCs w:val="20"/>
          <w:color w:val="auto"/>
        </w:rPr>
      </w:pPr>
      <w:r>
        <w:rPr>
          <w:rFonts w:ascii="Arial" w:cs="Arial" w:eastAsia="Arial" w:hAnsi="Arial"/>
          <w:sz w:val="15"/>
          <w:szCs w:val="15"/>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24130</wp:posOffset>
            </wp:positionV>
            <wp:extent cx="1800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ectPr>
          <w:pgSz w:w="11900" w:h="16847" w:orient="portrait"/>
          <w:cols w:equalWidth="0" w:num="1">
            <w:col w:w="11420"/>
          </w:cols>
          <w:pgMar w:left="240" w:top="140" w:right="239" w:bottom="0" w:gutter="0" w:footer="0" w:header="0"/>
        </w:sectPr>
      </w:pPr>
    </w:p>
    <w:p>
      <w:pPr>
        <w:spacing w:after="0" w:line="327" w:lineRule="exact"/>
        <w:rPr>
          <w:sz w:val="20"/>
          <w:szCs w:val="20"/>
          <w:color w:val="auto"/>
        </w:rPr>
      </w:pPr>
    </w:p>
    <w:p>
      <w:pPr>
        <w:jc w:val="center"/>
        <w:ind w:left="600"/>
        <w:spacing w:after="0"/>
        <w:rPr>
          <w:sz w:val="20"/>
          <w:szCs w:val="20"/>
          <w:color w:val="auto"/>
        </w:rPr>
      </w:pPr>
      <w:r>
        <w:rPr>
          <w:rFonts w:ascii="Arial" w:cs="Arial" w:eastAsia="Arial" w:hAnsi="Arial"/>
          <w:sz w:val="15"/>
          <w:szCs w:val="15"/>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1"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Cash and cash equivalents</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Marketable investment securities,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Trade accounts receivable and contract assets, net (Note 3)</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Trade accounts receivable - DISH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Inventory</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Prepaids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Advances to affiliates, net</w:t>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Total current assets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Noncurrent assets: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r>
      <w:tr>
        <w:trPr>
          <w:trHeight w:val="800"/>
        </w:trPr>
        <w:tc>
          <w:tcPr>
            <w:tcW w:w="32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847,823</w:t>
            </w:r>
          </w:p>
        </w:tc>
        <w:tc>
          <w:tcPr>
            <w:tcW w:w="120" w:type="dxa"/>
            <w:vAlign w:val="bottom"/>
          </w:tcPr>
          <w:p>
            <w:pPr>
              <w:spacing w:after="0"/>
              <w:rPr>
                <w:sz w:val="24"/>
                <w:szCs w:val="24"/>
                <w:color w:val="auto"/>
              </w:rPr>
            </w:pP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1,822,561</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1,609,196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455,602</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201,096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196,840</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13,550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38,641</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75,379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83,595</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48,681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38,797</w:t>
            </w:r>
          </w:p>
        </w:tc>
      </w:tr>
      <w:tr>
        <w:trPr>
          <w:trHeight w:val="270"/>
        </w:trPr>
        <w:tc>
          <w:tcPr>
            <w:tcW w:w="320" w:type="dxa"/>
            <w:vAlign w:val="bottom"/>
          </w:tcPr>
          <w:p>
            <w:pPr>
              <w:spacing w:after="0"/>
              <w:rPr>
                <w:sz w:val="23"/>
                <w:szCs w:val="23"/>
                <w:color w:val="auto"/>
              </w:rPr>
            </w:pPr>
          </w:p>
        </w:tc>
        <w:tc>
          <w:tcPr>
            <w:tcW w:w="1040" w:type="dxa"/>
            <w:vAlign w:val="bottom"/>
          </w:tcPr>
          <w:p>
            <w:pPr>
              <w:jc w:val="right"/>
              <w:ind w:right="23"/>
              <w:spacing w:after="0"/>
              <w:rPr>
                <w:sz w:val="20"/>
                <w:szCs w:val="20"/>
                <w:color w:val="auto"/>
              </w:rPr>
            </w:pPr>
            <w:r>
              <w:rPr>
                <w:rFonts w:ascii="Arial" w:cs="Arial" w:eastAsia="Arial" w:hAnsi="Arial"/>
                <w:sz w:val="15"/>
                <w:szCs w:val="15"/>
                <w:color w:val="auto"/>
              </w:rPr>
              <w:t>103,550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23"/>
              <w:spacing w:after="0"/>
              <w:rPr>
                <w:sz w:val="20"/>
                <w:szCs w:val="20"/>
                <w:color w:val="auto"/>
              </w:rPr>
            </w:pPr>
            <w:r>
              <w:rPr>
                <w:rFonts w:ascii="Arial" w:cs="Arial" w:eastAsia="Arial" w:hAnsi="Arial"/>
                <w:sz w:val="15"/>
                <w:szCs w:val="15"/>
                <w:color w:val="auto"/>
              </w:rPr>
              <w:t>114,858</w:t>
            </w:r>
          </w:p>
        </w:tc>
      </w:tr>
      <w:tr>
        <w:trPr>
          <w:trHeight w:val="274"/>
        </w:trPr>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18,539</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91,544</w:t>
            </w:r>
          </w:p>
        </w:tc>
      </w:tr>
      <w:tr>
        <w:trPr>
          <w:trHeight w:val="250"/>
        </w:trPr>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2,917,814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2,842,438</w:t>
            </w:r>
          </w:p>
        </w:tc>
      </w:tr>
    </w:tbl>
    <w:p>
      <w:pPr>
        <w:spacing w:after="0" w:line="270" w:lineRule="exact"/>
        <w:rPr>
          <w:sz w:val="20"/>
          <w:szCs w:val="20"/>
          <w:color w:val="auto"/>
        </w:rPr>
      </w:pPr>
    </w:p>
    <w:p>
      <w:pPr>
        <w:sectPr>
          <w:pgSz w:w="11900" w:h="16847" w:orient="portrait"/>
          <w:cols w:equalWidth="0" w:num="2">
            <w:col w:w="7860" w:space="720"/>
            <w:col w:w="2840"/>
          </w:cols>
          <w:pgMar w:left="240" w:top="140" w:right="239" w:bottom="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Property and equipment, net</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2,582,181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2,753,098</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Regulatory authorizations</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465,658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465,658</w:t>
            </w:r>
          </w:p>
        </w:tc>
        <w:tc>
          <w:tcPr>
            <w:tcW w:w="0" w:type="dxa"/>
            <w:vAlign w:val="bottom"/>
          </w:tcPr>
          <w:p>
            <w:pPr>
              <w:spacing w:after="0"/>
              <w:rPr>
                <w:sz w:val="1"/>
                <w:szCs w:val="1"/>
                <w:color w:val="auto"/>
              </w:rPr>
            </w:pPr>
          </w:p>
        </w:tc>
      </w:tr>
      <w:tr>
        <w:trPr>
          <w:trHeight w:val="58"/>
        </w:trPr>
        <w:tc>
          <w:tcPr>
            <w:tcW w:w="8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Goodwill</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504,173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504,173</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Other intangible assets, net</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43,952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58,582</w:t>
            </w:r>
          </w:p>
        </w:tc>
        <w:tc>
          <w:tcPr>
            <w:tcW w:w="0" w:type="dxa"/>
            <w:vAlign w:val="bottom"/>
          </w:tcPr>
          <w:p>
            <w:pPr>
              <w:spacing w:after="0"/>
              <w:rPr>
                <w:sz w:val="1"/>
                <w:szCs w:val="1"/>
                <w:color w:val="auto"/>
              </w:rPr>
            </w:pPr>
          </w:p>
        </w:tc>
      </w:tr>
      <w:tr>
        <w:trPr>
          <w:trHeight w:val="58"/>
        </w:trPr>
        <w:tc>
          <w:tcPr>
            <w:tcW w:w="8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Investments in unconsolidated entities</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126,369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30,587</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Other noncurrent assets, net</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253,025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202,814</w:t>
            </w:r>
          </w:p>
        </w:tc>
        <w:tc>
          <w:tcPr>
            <w:tcW w:w="0" w:type="dxa"/>
            <w:vAlign w:val="bottom"/>
          </w:tcPr>
          <w:p>
            <w:pPr>
              <w:spacing w:after="0"/>
              <w:rPr>
                <w:sz w:val="1"/>
                <w:szCs w:val="1"/>
                <w:color w:val="auto"/>
              </w:rPr>
            </w:pPr>
          </w:p>
        </w:tc>
      </w:tr>
      <w:tr>
        <w:trPr>
          <w:trHeight w:val="58"/>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58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noncurrent assets</w:t>
            </w: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3,975,358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4,014,912</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8580" w:type="dxa"/>
            <w:vAlign w:val="bottom"/>
            <w:tcBorders>
              <w:bottom w:val="single" w:sz="8" w:color="CCEEFF"/>
            </w:tcBorders>
          </w:tcPr>
          <w:p>
            <w:pPr>
              <w:ind w:left="920"/>
              <w:spacing w:after="0"/>
              <w:rPr>
                <w:sz w:val="20"/>
                <w:szCs w:val="20"/>
                <w:color w:val="auto"/>
              </w:rPr>
            </w:pPr>
            <w:r>
              <w:rPr>
                <w:rFonts w:ascii="Arial" w:cs="Arial" w:eastAsia="Arial" w:hAnsi="Arial"/>
                <w:sz w:val="15"/>
                <w:szCs w:val="15"/>
                <w:color w:val="auto"/>
              </w:rPr>
              <w:t>Total assets</w:t>
            </w: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6,893,172</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6,857,350</w:t>
            </w:r>
          </w:p>
        </w:tc>
        <w:tc>
          <w:tcPr>
            <w:tcW w:w="0" w:type="dxa"/>
            <w:vAlign w:val="bottom"/>
          </w:tcPr>
          <w:p>
            <w:pPr>
              <w:spacing w:after="0"/>
              <w:rPr>
                <w:sz w:val="1"/>
                <w:szCs w:val="1"/>
                <w:color w:val="auto"/>
              </w:rPr>
            </w:pPr>
          </w:p>
        </w:tc>
      </w:tr>
      <w:tr>
        <w:trPr>
          <w:trHeight w:val="166"/>
        </w:trPr>
        <w:tc>
          <w:tcPr>
            <w:tcW w:w="8580" w:type="dxa"/>
            <w:vAlign w:val="bottom"/>
            <w:shd w:val="clear" w:color="auto" w:fill="CCEEFF"/>
          </w:tcPr>
          <w:p>
            <w:pPr>
              <w:ind w:left="2940"/>
              <w:spacing w:after="0" w:line="166" w:lineRule="exact"/>
              <w:rPr>
                <w:sz w:val="20"/>
                <w:szCs w:val="20"/>
                <w:color w:val="auto"/>
              </w:rPr>
            </w:pPr>
            <w:r>
              <w:rPr>
                <w:rFonts w:ascii="Arial" w:cs="Arial" w:eastAsia="Arial" w:hAnsi="Arial"/>
                <w:sz w:val="15"/>
                <w:szCs w:val="15"/>
                <w:b w:val="1"/>
                <w:bCs w:val="1"/>
                <w:color w:val="auto"/>
              </w:rPr>
              <w:t>Liabilities and Shareholders’ Equity</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85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Trade accounts payable</w:t>
            </w:r>
          </w:p>
        </w:tc>
        <w:tc>
          <w:tcPr>
            <w:tcW w:w="34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104,751</w:t>
            </w:r>
          </w:p>
        </w:tc>
        <w:tc>
          <w:tcPr>
            <w:tcW w:w="12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102,816</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Trade accounts payable - DISH Network</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752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3,769</w:t>
            </w:r>
          </w:p>
        </w:tc>
        <w:tc>
          <w:tcPr>
            <w:tcW w:w="0" w:type="dxa"/>
            <w:vAlign w:val="bottom"/>
          </w:tcPr>
          <w:p>
            <w:pPr>
              <w:spacing w:after="0"/>
              <w:rPr>
                <w:sz w:val="1"/>
                <w:szCs w:val="1"/>
                <w:color w:val="auto"/>
              </w:rPr>
            </w:pPr>
          </w:p>
        </w:tc>
      </w:tr>
      <w:tr>
        <w:trPr>
          <w:trHeight w:val="58"/>
        </w:trPr>
        <w:tc>
          <w:tcPr>
            <w:tcW w:w="8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Current portion of long-term debt and capital lease obligations</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959,577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40,631</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Advances from affiliates, net</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868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477</w:t>
            </w:r>
          </w:p>
        </w:tc>
        <w:tc>
          <w:tcPr>
            <w:tcW w:w="0" w:type="dxa"/>
            <w:vAlign w:val="bottom"/>
          </w:tcPr>
          <w:p>
            <w:pPr>
              <w:spacing w:after="0"/>
              <w:rPr>
                <w:sz w:val="1"/>
                <w:szCs w:val="1"/>
                <w:color w:val="auto"/>
              </w:rPr>
            </w:pPr>
          </w:p>
        </w:tc>
      </w:tr>
      <w:tr>
        <w:trPr>
          <w:trHeight w:val="58"/>
        </w:trPr>
        <w:tc>
          <w:tcPr>
            <w:tcW w:w="8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Contract liabilities</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72,249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65,959</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Accrued interest</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46,703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46,834</w:t>
            </w:r>
          </w:p>
        </w:tc>
        <w:tc>
          <w:tcPr>
            <w:tcW w:w="0" w:type="dxa"/>
            <w:vAlign w:val="bottom"/>
          </w:tcPr>
          <w:p>
            <w:pPr>
              <w:spacing w:after="0"/>
              <w:rPr>
                <w:sz w:val="1"/>
                <w:szCs w:val="1"/>
                <w:color w:val="auto"/>
              </w:rPr>
            </w:pPr>
          </w:p>
        </w:tc>
      </w:tr>
      <w:tr>
        <w:trPr>
          <w:trHeight w:val="58"/>
        </w:trPr>
        <w:tc>
          <w:tcPr>
            <w:tcW w:w="8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Accrued compensation</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42,796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36,924</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Accrued taxes</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7,609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8,198</w:t>
            </w:r>
          </w:p>
        </w:tc>
        <w:tc>
          <w:tcPr>
            <w:tcW w:w="0" w:type="dxa"/>
            <w:vAlign w:val="bottom"/>
          </w:tcPr>
          <w:p>
            <w:pPr>
              <w:spacing w:after="0"/>
              <w:rPr>
                <w:sz w:val="1"/>
                <w:szCs w:val="1"/>
                <w:color w:val="auto"/>
              </w:rPr>
            </w:pPr>
          </w:p>
        </w:tc>
      </w:tr>
      <w:tr>
        <w:trPr>
          <w:trHeight w:val="58"/>
        </w:trPr>
        <w:tc>
          <w:tcPr>
            <w:tcW w:w="8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Accrued expenses and other</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68,854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77,312</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500"/>
              <w:spacing w:after="0"/>
              <w:rPr>
                <w:sz w:val="20"/>
                <w:szCs w:val="20"/>
                <w:color w:val="auto"/>
              </w:rPr>
            </w:pPr>
            <w:r>
              <w:rPr>
                <w:rFonts w:ascii="Arial" w:cs="Arial" w:eastAsia="Arial" w:hAnsi="Arial"/>
                <w:sz w:val="15"/>
                <w:szCs w:val="15"/>
                <w:color w:val="auto"/>
              </w:rPr>
              <w:t>Total current liabilities</w:t>
            </w:r>
          </w:p>
        </w:tc>
        <w:tc>
          <w:tcPr>
            <w:tcW w:w="340" w:type="dxa"/>
            <w:vAlign w:val="bottom"/>
          </w:tcPr>
          <w:p>
            <w:pPr>
              <w:spacing w:after="0"/>
              <w:rPr>
                <w:sz w:val="16"/>
                <w:szCs w:val="16"/>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1,304,159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382,920</w:t>
            </w:r>
          </w:p>
        </w:tc>
        <w:tc>
          <w:tcPr>
            <w:tcW w:w="0" w:type="dxa"/>
            <w:vAlign w:val="bottom"/>
          </w:tcPr>
          <w:p>
            <w:pPr>
              <w:spacing w:after="0"/>
              <w:rPr>
                <w:sz w:val="1"/>
                <w:szCs w:val="1"/>
                <w:color w:val="auto"/>
              </w:rPr>
            </w:pPr>
          </w:p>
        </w:tc>
      </w:tr>
      <w:tr>
        <w:trPr>
          <w:trHeight w:val="58"/>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5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5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Long-term debt and capital lease obligations, net</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2,573,204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3,594,213</w:t>
            </w:r>
          </w:p>
        </w:tc>
        <w:tc>
          <w:tcPr>
            <w:tcW w:w="0" w:type="dxa"/>
            <w:vAlign w:val="bottom"/>
          </w:tcPr>
          <w:p>
            <w:pPr>
              <w:spacing w:after="0"/>
              <w:rPr>
                <w:sz w:val="1"/>
                <w:szCs w:val="1"/>
                <w:color w:val="auto"/>
              </w:rPr>
            </w:pPr>
          </w:p>
        </w:tc>
      </w:tr>
      <w:tr>
        <w:trPr>
          <w:trHeight w:val="58"/>
        </w:trPr>
        <w:tc>
          <w:tcPr>
            <w:tcW w:w="8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tax liabilities, net</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488,736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439,631</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Advances from affiliates</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33,438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33,715</w:t>
            </w:r>
          </w:p>
        </w:tc>
        <w:tc>
          <w:tcPr>
            <w:tcW w:w="0" w:type="dxa"/>
            <w:vAlign w:val="bottom"/>
          </w:tcPr>
          <w:p>
            <w:pPr>
              <w:spacing w:after="0"/>
              <w:rPr>
                <w:sz w:val="1"/>
                <w:szCs w:val="1"/>
                <w:color w:val="auto"/>
              </w:rPr>
            </w:pPr>
          </w:p>
        </w:tc>
      </w:tr>
      <w:tr>
        <w:trPr>
          <w:trHeight w:val="58"/>
        </w:trPr>
        <w:tc>
          <w:tcPr>
            <w:tcW w:w="8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noncurrent liabilities</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101,140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107,627</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500"/>
              <w:spacing w:after="0"/>
              <w:rPr>
                <w:sz w:val="20"/>
                <w:szCs w:val="20"/>
                <w:color w:val="auto"/>
              </w:rPr>
            </w:pPr>
            <w:r>
              <w:rPr>
                <w:rFonts w:ascii="Arial" w:cs="Arial" w:eastAsia="Arial" w:hAnsi="Arial"/>
                <w:sz w:val="15"/>
                <w:szCs w:val="15"/>
                <w:color w:val="auto"/>
              </w:rPr>
              <w:t>Total noncurrent liabilities</w:t>
            </w:r>
          </w:p>
        </w:tc>
        <w:tc>
          <w:tcPr>
            <w:tcW w:w="340" w:type="dxa"/>
            <w:vAlign w:val="bottom"/>
          </w:tcPr>
          <w:p>
            <w:pPr>
              <w:spacing w:after="0"/>
              <w:rPr>
                <w:sz w:val="16"/>
                <w:szCs w:val="16"/>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3,196,518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4,175,186</w:t>
            </w:r>
          </w:p>
        </w:tc>
        <w:tc>
          <w:tcPr>
            <w:tcW w:w="0" w:type="dxa"/>
            <w:vAlign w:val="bottom"/>
          </w:tcPr>
          <w:p>
            <w:pPr>
              <w:spacing w:after="0"/>
              <w:rPr>
                <w:sz w:val="1"/>
                <w:szCs w:val="1"/>
                <w:color w:val="auto"/>
              </w:rPr>
            </w:pPr>
          </w:p>
        </w:tc>
      </w:tr>
      <w:tr>
        <w:trPr>
          <w:trHeight w:val="58"/>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580" w:type="dxa"/>
            <w:vAlign w:val="bottom"/>
            <w:shd w:val="clear" w:color="auto" w:fill="CCEEFF"/>
          </w:tcPr>
          <w:p>
            <w:pPr>
              <w:ind w:left="920"/>
              <w:spacing w:after="0"/>
              <w:rPr>
                <w:sz w:val="20"/>
                <w:szCs w:val="20"/>
                <w:color w:val="auto"/>
              </w:rPr>
            </w:pPr>
            <w:r>
              <w:rPr>
                <w:rFonts w:ascii="Arial" w:cs="Arial" w:eastAsia="Arial" w:hAnsi="Arial"/>
                <w:sz w:val="15"/>
                <w:szCs w:val="15"/>
                <w:color w:val="auto"/>
              </w:rPr>
              <w:t>Total liabilities</w:t>
            </w: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4,500,677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4,558,106</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40"/>
              <w:spacing w:after="0"/>
              <w:rPr>
                <w:sz w:val="20"/>
                <w:szCs w:val="20"/>
                <w:color w:val="auto"/>
              </w:rPr>
            </w:pPr>
            <w:r>
              <w:rPr>
                <w:rFonts w:ascii="Arial" w:cs="Arial" w:eastAsia="Arial" w:hAnsi="Arial"/>
                <w:sz w:val="15"/>
                <w:szCs w:val="15"/>
                <w:color w:val="auto"/>
              </w:rPr>
              <w:t>Commitments and contingencies (Note 13)</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8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Shareholders’ equity:</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8580" w:type="dxa"/>
            <w:vAlign w:val="bottom"/>
          </w:tcPr>
          <w:p>
            <w:pPr>
              <w:ind w:left="280"/>
              <w:spacing w:after="0"/>
              <w:rPr>
                <w:sz w:val="20"/>
                <w:szCs w:val="20"/>
                <w:color w:val="auto"/>
              </w:rPr>
            </w:pPr>
            <w:r>
              <w:rPr>
                <w:rFonts w:ascii="Arial" w:cs="Arial" w:eastAsia="Arial" w:hAnsi="Arial"/>
                <w:sz w:val="15"/>
                <w:szCs w:val="15"/>
                <w:color w:val="auto"/>
              </w:rPr>
              <w:t>Preferred stock, $0.001 par value, 1,000,000 shares authorized, none issued and outstanding at each of December 31,</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580" w:type="dxa"/>
            <w:vAlign w:val="bottom"/>
          </w:tcPr>
          <w:p>
            <w:pPr>
              <w:ind w:left="440"/>
              <w:spacing w:after="0"/>
              <w:rPr>
                <w:sz w:val="20"/>
                <w:szCs w:val="20"/>
                <w:color w:val="auto"/>
              </w:rPr>
            </w:pPr>
            <w:r>
              <w:rPr>
                <w:rFonts w:ascii="Arial" w:cs="Arial" w:eastAsia="Arial" w:hAnsi="Arial"/>
                <w:sz w:val="15"/>
                <w:szCs w:val="15"/>
                <w:color w:val="auto"/>
              </w:rPr>
              <w:t>2018 and 2017</w:t>
            </w:r>
          </w:p>
        </w:tc>
        <w:tc>
          <w:tcPr>
            <w:tcW w:w="3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Common stock, $0.01 par value; 1,000,000 shares authorized, 1,078 shares issued and outstanding at each of</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580" w:type="dxa"/>
            <w:vAlign w:val="bottom"/>
            <w:shd w:val="clear" w:color="auto" w:fill="CCEEFF"/>
          </w:tcPr>
          <w:p>
            <w:pPr>
              <w:ind w:left="440"/>
              <w:spacing w:after="0"/>
              <w:rPr>
                <w:sz w:val="20"/>
                <w:szCs w:val="20"/>
                <w:color w:val="auto"/>
              </w:rPr>
            </w:pPr>
            <w:r>
              <w:rPr>
                <w:rFonts w:ascii="Arial" w:cs="Arial" w:eastAsia="Arial" w:hAnsi="Arial"/>
                <w:sz w:val="15"/>
                <w:szCs w:val="15"/>
                <w:color w:val="auto"/>
              </w:rPr>
              <w:t>December 31, 2018 and 2017</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Additional paid-in capital</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1,767,037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1,754,561</w:t>
            </w:r>
          </w:p>
        </w:tc>
        <w:tc>
          <w:tcPr>
            <w:tcW w:w="0" w:type="dxa"/>
            <w:vAlign w:val="bottom"/>
          </w:tcPr>
          <w:p>
            <w:pPr>
              <w:spacing w:after="0"/>
              <w:rPr>
                <w:sz w:val="1"/>
                <w:szCs w:val="1"/>
                <w:color w:val="auto"/>
              </w:rPr>
            </w:pPr>
          </w:p>
        </w:tc>
      </w:tr>
      <w:tr>
        <w:trPr>
          <w:trHeight w:val="58"/>
        </w:trPr>
        <w:tc>
          <w:tcPr>
            <w:tcW w:w="8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5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Accumulated other comprehensive loss</w:t>
            </w: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(83,774)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(52,822)</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280"/>
              <w:spacing w:after="0"/>
              <w:rPr>
                <w:sz w:val="20"/>
                <w:szCs w:val="20"/>
                <w:color w:val="auto"/>
              </w:rPr>
            </w:pPr>
            <w:r>
              <w:rPr>
                <w:rFonts w:ascii="Arial" w:cs="Arial" w:eastAsia="Arial" w:hAnsi="Arial"/>
                <w:sz w:val="15"/>
                <w:szCs w:val="15"/>
                <w:color w:val="auto"/>
              </w:rPr>
              <w:t>Accumulated earnings</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693,957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582,683</w:t>
            </w:r>
          </w:p>
        </w:tc>
        <w:tc>
          <w:tcPr>
            <w:tcW w:w="0" w:type="dxa"/>
            <w:vAlign w:val="bottom"/>
          </w:tcPr>
          <w:p>
            <w:pPr>
              <w:spacing w:after="0"/>
              <w:rPr>
                <w:sz w:val="1"/>
                <w:szCs w:val="1"/>
                <w:color w:val="auto"/>
              </w:rPr>
            </w:pPr>
          </w:p>
        </w:tc>
      </w:tr>
      <w:tr>
        <w:trPr>
          <w:trHeight w:val="58"/>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580" w:type="dxa"/>
            <w:vAlign w:val="bottom"/>
            <w:shd w:val="clear" w:color="auto" w:fill="CCEEFF"/>
          </w:tcPr>
          <w:p>
            <w:pPr>
              <w:ind w:left="40"/>
              <w:spacing w:after="0"/>
              <w:rPr>
                <w:sz w:val="20"/>
                <w:szCs w:val="20"/>
                <w:color w:val="auto"/>
              </w:rPr>
            </w:pPr>
            <w:r>
              <w:rPr>
                <w:rFonts w:ascii="Arial" w:cs="Arial" w:eastAsia="Arial" w:hAnsi="Arial"/>
                <w:sz w:val="15"/>
                <w:szCs w:val="15"/>
                <w:color w:val="auto"/>
              </w:rPr>
              <w:t>Total HSS shareholders’ equity</w:t>
            </w: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2,377,220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2,284,422</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580" w:type="dxa"/>
            <w:vAlign w:val="bottom"/>
          </w:tcPr>
          <w:p>
            <w:pPr>
              <w:ind w:left="500"/>
              <w:spacing w:after="0"/>
              <w:rPr>
                <w:sz w:val="20"/>
                <w:szCs w:val="20"/>
                <w:color w:val="auto"/>
              </w:rPr>
            </w:pPr>
            <w:r>
              <w:rPr>
                <w:rFonts w:ascii="Arial" w:cs="Arial" w:eastAsia="Arial" w:hAnsi="Arial"/>
                <w:sz w:val="15"/>
                <w:szCs w:val="15"/>
                <w:color w:val="auto"/>
              </w:rPr>
              <w:t>Noncontrolling interests</w:t>
            </w: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15,275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vMerge w:val="restart"/>
          </w:tcPr>
          <w:p>
            <w:pPr>
              <w:jc w:val="right"/>
              <w:ind w:right="23"/>
              <w:spacing w:after="0"/>
              <w:rPr>
                <w:sz w:val="20"/>
                <w:szCs w:val="20"/>
                <w:color w:val="auto"/>
              </w:rPr>
            </w:pPr>
            <w:r>
              <w:rPr>
                <w:rFonts w:ascii="Arial" w:cs="Arial" w:eastAsia="Arial" w:hAnsi="Arial"/>
                <w:sz w:val="15"/>
                <w:szCs w:val="15"/>
                <w:color w:val="auto"/>
              </w:rPr>
              <w:t>14,822</w:t>
            </w:r>
          </w:p>
        </w:tc>
        <w:tc>
          <w:tcPr>
            <w:tcW w:w="0" w:type="dxa"/>
            <w:vAlign w:val="bottom"/>
          </w:tcPr>
          <w:p>
            <w:pPr>
              <w:spacing w:after="0"/>
              <w:rPr>
                <w:sz w:val="1"/>
                <w:szCs w:val="1"/>
                <w:color w:val="auto"/>
              </w:rPr>
            </w:pPr>
          </w:p>
        </w:tc>
      </w:tr>
      <w:tr>
        <w:trPr>
          <w:trHeight w:val="58"/>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8580" w:type="dxa"/>
            <w:vAlign w:val="bottom"/>
            <w:shd w:val="clear" w:color="auto" w:fill="CCEEFF"/>
          </w:tcPr>
          <w:p>
            <w:pPr>
              <w:ind w:left="720"/>
              <w:spacing w:after="0"/>
              <w:rPr>
                <w:sz w:val="20"/>
                <w:szCs w:val="20"/>
                <w:color w:val="auto"/>
              </w:rPr>
            </w:pPr>
            <w:r>
              <w:rPr>
                <w:rFonts w:ascii="Arial" w:cs="Arial" w:eastAsia="Arial" w:hAnsi="Arial"/>
                <w:sz w:val="15"/>
                <w:szCs w:val="15"/>
                <w:color w:val="auto"/>
              </w:rPr>
              <w:t>Total shareholders’ equity</w:t>
            </w: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2,392,495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2,299,244</w:t>
            </w:r>
          </w:p>
        </w:tc>
        <w:tc>
          <w:tcPr>
            <w:tcW w:w="0" w:type="dxa"/>
            <w:vAlign w:val="bottom"/>
          </w:tcPr>
          <w:p>
            <w:pPr>
              <w:spacing w:after="0"/>
              <w:rPr>
                <w:sz w:val="1"/>
                <w:szCs w:val="1"/>
                <w:color w:val="auto"/>
              </w:rPr>
            </w:pPr>
          </w:p>
        </w:tc>
      </w:tr>
      <w:tr>
        <w:trPr>
          <w:trHeight w:val="62"/>
        </w:trPr>
        <w:tc>
          <w:tcPr>
            <w:tcW w:w="85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920"/>
              <w:spacing w:after="0"/>
              <w:rPr>
                <w:sz w:val="20"/>
                <w:szCs w:val="20"/>
                <w:color w:val="auto"/>
              </w:rPr>
            </w:pPr>
            <w:r>
              <w:rPr>
                <w:rFonts w:ascii="Arial" w:cs="Arial" w:eastAsia="Arial" w:hAnsi="Arial"/>
                <w:sz w:val="15"/>
                <w:szCs w:val="15"/>
                <w:color w:val="auto"/>
              </w:rPr>
              <w:t>Total liabilities and shareholders’ equity</w:t>
            </w:r>
          </w:p>
        </w:tc>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6,893,172</w:t>
            </w:r>
          </w:p>
        </w:tc>
        <w:tc>
          <w:tcPr>
            <w:tcW w:w="120" w:type="dxa"/>
            <w:vAlign w:val="bottom"/>
          </w:tcPr>
          <w:p>
            <w:pPr>
              <w:spacing w:after="0"/>
              <w:rPr>
                <w:sz w:val="19"/>
                <w:szCs w:val="19"/>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23"/>
              <w:spacing w:after="0"/>
              <w:rPr>
                <w:sz w:val="20"/>
                <w:szCs w:val="20"/>
                <w:color w:val="auto"/>
              </w:rPr>
            </w:pPr>
            <w:r>
              <w:rPr>
                <w:rFonts w:ascii="Arial" w:cs="Arial" w:eastAsia="Arial" w:hAnsi="Arial"/>
                <w:sz w:val="15"/>
                <w:szCs w:val="15"/>
                <w:color w:val="auto"/>
              </w:rPr>
              <w:t>6,857,350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5080</wp:posOffset>
            </wp:positionV>
            <wp:extent cx="180086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a:extLst>
                        <a:ext uri="{28A0092B-C50C-407E-A947-70E740481C1C}"/>
                      </a:extLst>
                    </a:blip>
                    <a:srcRect/>
                    <a:stretch>
                      <a:fillRect/>
                    </a:stretch>
                  </pic:blipFill>
                  <pic:spPr bwMode="auto">
                    <a:xfrm>
                      <a:off x="0" y="0"/>
                      <a:ext cx="1800860" cy="26035"/>
                    </a:xfrm>
                    <a:prstGeom prst="rect">
                      <a:avLst/>
                    </a:prstGeom>
                    <a:noFill/>
                  </pic:spPr>
                </pic:pic>
              </a:graphicData>
            </a:graphic>
          </wp:anchor>
        </w:drawing>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47" w:orient="portrait"/>
          <w:cols w:equalWidth="0" w:num="1">
            <w:col w:w="11420"/>
          </w:cols>
          <w:pgMar w:left="240" w:top="140" w:right="239"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73"/>
        </w:trPr>
        <w:tc>
          <w:tcPr>
            <w:tcW w:w="1400" w:type="dxa"/>
            <w:vAlign w:val="bottom"/>
            <w:tcBorders>
              <w:top w:val="single" w:sz="8" w:color="0000EE"/>
            </w:tcBorders>
          </w:tcPr>
          <w:p>
            <w:pPr>
              <w:spacing w:after="0"/>
              <w:rPr>
                <w:sz w:val="24"/>
                <w:szCs w:val="24"/>
                <w:color w:val="auto"/>
              </w:rPr>
            </w:pPr>
          </w:p>
        </w:tc>
        <w:tc>
          <w:tcPr>
            <w:tcW w:w="6940" w:type="dxa"/>
            <w:vAlign w:val="bottom"/>
            <w:gridSpan w:val="4"/>
          </w:tcPr>
          <w:p>
            <w:pPr>
              <w:jc w:val="center"/>
              <w:ind w:left="1610"/>
              <w:spacing w:after="0"/>
              <w:rPr>
                <w:sz w:val="20"/>
                <w:szCs w:val="20"/>
                <w:color w:val="auto"/>
              </w:rPr>
            </w:pPr>
            <w:r>
              <w:rPr>
                <w:rFonts w:ascii="Arial" w:cs="Arial" w:eastAsia="Arial" w:hAnsi="Arial"/>
                <w:sz w:val="18"/>
                <w:szCs w:val="18"/>
                <w:b w:val="1"/>
                <w:bCs w:val="1"/>
                <w:color w:val="auto"/>
                <w:w w:val="99"/>
              </w:rPr>
              <w:t>HUGHES SATELLITE SYSTEMS CORPORATION</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8"/>
        </w:trPr>
        <w:tc>
          <w:tcPr>
            <w:tcW w:w="1400" w:type="dxa"/>
            <w:vAlign w:val="bottom"/>
          </w:tcPr>
          <w:p>
            <w:pPr>
              <w:spacing w:after="0"/>
              <w:rPr>
                <w:sz w:val="20"/>
                <w:szCs w:val="20"/>
                <w:color w:val="auto"/>
              </w:rPr>
            </w:pPr>
          </w:p>
        </w:tc>
        <w:tc>
          <w:tcPr>
            <w:tcW w:w="85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CONSOLIDATED STATEMENTS OF OPERATIONS AND COMPREHENSIVE INCOME (LOSS)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7"/>
        </w:trPr>
        <w:tc>
          <w:tcPr>
            <w:tcW w:w="1400" w:type="dxa"/>
            <w:vAlign w:val="bottom"/>
          </w:tcPr>
          <w:p>
            <w:pPr>
              <w:spacing w:after="0"/>
              <w:rPr>
                <w:sz w:val="18"/>
                <w:szCs w:val="18"/>
                <w:color w:val="auto"/>
              </w:rPr>
            </w:pPr>
          </w:p>
        </w:tc>
        <w:tc>
          <w:tcPr>
            <w:tcW w:w="5340" w:type="dxa"/>
            <w:vAlign w:val="bottom"/>
          </w:tcPr>
          <w:p>
            <w:pPr>
              <w:jc w:val="center"/>
              <w:ind w:left="3150"/>
              <w:spacing w:after="0"/>
              <w:rPr>
                <w:sz w:val="20"/>
                <w:szCs w:val="20"/>
                <w:color w:val="auto"/>
              </w:rPr>
            </w:pPr>
            <w:r>
              <w:rPr>
                <w:rFonts w:ascii="Arial" w:cs="Arial" w:eastAsia="Arial" w:hAnsi="Arial"/>
                <w:sz w:val="18"/>
                <w:szCs w:val="18"/>
                <w:color w:val="auto"/>
                <w:w w:val="99"/>
              </w:rPr>
              <w:t>(Dollars in thousands)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99"/>
        </w:trPr>
        <w:tc>
          <w:tcPr>
            <w:tcW w:w="140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7"/>
          </w:tcPr>
          <w:p>
            <w:pPr>
              <w:jc w:val="right"/>
              <w:ind w:right="770"/>
              <w:spacing w:after="0"/>
              <w:rPr>
                <w:sz w:val="20"/>
                <w:szCs w:val="20"/>
                <w:color w:val="auto"/>
              </w:rPr>
            </w:pPr>
            <w:r>
              <w:rPr>
                <w:rFonts w:ascii="Arial" w:cs="Arial" w:eastAsia="Arial" w:hAnsi="Arial"/>
                <w:sz w:val="18"/>
                <w:szCs w:val="18"/>
                <w:b w:val="1"/>
                <w:bCs w:val="1"/>
                <w:color w:val="auto"/>
              </w:rPr>
              <w:t>For the years ended December 31,</w:t>
            </w:r>
          </w:p>
        </w:tc>
      </w:tr>
      <w:tr>
        <w:trPr>
          <w:trHeight w:val="264"/>
        </w:trPr>
        <w:tc>
          <w:tcPr>
            <w:tcW w:w="1400" w:type="dxa"/>
            <w:vAlign w:val="bottom"/>
            <w:tcBorders>
              <w:bottom w:val="single" w:sz="8" w:color="CCEEFF"/>
            </w:tcBorders>
          </w:tcPr>
          <w:p>
            <w:pPr>
              <w:spacing w:after="0"/>
              <w:rPr>
                <w:sz w:val="22"/>
                <w:szCs w:val="22"/>
                <w:color w:val="auto"/>
              </w:rPr>
            </w:pPr>
          </w:p>
        </w:tc>
        <w:tc>
          <w:tcPr>
            <w:tcW w:w="5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Services and other revenue - DISH Network</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366,155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433,829</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449,547</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Services and other revenue - other</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1,526,098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1,203,551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1,103,127</w:t>
            </w:r>
          </w:p>
        </w:tc>
      </w:tr>
      <w:tr>
        <w:trPr>
          <w:trHeight w:val="264"/>
        </w:trPr>
        <w:tc>
          <w:tcPr>
            <w:tcW w:w="6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Equipment revenue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205,410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239,489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247,119</w:t>
            </w:r>
          </w:p>
        </w:tc>
      </w:tr>
      <w:tr>
        <w:trPr>
          <w:trHeight w:val="257"/>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2,097,663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1,876,869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1,799,793</w:t>
            </w:r>
          </w:p>
        </w:tc>
      </w:tr>
      <w:tr>
        <w:trPr>
          <w:trHeight w:val="223"/>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
        </w:trPr>
        <w:tc>
          <w:tcPr>
            <w:tcW w:w="1400" w:type="dxa"/>
            <w:vAlign w:val="bottom"/>
          </w:tcPr>
          <w:p>
            <w:pPr>
              <w:spacing w:after="0"/>
              <w:rPr>
                <w:sz w:val="3"/>
                <w:szCs w:val="3"/>
                <w:color w:val="auto"/>
              </w:rPr>
            </w:pPr>
          </w:p>
        </w:tc>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600,213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559,684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533,305</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176,600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195,439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189,405</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398,153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337,591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281,048</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27,570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31,745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31,170</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551,416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496,798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414,133</w:t>
            </w:r>
          </w:p>
        </w:tc>
      </w:tr>
      <w:tr>
        <w:trPr>
          <w:trHeight w:val="264"/>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Impairment of long-lived asset</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1,753,952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1,627,257</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1,449,061</w:t>
            </w:r>
          </w:p>
        </w:tc>
      </w:tr>
      <w:tr>
        <w:trPr>
          <w:trHeight w:val="244"/>
        </w:trPr>
        <w:tc>
          <w:tcPr>
            <w:tcW w:w="674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343,711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249,612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350,732</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59,104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31,952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12,598</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(187,198)</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Gains (losses) on investments, net</w:t>
            </w: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6,995</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Equity in earnings of unconsolidated affiliate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9,444</w:t>
            </w:r>
          </w:p>
        </w:tc>
      </w:tr>
      <w:tr>
        <w:trPr>
          <w:trHeight w:val="264"/>
        </w:trPr>
        <w:tc>
          <w:tcPr>
            <w:tcW w:w="67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2,909</w:t>
            </w:r>
          </w:p>
        </w:tc>
      </w:tr>
      <w:tr>
        <w:trPr>
          <w:trHeight w:val="257"/>
        </w:trPr>
        <w:tc>
          <w:tcPr>
            <w:tcW w:w="67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(199,999)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(210,261)</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(155,252)</w:t>
            </w:r>
          </w:p>
        </w:tc>
      </w:tr>
      <w:tr>
        <w:trPr>
          <w:trHeight w:val="243"/>
        </w:trPr>
        <w:tc>
          <w:tcPr>
            <w:tcW w:w="6740" w:type="dxa"/>
            <w:vAlign w:val="bottom"/>
            <w:gridSpan w:val="2"/>
          </w:tcPr>
          <w:p>
            <w:pPr>
              <w:ind w:left="9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143,712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39,351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195,480</w:t>
            </w:r>
          </w:p>
        </w:tc>
      </w:tr>
      <w:tr>
        <w:trPr>
          <w:trHeight w:val="277"/>
        </w:trPr>
        <w:tc>
          <w:tcPr>
            <w:tcW w:w="67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Income tax benefit (provision), net</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(46,369)</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258,202</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(73,759)</w:t>
            </w:r>
          </w:p>
        </w:tc>
      </w:tr>
      <w:tr>
        <w:trPr>
          <w:trHeight w:val="243"/>
        </w:trPr>
        <w:tc>
          <w:tcPr>
            <w:tcW w:w="6740" w:type="dxa"/>
            <w:vAlign w:val="bottom"/>
            <w:gridSpan w:val="2"/>
          </w:tcPr>
          <w:p>
            <w:pPr>
              <w:ind w:left="136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297,553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121,721</w:t>
            </w:r>
          </w:p>
        </w:tc>
      </w:tr>
      <w:tr>
        <w:trPr>
          <w:trHeight w:val="277"/>
        </w:trPr>
        <w:tc>
          <w:tcPr>
            <w:tcW w:w="67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Less: Net income attributable to noncontrolling interests</w:t>
            </w: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1,583</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1,706</w:t>
            </w:r>
          </w:p>
        </w:tc>
      </w:tr>
      <w:tr>
        <w:trPr>
          <w:trHeight w:val="284"/>
        </w:trPr>
        <w:tc>
          <w:tcPr>
            <w:tcW w:w="140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income attributable to HSS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95,501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295,970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120,015</w:t>
            </w:r>
          </w:p>
        </w:tc>
      </w:tr>
      <w:tr>
        <w:trPr>
          <w:trHeight w:val="271"/>
        </w:trPr>
        <w:tc>
          <w:tcPr>
            <w:tcW w:w="1400" w:type="dxa"/>
            <w:vAlign w:val="bottom"/>
            <w:shd w:val="clear" w:color="auto" w:fill="CCEEFF"/>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4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97,343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297,553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121,721</w:t>
            </w:r>
          </w:p>
        </w:tc>
      </w:tr>
      <w:tr>
        <w:trPr>
          <w:trHeight w:val="22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1"/>
        </w:trPr>
        <w:tc>
          <w:tcPr>
            <w:tcW w:w="1400" w:type="dxa"/>
            <w:vAlign w:val="bottom"/>
          </w:tcPr>
          <w:p>
            <w:pPr>
              <w:spacing w:after="0"/>
              <w:rPr>
                <w:sz w:val="3"/>
                <w:szCs w:val="3"/>
                <w:color w:val="auto"/>
              </w:rPr>
            </w:pPr>
          </w:p>
        </w:tc>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(5,377)</w:t>
            </w:r>
          </w:p>
        </w:tc>
      </w:tr>
      <w:tr>
        <w:trPr>
          <w:trHeight w:val="263"/>
        </w:trPr>
        <w:tc>
          <w:tcPr>
            <w:tcW w:w="6740" w:type="dxa"/>
            <w:vAlign w:val="bottom"/>
            <w:gridSpan w:val="2"/>
          </w:tcPr>
          <w:p>
            <w:pPr>
              <w:ind w:left="280"/>
              <w:spacing w:after="0"/>
              <w:rPr>
                <w:sz w:val="20"/>
                <w:szCs w:val="20"/>
                <w:color w:val="auto"/>
              </w:rPr>
            </w:pPr>
            <w:r>
              <w:rPr>
                <w:rFonts w:ascii="Arial" w:cs="Arial" w:eastAsia="Arial" w:hAnsi="Arial"/>
                <w:sz w:val="18"/>
                <w:szCs w:val="18"/>
                <w:color w:val="auto"/>
              </w:rPr>
              <w:t>Unrealized gains (losses) on available-for-sale securities and other</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1,584</w:t>
            </w:r>
          </w:p>
        </w:tc>
      </w:tr>
      <w:tr>
        <w:trPr>
          <w:trHeight w:val="277"/>
        </w:trPr>
        <w:tc>
          <w:tcPr>
            <w:tcW w:w="6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Amounts reclassified to net income: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Other-than-temporary impairment loss on available-for-sale securities</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Recognition of realized gains on available-for-sale securities in net income</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r>
      <w:tr>
        <w:trPr>
          <w:trHeight w:val="250"/>
        </w:trPr>
        <w:tc>
          <w:tcPr>
            <w:tcW w:w="674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Total other comprehensive gain (loss), net of tax</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(32,774)</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8,306</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(6,789)</w:t>
            </w:r>
          </w:p>
        </w:tc>
      </w:tr>
      <w:tr>
        <w:trPr>
          <w:trHeight w:val="257"/>
        </w:trPr>
        <w:tc>
          <w:tcPr>
            <w:tcW w:w="67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Comprehensive income</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64,569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305,859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114,932</w:t>
            </w:r>
          </w:p>
        </w:tc>
      </w:tr>
      <w:tr>
        <w:trPr>
          <w:trHeight w:val="264"/>
        </w:trPr>
        <w:tc>
          <w:tcPr>
            <w:tcW w:w="6740" w:type="dxa"/>
            <w:vAlign w:val="bottom"/>
            <w:tcBorders>
              <w:bottom w:val="single" w:sz="8" w:color="CCEEFF"/>
            </w:tcBorders>
            <w:gridSpan w:val="2"/>
          </w:tcPr>
          <w:p>
            <w:pPr>
              <w:ind w:left="9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1,520</w:t>
            </w:r>
          </w:p>
        </w:tc>
      </w:tr>
      <w:tr>
        <w:trPr>
          <w:trHeight w:val="257"/>
        </w:trPr>
        <w:tc>
          <w:tcPr>
            <w:tcW w:w="67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Comprehensive income attributable to HSS</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64,116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303,867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113,412</w:t>
            </w:r>
          </w:p>
        </w:tc>
      </w:tr>
      <w:tr>
        <w:trPr>
          <w:trHeight w:val="20"/>
        </w:trPr>
        <w:tc>
          <w:tcPr>
            <w:tcW w:w="14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08"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left="280" w:right="2440"/>
        <w:spacing w:after="0" w:line="269" w:lineRule="auto"/>
        <w:rPr>
          <w:sz w:val="20"/>
          <w:szCs w:val="20"/>
          <w:color w:val="auto"/>
        </w:rPr>
      </w:pPr>
      <w:r>
        <w:rPr>
          <w:rFonts w:ascii="Arial" w:cs="Arial" w:eastAsia="Arial" w:hAnsi="Arial"/>
          <w:sz w:val="18"/>
          <w:szCs w:val="18"/>
          <w:b w:val="1"/>
          <w:bCs w:val="1"/>
          <w:color w:val="auto"/>
        </w:rPr>
        <w:t xml:space="preserve">HUGHES SATELLITE SYSTEMS CORPORATION CONSOLIDATED STATEMENTS OF CHANGES IN SHAREHOLDERS’ EQUITY </w:t>
      </w:r>
      <w:r>
        <w:rPr>
          <w:rFonts w:ascii="Arial" w:cs="Arial" w:eastAsia="Arial" w:hAnsi="Arial"/>
          <w:sz w:val="18"/>
          <w:szCs w:val="18"/>
          <w:color w:val="auto"/>
        </w:rPr>
        <w:t>(Dollars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rPr>
              <w:t>Additional</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Other</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99"/>
              </w:rPr>
              <w:t>Paid-In</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rPr>
              <w:t>Comprehensive</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rPr>
              <w:t>Noncontrolling</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9"/>
              </w:rPr>
              <w:t>Capital</w:t>
            </w:r>
          </w:p>
        </w:tc>
        <w:tc>
          <w:tcPr>
            <w:tcW w:w="16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Loss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9"/>
              </w:rPr>
              <w:t>Earnings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rPr>
              <w:t>Interests</w:t>
            </w:r>
          </w:p>
        </w:tc>
        <w:tc>
          <w:tcPr>
            <w:tcW w:w="320" w:type="dxa"/>
            <w:vAlign w:val="bottom"/>
          </w:tcPr>
          <w:p>
            <w:pPr>
              <w:spacing w:after="0"/>
              <w:rPr>
                <w:sz w:val="17"/>
                <w:szCs w:val="17"/>
                <w:color w:val="auto"/>
              </w:rPr>
            </w:pPr>
          </w:p>
        </w:tc>
        <w:tc>
          <w:tcPr>
            <w:tcW w:w="1060" w:type="dxa"/>
            <w:vAlign w:val="bottom"/>
          </w:tcPr>
          <w:p>
            <w:pPr>
              <w:jc w:val="right"/>
              <w:ind w:right="44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January 1, 2016</w:t>
            </w:r>
          </w:p>
        </w:tc>
        <w:tc>
          <w:tcPr>
            <w:tcW w:w="22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1,417,748</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(54,116)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166,698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11,310</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vMerge w:val="restart"/>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1,541,640</w:t>
            </w:r>
          </w:p>
        </w:tc>
        <w:tc>
          <w:tcPr>
            <w:tcW w:w="0" w:type="dxa"/>
            <w:vAlign w:val="bottom"/>
          </w:tcPr>
          <w:p>
            <w:pPr>
              <w:spacing w:after="0"/>
              <w:rPr>
                <w:sz w:val="1"/>
                <w:szCs w:val="1"/>
                <w:color w:val="auto"/>
              </w:rPr>
            </w:pPr>
          </w:p>
        </w:tc>
      </w:tr>
      <w:tr>
        <w:trPr>
          <w:trHeight w:val="62"/>
        </w:trPr>
        <w:tc>
          <w:tcPr>
            <w:tcW w:w="378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780" w:type="dxa"/>
            <w:vAlign w:val="bottom"/>
          </w:tcPr>
          <w:p>
            <w:pPr>
              <w:ind w:left="40"/>
              <w:spacing w:after="0"/>
              <w:rPr>
                <w:sz w:val="20"/>
                <w:szCs w:val="20"/>
                <w:color w:val="auto"/>
              </w:rPr>
            </w:pPr>
            <w:r>
              <w:rPr>
                <w:rFonts w:ascii="Arial" w:cs="Arial" w:eastAsia="Arial" w:hAnsi="Arial"/>
                <w:sz w:val="15"/>
                <w:szCs w:val="15"/>
                <w:color w:val="auto"/>
              </w:rPr>
              <w:t>Stock-based compensation</w:t>
            </w:r>
          </w:p>
        </w:tc>
        <w:tc>
          <w:tcPr>
            <w:tcW w:w="220" w:type="dxa"/>
            <w:vAlign w:val="bottom"/>
          </w:tcPr>
          <w:p>
            <w:pPr>
              <w:spacing w:after="0"/>
              <w:rPr>
                <w:sz w:val="18"/>
                <w:szCs w:val="18"/>
                <w:color w:val="auto"/>
              </w:rPr>
            </w:pPr>
          </w:p>
        </w:tc>
        <w:tc>
          <w:tcPr>
            <w:tcW w:w="1160" w:type="dxa"/>
            <w:vAlign w:val="bottom"/>
            <w:vMerge w:val="restart"/>
          </w:tcPr>
          <w:p>
            <w:pPr>
              <w:jc w:val="right"/>
              <w:ind w:right="23"/>
              <w:spacing w:after="0"/>
              <w:rPr>
                <w:sz w:val="20"/>
                <w:szCs w:val="20"/>
                <w:color w:val="auto"/>
              </w:rPr>
            </w:pPr>
            <w:r>
              <w:rPr>
                <w:rFonts w:ascii="Arial" w:cs="Arial" w:eastAsia="Arial" w:hAnsi="Arial"/>
                <w:sz w:val="15"/>
                <w:szCs w:val="15"/>
                <w:color w:val="auto"/>
              </w:rPr>
              <w:t>4,822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5"/>
                <w:szCs w:val="15"/>
                <w:color w:val="auto"/>
              </w:rPr>
              <w:t>4,822</w:t>
            </w:r>
          </w:p>
        </w:tc>
        <w:tc>
          <w:tcPr>
            <w:tcW w:w="0" w:type="dxa"/>
            <w:vAlign w:val="bottom"/>
          </w:tcPr>
          <w:p>
            <w:pPr>
              <w:spacing w:after="0"/>
              <w:rPr>
                <w:sz w:val="1"/>
                <w:szCs w:val="1"/>
                <w:color w:val="auto"/>
              </w:rPr>
            </w:pPr>
          </w:p>
        </w:tc>
      </w:tr>
      <w:tr>
        <w:trPr>
          <w:trHeight w:val="58"/>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Transfer of EchoStar XXIII launch service contract</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from EchoStar to HNS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70,300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70,300</w:t>
            </w:r>
          </w:p>
        </w:tc>
        <w:tc>
          <w:tcPr>
            <w:tcW w:w="0" w:type="dxa"/>
            <w:vAlign w:val="bottom"/>
          </w:tcPr>
          <w:p>
            <w:pPr>
              <w:spacing w:after="0"/>
              <w:rPr>
                <w:sz w:val="1"/>
                <w:szCs w:val="1"/>
                <w:color w:val="auto"/>
              </w:rPr>
            </w:pPr>
          </w:p>
        </w:tc>
      </w:tr>
      <w:tr>
        <w:trPr>
          <w:trHeight w:val="186"/>
        </w:trPr>
        <w:tc>
          <w:tcPr>
            <w:tcW w:w="3780" w:type="dxa"/>
            <w:vAlign w:val="bottom"/>
          </w:tcPr>
          <w:p>
            <w:pPr>
              <w:ind w:left="40"/>
              <w:spacing w:after="0"/>
              <w:rPr>
                <w:sz w:val="20"/>
                <w:szCs w:val="20"/>
                <w:color w:val="auto"/>
              </w:rPr>
            </w:pPr>
            <w:r>
              <w:rPr>
                <w:rFonts w:ascii="Arial" w:cs="Arial" w:eastAsia="Arial" w:hAnsi="Arial"/>
                <w:sz w:val="15"/>
                <w:szCs w:val="15"/>
                <w:color w:val="auto"/>
              </w:rPr>
              <w:t>Contributions to fund EchoStar XXI launch service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0"/>
              <w:spacing w:after="0"/>
              <w:rPr>
                <w:sz w:val="20"/>
                <w:szCs w:val="20"/>
                <w:color w:val="auto"/>
              </w:rPr>
            </w:pPr>
            <w:r>
              <w:rPr>
                <w:rFonts w:ascii="Arial" w:cs="Arial" w:eastAsia="Arial" w:hAnsi="Arial"/>
                <w:sz w:val="15"/>
                <w:szCs w:val="15"/>
                <w:color w:val="auto"/>
              </w:rPr>
              <w:t>contract from EchoStar to HNS</w:t>
            </w:r>
          </w:p>
        </w:tc>
        <w:tc>
          <w:tcPr>
            <w:tcW w:w="220" w:type="dxa"/>
            <w:vAlign w:val="bottom"/>
          </w:tcPr>
          <w:p>
            <w:pPr>
              <w:spacing w:after="0"/>
              <w:rPr>
                <w:sz w:val="16"/>
                <w:szCs w:val="16"/>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23,750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23,750</w:t>
            </w: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comprehensive loss</w:t>
            </w:r>
          </w:p>
        </w:tc>
        <w:tc>
          <w:tcPr>
            <w:tcW w:w="22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(6,725)</w:t>
            </w:r>
          </w:p>
        </w:tc>
        <w:tc>
          <w:tcPr>
            <w:tcW w:w="0" w:type="dxa"/>
            <w:vAlign w:val="bottom"/>
          </w:tcPr>
          <w:p>
            <w:pPr>
              <w:spacing w:after="0"/>
              <w:rPr>
                <w:sz w:val="1"/>
                <w:szCs w:val="1"/>
                <w:color w:val="auto"/>
              </w:rPr>
            </w:pPr>
          </w:p>
        </w:tc>
      </w:tr>
      <w:tr>
        <w:trPr>
          <w:trHeight w:val="62"/>
        </w:trPr>
        <w:tc>
          <w:tcPr>
            <w:tcW w:w="3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780" w:type="dxa"/>
            <w:vAlign w:val="bottom"/>
          </w:tcPr>
          <w:p>
            <w:pPr>
              <w:ind w:left="40"/>
              <w:spacing w:after="0"/>
              <w:rPr>
                <w:sz w:val="20"/>
                <w:szCs w:val="20"/>
                <w:color w:val="auto"/>
              </w:rPr>
            </w:pPr>
            <w:r>
              <w:rPr>
                <w:rFonts w:ascii="Arial" w:cs="Arial" w:eastAsia="Arial" w:hAnsi="Arial"/>
                <w:sz w:val="15"/>
                <w:szCs w:val="15"/>
                <w:color w:val="auto"/>
              </w:rPr>
              <w:t>Net income</w:t>
            </w:r>
          </w:p>
        </w:tc>
        <w:tc>
          <w:tcPr>
            <w:tcW w:w="220" w:type="dxa"/>
            <w:vAlign w:val="bottom"/>
          </w:tcPr>
          <w:p>
            <w:pPr>
              <w:spacing w:after="0"/>
              <w:rPr>
                <w:sz w:val="18"/>
                <w:szCs w:val="18"/>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120,015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color w:val="auto"/>
              </w:rPr>
              <w:t>1,706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5"/>
                <w:szCs w:val="15"/>
                <w:color w:val="auto"/>
              </w:rPr>
              <w:t>121,721</w:t>
            </w:r>
          </w:p>
        </w:tc>
        <w:tc>
          <w:tcPr>
            <w:tcW w:w="0" w:type="dxa"/>
            <w:vAlign w:val="bottom"/>
          </w:tcPr>
          <w:p>
            <w:pPr>
              <w:spacing w:after="0"/>
              <w:rPr>
                <w:sz w:val="1"/>
                <w:szCs w:val="1"/>
                <w:color w:val="auto"/>
              </w:rPr>
            </w:pPr>
          </w:p>
        </w:tc>
      </w:tr>
      <w:tr>
        <w:trPr>
          <w:trHeight w:val="58"/>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net</w:t>
            </w:r>
          </w:p>
        </w:tc>
        <w:tc>
          <w:tcPr>
            <w:tcW w:w="2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0" w:type="dxa"/>
            <w:vAlign w:val="bottom"/>
          </w:tcPr>
          <w:p>
            <w:pPr>
              <w:spacing w:after="0"/>
              <w:rPr>
                <w:sz w:val="1"/>
                <w:szCs w:val="1"/>
                <w:color w:val="auto"/>
              </w:rPr>
            </w:pPr>
          </w:p>
        </w:tc>
      </w:tr>
      <w:tr>
        <w:trPr>
          <w:trHeight w:val="62"/>
        </w:trPr>
        <w:tc>
          <w:tcPr>
            <w:tcW w:w="3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40"/>
              <w:spacing w:after="0"/>
              <w:rPr>
                <w:sz w:val="20"/>
                <w:szCs w:val="20"/>
                <w:color w:val="auto"/>
              </w:rPr>
            </w:pPr>
            <w:r>
              <w:rPr>
                <w:rFonts w:ascii="Arial" w:cs="Arial" w:eastAsia="Arial" w:hAnsi="Arial"/>
                <w:sz w:val="15"/>
                <w:szCs w:val="15"/>
                <w:b w:val="1"/>
                <w:bCs w:val="1"/>
                <w:color w:val="auto"/>
              </w:rPr>
              <w:t>Balance, December 31, 2016</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1,516,199</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(60,719)</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286,713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vMerge w:val="restart"/>
          </w:tcPr>
          <w:p>
            <w:pPr>
              <w:jc w:val="right"/>
              <w:ind w:right="23"/>
              <w:spacing w:after="0"/>
              <w:rPr>
                <w:sz w:val="20"/>
                <w:szCs w:val="20"/>
                <w:color w:val="auto"/>
              </w:rPr>
            </w:pPr>
            <w:r>
              <w:rPr>
                <w:rFonts w:ascii="Arial" w:cs="Arial" w:eastAsia="Arial" w:hAnsi="Arial"/>
                <w:sz w:val="15"/>
                <w:szCs w:val="15"/>
                <w:color w:val="auto"/>
              </w:rPr>
              <w:t>12,830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43"/>
              <w:spacing w:after="0"/>
              <w:rPr>
                <w:sz w:val="20"/>
                <w:szCs w:val="20"/>
                <w:color w:val="auto"/>
              </w:rPr>
            </w:pPr>
            <w:r>
              <w:rPr>
                <w:rFonts w:ascii="Arial" w:cs="Arial" w:eastAsia="Arial" w:hAnsi="Arial"/>
                <w:sz w:val="15"/>
                <w:szCs w:val="15"/>
                <w:color w:val="auto"/>
              </w:rPr>
              <w:t>1,755,023</w:t>
            </w:r>
          </w:p>
        </w:tc>
        <w:tc>
          <w:tcPr>
            <w:tcW w:w="0" w:type="dxa"/>
            <w:vAlign w:val="bottom"/>
          </w:tcPr>
          <w:p>
            <w:pPr>
              <w:spacing w:after="0"/>
              <w:rPr>
                <w:sz w:val="1"/>
                <w:szCs w:val="1"/>
                <w:color w:val="auto"/>
              </w:rPr>
            </w:pPr>
          </w:p>
        </w:tc>
      </w:tr>
      <w:tr>
        <w:trPr>
          <w:trHeight w:val="58"/>
        </w:trPr>
        <w:tc>
          <w:tcPr>
            <w:tcW w:w="37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w:t>
            </w:r>
          </w:p>
        </w:tc>
        <w:tc>
          <w:tcPr>
            <w:tcW w:w="2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5,117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5,117</w:t>
            </w:r>
          </w:p>
        </w:tc>
        <w:tc>
          <w:tcPr>
            <w:tcW w:w="0" w:type="dxa"/>
            <w:vAlign w:val="bottom"/>
          </w:tcPr>
          <w:p>
            <w:pPr>
              <w:spacing w:after="0"/>
              <w:rPr>
                <w:sz w:val="1"/>
                <w:szCs w:val="1"/>
                <w:color w:val="auto"/>
              </w:rPr>
            </w:pPr>
          </w:p>
        </w:tc>
      </w:tr>
      <w:tr>
        <w:trPr>
          <w:trHeight w:val="62"/>
        </w:trPr>
        <w:tc>
          <w:tcPr>
            <w:tcW w:w="3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780" w:type="dxa"/>
            <w:vAlign w:val="bottom"/>
          </w:tcPr>
          <w:p>
            <w:pPr>
              <w:ind w:left="40"/>
              <w:spacing w:after="0"/>
              <w:rPr>
                <w:sz w:val="20"/>
                <w:szCs w:val="20"/>
                <w:color w:val="auto"/>
              </w:rPr>
            </w:pPr>
            <w:r>
              <w:rPr>
                <w:rFonts w:ascii="Arial" w:cs="Arial" w:eastAsia="Arial" w:hAnsi="Arial"/>
                <w:sz w:val="15"/>
                <w:szCs w:val="15"/>
                <w:color w:val="auto"/>
              </w:rPr>
              <w:t>Transfer of launch service contracts to EchoStar</w:t>
            </w:r>
          </w:p>
        </w:tc>
        <w:tc>
          <w:tcPr>
            <w:tcW w:w="2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(145,114)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(145,114)</w:t>
            </w:r>
          </w:p>
        </w:tc>
        <w:tc>
          <w:tcPr>
            <w:tcW w:w="0" w:type="dxa"/>
            <w:vAlign w:val="bottom"/>
          </w:tcPr>
          <w:p>
            <w:pPr>
              <w:spacing w:after="0"/>
              <w:rPr>
                <w:sz w:val="1"/>
                <w:szCs w:val="1"/>
                <w:color w:val="auto"/>
              </w:rPr>
            </w:pPr>
          </w:p>
        </w:tc>
      </w:tr>
      <w:tr>
        <w:trPr>
          <w:trHeight w:val="58"/>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Contribution of EchoStar XIX satellite, net of</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deferred tax</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349,337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349,337</w:t>
            </w:r>
          </w:p>
        </w:tc>
        <w:tc>
          <w:tcPr>
            <w:tcW w:w="0" w:type="dxa"/>
            <w:vAlign w:val="bottom"/>
          </w:tcPr>
          <w:p>
            <w:pPr>
              <w:spacing w:after="0"/>
              <w:rPr>
                <w:sz w:val="1"/>
                <w:szCs w:val="1"/>
                <w:color w:val="auto"/>
              </w:rPr>
            </w:pPr>
          </w:p>
        </w:tc>
      </w:tr>
      <w:tr>
        <w:trPr>
          <w:trHeight w:val="186"/>
        </w:trPr>
        <w:tc>
          <w:tcPr>
            <w:tcW w:w="3780" w:type="dxa"/>
            <w:vAlign w:val="bottom"/>
          </w:tcPr>
          <w:p>
            <w:pPr>
              <w:ind w:left="40"/>
              <w:spacing w:after="0"/>
              <w:rPr>
                <w:sz w:val="20"/>
                <w:szCs w:val="20"/>
                <w:color w:val="auto"/>
              </w:rPr>
            </w:pPr>
            <w:r>
              <w:rPr>
                <w:rFonts w:ascii="Arial" w:cs="Arial" w:eastAsia="Arial" w:hAnsi="Arial"/>
                <w:sz w:val="15"/>
                <w:szCs w:val="15"/>
                <w:color w:val="auto"/>
              </w:rPr>
              <w:t>Contribution of net assets pursuant to Share</w:t>
            </w: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200"/>
              <w:spacing w:after="0"/>
              <w:rPr>
                <w:sz w:val="20"/>
                <w:szCs w:val="20"/>
                <w:color w:val="auto"/>
              </w:rPr>
            </w:pPr>
            <w:r>
              <w:rPr>
                <w:rFonts w:ascii="Arial" w:cs="Arial" w:eastAsia="Arial" w:hAnsi="Arial"/>
                <w:sz w:val="15"/>
                <w:szCs w:val="15"/>
                <w:color w:val="auto"/>
              </w:rPr>
              <w:t>Exchange Agreement</w:t>
            </w:r>
          </w:p>
        </w:tc>
        <w:tc>
          <w:tcPr>
            <w:tcW w:w="220" w:type="dxa"/>
            <w:vAlign w:val="bottom"/>
          </w:tcPr>
          <w:p>
            <w:pPr>
              <w:spacing w:after="0"/>
              <w:rPr>
                <w:sz w:val="16"/>
                <w:szCs w:val="16"/>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219,662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60" w:type="dxa"/>
            <w:vAlign w:val="bottom"/>
          </w:tcPr>
          <w:p>
            <w:pPr>
              <w:jc w:val="right"/>
              <w:ind w:right="43"/>
              <w:spacing w:after="0"/>
              <w:rPr>
                <w:sz w:val="20"/>
                <w:szCs w:val="20"/>
                <w:color w:val="auto"/>
              </w:rPr>
            </w:pPr>
            <w:r>
              <w:rPr>
                <w:rFonts w:ascii="Arial" w:cs="Arial" w:eastAsia="Arial" w:hAnsi="Arial"/>
                <w:sz w:val="15"/>
                <w:szCs w:val="15"/>
                <w:color w:val="auto"/>
              </w:rPr>
              <w:t>219,662</w:t>
            </w:r>
          </w:p>
        </w:tc>
        <w:tc>
          <w:tcPr>
            <w:tcW w:w="0" w:type="dxa"/>
            <w:vAlign w:val="bottom"/>
          </w:tcPr>
          <w:p>
            <w:pPr>
              <w:spacing w:after="0"/>
              <w:rPr>
                <w:sz w:val="1"/>
                <w:szCs w:val="1"/>
                <w:color w:val="auto"/>
              </w:rPr>
            </w:pPr>
          </w:p>
        </w:tc>
      </w:tr>
      <w:tr>
        <w:trPr>
          <w:trHeight w:val="190"/>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Exchange of uplinking business net assets for HSS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Tracking Stock</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(190,221)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(190,221)</w:t>
            </w:r>
          </w:p>
        </w:tc>
        <w:tc>
          <w:tcPr>
            <w:tcW w:w="0" w:type="dxa"/>
            <w:vAlign w:val="bottom"/>
          </w:tcPr>
          <w:p>
            <w:pPr>
              <w:spacing w:after="0"/>
              <w:rPr>
                <w:sz w:val="1"/>
                <w:szCs w:val="1"/>
                <w:color w:val="auto"/>
              </w:rPr>
            </w:pPr>
          </w:p>
        </w:tc>
      </w:tr>
      <w:tr>
        <w:trPr>
          <w:trHeight w:val="208"/>
        </w:trPr>
        <w:tc>
          <w:tcPr>
            <w:tcW w:w="3780" w:type="dxa"/>
            <w:vAlign w:val="bottom"/>
          </w:tcPr>
          <w:p>
            <w:pPr>
              <w:ind w:left="40"/>
              <w:spacing w:after="0"/>
              <w:rPr>
                <w:sz w:val="20"/>
                <w:szCs w:val="20"/>
                <w:color w:val="auto"/>
              </w:rPr>
            </w:pPr>
            <w:r>
              <w:rPr>
                <w:rFonts w:ascii="Arial" w:cs="Arial" w:eastAsia="Arial" w:hAnsi="Arial"/>
                <w:sz w:val="15"/>
                <w:szCs w:val="15"/>
                <w:color w:val="auto"/>
              </w:rPr>
              <w:t>Other comprehensive income</w:t>
            </w:r>
          </w:p>
        </w:tc>
        <w:tc>
          <w:tcPr>
            <w:tcW w:w="220" w:type="dxa"/>
            <w:vAlign w:val="bottom"/>
          </w:tcPr>
          <w:p>
            <w:pPr>
              <w:spacing w:after="0"/>
              <w:rPr>
                <w:sz w:val="18"/>
                <w:szCs w:val="18"/>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420" w:type="dxa"/>
            <w:vAlign w:val="bottom"/>
            <w:vMerge w:val="restart"/>
          </w:tcPr>
          <w:p>
            <w:pPr>
              <w:jc w:val="right"/>
              <w:ind w:right="23"/>
              <w:spacing w:after="0"/>
              <w:rPr>
                <w:sz w:val="20"/>
                <w:szCs w:val="20"/>
                <w:color w:val="auto"/>
              </w:rPr>
            </w:pPr>
            <w:r>
              <w:rPr>
                <w:rFonts w:ascii="Arial" w:cs="Arial" w:eastAsia="Arial" w:hAnsi="Arial"/>
                <w:sz w:val="15"/>
                <w:szCs w:val="15"/>
                <w:color w:val="auto"/>
              </w:rPr>
              <w:t>7,805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restart"/>
          </w:tcPr>
          <w:p>
            <w:pPr>
              <w:jc w:val="right"/>
              <w:ind w:right="23"/>
              <w:spacing w:after="0"/>
              <w:rPr>
                <w:sz w:val="20"/>
                <w:szCs w:val="20"/>
                <w:color w:val="auto"/>
              </w:rPr>
            </w:pPr>
            <w:r>
              <w:rPr>
                <w:rFonts w:ascii="Arial" w:cs="Arial" w:eastAsia="Arial" w:hAnsi="Arial"/>
                <w:sz w:val="15"/>
                <w:szCs w:val="15"/>
                <w:color w:val="auto"/>
              </w:rPr>
              <w:t>409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5"/>
                <w:szCs w:val="15"/>
                <w:color w:val="auto"/>
              </w:rPr>
              <w:t>8,214</w:t>
            </w:r>
          </w:p>
        </w:tc>
        <w:tc>
          <w:tcPr>
            <w:tcW w:w="0" w:type="dxa"/>
            <w:vAlign w:val="bottom"/>
          </w:tcPr>
          <w:p>
            <w:pPr>
              <w:spacing w:after="0"/>
              <w:rPr>
                <w:sz w:val="1"/>
                <w:szCs w:val="1"/>
                <w:color w:val="auto"/>
              </w:rPr>
            </w:pPr>
          </w:p>
        </w:tc>
      </w:tr>
      <w:tr>
        <w:trPr>
          <w:trHeight w:val="58"/>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22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295,970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1,583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297,553</w:t>
            </w:r>
          </w:p>
        </w:tc>
        <w:tc>
          <w:tcPr>
            <w:tcW w:w="0" w:type="dxa"/>
            <w:vAlign w:val="bottom"/>
          </w:tcPr>
          <w:p>
            <w:pPr>
              <w:spacing w:after="0"/>
              <w:rPr>
                <w:sz w:val="1"/>
                <w:szCs w:val="1"/>
                <w:color w:val="auto"/>
              </w:rPr>
            </w:pPr>
          </w:p>
        </w:tc>
      </w:tr>
      <w:tr>
        <w:trPr>
          <w:trHeight w:val="62"/>
        </w:trPr>
        <w:tc>
          <w:tcPr>
            <w:tcW w:w="3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780" w:type="dxa"/>
            <w:vAlign w:val="bottom"/>
          </w:tcPr>
          <w:p>
            <w:pPr>
              <w:ind w:left="40"/>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(419)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restart"/>
          </w:tcPr>
          <w:p>
            <w:pPr>
              <w:jc w:val="right"/>
              <w:ind w:right="23"/>
              <w:spacing w:after="0"/>
              <w:rPr>
                <w:sz w:val="20"/>
                <w:szCs w:val="20"/>
                <w:color w:val="auto"/>
              </w:rPr>
            </w:pPr>
            <w:r>
              <w:rPr>
                <w:rFonts w:ascii="Arial" w:cs="Arial" w:eastAsia="Arial" w:hAnsi="Arial"/>
                <w:sz w:val="15"/>
                <w:szCs w:val="15"/>
                <w:color w:val="auto"/>
              </w:rPr>
              <w:t>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58"/>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December 31, 2017</w:t>
            </w:r>
          </w:p>
        </w:tc>
        <w:tc>
          <w:tcPr>
            <w:tcW w:w="2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1,754,561</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(52,822)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582,683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14,822</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2,299,244</w:t>
            </w:r>
          </w:p>
        </w:tc>
        <w:tc>
          <w:tcPr>
            <w:tcW w:w="0" w:type="dxa"/>
            <w:vAlign w:val="bottom"/>
          </w:tcPr>
          <w:p>
            <w:pPr>
              <w:spacing w:after="0"/>
              <w:rPr>
                <w:sz w:val="1"/>
                <w:szCs w:val="1"/>
                <w:color w:val="auto"/>
              </w:rPr>
            </w:pPr>
          </w:p>
        </w:tc>
      </w:tr>
      <w:tr>
        <w:trPr>
          <w:trHeight w:val="62"/>
        </w:trPr>
        <w:tc>
          <w:tcPr>
            <w:tcW w:w="37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3780" w:type="dxa"/>
            <w:vAlign w:val="bottom"/>
          </w:tcPr>
          <w:p>
            <w:pPr>
              <w:ind w:left="40"/>
              <w:spacing w:after="0" w:line="166" w:lineRule="exact"/>
              <w:rPr>
                <w:sz w:val="20"/>
                <w:szCs w:val="20"/>
                <w:color w:val="auto"/>
              </w:rPr>
            </w:pPr>
            <w:r>
              <w:rPr>
                <w:rFonts w:ascii="Arial" w:cs="Arial" w:eastAsia="Arial" w:hAnsi="Arial"/>
                <w:sz w:val="15"/>
                <w:szCs w:val="15"/>
                <w:color w:val="auto"/>
              </w:rPr>
              <w:t>Cumulative effect of adoption of ASU 2014-09 and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ASU 2016-01 as of January 1, 2018</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433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15,773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16,206</w:t>
            </w:r>
          </w:p>
        </w:tc>
        <w:tc>
          <w:tcPr>
            <w:tcW w:w="0" w:type="dxa"/>
            <w:vAlign w:val="bottom"/>
          </w:tcPr>
          <w:p>
            <w:pPr>
              <w:spacing w:after="0"/>
              <w:rPr>
                <w:sz w:val="1"/>
                <w:szCs w:val="1"/>
                <w:color w:val="auto"/>
              </w:rPr>
            </w:pPr>
          </w:p>
        </w:tc>
      </w:tr>
      <w:tr>
        <w:trPr>
          <w:trHeight w:val="192"/>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Balance, January 1, 2018</w:t>
            </w:r>
          </w:p>
        </w:tc>
        <w:tc>
          <w:tcPr>
            <w:tcW w:w="2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1,754,561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(52,389)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598,456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14,822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2,315,450</w:t>
            </w:r>
          </w:p>
        </w:tc>
        <w:tc>
          <w:tcPr>
            <w:tcW w:w="0" w:type="dxa"/>
            <w:vAlign w:val="bottom"/>
          </w:tcPr>
          <w:p>
            <w:pPr>
              <w:spacing w:after="0"/>
              <w:rPr>
                <w:sz w:val="1"/>
                <w:szCs w:val="1"/>
                <w:color w:val="auto"/>
              </w:rPr>
            </w:pPr>
          </w:p>
        </w:tc>
      </w:tr>
      <w:tr>
        <w:trPr>
          <w:trHeight w:val="62"/>
        </w:trPr>
        <w:tc>
          <w:tcPr>
            <w:tcW w:w="3780" w:type="dxa"/>
            <w:vAlign w:val="bottom"/>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3780" w:type="dxa"/>
            <w:vAlign w:val="bottom"/>
          </w:tcPr>
          <w:p>
            <w:pPr>
              <w:ind w:left="40"/>
              <w:spacing w:after="0"/>
              <w:rPr>
                <w:sz w:val="20"/>
                <w:szCs w:val="20"/>
                <w:color w:val="auto"/>
              </w:rPr>
            </w:pPr>
            <w:r>
              <w:rPr>
                <w:rFonts w:ascii="Arial" w:cs="Arial" w:eastAsia="Arial" w:hAnsi="Arial"/>
                <w:sz w:val="15"/>
                <w:szCs w:val="15"/>
                <w:color w:val="auto"/>
              </w:rPr>
              <w:t>Stock-based compensation</w:t>
            </w:r>
          </w:p>
        </w:tc>
        <w:tc>
          <w:tcPr>
            <w:tcW w:w="220" w:type="dxa"/>
            <w:vAlign w:val="bottom"/>
          </w:tcPr>
          <w:p>
            <w:pPr>
              <w:spacing w:after="0"/>
              <w:rPr>
                <w:sz w:val="16"/>
                <w:szCs w:val="16"/>
                <w:color w:val="auto"/>
              </w:rPr>
            </w:pPr>
          </w:p>
        </w:tc>
        <w:tc>
          <w:tcPr>
            <w:tcW w:w="1160" w:type="dxa"/>
            <w:vAlign w:val="bottom"/>
            <w:vMerge w:val="restart"/>
          </w:tcPr>
          <w:p>
            <w:pPr>
              <w:jc w:val="right"/>
              <w:ind w:right="23"/>
              <w:spacing w:after="0"/>
              <w:rPr>
                <w:sz w:val="20"/>
                <w:szCs w:val="20"/>
                <w:color w:val="auto"/>
              </w:rPr>
            </w:pPr>
            <w:r>
              <w:rPr>
                <w:rFonts w:ascii="Arial" w:cs="Arial" w:eastAsia="Arial" w:hAnsi="Arial"/>
                <w:sz w:val="15"/>
                <w:szCs w:val="15"/>
                <w:color w:val="auto"/>
              </w:rPr>
              <w:t>5,435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5"/>
                <w:szCs w:val="15"/>
                <w:color w:val="auto"/>
              </w:rPr>
              <w:t>5,435</w:t>
            </w:r>
          </w:p>
        </w:tc>
        <w:tc>
          <w:tcPr>
            <w:tcW w:w="0" w:type="dxa"/>
            <w:vAlign w:val="bottom"/>
          </w:tcPr>
          <w:p>
            <w:pPr>
              <w:spacing w:after="0"/>
              <w:rPr>
                <w:sz w:val="1"/>
                <w:szCs w:val="1"/>
                <w:color w:val="auto"/>
              </w:rPr>
            </w:pPr>
          </w:p>
        </w:tc>
      </w:tr>
      <w:tr>
        <w:trPr>
          <w:trHeight w:val="58"/>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Capital contribution from EchoStar Corporation</w:t>
            </w:r>
          </w:p>
        </w:tc>
        <w:tc>
          <w:tcPr>
            <w:tcW w:w="2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7,125</w:t>
            </w:r>
          </w:p>
        </w:tc>
        <w:tc>
          <w:tcPr>
            <w:tcW w:w="0" w:type="dxa"/>
            <w:vAlign w:val="bottom"/>
          </w:tcPr>
          <w:p>
            <w:pPr>
              <w:spacing w:after="0"/>
              <w:rPr>
                <w:sz w:val="1"/>
                <w:szCs w:val="1"/>
                <w:color w:val="auto"/>
              </w:rPr>
            </w:pPr>
          </w:p>
        </w:tc>
      </w:tr>
      <w:tr>
        <w:trPr>
          <w:trHeight w:val="62"/>
        </w:trPr>
        <w:tc>
          <w:tcPr>
            <w:tcW w:w="3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780" w:type="dxa"/>
            <w:vAlign w:val="bottom"/>
          </w:tcPr>
          <w:p>
            <w:pPr>
              <w:ind w:left="40"/>
              <w:spacing w:after="0"/>
              <w:rPr>
                <w:sz w:val="20"/>
                <w:szCs w:val="20"/>
                <w:color w:val="auto"/>
              </w:rPr>
            </w:pPr>
            <w:r>
              <w:rPr>
                <w:rFonts w:ascii="Arial" w:cs="Arial" w:eastAsia="Arial" w:hAnsi="Arial"/>
                <w:sz w:val="15"/>
                <w:szCs w:val="15"/>
                <w:color w:val="auto"/>
              </w:rPr>
              <w:t>Other comprehensive income</w:t>
            </w:r>
          </w:p>
        </w:tc>
        <w:tc>
          <w:tcPr>
            <w:tcW w:w="220" w:type="dxa"/>
            <w:vAlign w:val="bottom"/>
          </w:tcPr>
          <w:p>
            <w:pPr>
              <w:spacing w:after="0"/>
              <w:rPr>
                <w:sz w:val="18"/>
                <w:szCs w:val="18"/>
                <w:color w:val="auto"/>
              </w:rPr>
            </w:pP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(31,385)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5"/>
                <w:szCs w:val="15"/>
                <w:color w:val="auto"/>
              </w:rPr>
              <w:t>(1,389)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(32,774)</w:t>
            </w:r>
          </w:p>
        </w:tc>
        <w:tc>
          <w:tcPr>
            <w:tcW w:w="0" w:type="dxa"/>
            <w:vAlign w:val="bottom"/>
          </w:tcPr>
          <w:p>
            <w:pPr>
              <w:spacing w:after="0"/>
              <w:rPr>
                <w:sz w:val="1"/>
                <w:szCs w:val="1"/>
                <w:color w:val="auto"/>
              </w:rPr>
            </w:pPr>
          </w:p>
        </w:tc>
      </w:tr>
      <w:tr>
        <w:trPr>
          <w:trHeight w:val="58"/>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w:t>
            </w:r>
          </w:p>
        </w:tc>
        <w:tc>
          <w:tcPr>
            <w:tcW w:w="22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95,501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1,842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97,343</w:t>
            </w:r>
          </w:p>
        </w:tc>
        <w:tc>
          <w:tcPr>
            <w:tcW w:w="0" w:type="dxa"/>
            <w:vAlign w:val="bottom"/>
          </w:tcPr>
          <w:p>
            <w:pPr>
              <w:spacing w:after="0"/>
              <w:rPr>
                <w:sz w:val="1"/>
                <w:szCs w:val="1"/>
                <w:color w:val="auto"/>
              </w:rPr>
            </w:pPr>
          </w:p>
        </w:tc>
      </w:tr>
      <w:tr>
        <w:trPr>
          <w:trHeight w:val="62"/>
        </w:trPr>
        <w:tc>
          <w:tcPr>
            <w:tcW w:w="37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3780" w:type="dxa"/>
            <w:vAlign w:val="bottom"/>
          </w:tcPr>
          <w:p>
            <w:pPr>
              <w:ind w:left="40"/>
              <w:spacing w:after="0"/>
              <w:rPr>
                <w:sz w:val="20"/>
                <w:szCs w:val="20"/>
                <w:color w:val="auto"/>
              </w:rPr>
            </w:pPr>
            <w:r>
              <w:rPr>
                <w:rFonts w:ascii="Arial" w:cs="Arial" w:eastAsia="Arial" w:hAnsi="Arial"/>
                <w:sz w:val="15"/>
                <w:szCs w:val="15"/>
                <w:color w:val="auto"/>
              </w:rPr>
              <w:t>Other</w:t>
            </w:r>
          </w:p>
        </w:tc>
        <w:tc>
          <w:tcPr>
            <w:tcW w:w="22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5"/>
                <w:szCs w:val="15"/>
                <w:color w:val="auto"/>
              </w:rPr>
              <w:t>(84)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58"/>
        </w:trPr>
        <w:tc>
          <w:tcPr>
            <w:tcW w:w="3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December 31, 2018</w:t>
            </w: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1,767,037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693,957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15,275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2,392,495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140"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3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4"/>
                <w:szCs w:val="14"/>
                <w:b w:val="1"/>
                <w:bCs w:val="1"/>
                <w:color w:val="auto"/>
              </w:rPr>
              <w:t>For the years ended December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6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62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97,343</w:t>
            </w:r>
          </w:p>
        </w:tc>
        <w:tc>
          <w:tcPr>
            <w:tcW w:w="120" w:type="dxa"/>
            <w:vAlign w:val="bottom"/>
          </w:tcPr>
          <w:p>
            <w:pPr>
              <w:spacing w:after="0"/>
              <w:rPr>
                <w:sz w:val="22"/>
                <w:szCs w:val="22"/>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297,553</w:t>
            </w:r>
          </w:p>
        </w:tc>
        <w:tc>
          <w:tcPr>
            <w:tcW w:w="120" w:type="dxa"/>
            <w:vAlign w:val="bottom"/>
          </w:tcPr>
          <w:p>
            <w:pPr>
              <w:spacing w:after="0"/>
              <w:rPr>
                <w:sz w:val="22"/>
                <w:szCs w:val="22"/>
                <w:color w:val="auto"/>
              </w:rPr>
            </w:pPr>
          </w:p>
        </w:tc>
        <w:tc>
          <w:tcPr>
            <w:tcW w:w="400" w:type="dxa"/>
            <w:vAlign w:val="bottom"/>
          </w:tcPr>
          <w:p>
            <w:pPr>
              <w:jc w:val="right"/>
              <w:ind w:right="23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121,721</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flows from operating activities: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62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551,416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496,798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414,133</w:t>
            </w: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debt issuance costs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7,923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7,378</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6,551</w:t>
            </w:r>
          </w:p>
        </w:tc>
        <w:tc>
          <w:tcPr>
            <w:tcW w:w="0" w:type="dxa"/>
            <w:vAlign w:val="bottom"/>
          </w:tcPr>
          <w:p>
            <w:pPr>
              <w:spacing w:after="0"/>
              <w:rPr>
                <w:sz w:val="1"/>
                <w:szCs w:val="1"/>
                <w:color w:val="auto"/>
              </w:rPr>
            </w:pPr>
          </w:p>
        </w:tc>
      </w:tr>
      <w:tr>
        <w:trPr>
          <w:trHeight w:val="82"/>
        </w:trPr>
        <w:tc>
          <w:tcPr>
            <w:tcW w:w="66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380"/>
              <w:spacing w:after="0"/>
              <w:rPr>
                <w:sz w:val="20"/>
                <w:szCs w:val="20"/>
                <w:color w:val="auto"/>
              </w:rPr>
            </w:pPr>
            <w:r>
              <w:rPr>
                <w:rFonts w:ascii="Arial" w:cs="Arial" w:eastAsia="Arial" w:hAnsi="Arial"/>
                <w:sz w:val="14"/>
                <w:szCs w:val="14"/>
                <w:color w:val="auto"/>
              </w:rPr>
              <w:t>Losses (gains) and impairment on marketable investment securities, net</w:t>
            </w:r>
          </w:p>
        </w:tc>
        <w:tc>
          <w:tcPr>
            <w:tcW w:w="340" w:type="dxa"/>
            <w:vAlign w:val="bottom"/>
          </w:tcPr>
          <w:p>
            <w:pPr>
              <w:spacing w:after="0"/>
              <w:rPr>
                <w:sz w:val="16"/>
                <w:szCs w:val="16"/>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color w:val="auto"/>
              </w:rPr>
              <w:t>1,574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(6,995)</w:t>
            </w:r>
          </w:p>
        </w:tc>
        <w:tc>
          <w:tcPr>
            <w:tcW w:w="0" w:type="dxa"/>
            <w:vAlign w:val="bottom"/>
          </w:tcPr>
          <w:p>
            <w:pPr>
              <w:spacing w:after="0"/>
              <w:rPr>
                <w:sz w:val="1"/>
                <w:szCs w:val="1"/>
                <w:color w:val="auto"/>
              </w:rPr>
            </w:pPr>
          </w:p>
        </w:tc>
      </w:tr>
      <w:tr>
        <w:trPr>
          <w:trHeight w:val="75"/>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Impairment of long-lived asset</w:t>
            </w: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6,000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66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4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380"/>
              <w:spacing w:after="0"/>
              <w:rPr>
                <w:sz w:val="20"/>
                <w:szCs w:val="20"/>
                <w:color w:val="auto"/>
              </w:rPr>
            </w:pPr>
            <w:r>
              <w:rPr>
                <w:rFonts w:ascii="Arial" w:cs="Arial" w:eastAsia="Arial" w:hAnsi="Arial"/>
                <w:sz w:val="14"/>
                <w:szCs w:val="14"/>
                <w:color w:val="auto"/>
              </w:rPr>
              <w:t>Equity in earnings of unconsolidated affiliate</w:t>
            </w:r>
          </w:p>
        </w:tc>
        <w:tc>
          <w:tcPr>
            <w:tcW w:w="340" w:type="dxa"/>
            <w:vAlign w:val="bottom"/>
          </w:tcPr>
          <w:p>
            <w:pPr>
              <w:spacing w:after="0"/>
              <w:rPr>
                <w:sz w:val="16"/>
                <w:szCs w:val="16"/>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4"/>
                <w:szCs w:val="14"/>
                <w:color w:val="auto"/>
              </w:rPr>
              <w:t>(4,791)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(7,027)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(9,444)</w:t>
            </w:r>
          </w:p>
        </w:tc>
        <w:tc>
          <w:tcPr>
            <w:tcW w:w="0" w:type="dxa"/>
            <w:vAlign w:val="bottom"/>
          </w:tcPr>
          <w:p>
            <w:pPr>
              <w:spacing w:after="0"/>
              <w:rPr>
                <w:sz w:val="1"/>
                <w:szCs w:val="1"/>
                <w:color w:val="auto"/>
              </w:rPr>
            </w:pPr>
          </w:p>
        </w:tc>
      </w:tr>
      <w:tr>
        <w:trPr>
          <w:trHeight w:val="75"/>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5,435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5,117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4,822</w:t>
            </w:r>
          </w:p>
        </w:tc>
        <w:tc>
          <w:tcPr>
            <w:tcW w:w="0" w:type="dxa"/>
            <w:vAlign w:val="bottom"/>
          </w:tcPr>
          <w:p>
            <w:pPr>
              <w:spacing w:after="0"/>
              <w:rPr>
                <w:sz w:val="1"/>
                <w:szCs w:val="1"/>
                <w:color w:val="auto"/>
              </w:rPr>
            </w:pPr>
          </w:p>
        </w:tc>
      </w:tr>
      <w:tr>
        <w:trPr>
          <w:trHeight w:val="82"/>
        </w:trPr>
        <w:tc>
          <w:tcPr>
            <w:tcW w:w="66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380"/>
              <w:spacing w:after="0"/>
              <w:rPr>
                <w:sz w:val="20"/>
                <w:szCs w:val="20"/>
                <w:color w:val="auto"/>
              </w:rPr>
            </w:pPr>
            <w:r>
              <w:rPr>
                <w:rFonts w:ascii="Arial" w:cs="Arial" w:eastAsia="Arial" w:hAnsi="Arial"/>
                <w:sz w:val="14"/>
                <w:szCs w:val="14"/>
                <w:color w:val="auto"/>
              </w:rPr>
              <w:t>Deferred tax (benefit) provision</w:t>
            </w:r>
          </w:p>
        </w:tc>
        <w:tc>
          <w:tcPr>
            <w:tcW w:w="340" w:type="dxa"/>
            <w:vAlign w:val="bottom"/>
          </w:tcPr>
          <w:p>
            <w:pPr>
              <w:spacing w:after="0"/>
              <w:rPr>
                <w:sz w:val="16"/>
                <w:szCs w:val="16"/>
                <w:color w:val="auto"/>
              </w:rPr>
            </w:pPr>
          </w:p>
        </w:tc>
        <w:tc>
          <w:tcPr>
            <w:tcW w:w="1120" w:type="dxa"/>
            <w:vAlign w:val="bottom"/>
            <w:vMerge w:val="restart"/>
          </w:tcPr>
          <w:p>
            <w:pPr>
              <w:jc w:val="right"/>
              <w:ind w:right="52"/>
              <w:spacing w:after="0"/>
              <w:rPr>
                <w:sz w:val="20"/>
                <w:szCs w:val="20"/>
                <w:color w:val="auto"/>
              </w:rPr>
            </w:pPr>
            <w:r>
              <w:rPr>
                <w:rFonts w:ascii="Arial" w:cs="Arial" w:eastAsia="Arial" w:hAnsi="Arial"/>
                <w:sz w:val="14"/>
                <w:szCs w:val="14"/>
                <w:color w:val="auto"/>
              </w:rPr>
              <w:t>43,698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(268,071)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4"/>
                <w:szCs w:val="14"/>
                <w:color w:val="auto"/>
              </w:rPr>
              <w:t>70,901</w:t>
            </w:r>
          </w:p>
        </w:tc>
        <w:tc>
          <w:tcPr>
            <w:tcW w:w="0" w:type="dxa"/>
            <w:vAlign w:val="bottom"/>
          </w:tcPr>
          <w:p>
            <w:pPr>
              <w:spacing w:after="0"/>
              <w:rPr>
                <w:sz w:val="1"/>
                <w:szCs w:val="1"/>
                <w:color w:val="auto"/>
              </w:rPr>
            </w:pPr>
          </w:p>
        </w:tc>
      </w:tr>
      <w:tr>
        <w:trPr>
          <w:trHeight w:val="75"/>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received from unconsolidated entity</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19,000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82"/>
        </w:trPr>
        <w:tc>
          <w:tcPr>
            <w:tcW w:w="66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620" w:type="dxa"/>
            <w:vAlign w:val="bottom"/>
          </w:tcPr>
          <w:p>
            <w:pPr>
              <w:ind w:left="380"/>
              <w:spacing w:after="0"/>
              <w:rPr>
                <w:sz w:val="20"/>
                <w:szCs w:val="20"/>
                <w:color w:val="auto"/>
              </w:rPr>
            </w:pPr>
            <w:r>
              <w:rPr>
                <w:rFonts w:ascii="Arial" w:cs="Arial" w:eastAsia="Arial" w:hAnsi="Arial"/>
                <w:sz w:val="14"/>
                <w:szCs w:val="14"/>
                <w:color w:val="auto"/>
              </w:rPr>
              <w:t>Proceeds from sale of trading securities</w:t>
            </w:r>
          </w:p>
        </w:tc>
        <w:tc>
          <w:tcPr>
            <w:tcW w:w="340" w:type="dxa"/>
            <w:vAlign w:val="bottom"/>
          </w:tcPr>
          <w:p>
            <w:pPr>
              <w:spacing w:after="0"/>
              <w:rPr>
                <w:sz w:val="16"/>
                <w:szCs w:val="16"/>
                <w:color w:val="auto"/>
              </w:rPr>
            </w:pP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vMerge w:val="restart"/>
          </w:tcPr>
          <w:p>
            <w:pPr>
              <w:jc w:val="right"/>
              <w:ind w:right="32"/>
              <w:spacing w:after="0"/>
              <w:rPr>
                <w:sz w:val="20"/>
                <w:szCs w:val="20"/>
                <w:color w:val="auto"/>
              </w:rPr>
            </w:pPr>
            <w:r>
              <w:rPr>
                <w:rFonts w:ascii="Arial" w:cs="Arial" w:eastAsia="Arial" w:hAnsi="Arial"/>
                <w:sz w:val="14"/>
                <w:szCs w:val="14"/>
                <w:color w:val="auto"/>
              </w:rPr>
              <w:t>8,922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vMerge w:val="restart"/>
          </w:tcPr>
          <w:p>
            <w:pPr>
              <w:jc w:val="right"/>
              <w:ind w:right="32"/>
              <w:spacing w:after="0"/>
              <w:rPr>
                <w:sz w:val="20"/>
                <w:szCs w:val="20"/>
                <w:color w:val="auto"/>
              </w:rPr>
            </w:pPr>
            <w:r>
              <w:rPr>
                <w:rFonts w:ascii="Arial" w:cs="Arial" w:eastAsia="Arial" w:hAnsi="Arial"/>
                <w:sz w:val="14"/>
                <w:szCs w:val="14"/>
                <w:color w:val="auto"/>
              </w:rPr>
              <w:t>7,140</w:t>
            </w:r>
          </w:p>
        </w:tc>
        <w:tc>
          <w:tcPr>
            <w:tcW w:w="0" w:type="dxa"/>
            <w:vAlign w:val="bottom"/>
          </w:tcPr>
          <w:p>
            <w:pPr>
              <w:spacing w:after="0"/>
              <w:rPr>
                <w:sz w:val="1"/>
                <w:szCs w:val="1"/>
                <w:color w:val="auto"/>
              </w:rPr>
            </w:pPr>
          </w:p>
        </w:tc>
      </w:tr>
      <w:tr>
        <w:trPr>
          <w:trHeight w:val="75"/>
        </w:trPr>
        <w:tc>
          <w:tcPr>
            <w:tcW w:w="6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Changes in current assets and current liabilities, net: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66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620" w:type="dxa"/>
            <w:vAlign w:val="bottom"/>
          </w:tcPr>
          <w:p>
            <w:pPr>
              <w:ind w:left="720"/>
              <w:spacing w:after="0"/>
              <w:rPr>
                <w:sz w:val="20"/>
                <w:szCs w:val="20"/>
                <w:color w:val="auto"/>
              </w:rPr>
            </w:pPr>
            <w:r>
              <w:rPr>
                <w:rFonts w:ascii="Arial" w:cs="Arial" w:eastAsia="Arial" w:hAnsi="Arial"/>
                <w:sz w:val="14"/>
                <w:szCs w:val="14"/>
                <w:color w:val="auto"/>
              </w:rPr>
              <w:t>Trade accounts receivable, net</w:t>
            </w:r>
          </w:p>
        </w:tc>
        <w:tc>
          <w:tcPr>
            <w:tcW w:w="3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(17,840)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(12,459)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(39,092)</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Advances to and from affiliates, net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7,276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12,176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(67,579)</w:t>
            </w:r>
          </w:p>
        </w:tc>
        <w:tc>
          <w:tcPr>
            <w:tcW w:w="0" w:type="dxa"/>
            <w:vAlign w:val="bottom"/>
          </w:tcPr>
          <w:p>
            <w:pPr>
              <w:spacing w:after="0"/>
              <w:rPr>
                <w:sz w:val="1"/>
                <w:szCs w:val="1"/>
                <w:color w:val="auto"/>
              </w:rPr>
            </w:pPr>
          </w:p>
        </w:tc>
      </w:tr>
      <w:tr>
        <w:trPr>
          <w:trHeight w:val="263"/>
        </w:trPr>
        <w:tc>
          <w:tcPr>
            <w:tcW w:w="6620" w:type="dxa"/>
            <w:vAlign w:val="bottom"/>
          </w:tcPr>
          <w:p>
            <w:pPr>
              <w:ind w:left="720"/>
              <w:spacing w:after="0"/>
              <w:rPr>
                <w:sz w:val="20"/>
                <w:szCs w:val="20"/>
                <w:color w:val="auto"/>
              </w:rPr>
            </w:pPr>
            <w:r>
              <w:rPr>
                <w:rFonts w:ascii="Arial" w:cs="Arial" w:eastAsia="Arial" w:hAnsi="Arial"/>
                <w:sz w:val="14"/>
                <w:szCs w:val="14"/>
                <w:color w:val="auto"/>
              </w:rPr>
              <w:t>Trade accounts receivable - DISH Network</w:t>
            </w:r>
          </w:p>
        </w:tc>
        <w:tc>
          <w:tcPr>
            <w:tcW w:w="34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25,091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(19,318)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1,935</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Inventory</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5,650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(13,221)</w:t>
            </w:r>
          </w:p>
        </w:tc>
        <w:tc>
          <w:tcPr>
            <w:tcW w:w="0" w:type="dxa"/>
            <w:vAlign w:val="bottom"/>
          </w:tcPr>
          <w:p>
            <w:pPr>
              <w:spacing w:after="0"/>
              <w:rPr>
                <w:sz w:val="1"/>
                <w:szCs w:val="1"/>
                <w:color w:val="auto"/>
              </w:rPr>
            </w:pPr>
          </w:p>
        </w:tc>
      </w:tr>
      <w:tr>
        <w:trPr>
          <w:trHeight w:val="263"/>
        </w:trPr>
        <w:tc>
          <w:tcPr>
            <w:tcW w:w="6620" w:type="dxa"/>
            <w:vAlign w:val="bottom"/>
          </w:tcPr>
          <w:p>
            <w:pPr>
              <w:ind w:left="720"/>
              <w:spacing w:after="0"/>
              <w:rPr>
                <w:sz w:val="20"/>
                <w:szCs w:val="20"/>
                <w:color w:val="auto"/>
              </w:rPr>
            </w:pPr>
            <w:r>
              <w:rPr>
                <w:rFonts w:ascii="Arial" w:cs="Arial" w:eastAsia="Arial" w:hAnsi="Arial"/>
                <w:sz w:val="14"/>
                <w:szCs w:val="14"/>
                <w:color w:val="auto"/>
              </w:rPr>
              <w:t>Other current assets</w:t>
            </w:r>
          </w:p>
        </w:tc>
        <w:tc>
          <w:tcPr>
            <w:tcW w:w="3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(17,312)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(9,303)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Trade accounts payable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6,258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9,429</w:t>
            </w:r>
          </w:p>
        </w:tc>
        <w:tc>
          <w:tcPr>
            <w:tcW w:w="0" w:type="dxa"/>
            <w:vAlign w:val="bottom"/>
          </w:tcPr>
          <w:p>
            <w:pPr>
              <w:spacing w:after="0"/>
              <w:rPr>
                <w:sz w:val="1"/>
                <w:szCs w:val="1"/>
                <w:color w:val="auto"/>
              </w:rPr>
            </w:pPr>
          </w:p>
        </w:tc>
      </w:tr>
      <w:tr>
        <w:trPr>
          <w:trHeight w:val="263"/>
        </w:trPr>
        <w:tc>
          <w:tcPr>
            <w:tcW w:w="6620" w:type="dxa"/>
            <w:vAlign w:val="bottom"/>
          </w:tcPr>
          <w:p>
            <w:pPr>
              <w:ind w:left="720"/>
              <w:spacing w:after="0"/>
              <w:rPr>
                <w:sz w:val="20"/>
                <w:szCs w:val="20"/>
                <w:color w:val="auto"/>
              </w:rPr>
            </w:pPr>
            <w:r>
              <w:rPr>
                <w:rFonts w:ascii="Arial" w:cs="Arial" w:eastAsia="Arial" w:hAnsi="Arial"/>
                <w:sz w:val="14"/>
                <w:szCs w:val="14"/>
                <w:color w:val="auto"/>
              </w:rPr>
              <w:t>Accrued expenses and other</w:t>
            </w:r>
          </w:p>
        </w:tc>
        <w:tc>
          <w:tcPr>
            <w:tcW w:w="34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16,839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13,701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30,603</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noncurrent assets and noncurrent liabilities, net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(2,680)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14,233</w:t>
            </w: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Other,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8,581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4,018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10,436</w:t>
            </w:r>
          </w:p>
        </w:tc>
        <w:tc>
          <w:tcPr>
            <w:tcW w:w="0" w:type="dxa"/>
            <w:vAlign w:val="bottom"/>
          </w:tcPr>
          <w:p>
            <w:pPr>
              <w:spacing w:after="0"/>
              <w:rPr>
                <w:sz w:val="1"/>
                <w:szCs w:val="1"/>
                <w:color w:val="auto"/>
              </w:rPr>
            </w:pPr>
          </w:p>
        </w:tc>
      </w:tr>
      <w:tr>
        <w:trPr>
          <w:trHeight w:val="257"/>
        </w:trPr>
        <w:tc>
          <w:tcPr>
            <w:tcW w:w="6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flows from operating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742,703</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497,029</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565,871</w:t>
            </w:r>
          </w:p>
        </w:tc>
        <w:tc>
          <w:tcPr>
            <w:tcW w:w="0" w:type="dxa"/>
            <w:vAlign w:val="bottom"/>
          </w:tcPr>
          <w:p>
            <w:pPr>
              <w:spacing w:after="0"/>
              <w:rPr>
                <w:sz w:val="1"/>
                <w:szCs w:val="1"/>
                <w:color w:val="auto"/>
              </w:rPr>
            </w:pPr>
          </w:p>
        </w:tc>
      </w:tr>
      <w:tr>
        <w:trPr>
          <w:trHeight w:val="169"/>
        </w:trPr>
        <w:tc>
          <w:tcPr>
            <w:tcW w:w="66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marketable investment securities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(2,063,042)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(535,476)</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(396,730)</w:t>
            </w:r>
          </w:p>
        </w:tc>
        <w:tc>
          <w:tcPr>
            <w:tcW w:w="0" w:type="dxa"/>
            <w:vAlign w:val="bottom"/>
          </w:tcPr>
          <w:p>
            <w:pPr>
              <w:spacing w:after="0"/>
              <w:rPr>
                <w:sz w:val="1"/>
                <w:szCs w:val="1"/>
                <w:color w:val="auto"/>
              </w:rPr>
            </w:pPr>
          </w:p>
        </w:tc>
      </w:tr>
      <w:tr>
        <w:trPr>
          <w:trHeight w:val="263"/>
        </w:trPr>
        <w:tc>
          <w:tcPr>
            <w:tcW w:w="6620" w:type="dxa"/>
            <w:vAlign w:val="bottom"/>
          </w:tcPr>
          <w:p>
            <w:pPr>
              <w:ind w:left="280"/>
              <w:spacing w:after="0"/>
              <w:rPr>
                <w:sz w:val="20"/>
                <w:szCs w:val="20"/>
                <w:color w:val="auto"/>
              </w:rPr>
            </w:pPr>
            <w:r>
              <w:rPr>
                <w:rFonts w:ascii="Arial" w:cs="Arial" w:eastAsia="Arial" w:hAnsi="Arial"/>
                <w:sz w:val="14"/>
                <w:szCs w:val="14"/>
                <w:color w:val="auto"/>
              </w:rPr>
              <w:t>Sales and maturities of marketable investment securities</w:t>
            </w:r>
          </w:p>
        </w:tc>
        <w:tc>
          <w:tcPr>
            <w:tcW w:w="34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909,996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259,263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460,834</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Expenditures for property and equipment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(391,065)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(401,538)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(381,287)</w:t>
            </w:r>
          </w:p>
        </w:tc>
        <w:tc>
          <w:tcPr>
            <w:tcW w:w="0" w:type="dxa"/>
            <w:vAlign w:val="bottom"/>
          </w:tcPr>
          <w:p>
            <w:pPr>
              <w:spacing w:after="0"/>
              <w:rPr>
                <w:sz w:val="1"/>
                <w:szCs w:val="1"/>
                <w:color w:val="auto"/>
              </w:rPr>
            </w:pPr>
          </w:p>
        </w:tc>
      </w:tr>
      <w:tr>
        <w:trPr>
          <w:trHeight w:val="263"/>
        </w:trPr>
        <w:tc>
          <w:tcPr>
            <w:tcW w:w="6620" w:type="dxa"/>
            <w:vAlign w:val="bottom"/>
          </w:tcPr>
          <w:p>
            <w:pPr>
              <w:ind w:left="280"/>
              <w:spacing w:after="0"/>
              <w:rPr>
                <w:sz w:val="20"/>
                <w:szCs w:val="20"/>
                <w:color w:val="auto"/>
              </w:rPr>
            </w:pPr>
            <w:r>
              <w:rPr>
                <w:rFonts w:ascii="Arial" w:cs="Arial" w:eastAsia="Arial" w:hAnsi="Arial"/>
                <w:sz w:val="14"/>
                <w:szCs w:val="14"/>
                <w:color w:val="auto"/>
              </w:rPr>
              <w:t>Refunds and other receipts related to property and equipment</w:t>
            </w:r>
          </w:p>
        </w:tc>
        <w:tc>
          <w:tcPr>
            <w:tcW w:w="34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77,524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4,311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 in unconsolidated entity</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(100,991)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6620" w:type="dxa"/>
            <w:vAlign w:val="bottom"/>
          </w:tcPr>
          <w:p>
            <w:pPr>
              <w:ind w:left="280"/>
              <w:spacing w:after="0"/>
              <w:rPr>
                <w:sz w:val="20"/>
                <w:szCs w:val="20"/>
                <w:color w:val="auto"/>
              </w:rPr>
            </w:pPr>
            <w:r>
              <w:rPr>
                <w:rFonts w:ascii="Arial" w:cs="Arial" w:eastAsia="Arial" w:hAnsi="Arial"/>
                <w:sz w:val="14"/>
                <w:szCs w:val="14"/>
                <w:color w:val="auto"/>
              </w:rPr>
              <w:t>Payment for EchoStar XXI launch services</w:t>
            </w:r>
          </w:p>
        </w:tc>
        <w:tc>
          <w:tcPr>
            <w:tcW w:w="3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(7,125)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(23,750)</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Expenditures for externally marketed software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(31,639)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(23,252)</w:t>
            </w:r>
          </w:p>
        </w:tc>
        <w:tc>
          <w:tcPr>
            <w:tcW w:w="0" w:type="dxa"/>
            <w:vAlign w:val="bottom"/>
          </w:tcPr>
          <w:p>
            <w:pPr>
              <w:spacing w:after="0"/>
              <w:rPr>
                <w:sz w:val="1"/>
                <w:szCs w:val="1"/>
                <w:color w:val="auto"/>
              </w:rPr>
            </w:pPr>
          </w:p>
        </w:tc>
      </w:tr>
      <w:tr>
        <w:trPr>
          <w:trHeight w:val="264"/>
        </w:trPr>
        <w:tc>
          <w:tcPr>
            <w:tcW w:w="6620" w:type="dxa"/>
            <w:vAlign w:val="bottom"/>
          </w:tcPr>
          <w:p>
            <w:pPr>
              <w:ind w:left="280"/>
              <w:spacing w:after="0"/>
              <w:rPr>
                <w:sz w:val="20"/>
                <w:szCs w:val="20"/>
                <w:color w:val="auto"/>
              </w:rPr>
            </w:pPr>
            <w:r>
              <w:rPr>
                <w:rFonts w:ascii="Arial" w:cs="Arial" w:eastAsia="Arial" w:hAnsi="Arial"/>
                <w:sz w:val="14"/>
                <w:szCs w:val="14"/>
                <w:color w:val="auto"/>
              </w:rPr>
              <w:t>Other, net</w:t>
            </w:r>
          </w:p>
        </w:tc>
        <w:tc>
          <w:tcPr>
            <w:tcW w:w="3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257"/>
        </w:trPr>
        <w:tc>
          <w:tcPr>
            <w:tcW w:w="66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Net cash flows from investing activities</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(1,606,342)</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(704,771)</w:t>
            </w: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(365,821)</w:t>
            </w:r>
          </w:p>
        </w:tc>
        <w:tc>
          <w:tcPr>
            <w:tcW w:w="0" w:type="dxa"/>
            <w:vAlign w:val="bottom"/>
          </w:tcPr>
          <w:p>
            <w:pPr>
              <w:spacing w:after="0"/>
              <w:rPr>
                <w:sz w:val="1"/>
                <w:szCs w:val="1"/>
                <w:color w:val="auto"/>
              </w:rPr>
            </w:pPr>
          </w:p>
        </w:tc>
      </w:tr>
      <w:tr>
        <w:trPr>
          <w:trHeight w:val="169"/>
        </w:trPr>
        <w:tc>
          <w:tcPr>
            <w:tcW w:w="66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1,500,000</w:t>
            </w:r>
          </w:p>
        </w:tc>
        <w:tc>
          <w:tcPr>
            <w:tcW w:w="0" w:type="dxa"/>
            <w:vAlign w:val="bottom"/>
          </w:tcPr>
          <w:p>
            <w:pPr>
              <w:spacing w:after="0"/>
              <w:rPr>
                <w:sz w:val="1"/>
                <w:szCs w:val="1"/>
                <w:color w:val="auto"/>
              </w:rPr>
            </w:pPr>
          </w:p>
        </w:tc>
      </w:tr>
      <w:tr>
        <w:trPr>
          <w:trHeight w:val="263"/>
        </w:trPr>
        <w:tc>
          <w:tcPr>
            <w:tcW w:w="6620" w:type="dxa"/>
            <w:vAlign w:val="bottom"/>
          </w:tcPr>
          <w:p>
            <w:pPr>
              <w:ind w:left="280"/>
              <w:spacing w:after="0"/>
              <w:rPr>
                <w:sz w:val="20"/>
                <w:szCs w:val="20"/>
                <w:color w:val="auto"/>
              </w:rPr>
            </w:pPr>
            <w:r>
              <w:rPr>
                <w:rFonts w:ascii="Arial" w:cs="Arial" w:eastAsia="Arial" w:hAnsi="Arial"/>
                <w:sz w:val="14"/>
                <w:szCs w:val="14"/>
                <w:color w:val="auto"/>
              </w:rPr>
              <w:t>Payments of debt issuance costs</w:t>
            </w:r>
          </w:p>
        </w:tc>
        <w:tc>
          <w:tcPr>
            <w:tcW w:w="3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 of the 2019 Senior Secured Notes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(70,173)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6620" w:type="dxa"/>
            <w:vAlign w:val="bottom"/>
          </w:tcPr>
          <w:p>
            <w:pPr>
              <w:ind w:left="280"/>
              <w:spacing w:after="0"/>
              <w:rPr>
                <w:sz w:val="20"/>
                <w:szCs w:val="20"/>
                <w:color w:val="auto"/>
              </w:rPr>
            </w:pPr>
            <w:r>
              <w:rPr>
                <w:rFonts w:ascii="Arial" w:cs="Arial" w:eastAsia="Arial" w:hAnsi="Arial"/>
                <w:sz w:val="14"/>
                <w:szCs w:val="14"/>
                <w:color w:val="auto"/>
              </w:rPr>
              <w:t>Repayment of debt and capital lease obligations</w:t>
            </w:r>
          </w:p>
        </w:tc>
        <w:tc>
          <w:tcPr>
            <w:tcW w:w="340" w:type="dxa"/>
            <w:vAlign w:val="bottom"/>
          </w:tcPr>
          <w:p>
            <w:pPr>
              <w:spacing w:after="0"/>
              <w:rPr>
                <w:sz w:val="22"/>
                <w:szCs w:val="22"/>
                <w:color w:val="auto"/>
              </w:rPr>
            </w:pP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(41,019)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(37,063)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(31,669)</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Advances from (to) affiliates</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6,982</w:t>
            </w:r>
          </w:p>
        </w:tc>
        <w:tc>
          <w:tcPr>
            <w:tcW w:w="0" w:type="dxa"/>
            <w:vAlign w:val="bottom"/>
          </w:tcPr>
          <w:p>
            <w:pPr>
              <w:spacing w:after="0"/>
              <w:rPr>
                <w:sz w:val="1"/>
                <w:szCs w:val="1"/>
                <w:color w:val="auto"/>
              </w:rPr>
            </w:pPr>
          </w:p>
        </w:tc>
      </w:tr>
      <w:tr>
        <w:trPr>
          <w:trHeight w:val="263"/>
        </w:trPr>
        <w:tc>
          <w:tcPr>
            <w:tcW w:w="6620" w:type="dxa"/>
            <w:vAlign w:val="bottom"/>
          </w:tcPr>
          <w:p>
            <w:pPr>
              <w:ind w:left="280"/>
              <w:spacing w:after="0"/>
              <w:rPr>
                <w:sz w:val="20"/>
                <w:szCs w:val="20"/>
                <w:color w:val="auto"/>
              </w:rPr>
            </w:pPr>
            <w:r>
              <w:rPr>
                <w:rFonts w:ascii="Arial" w:cs="Arial" w:eastAsia="Arial" w:hAnsi="Arial"/>
                <w:sz w:val="14"/>
                <w:szCs w:val="14"/>
                <w:color w:val="auto"/>
              </w:rPr>
              <w:t>Capital contribution from EchoStar</w:t>
            </w:r>
          </w:p>
        </w:tc>
        <w:tc>
          <w:tcPr>
            <w:tcW w:w="340" w:type="dxa"/>
            <w:vAlign w:val="bottom"/>
          </w:tcPr>
          <w:p>
            <w:pPr>
              <w:spacing w:after="0"/>
              <w:rPr>
                <w:sz w:val="22"/>
                <w:szCs w:val="22"/>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7,125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23,750</w:t>
            </w:r>
          </w:p>
        </w:tc>
        <w:tc>
          <w:tcPr>
            <w:tcW w:w="0" w:type="dxa"/>
            <w:vAlign w:val="bottom"/>
          </w:tcPr>
          <w:p>
            <w:pPr>
              <w:spacing w:after="0"/>
              <w:rPr>
                <w:sz w:val="1"/>
                <w:szCs w:val="1"/>
                <w:color w:val="auto"/>
              </w:rPr>
            </w:pPr>
          </w:p>
        </w:tc>
      </w:tr>
      <w:tr>
        <w:trPr>
          <w:trHeight w:val="277"/>
        </w:trPr>
        <w:tc>
          <w:tcPr>
            <w:tcW w:w="6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 of in-orbit incentive obligations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(4,796)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(5,499)</w:t>
            </w:r>
          </w:p>
        </w:tc>
        <w:tc>
          <w:tcPr>
            <w:tcW w:w="0" w:type="dxa"/>
            <w:vAlign w:val="bottom"/>
          </w:tcPr>
          <w:p>
            <w:pPr>
              <w:spacing w:after="0"/>
              <w:rPr>
                <w:sz w:val="1"/>
                <w:szCs w:val="1"/>
                <w:color w:val="auto"/>
              </w:rPr>
            </w:pPr>
          </w:p>
        </w:tc>
      </w:tr>
      <w:tr>
        <w:trPr>
          <w:trHeight w:val="264"/>
        </w:trPr>
        <w:tc>
          <w:tcPr>
            <w:tcW w:w="6620" w:type="dxa"/>
            <w:vAlign w:val="bottom"/>
          </w:tcPr>
          <w:p>
            <w:pPr>
              <w:ind w:left="280"/>
              <w:spacing w:after="0"/>
              <w:rPr>
                <w:sz w:val="20"/>
                <w:szCs w:val="20"/>
                <w:color w:val="auto"/>
              </w:rPr>
            </w:pPr>
            <w:r>
              <w:rPr>
                <w:rFonts w:ascii="Arial" w:cs="Arial" w:eastAsia="Arial" w:hAnsi="Arial"/>
                <w:sz w:val="14"/>
                <w:szCs w:val="14"/>
                <w:color w:val="auto"/>
              </w:rPr>
              <w:t>Other, net</w:t>
            </w:r>
          </w:p>
        </w:tc>
        <w:tc>
          <w:tcPr>
            <w:tcW w:w="340" w:type="dxa"/>
            <w:vAlign w:val="bottom"/>
          </w:tcPr>
          <w:p>
            <w:pPr>
              <w:spacing w:after="0"/>
              <w:rPr>
                <w:sz w:val="22"/>
                <w:szCs w:val="22"/>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250"/>
        </w:trPr>
        <w:tc>
          <w:tcPr>
            <w:tcW w:w="66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Net cash flows from financing activities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(108,863)</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(41,877)</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1,487,809</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Effect of exchange rates on cash and cash equivalents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(2,233)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1,286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57"/>
        </w:trPr>
        <w:tc>
          <w:tcPr>
            <w:tcW w:w="66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increase (decrease) in cash and cash equivalents, including restricted amounts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(974,735)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(248,333)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1,688,042</w:t>
            </w:r>
          </w:p>
        </w:tc>
        <w:tc>
          <w:tcPr>
            <w:tcW w:w="0" w:type="dxa"/>
            <w:vAlign w:val="bottom"/>
          </w:tcPr>
          <w:p>
            <w:pPr>
              <w:spacing w:after="0"/>
              <w:rPr>
                <w:sz w:val="1"/>
                <w:szCs w:val="1"/>
                <w:color w:val="auto"/>
              </w:rPr>
            </w:pPr>
          </w:p>
        </w:tc>
      </w:tr>
      <w:tr>
        <w:trPr>
          <w:trHeight w:val="264"/>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1,823,354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2,071,687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383,645</w:t>
            </w:r>
          </w:p>
        </w:tc>
        <w:tc>
          <w:tcPr>
            <w:tcW w:w="0" w:type="dxa"/>
            <w:vAlign w:val="bottom"/>
          </w:tcPr>
          <w:p>
            <w:pPr>
              <w:spacing w:after="0"/>
              <w:rPr>
                <w:sz w:val="1"/>
                <w:szCs w:val="1"/>
                <w:color w:val="auto"/>
              </w:rPr>
            </w:pPr>
          </w:p>
        </w:tc>
      </w:tr>
      <w:tr>
        <w:trPr>
          <w:trHeight w:val="243"/>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848,619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1,823,354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2,071,687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66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6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Cash paid for interest, net of amounts capitalized</w:t>
            </w:r>
          </w:p>
        </w:tc>
        <w:tc>
          <w:tcPr>
            <w:tcW w:w="3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250,576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236,232</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141,827</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paid for income taxes</w:t>
            </w:r>
          </w:p>
        </w:tc>
        <w:tc>
          <w:tcPr>
            <w:tcW w:w="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4,837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3,574</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4,796</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60"/>
          </w:cols>
          <w:pgMar w:left="240" w:top="140" w:right="499" w:bottom="292"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1219" w:right="1440"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9019"/>
          </w:cols>
          <w:pgMar w:left="1440" w:top="1219" w:right="1440" w:bottom="1440"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Hughes Satellite Systems Corporation (which, together with its subsidiaries, is referred to as “HSS,” the “Company,” “we,” “us” and/or “our”) is a holding company and a subsidiary of EchoStar Corporation (“EchoStar”). We are a global provider of broadband satellite technologies, broadband internet services for home and small office customers, satellite operations and satellite services. We also deliver innovative network technologies, managed services and various communications solutions for aeronautical, enterprise and government customers.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We primarily operate in the following two business segments:</w:t>
      </w:r>
    </w:p>
    <w:p>
      <w:pPr>
        <w:spacing w:after="0" w:line="203" w:lineRule="exact"/>
        <w:rPr>
          <w:sz w:val="20"/>
          <w:szCs w:val="20"/>
          <w:color w:val="auto"/>
        </w:rPr>
      </w:pPr>
    </w:p>
    <w:p>
      <w:pPr>
        <w:jc w:val="both"/>
        <w:ind w:left="660" w:hanging="328"/>
        <w:spacing w:after="0" w:line="257" w:lineRule="auto"/>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home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office customers and broadband network technologies, managed services, equipment, hardware, satellite services and communication solutions to domestic and international consumers and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7" w:lineRule="exact"/>
        <w:rPr>
          <w:rFonts w:ascii="Arial" w:cs="Arial" w:eastAsia="Arial" w:hAnsi="Arial"/>
          <w:sz w:val="18"/>
          <w:szCs w:val="18"/>
          <w:b w:val="1"/>
          <w:bCs w:val="1"/>
          <w:i w:val="1"/>
          <w:iCs w:val="1"/>
          <w:color w:val="auto"/>
        </w:rPr>
      </w:pPr>
    </w:p>
    <w:p>
      <w:pPr>
        <w:jc w:val="both"/>
        <w:ind w:left="660" w:hanging="328"/>
        <w:spacing w:after="0" w:line="259" w:lineRule="auto"/>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operations and satellite services on a full-time and/or occasional-use basis primarily to DISH Network Corporation and its subsidiaries (“DISH Network”), Dish Mexico, S. de R.L. de C.V., a joint venture that EchoStar entered into in 2008 (“Dish Mexico”), United States (“U.S.”) government service providers, internet service providers, broadcast news organizations, content providers, and private enterprise customers.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2017, EchoStar and certain of its and our subsidiaries entered into a share exchange agreement with DISH and certain of its subsidiaries. EchoStar, and certain of its and our subsidiaries, received all of the shares of the Hughes Retail Preferred Tracking Stock previously issued by EchoStar and us (together, the “Tracking Stock”) in exchange for 100% of the equity interests of certain of EchoStar subsidiaries that held substantially all of EchoStar’s former EchoStar Technologies businesses and certain other assets (collectively, the “Share Exchange”). Following the consummation of the Share Exchange, EchoStar no longer operate its former EchoStar Technologies businesses, the Tracking Stock was retired and is no longer outstanding, and all agreements, arrangements and policy statements with respect to the Tracking Stock terminated.</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of the outstanding voting shares and other shareholders do not have substantive rights to participate in management. For entities we control but do not wholly own, we record a noncontrolling interest within shareholders’ equity for the portion of the entity’s equity attributed to the noncontrolling ownership interests.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period presentation.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U.S. (“GAAP”) requires us to make certain estimates and assumptions that affect the reported amounts of assets and liabilities at the date of the balance sheets, the reported amounts of revenue and expense for each reporting period and certain information disclosed in the notes to our financial statements. Estimates are used in accounting for, among other things, (i) amortization periods for deferred contract acquisition costs, (ii) inputs used to recognize revenue over time, (iii) allowances for doubtful accounts, (iv) warranty obligations, (v) self-insurance obligations, (vi) deferred taxes and related valuation allowances, (vii) uncertain tax positions, (viii) loss contingencies, (ix) fair value of financial instruments, (x) fair value of EchoStar’s stock-based compensation awards, (xi) fair value of assets and liabilities acquired in business combinations, (xii) lease classifications, (xiii) asset impairment testing and (xiv) useful lives and methods for depreciation and amortization of long-lived assets.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financial statements. Additionally, changing economic conditions may increase the inherent uncertainty in the estimates and assumptions indicated above. We review our estimates and assumptions periodically and the effects of revisions thereto are reflected in the period they occur or prospectively if the revised estimate affects future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20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 Defined as observable inputs being quoted prices in active markets for identical assets;</w:t>
      </w:r>
    </w:p>
    <w:p>
      <w:pPr>
        <w:spacing w:after="0" w:line="90"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6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3 - Defined as unobservable inputs for which little or no market data exists, consistent with characteristics of the asset or liability that would be considered by market participants in a transaction to purchase or sell the asset or liability.</w:t>
      </w:r>
    </w:p>
    <w:p>
      <w:pPr>
        <w:spacing w:after="0" w:line="1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Fair values of our marketable investment securities are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Fair values for our outstanding debt (see Note 10) are based on quoted market prices in less active markets and are categorized as Level 2 measurements. Additionally, we use fair value measurements from time to time in connection with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years ended December 31, 2018 and 2017.</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2018 and 2017, the carrying amounts of our cash and cash equivalents, trade and other receivables, net of allowance for doubtful accounts, accounts payable and accrued liabilities were equal to or approximated their fair value due to their short-term nature or proximity to current market rates.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account for our sales and services revenue in accordance with </w:t>
      </w:r>
      <w:r>
        <w:rPr>
          <w:rFonts w:ascii="Arial" w:cs="Arial" w:eastAsia="Arial" w:hAnsi="Arial"/>
          <w:sz w:val="18"/>
          <w:szCs w:val="18"/>
          <w:i w:val="1"/>
          <w:iCs w:val="1"/>
          <w:color w:val="auto"/>
        </w:rPr>
        <w:t>Accounting Standards Codification (“ASC”) Topic 606, 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with Customers (“Topic 606”)</w:t>
      </w:r>
      <w:r>
        <w:rPr>
          <w:rFonts w:ascii="Arial" w:cs="Arial" w:eastAsia="Arial" w:hAnsi="Arial"/>
          <w:sz w:val="18"/>
          <w:szCs w:val="18"/>
          <w:color w:val="auto"/>
        </w:rPr>
        <w:t>, which we adopted on January 1, 2018, using the modified retrospective approach to contracts not</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as of the adoption date. Topic 606 provides a five-step revenue recognition model that we apply to our customer contracts. Under this model we (i) identify the contract with the customer, (ii) identify our performance obligations in the contract, (iii) determine the transaction price for the contract, (iv) allocate the transaction price to our performance obligations and (v) recognize revenue when or as we satisfy our performance obligations.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 is recognized upon transfer of control of the promised goods or our performance of the services to our customers in an amount that reflects the consideration we expect to receive in exchange for those goods or services. We enter into contracts that may include various combinations of products and services, which are generally distinct and accounted for as separate performance obligations.</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Additionally, a significant portion of our revenue is derived from leases of property and equipment that is reported in </w:t>
      </w:r>
      <w:r>
        <w:rPr>
          <w:rFonts w:ascii="Arial" w:cs="Arial" w:eastAsia="Arial" w:hAnsi="Arial"/>
          <w:sz w:val="18"/>
          <w:szCs w:val="18"/>
          <w:i w:val="1"/>
          <w:iCs w:val="1"/>
          <w:color w:val="auto"/>
        </w:rPr>
        <w:t>Services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revenue - other </w:t>
      </w:r>
      <w:r>
        <w:rPr>
          <w:rFonts w:ascii="Arial" w:cs="Arial" w:eastAsia="Arial" w:hAnsi="Arial"/>
          <w:sz w:val="18"/>
          <w:szCs w:val="18"/>
          <w:color w:val="auto"/>
        </w:rPr>
        <w:t>and</w:t>
      </w:r>
      <w:r>
        <w:rPr>
          <w:rFonts w:ascii="Arial" w:cs="Arial" w:eastAsia="Arial" w:hAnsi="Arial"/>
          <w:sz w:val="18"/>
          <w:szCs w:val="18"/>
          <w:i w:val="1"/>
          <w:iCs w:val="1"/>
          <w:color w:val="auto"/>
        </w:rPr>
        <w:t xml:space="preserve"> Services and other revenue - DISH Network </w:t>
      </w:r>
      <w:r>
        <w:rPr>
          <w:rFonts w:ascii="Arial" w:cs="Arial" w:eastAsia="Arial" w:hAnsi="Arial"/>
          <w:sz w:val="18"/>
          <w:szCs w:val="18"/>
          <w:color w:val="auto"/>
        </w:rPr>
        <w:t>in our Consolidated Statements of Operations and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Certain of our customer contracts contain embedded equipment leases, which we separate from non-lease components of the contract based on the relative standalone selling prices of the lease and non-lease components.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Hughes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Hughes segment provides various communication and networking services to consumer and enterprise customers in both domestic and international markets. Our service contracts typically obligate us to provide substantially the same services on a recurring basis in exchange for fixed recurring fees over the term of the contract. We satisfy such performance obligations over time and recognize revenue ratably as services are rendered over the service period. Certain of our contracts with service obligations provide for fees based on usage, capacity or volume. We satisfy these performance obligations and recognize the related revenue at the point in time or over the period when the services are rendered. Our Hughes segment also sells and leases communications equipment to its customers. Revenue from equipment sales generally is recognized upon shipment of the equipment. Our equipment sales contracts typically include standard product warranties, but generally do not provide for returns or refunds. Revenue for extended warranties is recognized ratably over the extended warranty period. For contracts with multiple performance obligations, we typically allocate the contract’s transaction price to each performance obligation based on their relative standalone selling prices. When the standalone selling price is not observable, our primary method used to estimate standalone selling price is the expected cost plus a margin. Our contracts generally require customer payments to be made at or shortly after the time we transfer control of goods or perform the services.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addition to equipment and service offerings, our Hughes segment also enters into long-term contracts to design, develop, construct and install complex telecommunication networks to customers in its enterprise and mobile satellite systems markets. Revenue from such contracts is generally recognized over time at a measure of progress that depicts the transfer of control of the goods or services to the customer. Depending on the nature of the arrangement, we measure progress toward contract completion using an appropriate input method or output method. Under the input method, we recognize the transaction price as revenue based on the ratio of costs incurred to estimated total costs at completion. Under the output method, revenue and cost of sales are recognized as products are delivered based on the expected profit for the entire agreement. Profit margins on long-term contracts generally are based on estimates of revenue and costs at completion. We review and revise our estimates periodically and recognize related adjustments in the period in which the revisions are made. Estimated losses on contracts are recorded in the period in which they are identified. We generally receive interim payments as work progresses, although for some contracts, we may be entitled to receive an advance payment.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ESS segment provides satellite operations through leasing arrangements and satellite services on a full-time and/or occasional-use basis to DISH Network and Dish Mexico, as well as government service providers, internet service providers, broadcast news organizations, content providers and private enterprise customers. Our ESS segment also provides telemetry, tracking and control (“TT&amp;C”) services for satellites owned by DISH Network and technical consulting services that are billed by the hour. Generally, our service contracts with customers contain a single performance obligation and therefore there is no need to allocate the transaction price. We transfer control and recognize revenue for satellite services at the point in time or over the period when the services are rendered.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and Value Added Taxes, Universal Service Fees and other taxes that we collect concurrent with revenue producing activities are excluded from revenue.</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Shipping and handling costs associated with outbound freight are accounted for as a fulfillment cost after control over a product has transferred to the customer and are included in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our Consolidated Statements of Operations and Comprehensive Income (Loss) at the time of shipment.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Trade accounts receivable includes amounts billed and currently due from customers and represents our unconditional rights to consideration arising from our performance under our customer contracts. Trade accounts receivable also includes amounts due from customers under our leasing arrangements. We make ongoing estimates relating to the collectibility of our trade accounts receivable and maintain an allowance for estimated losses resulting from the inability of our customers to make the required payments. In determining the amount of the allowance, we consider historical levels of credit losses and make judgments about the creditworthiness of our customers based on ongoing credit evaluations. Past due trade accounts receivable balances are written off when our internal collection efforts have been unsuccessful. Bad debt expense related to our trade accounts receivable and other contract assets is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our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Contract Liabilities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Contract assets represent revenue that we have recognized in advance of billing the customer and are included in </w:t>
      </w:r>
      <w:r>
        <w:rPr>
          <w:rFonts w:ascii="Arial" w:cs="Arial" w:eastAsia="Arial" w:hAnsi="Arial"/>
          <w:sz w:val="18"/>
          <w:szCs w:val="18"/>
          <w:i w:val="1"/>
          <w:iCs w:val="1"/>
          <w:color w:val="auto"/>
        </w:rPr>
        <w:t>Trade accounts receivable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contract assets, net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assets, net </w:t>
      </w:r>
      <w:r>
        <w:rPr>
          <w:rFonts w:ascii="Arial" w:cs="Arial" w:eastAsia="Arial" w:hAnsi="Arial"/>
          <w:sz w:val="18"/>
          <w:szCs w:val="18"/>
          <w:color w:val="auto"/>
        </w:rPr>
        <w:t>in our Consolidated Balance Sheets based on the expected timing of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Our contract assets include amounts that we referred to as Contracts in Process in prior periods. Our contract assets typically relate to our long-term contracts where we recognize revenue using the cost-based input method and the revenue recognized exceeds the amount billed to the customer.</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Contract liabilities consist of advance payments and billings in excess of revenue recognized under customer contracts and are included in </w:t>
      </w: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or</w:t>
      </w:r>
      <w:r>
        <w:rPr>
          <w:rFonts w:ascii="Arial" w:cs="Arial" w:eastAsia="Arial" w:hAnsi="Arial"/>
          <w:sz w:val="18"/>
          <w:szCs w:val="18"/>
          <w:i w:val="1"/>
          <w:iCs w:val="1"/>
          <w:color w:val="auto"/>
        </w:rPr>
        <w:t xml:space="preserve"> Other noncurrent liabilities </w:t>
      </w:r>
      <w:r>
        <w:rPr>
          <w:rFonts w:ascii="Arial" w:cs="Arial" w:eastAsia="Arial" w:hAnsi="Arial"/>
          <w:sz w:val="18"/>
          <w:szCs w:val="18"/>
          <w:color w:val="auto"/>
        </w:rPr>
        <w:t>in our Consolidated Balance Sheets based on the timing of when we expect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revenue. </w:t>
      </w:r>
      <w:r>
        <w:rPr>
          <w:rFonts w:ascii="Arial" w:cs="Arial" w:eastAsia="Arial" w:hAnsi="Arial"/>
          <w:sz w:val="18"/>
          <w:szCs w:val="18"/>
          <w:i w:val="1"/>
          <w:iCs w:val="1"/>
          <w:color w:val="auto"/>
        </w:rPr>
        <w:t>Contract liabilities</w:t>
      </w:r>
      <w:r>
        <w:rPr>
          <w:rFonts w:ascii="Arial" w:cs="Arial" w:eastAsia="Arial" w:hAnsi="Arial"/>
          <w:sz w:val="18"/>
          <w:szCs w:val="18"/>
          <w:color w:val="auto"/>
        </w:rPr>
        <w:t xml:space="preserve"> include amounts that we referred to as deferred revenue in prior periods. We recognize contract liabilities as revenue after all revenue recognition criteria have been met.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and Fulfillment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Our contract acquisition costs represent incremental direct costs of obtaining a contract and consist primarily of sales incentives paid to employees and third-party representatives. When we determine that our contract acquisition costs are recoverable, we defer and amortize the costs over the contract term, or over the estimated life of the customer relationship if anticipated renewals are expected and the incentives payable upon renewal are not commensurate with the initial incentive. We amortize contract acquisition costs in proportion to the revenue to which the costs relate. We expense sales incentives as incurred if the expected amortization period is one year or less. Unamortized contract acquisition costs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our Consolidated Balance Sheets and related amortization expense is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our Consolidated Statements of Operations and Comprehensive Income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Fulfillment Costs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recognize costs to fulfill a contract as an asset when the costs relate directly to a specific contract, the costs generate or enhance our resources that will be used in satisfying future performance obligations and the costs are expected to be recovered. We may incur such costs on certain contracts that require initial setup activities in advance of the transfer of goods or services to the customer. We amortize these costs in proportion to the revenue to which the costs relate. Unamortized contract fulfillment costs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our Consolidated Balance Sheets and related amortization expense is included in </w:t>
      </w:r>
      <w:r>
        <w:rPr>
          <w:rFonts w:ascii="Arial" w:cs="Arial" w:eastAsia="Arial" w:hAnsi="Arial"/>
          <w:sz w:val="18"/>
          <w:szCs w:val="18"/>
          <w:i w:val="1"/>
          <w:iCs w:val="1"/>
          <w:color w:val="auto"/>
        </w:rPr>
        <w:t>Cost of sales - services and other</w:t>
      </w:r>
      <w:r>
        <w:rPr>
          <w:rFonts w:ascii="Arial" w:cs="Arial" w:eastAsia="Arial" w:hAnsi="Arial"/>
          <w:sz w:val="18"/>
          <w:szCs w:val="18"/>
          <w:color w:val="auto"/>
        </w:rPr>
        <w:t xml:space="preserve"> in our Consolidated Statements of Operations and Comprehensive Income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functional currency for certain of our foreign operations is determined to be the local currency. Accordingly, we translate assets and liabilities of these foreign entities from their local currencies to U.S. dollars using period-end exchange rates and translate income and expense accounts at monthly average rates. The resulting translation adjustments are reported in other comprehensive income (loss) as Foreign currency translation adjustments in our Consolidated Statements of Operations and Comprehensive Income (Loss). Except in certain uncommon circumstances, we have not recorded deferred income taxes related to our foreign currency translation adjustments. Gains and losses resulting from re -measurement of monetary assets and liabilities denominated in foreign currencies into the functional currency are recognized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in our Consolidated Statements of Operations and Comprehensive Income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consider all liquid investments purchased with an original maturity of 90 days or less to be cash equivalents. Cash equivalents as of December 31, 2018 and 2017 primarily consisted of commercial paper, government bonds, corporate notes, and money market funds. The amortized cost of these investments approximates their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Inventory is stated at the lower of cost, determined using the first-in, first-out (“FIFO”) method, or net realizable value. Cost of inventory consists primarily of materials, direct labor and indirect overhead incurred in the procurement and manufacturing of our products. We use standard costing methodologies in determining the cost of certain of our finished goods and work-in-process inventories. We determine net realizable value using our best estimates of future use or recovery, considering the aging and composition of inventory balances, the effects of technological and/or design changes, forecasted future product demand based on firm or near-firm customer orders, and alternative means of disposition of excess or obsolete items. We recognize losses within operating income when we determine that the cost of inventory and commitments to purchase inventory exceed net realizable value.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4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Internal-Use Software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Costs related to the procurement and development of software for internal-use are capitalized and amortized using the straight-line method over the estimated useful life of the software, not in excess of five years. Capitalized costs of internal-use software are included in </w:t>
      </w:r>
      <w:r>
        <w:rPr>
          <w:rFonts w:ascii="Arial" w:cs="Arial" w:eastAsia="Arial" w:hAnsi="Arial"/>
          <w:sz w:val="18"/>
          <w:szCs w:val="18"/>
          <w:i w:val="1"/>
          <w:iCs w:val="1"/>
          <w:color w:val="auto"/>
        </w:rPr>
        <w:t>Property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equipment, net </w:t>
      </w:r>
      <w:r>
        <w:rPr>
          <w:rFonts w:ascii="Arial" w:cs="Arial" w:eastAsia="Arial" w:hAnsi="Arial"/>
          <w:sz w:val="18"/>
          <w:szCs w:val="18"/>
          <w:color w:val="auto"/>
        </w:rPr>
        <w:t>in our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Externally Marketed Software</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Costs related to the procurement and development of software for externally marketed software are capitalized and amortized using the straight-line method over the estimated useful life of the software, not in excess of five years. Capitalized costs of externally marketed software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our Consolidated Balance Sheets. Externally marketed software generally is installed in the equipment we sell or lease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portfolio consists of investments in debt and equity instruments with readily determinable fair values.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classify all of our debt securities as available for sale based on our investment strategy for the securities. Generally, we recognize periodic changes in the difference between fair value and amortized cost in </w:t>
      </w:r>
      <w:r>
        <w:rPr>
          <w:rFonts w:ascii="Arial" w:cs="Arial" w:eastAsia="Arial" w:hAnsi="Arial"/>
          <w:sz w:val="18"/>
          <w:szCs w:val="18"/>
          <w:i w:val="1"/>
          <w:iCs w:val="1"/>
          <w:color w:val="auto"/>
        </w:rPr>
        <w:t>Unrealized gains on available-for-sale securities and other</w:t>
      </w:r>
      <w:r>
        <w:rPr>
          <w:rFonts w:ascii="Arial" w:cs="Arial" w:eastAsia="Arial" w:hAnsi="Arial"/>
          <w:sz w:val="18"/>
          <w:szCs w:val="18"/>
          <w:color w:val="auto"/>
        </w:rPr>
        <w:t xml:space="preserve"> in our Consolidated Statements of Operations and Comprehensive Income (Loss). Realized gains and losses upon sales of debt securities are reclassified from other comprehensive income (loss) and recognized on the trade date in </w:t>
      </w:r>
      <w:r>
        <w:rPr>
          <w:rFonts w:ascii="Arial" w:cs="Arial" w:eastAsia="Arial" w:hAnsi="Arial"/>
          <w:sz w:val="18"/>
          <w:szCs w:val="18"/>
          <w:i w:val="1"/>
          <w:iCs w:val="1"/>
          <w:color w:val="auto"/>
        </w:rPr>
        <w:t>Gains and losses on investments, net</w:t>
      </w:r>
      <w:r>
        <w:rPr>
          <w:rFonts w:ascii="Arial" w:cs="Arial" w:eastAsia="Arial" w:hAnsi="Arial"/>
          <w:sz w:val="18"/>
          <w:szCs w:val="18"/>
          <w:color w:val="auto"/>
        </w:rPr>
        <w:t xml:space="preserve"> in our Consolidated Statements of Operations and Comprehensive Income (Loss). We use the FIFO method to determine the cost basis on sales of debt securities. Interest income from debt securities is reported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in our Consolidated Statements of Operations and Comprehensive Income (Loss). We could realize proceeds from certain investments prior to their contractual maturity if we sell these securities before such maturity.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evaluate our available-for-sale debt securities portfolio periodically to determine whether declines in the fair value of these securities are other-than-temporary. Our evaluation considers, among other things, the length of time and the extent to which the fair value of such security has been lower than amortized cost, market and company-specific factors related to the security and our intent and ability to hold the investment to maturity or when it recovers its value. We generally consider a decline to be other-than-temporary when: (i) we intend to sell the security, (ii) it is more likely than not that we will be required to sell the security before maturity or when it recovers its value, or (iii) we do not expect to recover the amortized cost of the security at maturity. Declines in the fair value of available-for-sale debt securities that are determined to be other-than-temporary are reclassified from other comprehensive income (loss) and recognized in </w:t>
      </w:r>
      <w:r>
        <w:rPr>
          <w:rFonts w:ascii="Arial" w:cs="Arial" w:eastAsia="Arial" w:hAnsi="Arial"/>
          <w:sz w:val="18"/>
          <w:szCs w:val="18"/>
          <w:i w:val="1"/>
          <w:iCs w:val="1"/>
          <w:color w:val="auto"/>
        </w:rPr>
        <w:t>Net income</w:t>
      </w:r>
      <w:r>
        <w:rPr>
          <w:rFonts w:ascii="Arial" w:cs="Arial" w:eastAsia="Arial" w:hAnsi="Arial"/>
          <w:sz w:val="18"/>
          <w:szCs w:val="18"/>
          <w:color w:val="auto"/>
        </w:rPr>
        <w:t>, in our Consolidated Statements of Operations and Comprehensive Income (Loss), thus establishing a new cost basis for the investment.</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Additionally, from time to time we make strategic investments in corporate debt securities. We may elect to account for these investments using the fair value option when it reduces accounting complexity. When we have made this election, we recognize periodic changes in fair value of these investments in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 our Consolidated Statements of Operations and Comprehensive Income (Loss). Interest income from these securities is reported in </w:t>
      </w:r>
      <w:r>
        <w:rPr>
          <w:rFonts w:ascii="Arial" w:cs="Arial" w:eastAsia="Arial" w:hAnsi="Arial"/>
          <w:sz w:val="18"/>
          <w:szCs w:val="18"/>
          <w:i w:val="1"/>
          <w:iCs w:val="1"/>
          <w:color w:val="auto"/>
        </w:rPr>
        <w:t>Interest income</w:t>
      </w:r>
      <w:r>
        <w:rPr>
          <w:rFonts w:ascii="Arial" w:cs="Arial" w:eastAsia="Arial" w:hAnsi="Arial"/>
          <w:sz w:val="18"/>
          <w:szCs w:val="18"/>
          <w:color w:val="auto"/>
        </w:rPr>
        <w:t xml:space="preserve"> in our Consolidated Statements of Operations and Comprehensive Income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 to January 1, 2018, we classified our marketable equity securities as available-for-sale or trading securities, depending on our investment strategy for the securities. For available-for-sale securities, we recognized periodic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changes in the difference between fair value and cost in </w:t>
      </w:r>
      <w:r>
        <w:rPr>
          <w:rFonts w:ascii="Arial" w:cs="Arial" w:eastAsia="Arial" w:hAnsi="Arial"/>
          <w:sz w:val="18"/>
          <w:szCs w:val="18"/>
          <w:i w:val="1"/>
          <w:iCs w:val="1"/>
          <w:color w:val="auto"/>
        </w:rPr>
        <w:t>Unrealized gains (losses) on available-for-sale securities and other</w:t>
      </w:r>
      <w:r>
        <w:rPr>
          <w:rFonts w:ascii="Arial" w:cs="Arial" w:eastAsia="Arial" w:hAnsi="Arial"/>
          <w:sz w:val="18"/>
          <w:szCs w:val="18"/>
          <w:color w:val="auto"/>
        </w:rPr>
        <w:t xml:space="preserve"> in our Consolidated Statements of Operations and Comprehensive Income (Loss). Realized gains and losses upon sale of available-for-sale securities were reclassified from other comprehensive income (loss) and recognized on the trade date in Gains (losses) on investments, net in our Consolidated Statements of Operations and Comprehensive Income (Loss). We used the FIFO method to determine the cost basis on sales of available-for-sale securities. For trading securities, we recognized periodic changes in the fair value of the securities in </w:t>
      </w:r>
      <w:r>
        <w:rPr>
          <w:rFonts w:ascii="Arial" w:cs="Arial" w:eastAsia="Arial" w:hAnsi="Arial"/>
          <w:sz w:val="18"/>
          <w:szCs w:val="18"/>
          <w:i w:val="1"/>
          <w:iCs w:val="1"/>
          <w:color w:val="auto"/>
        </w:rPr>
        <w:t>Gains and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investments, net </w:t>
      </w:r>
      <w:r>
        <w:rPr>
          <w:rFonts w:ascii="Arial" w:cs="Arial" w:eastAsia="Arial" w:hAnsi="Arial"/>
          <w:sz w:val="18"/>
          <w:szCs w:val="18"/>
          <w:color w:val="auto"/>
        </w:rPr>
        <w:t>in our Consolidated Statements of Operations and Comprehensive Income (Loss).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Effective January 1, 2018, we adopted </w:t>
      </w:r>
      <w:r>
        <w:rPr>
          <w:rFonts w:ascii="Arial" w:cs="Arial" w:eastAsia="Arial" w:hAnsi="Arial"/>
          <w:sz w:val="18"/>
          <w:szCs w:val="18"/>
          <w:i w:val="1"/>
          <w:iCs w:val="1"/>
          <w:color w:val="auto"/>
        </w:rPr>
        <w:t>Accounting Standards Update (“ASU”) No. 2016-01, Financial Instruments (the “New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w:t>
      </w:r>
      <w:r>
        <w:rPr>
          <w:rFonts w:ascii="Arial" w:cs="Arial" w:eastAsia="Arial" w:hAnsi="Arial"/>
          <w:sz w:val="18"/>
          <w:szCs w:val="18"/>
          <w:color w:val="auto"/>
        </w:rPr>
        <w:t>, which established new requirements for investments in equity securities in</w:t>
      </w:r>
      <w:r>
        <w:rPr>
          <w:rFonts w:ascii="Arial" w:cs="Arial" w:eastAsia="Arial" w:hAnsi="Arial"/>
          <w:sz w:val="18"/>
          <w:szCs w:val="18"/>
          <w:i w:val="1"/>
          <w:iCs w:val="1"/>
          <w:color w:val="auto"/>
        </w:rPr>
        <w:t xml:space="preserve"> ASC Topic 321, Investments - Equity Securities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Accordingly, beginning in 2018, we recognize periodic changes in the fair value of all of our equity securities with a readily determinable fair value that are not accounted for using the equity method in </w:t>
      </w:r>
      <w:r>
        <w:rPr>
          <w:rFonts w:ascii="Arial" w:cs="Arial" w:eastAsia="Arial" w:hAnsi="Arial"/>
          <w:sz w:val="18"/>
          <w:szCs w:val="18"/>
          <w:i w:val="1"/>
          <w:iCs w:val="1"/>
          <w:color w:val="auto"/>
        </w:rPr>
        <w:t>Gains and losses on investments, net</w:t>
      </w:r>
      <w:r>
        <w:rPr>
          <w:rFonts w:ascii="Arial" w:cs="Arial" w:eastAsia="Arial" w:hAnsi="Arial"/>
          <w:sz w:val="18"/>
          <w:szCs w:val="18"/>
          <w:color w:val="auto"/>
        </w:rPr>
        <w:t xml:space="preserve"> in our Consolidated Statements of Operations and Comprehensive Income (Loss). We recognize dividend income on equity securities on the ex-dividend date and report such income in </w:t>
      </w:r>
      <w:r>
        <w:rPr>
          <w:rFonts w:ascii="Arial" w:cs="Arial" w:eastAsia="Arial" w:hAnsi="Arial"/>
          <w:sz w:val="18"/>
          <w:szCs w:val="18"/>
          <w:i w:val="1"/>
          <w:iCs w:val="1"/>
          <w:color w:val="auto"/>
        </w:rPr>
        <w:t>Other, net</w:t>
      </w:r>
      <w:r>
        <w:rPr>
          <w:rFonts w:ascii="Arial" w:cs="Arial" w:eastAsia="Arial" w:hAnsi="Arial"/>
          <w:sz w:val="18"/>
          <w:szCs w:val="18"/>
          <w:color w:val="auto"/>
        </w:rPr>
        <w:t xml:space="preserve"> in our Consolidated Statements of Operations and Comprehensive Income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investments in unconsolidated entities consist of investments in equity securities that are not publicly traded and do not have readily determinable fair values.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use the equity method to account for investments when we have the ability to exercise significant influence on the operating decisions of the investee. Such investments in unconsolidated entities are initially recorded at cost and subsequently adjusted for our proportionate share of the net earnings or loss of the investee, which is reported in </w:t>
      </w:r>
      <w:r>
        <w:rPr>
          <w:rFonts w:ascii="Arial" w:cs="Arial" w:eastAsia="Arial" w:hAnsi="Arial"/>
          <w:sz w:val="18"/>
          <w:szCs w:val="18"/>
          <w:i w:val="1"/>
          <w:iCs w:val="1"/>
          <w:color w:val="auto"/>
        </w:rPr>
        <w:t>Equity in earnings of unconsolidated affiliate</w:t>
      </w:r>
      <w:r>
        <w:rPr>
          <w:rFonts w:ascii="Arial" w:cs="Arial" w:eastAsia="Arial" w:hAnsi="Arial"/>
          <w:sz w:val="18"/>
          <w:szCs w:val="18"/>
          <w:color w:val="auto"/>
        </w:rPr>
        <w:t xml:space="preserve"> in our Consolidated Statements of Operations and Comprehensive Income (Loss). The carrying amount of such investments may include a component of goodwill if the cost of our investment exceeds the fair value of the underlying identifiable assets and liabilities of the investee. Dividends received from equity method investees reduce the carrying amount of the investment.</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defer, to the extent of our ownership interest in the investee, recognition of intra-entity profits on sales of equipment to the investee until the investee has charged the cost of the equipment to expense in a subsequent sale to a third party or through depreciation. In these circumstances, we report the gross amounts of revenue and cost of sales in the Consolidated Statements of Operations and Comprehensive Income (Loss) and include the intra-entity profit eliminations within </w:t>
      </w:r>
      <w:r>
        <w:rPr>
          <w:rFonts w:ascii="Arial" w:cs="Arial" w:eastAsia="Arial" w:hAnsi="Arial"/>
          <w:sz w:val="18"/>
          <w:szCs w:val="18"/>
          <w:i w:val="1"/>
          <w:iCs w:val="1"/>
          <w:color w:val="auto"/>
        </w:rPr>
        <w:t>Equity in earnings of unconsolidated affiliate</w:t>
      </w:r>
      <w:r>
        <w:rPr>
          <w:rFonts w:ascii="Arial" w:cs="Arial" w:eastAsia="Arial" w:hAnsi="Arial"/>
          <w:sz w:val="18"/>
          <w:szCs w:val="18"/>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 to January 1, 2018, we accounted for other investments without a readily determinable fair value using the cost method. In connection with our adoption of the New Investment Standard as of January 1, 2018, we have elected to measure such investments at cost, adjusted for changes resulting from impairments and observable price changes in orderly transactions for identical or similar securities of the same issuer. We consider information in periodic financial statements and other documentation provided by our investees and we may make inquiries of investee management to determine whether observable price changes have occurred.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Considerations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evaluate all of our investments in unconsolidated entities periodically to determine whether events or changes in circumstances have occurred that may have a significant adverse effect on the fair value of the investment. As part of our evaluation, we review available information such as business plans and current financial statements of these companies for factors that may indicate an impairment of our investments. Such factors may include, but are not limited to, unprofitable operations, negative cash flow, material litigation, violations of debt covenants, bankruptcy and changes in business strategy. When we determine that an investment is impaired, we adjust the carrying amount of the investment to its estimated fair value and recognize the impairment loss in </w:t>
      </w:r>
      <w:r>
        <w:rPr>
          <w:rFonts w:ascii="Arial" w:cs="Arial" w:eastAsia="Arial" w:hAnsi="Arial"/>
          <w:sz w:val="18"/>
          <w:szCs w:val="18"/>
          <w:i w:val="1"/>
          <w:iCs w:val="1"/>
          <w:color w:val="auto"/>
        </w:rPr>
        <w:t>Gains and losses on investments, net</w:t>
      </w:r>
      <w:r>
        <w:rPr>
          <w:rFonts w:ascii="Arial" w:cs="Arial" w:eastAsia="Arial" w:hAnsi="Arial"/>
          <w:sz w:val="18"/>
          <w:szCs w:val="18"/>
          <w:color w:val="auto"/>
        </w:rPr>
        <w:t xml:space="preserve"> in our Consolidated Statements of Operations and Comprehensive Income (Loss).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40"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Property and equipment is stated at cost, less accumulated depreciation. Depreciation is recorded on a straight-line basis over lives ranging from one to 40 years. The cost of our satellites includes construction costs, including the present value of in-orbit incentives payable to the satellite manufacturer, launch costs, capitalized interest, and related insurance premiums. Repair and maintenance costs are charged to expense when incurred. Costs of renewals and betterments are capitalized.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review our long-lived assets for recoverability whenever events or changes in circumstances indicate that their carrying amounts may not be recoverable. The evaluation is performed at the lowest level for which identifiable cash flows are largely independent of the cash flows of other assets and liabilities. For assets held and used in operations, the asset is not recoverable if the carrying amount of the asset exceeds its undiscounted estimated future net cash flows. When an asset is not recoverable, we adjust the carrying amount of such asset to its estimated fair value and recognize the impairment loss in </w:t>
      </w:r>
      <w:r>
        <w:rPr>
          <w:rFonts w:ascii="Arial" w:cs="Arial" w:eastAsia="Arial" w:hAnsi="Arial"/>
          <w:sz w:val="18"/>
          <w:szCs w:val="18"/>
          <w:i w:val="1"/>
          <w:iCs w:val="1"/>
          <w:color w:val="auto"/>
        </w:rPr>
        <w:t>Net Income</w:t>
      </w:r>
      <w:r>
        <w:rPr>
          <w:rFonts w:ascii="Arial" w:cs="Arial" w:eastAsia="Arial" w:hAnsi="Arial"/>
          <w:sz w:val="18"/>
          <w:szCs w:val="18"/>
          <w:color w:val="auto"/>
        </w:rPr>
        <w:t xml:space="preserve"> in our Consolidated Statements of Operations. Assets to be disposed of by sale are reported at the lower of the carrying amount or fair value less costs to sell.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Goodwill represents the excess of the cost of acquired businesses over the estimated fair value assigned to the identifiable assets acquired and liabilities assumed. We do not amortize goodwill, but test goodwill for impairment annually, or more frequently if circumstances indicate impairment may exist. Our goodwill as of December 31, 2018 and 2017 is assigned to reporting units of our Hughes segment. We test such goodwill for impairment in the second fiscal quarter. The goodwill impairment test involves a comparison of the fair value of a reporting unit with its carrying amount, including goodwill. We typically estimate fair value of reporting units using discounted cash flow techniques, which includes significant assumptions about prospective financial information, terminal value and discount rates (Level 3 inputs). If the reporting unit’s carrying amount exceeds its estimated fair value, we recognize an impairment loss equal to such excess, not to exceed the carrying amount of goodwill. We may bypass the quantitative goodwill impairment test if we determine, based on a qualitative assessment, that it is more likely than not that the fair value of a reporting unit exceeds its carrying amount including goodwill.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 and Other Intangible Assets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acquisition and periodically thereafter, we evaluate our intangible assets to determine whether their useful lives are finite or indefinite. We consider our intangible assets to have indefinite lives when no significant legal, regulatory, contractual, competitive, economic, or other factors limit their useful lives.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Intangible assets that have finite lives are amortized over their estimated useful lives, ranging from approximately one to 20 years. When we expect to incur significant costs to renew or extend finite-lived intangible assets, we amortize the total initial and estimated renewal costs over the combined initial and expected renewal terms. In such instances, actual renewal costs are capitalized when they are incurred. We test intangible assets with finite lives for impairment whenever events or changes in circumstances indicate that the carrying amount of the asset may not be recoverable (see Impairment of Long-lived Assets above).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amortize our indefinite-lived intangible assets, but test those assets for impairment annually or more frequently if circumstances indicate that it is more likely than not that the asset may be impaired. Costs incurred to maintain or renew indefinite-lived intangible assets are expensed as incurred.</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indefinite-lived intangible assets include Federal Communications Commission (“FCC”) authorizations and certain other contractual or regulatory rights to use spectrum at specified orbital locations (collectively “Regulatory Authorizations”). We have determined that our FCC authorizations generally have indefinite useful lives due to the following:</w:t>
      </w:r>
    </w:p>
    <w:p>
      <w:pPr>
        <w:spacing w:after="0" w:line="20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FCC authorizations are non-depleting assets;</w:t>
      </w:r>
    </w:p>
    <w:p>
      <w:pPr>
        <w:spacing w:after="0" w:line="9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renewal satellite applications generally are authorized by the FCC subject to certain conditions, without substantial cost under a stable regulatory, legislative, and legal environment;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40"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expenditures required to maintain the authorization are not significant;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intend to use these authorizations indefinitely.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Costs of issuing debt generally are deferred and amortized utilizing the effective interest method with amortization included in </w:t>
      </w:r>
      <w:r>
        <w:rPr>
          <w:rFonts w:ascii="Arial" w:cs="Arial" w:eastAsia="Arial" w:hAnsi="Arial"/>
          <w:sz w:val="18"/>
          <w:szCs w:val="18"/>
          <w:i w:val="1"/>
          <w:iCs w:val="1"/>
          <w:color w:val="auto"/>
        </w:rPr>
        <w:t>Interest expense,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of amounts capitalized </w:t>
      </w:r>
      <w:r>
        <w:rPr>
          <w:rFonts w:ascii="Arial" w:cs="Arial" w:eastAsia="Arial" w:hAnsi="Arial"/>
          <w:sz w:val="18"/>
          <w:szCs w:val="18"/>
          <w:color w:val="auto"/>
        </w:rPr>
        <w:t>in our Consolidated Statements of Operations and Comprehensive Income (Loss). We report unamortized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as a reduction of the related long-term debt in our Consolidated Balance Sheets.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included in the consolidated federal income tax return of EchoStar. We recognize a provision or benefit for income taxes currently payable or receivable and for income tax amounts deferred to future periods based upon a separate return allocation method which results in income tax expense that approximates the expense that would result if we were a stand-alone entity. Deferred tax assets and liabilities are recorded based on enacted tax laws for the estimated future tax effects of differences that exist between the financial reporting carrying amount and tax basis of assets and liabilities. Deferred tax assets are offset by valuation allowances when we determine it is more likely than not that such deferred tax assets will not be realized in the foreseeable future. We determine deferred tax assets and liabilities separately for each taxing jurisdiction and report the net amount for each jurisdiction as a noncurrent asset or liability in our Consolidated Balance Sheets.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From time to time, we engage in transactions where the income tax consequences are uncertain. We recognize tax benefits when, in management’s judgment, a tax filing position is more likely than not to be sustained if challenged by the tax authorities. For tax positions that meet the more-likely-than-not threshold, we may not recognize a portion of a tax benefit depending on management’s assessment of how the tax position will ultimately be settled. Unrecognized tax benefits generally are netted against the deferred tax assets associated with our net operating loss carryforwards. We adjust our estimates periodically based on ongoing examinations by and settlements with various taxing authorities, as well as changes in tax laws, regulations and precedent. We classify interest and penalties, if any, associated with our unrecognized tax benefits as a component of income tax provision or benefit.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 Services and Equipment</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Cost of sales - services and other </w:t>
      </w:r>
      <w:r>
        <w:rPr>
          <w:rFonts w:ascii="Arial" w:cs="Arial" w:eastAsia="Arial" w:hAnsi="Arial"/>
          <w:sz w:val="18"/>
          <w:szCs w:val="18"/>
          <w:color w:val="auto"/>
        </w:rPr>
        <w:t>in our Consolidated Statements of Operations and Comprehensive Income (Loss) primarily consists of costs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satellite capacity and services, hub infrastructure, customer care, wireline and wireless capacity, and direct labor costs associated with the services provided. </w:t>
      </w:r>
      <w:r>
        <w:rPr>
          <w:rFonts w:ascii="Arial" w:cs="Arial" w:eastAsia="Arial" w:hAnsi="Arial"/>
          <w:sz w:val="18"/>
          <w:szCs w:val="18"/>
          <w:i w:val="1"/>
          <w:iCs w:val="1"/>
          <w:color w:val="auto"/>
        </w:rPr>
        <w:t>Cost of sales - services and other</w:t>
      </w:r>
      <w:r>
        <w:rPr>
          <w:rFonts w:ascii="Arial" w:cs="Arial" w:eastAsia="Arial" w:hAnsi="Arial"/>
          <w:sz w:val="18"/>
          <w:szCs w:val="18"/>
          <w:color w:val="auto"/>
        </w:rPr>
        <w:t xml:space="preserve"> generally are charged to expense as incurred. </w:t>
      </w:r>
      <w:r>
        <w:rPr>
          <w:rFonts w:ascii="Arial" w:cs="Arial" w:eastAsia="Arial" w:hAnsi="Arial"/>
          <w:sz w:val="18"/>
          <w:szCs w:val="18"/>
          <w:i w:val="1"/>
          <w:iCs w:val="1"/>
          <w:color w:val="auto"/>
        </w:rPr>
        <w:t>Cost of sales - equipment</w:t>
      </w:r>
      <w:r>
        <w:rPr>
          <w:rFonts w:ascii="Arial" w:cs="Arial" w:eastAsia="Arial" w:hAnsi="Arial"/>
          <w:sz w:val="18"/>
          <w:szCs w:val="18"/>
          <w:color w:val="auto"/>
        </w:rPr>
        <w:t xml:space="preserve"> in our Consolidated Statements of Operations and Comprehensive Income (Loss) primarily consists of inventory costs, including freight and royalties. </w:t>
      </w:r>
      <w:r>
        <w:rPr>
          <w:rFonts w:ascii="Arial" w:cs="Arial" w:eastAsia="Arial" w:hAnsi="Arial"/>
          <w:sz w:val="18"/>
          <w:szCs w:val="18"/>
          <w:i w:val="1"/>
          <w:iCs w:val="1"/>
          <w:color w:val="auto"/>
        </w:rPr>
        <w:t xml:space="preserve">Cost of sales - equipment </w:t>
      </w:r>
      <w:r>
        <w:rPr>
          <w:rFonts w:ascii="Arial" w:cs="Arial" w:eastAsia="Arial" w:hAnsi="Arial"/>
          <w:sz w:val="18"/>
          <w:szCs w:val="18"/>
          <w:color w:val="auto"/>
        </w:rPr>
        <w:t>generally is recognized as products are delivered to customers and related revenue is recognized.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Costs incurred in research and development activities are generally expensed as incurred. A significant portion of our research and development costs are incurred in connection with the specific requirements of a customer’s order. In such instances, the amounts for these customer funded development efforts are included in Cost of sales-equipment in our Consolidated Statements of Operations and Comprehensive Income (Loss).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Advertising costs are expensed as incurred and are included in </w:t>
      </w: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xml:space="preserve"> in Consolidated Statements of Operations and Comprehensive Income (Loss).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40"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Financial Instruments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On January 1, 2018, we adopted </w:t>
      </w:r>
      <w:r>
        <w:rPr>
          <w:rFonts w:ascii="Arial" w:cs="Arial" w:eastAsia="Arial" w:hAnsi="Arial"/>
          <w:sz w:val="18"/>
          <w:szCs w:val="18"/>
          <w:i w:val="1"/>
          <w:iCs w:val="1"/>
          <w:color w:val="auto"/>
        </w:rPr>
        <w:t>ASU No. 2014-09, Revenue from Contracts with Customers and related amendments (collectively, the “New</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Standard”)</w:t>
      </w:r>
      <w:r>
        <w:rPr>
          <w:rFonts w:ascii="Arial" w:cs="Arial" w:eastAsia="Arial" w:hAnsi="Arial"/>
          <w:sz w:val="18"/>
          <w:szCs w:val="18"/>
          <w:color w:val="auto"/>
        </w:rPr>
        <w:t>. The New Revenue Standard established a comprehensive new model for revenue recognition, which is codified in Topic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606 (see Revenue Recognition above), and provided guidance for certain costs associated with customer contracts. We adopted the New Revenue Standard using the modified retrospective method for contracts that were not completed as of January 1, 2018. Accordingly, comparative information for prior periods has not been restated and continues to be reported under the accounting standards in effect for those periods. Upon adoption of the New Revenue Standard, we recognized the cumulative effect of its initial application as a net increase to </w:t>
      </w:r>
      <w:r>
        <w:rPr>
          <w:rFonts w:ascii="Arial" w:cs="Arial" w:eastAsia="Arial" w:hAnsi="Arial"/>
          <w:sz w:val="18"/>
          <w:szCs w:val="18"/>
          <w:i w:val="1"/>
          <w:iCs w:val="1"/>
          <w:color w:val="auto"/>
        </w:rPr>
        <w:t xml:space="preserve">Accumulated earnings </w:t>
      </w:r>
      <w:r>
        <w:rPr>
          <w:rFonts w:ascii="Arial" w:cs="Arial" w:eastAsia="Arial" w:hAnsi="Arial"/>
          <w:sz w:val="18"/>
          <w:szCs w:val="18"/>
          <w:color w:val="auto"/>
        </w:rPr>
        <w:t>in our Consolidated Balance Sheets of $16 million, net of related income taxes. The adoption of the New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also impacted the timing of recognition of certain fees charged to our customers in our consumer markets; however, the adoption has not had, and we do not expect it to have, a material impact on the overall timing or amount of revenue recognition.</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primary impacts of the New Revenue Standard on our operating results relate to how we account for sales incentive costs. Historically, we charged sales incentives to expense as incurred, except for incentives related to the consumer business in our Hughes segment, which were initially deferred and subsequently amortized over the related service agreement term. Under the New Revenue Standard, we continue to defer incentives for our consumer business; however, we now amortize those incentives over the estimated customer life, which includes expected contract renewal periods. In addition, we now defer certain sales incentives related to other businesses in our Hughes segment and amortize those incentives over the related service agreement term. As a result of these changes, we have recognized additional contract acquisition costs on our Consolidated Balance Sheets and the costs generally are recognized as expenses over a longer period of time in our Consolidated Statements of Operations and Comprehensive Income (Loss). The adoption of the New Revenue Standard by an unconsolidated entity had a similar impact on our investment in the unconsolidated entity, which we account for using the equity method.</w:t>
      </w:r>
    </w:p>
    <w:p>
      <w:pPr>
        <w:spacing w:after="0" w:line="21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Additionally, on January 1, 2018, we prospectively adopted the applicable requirements of the New Investment Standard. The New Investment Standard substantially revises standards for the recognition, measurement and presentation of financial instruments, including requiring all equity investments, except for investments in consolidated subsidiaries and investments accounted for using the equity method, to be measured at fair value with changes in the fair value recognized through earnings. The New Investment Standard permits an entity to elect to measure an equity security without a readily determinable fair value at its cost, adjusted for changes resulting from impairments and observable price changes in orderly transactions for identical or similar securities of the same issuer. It also amends certain disclosure requirements associated with equity investments and the fair value of financial instruments. Upon adoption of the New Investment Standard on January 1, 2018, we recorded a $0.4 million charge to </w:t>
      </w:r>
      <w:r>
        <w:rPr>
          <w:rFonts w:ascii="Arial" w:cs="Arial" w:eastAsia="Arial" w:hAnsi="Arial"/>
          <w:sz w:val="18"/>
          <w:szCs w:val="18"/>
          <w:i w:val="1"/>
          <w:iCs w:val="1"/>
          <w:color w:val="auto"/>
        </w:rPr>
        <w:t>Accumulated earnings</w:t>
      </w:r>
      <w:r>
        <w:rPr>
          <w:rFonts w:ascii="Arial" w:cs="Arial" w:eastAsia="Arial" w:hAnsi="Arial"/>
          <w:sz w:val="18"/>
          <w:szCs w:val="18"/>
          <w:color w:val="auto"/>
        </w:rPr>
        <w:t xml:space="preserve"> to include net unrealized losses on our marketable equity securities then designated as available for sale, which previously were recorded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in our Consolidated Balance Sheets. For our equity investments without a readily determinable fair value that were previously accounted for using the cost method, we have elected to measure such securities at cost, adjusted for impairments and observable price changes. We expect our future net income or loss to be more volatile as a result of these changes in accounting for our investments in equity securities that were previously accounted for as available-for-sale or using the cost method.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40"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cumulative effects of changes to the impacted line items on our Consolidated Balance Sheets as of January 1, 2018 for the adoption of these standards were as follows:</w:t>
      </w:r>
    </w:p>
    <w:p>
      <w:pPr>
        <w:spacing w:after="0" w:line="400" w:lineRule="exact"/>
        <w:rPr>
          <w:sz w:val="20"/>
          <w:szCs w:val="20"/>
          <w:color w:val="auto"/>
        </w:rPr>
      </w:pPr>
    </w:p>
    <w:tbl>
      <w:tblPr>
        <w:tblLayout w:type="fixed"/>
        <w:tblInd w:w="1120" w:type="dxa"/>
        <w:tblCellMar>
          <w:top w:w="0" w:type="dxa"/>
          <w:left w:w="0" w:type="dxa"/>
          <w:bottom w:w="0" w:type="dxa"/>
          <w:right w:w="0" w:type="dxa"/>
        </w:tblCellMar>
      </w:tblPr>
      <w:tr>
        <w:trPr>
          <w:trHeight w:val="196"/>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48"/>
              <w:spacing w:after="0"/>
              <w:rPr>
                <w:sz w:val="20"/>
                <w:szCs w:val="20"/>
                <w:color w:val="auto"/>
              </w:rPr>
            </w:pPr>
            <w:r>
              <w:rPr>
                <w:rFonts w:ascii="Arial" w:cs="Arial" w:eastAsia="Arial" w:hAnsi="Arial"/>
                <w:sz w:val="14"/>
                <w:szCs w:val="14"/>
                <w:b w:val="1"/>
                <w:bCs w:val="1"/>
                <w:color w:val="auto"/>
              </w:rPr>
              <w:t>Balance at</w:t>
            </w:r>
          </w:p>
        </w:tc>
        <w:tc>
          <w:tcPr>
            <w:tcW w:w="1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b w:val="1"/>
                <w:bCs w:val="1"/>
                <w:color w:val="auto"/>
              </w:rPr>
              <w:t>Adjustments Due to the</w:t>
            </w:r>
          </w:p>
        </w:tc>
        <w:tc>
          <w:tcPr>
            <w:tcW w:w="3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New Revenue</w:t>
            </w: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New Investment</w:t>
            </w:r>
          </w:p>
        </w:tc>
        <w:tc>
          <w:tcPr>
            <w:tcW w:w="280" w:type="dxa"/>
            <w:vAlign w:val="bottom"/>
          </w:tcPr>
          <w:p>
            <w:pPr>
              <w:spacing w:after="0"/>
              <w:rPr>
                <w:sz w:val="15"/>
                <w:szCs w:val="15"/>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Standard</w:t>
            </w:r>
          </w:p>
        </w:tc>
        <w:tc>
          <w:tcPr>
            <w:tcW w:w="124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Standard</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January 1, 2018</w:t>
            </w:r>
          </w:p>
        </w:tc>
        <w:tc>
          <w:tcPr>
            <w:tcW w:w="0" w:type="dxa"/>
            <w:vAlign w:val="bottom"/>
          </w:tcPr>
          <w:p>
            <w:pPr>
              <w:spacing w:after="0"/>
              <w:rPr>
                <w:sz w:val="1"/>
                <w:szCs w:val="1"/>
                <w:color w:val="auto"/>
              </w:rPr>
            </w:pPr>
          </w:p>
        </w:tc>
      </w:tr>
      <w:tr>
        <w:trPr>
          <w:trHeight w:val="217"/>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left="148"/>
              <w:spacing w:after="0"/>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4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4"/>
                <w:szCs w:val="14"/>
                <w:color w:val="auto"/>
              </w:rPr>
              <w:t>Trade accounts receivable and contract assets, net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196,840</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(7,103)</w:t>
            </w:r>
          </w:p>
        </w:tc>
        <w:tc>
          <w:tcPr>
            <w:tcW w:w="8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189,737</w:t>
            </w:r>
          </w:p>
        </w:tc>
        <w:tc>
          <w:tcPr>
            <w:tcW w:w="0" w:type="dxa"/>
            <w:vAlign w:val="bottom"/>
          </w:tcPr>
          <w:p>
            <w:pPr>
              <w:spacing w:after="0"/>
              <w:rPr>
                <w:sz w:val="1"/>
                <w:szCs w:val="1"/>
                <w:color w:val="auto"/>
              </w:rPr>
            </w:pPr>
          </w:p>
        </w:tc>
      </w:tr>
      <w:tr>
        <w:trPr>
          <w:trHeight w:val="60"/>
        </w:trPr>
        <w:tc>
          <w:tcPr>
            <w:tcW w:w="4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91,544</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8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92,077</w:t>
            </w:r>
          </w:p>
        </w:tc>
        <w:tc>
          <w:tcPr>
            <w:tcW w:w="0" w:type="dxa"/>
            <w:vAlign w:val="bottom"/>
          </w:tcPr>
          <w:p>
            <w:pPr>
              <w:spacing w:after="0"/>
              <w:rPr>
                <w:sz w:val="1"/>
                <w:szCs w:val="1"/>
                <w:color w:val="auto"/>
              </w:rPr>
            </w:pPr>
          </w:p>
        </w:tc>
      </w:tr>
      <w:tr>
        <w:trPr>
          <w:trHeight w:val="66"/>
        </w:trPr>
        <w:tc>
          <w:tcPr>
            <w:tcW w:w="4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4"/>
                <w:szCs w:val="14"/>
                <w:color w:val="auto"/>
              </w:rPr>
              <w:t>Other noncurrent assets, net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202,814</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22,545</w:t>
            </w:r>
          </w:p>
        </w:tc>
        <w:tc>
          <w:tcPr>
            <w:tcW w:w="8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225,359</w:t>
            </w:r>
          </w:p>
        </w:tc>
        <w:tc>
          <w:tcPr>
            <w:tcW w:w="0" w:type="dxa"/>
            <w:vAlign w:val="bottom"/>
          </w:tcPr>
          <w:p>
            <w:pPr>
              <w:spacing w:after="0"/>
              <w:rPr>
                <w:sz w:val="1"/>
                <w:szCs w:val="1"/>
                <w:color w:val="auto"/>
              </w:rPr>
            </w:pPr>
          </w:p>
        </w:tc>
      </w:tr>
      <w:tr>
        <w:trPr>
          <w:trHeight w:val="60"/>
        </w:trPr>
        <w:tc>
          <w:tcPr>
            <w:tcW w:w="4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6,857,350</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15,975</w:t>
            </w:r>
          </w:p>
        </w:tc>
        <w:tc>
          <w:tcPr>
            <w:tcW w:w="8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6,873,325</w:t>
            </w:r>
          </w:p>
        </w:tc>
        <w:tc>
          <w:tcPr>
            <w:tcW w:w="0" w:type="dxa"/>
            <w:vAlign w:val="bottom"/>
          </w:tcPr>
          <w:p>
            <w:pPr>
              <w:spacing w:after="0"/>
              <w:rPr>
                <w:sz w:val="1"/>
                <w:szCs w:val="1"/>
                <w:color w:val="auto"/>
              </w:rPr>
            </w:pPr>
          </w:p>
        </w:tc>
      </w:tr>
      <w:tr>
        <w:trPr>
          <w:trHeight w:val="66"/>
        </w:trPr>
        <w:tc>
          <w:tcPr>
            <w:tcW w:w="4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liabilities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65,959</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(1,542)</w:t>
            </w:r>
          </w:p>
        </w:tc>
        <w:tc>
          <w:tcPr>
            <w:tcW w:w="8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64,417</w:t>
            </w:r>
          </w:p>
        </w:tc>
        <w:tc>
          <w:tcPr>
            <w:tcW w:w="0" w:type="dxa"/>
            <w:vAlign w:val="bottom"/>
          </w:tcPr>
          <w:p>
            <w:pPr>
              <w:spacing w:after="0"/>
              <w:rPr>
                <w:sz w:val="1"/>
                <w:szCs w:val="1"/>
                <w:color w:val="auto"/>
              </w:rPr>
            </w:pPr>
          </w:p>
        </w:tc>
      </w:tr>
      <w:tr>
        <w:trPr>
          <w:trHeight w:val="66"/>
        </w:trPr>
        <w:tc>
          <w:tcPr>
            <w:tcW w:w="4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4"/>
                <w:szCs w:val="14"/>
                <w:color w:val="auto"/>
              </w:rPr>
              <w:t>Accrued expenses and other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77,312</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255</w:t>
            </w:r>
          </w:p>
        </w:tc>
        <w:tc>
          <w:tcPr>
            <w:tcW w:w="8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77,567</w:t>
            </w:r>
          </w:p>
        </w:tc>
        <w:tc>
          <w:tcPr>
            <w:tcW w:w="0" w:type="dxa"/>
            <w:vAlign w:val="bottom"/>
          </w:tcPr>
          <w:p>
            <w:pPr>
              <w:spacing w:after="0"/>
              <w:rPr>
                <w:sz w:val="1"/>
                <w:szCs w:val="1"/>
                <w:color w:val="auto"/>
              </w:rPr>
            </w:pPr>
          </w:p>
        </w:tc>
      </w:tr>
      <w:tr>
        <w:trPr>
          <w:trHeight w:val="60"/>
        </w:trPr>
        <w:tc>
          <w:tcPr>
            <w:tcW w:w="4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liabilities, net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439,631</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5,124</w:t>
            </w:r>
          </w:p>
        </w:tc>
        <w:tc>
          <w:tcPr>
            <w:tcW w:w="8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444,755</w:t>
            </w:r>
          </w:p>
        </w:tc>
        <w:tc>
          <w:tcPr>
            <w:tcW w:w="0" w:type="dxa"/>
            <w:vAlign w:val="bottom"/>
          </w:tcPr>
          <w:p>
            <w:pPr>
              <w:spacing w:after="0"/>
              <w:rPr>
                <w:sz w:val="1"/>
                <w:szCs w:val="1"/>
                <w:color w:val="auto"/>
              </w:rPr>
            </w:pPr>
          </w:p>
        </w:tc>
      </w:tr>
      <w:tr>
        <w:trPr>
          <w:trHeight w:val="66"/>
        </w:trPr>
        <w:tc>
          <w:tcPr>
            <w:tcW w:w="4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4"/>
                <w:szCs w:val="14"/>
                <w:color w:val="auto"/>
              </w:rPr>
              <w:t>Other noncurrent liabilities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107,627</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(4,068)</w:t>
            </w:r>
          </w:p>
        </w:tc>
        <w:tc>
          <w:tcPr>
            <w:tcW w:w="8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103,559</w:t>
            </w:r>
          </w:p>
        </w:tc>
        <w:tc>
          <w:tcPr>
            <w:tcW w:w="0" w:type="dxa"/>
            <w:vAlign w:val="bottom"/>
          </w:tcPr>
          <w:p>
            <w:pPr>
              <w:spacing w:after="0"/>
              <w:rPr>
                <w:sz w:val="1"/>
                <w:szCs w:val="1"/>
                <w:color w:val="auto"/>
              </w:rPr>
            </w:pPr>
          </w:p>
        </w:tc>
      </w:tr>
      <w:tr>
        <w:trPr>
          <w:trHeight w:val="60"/>
        </w:trPr>
        <w:tc>
          <w:tcPr>
            <w:tcW w:w="4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4,558,106</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8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4,557,875</w:t>
            </w:r>
          </w:p>
        </w:tc>
        <w:tc>
          <w:tcPr>
            <w:tcW w:w="0" w:type="dxa"/>
            <w:vAlign w:val="bottom"/>
          </w:tcPr>
          <w:p>
            <w:pPr>
              <w:spacing w:after="0"/>
              <w:rPr>
                <w:sz w:val="1"/>
                <w:szCs w:val="1"/>
                <w:color w:val="auto"/>
              </w:rPr>
            </w:pPr>
          </w:p>
        </w:tc>
      </w:tr>
      <w:tr>
        <w:trPr>
          <w:trHeight w:val="66"/>
        </w:trPr>
        <w:tc>
          <w:tcPr>
            <w:tcW w:w="4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Shareholders’ Equity:</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4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(52,822)</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433</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(52,389)</w:t>
            </w:r>
          </w:p>
        </w:tc>
        <w:tc>
          <w:tcPr>
            <w:tcW w:w="0" w:type="dxa"/>
            <w:vAlign w:val="bottom"/>
          </w:tcPr>
          <w:p>
            <w:pPr>
              <w:spacing w:after="0"/>
              <w:rPr>
                <w:sz w:val="1"/>
                <w:szCs w:val="1"/>
                <w:color w:val="auto"/>
              </w:rPr>
            </w:pPr>
          </w:p>
        </w:tc>
      </w:tr>
      <w:tr>
        <w:trPr>
          <w:trHeight w:val="66"/>
        </w:trPr>
        <w:tc>
          <w:tcPr>
            <w:tcW w:w="4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4"/>
                <w:szCs w:val="14"/>
                <w:color w:val="auto"/>
              </w:rPr>
              <w:t>Accumulated earnings (losses)</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582,683</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16,206</w:t>
            </w:r>
          </w:p>
        </w:tc>
        <w:tc>
          <w:tcPr>
            <w:tcW w:w="8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w w:val="97"/>
              </w:rPr>
              <w:t>(433)</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598,456</w:t>
            </w:r>
          </w:p>
        </w:tc>
        <w:tc>
          <w:tcPr>
            <w:tcW w:w="0" w:type="dxa"/>
            <w:vAlign w:val="bottom"/>
          </w:tcPr>
          <w:p>
            <w:pPr>
              <w:spacing w:after="0"/>
              <w:rPr>
                <w:sz w:val="1"/>
                <w:szCs w:val="1"/>
                <w:color w:val="auto"/>
              </w:rPr>
            </w:pPr>
          </w:p>
        </w:tc>
      </w:tr>
      <w:tr>
        <w:trPr>
          <w:trHeight w:val="60"/>
        </w:trPr>
        <w:tc>
          <w:tcPr>
            <w:tcW w:w="4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2,299,244</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16,206</w:t>
            </w:r>
          </w:p>
        </w:tc>
        <w:tc>
          <w:tcPr>
            <w:tcW w:w="8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2,315,450</w:t>
            </w:r>
          </w:p>
        </w:tc>
        <w:tc>
          <w:tcPr>
            <w:tcW w:w="0" w:type="dxa"/>
            <w:vAlign w:val="bottom"/>
          </w:tcPr>
          <w:p>
            <w:pPr>
              <w:spacing w:after="0"/>
              <w:rPr>
                <w:sz w:val="1"/>
                <w:szCs w:val="1"/>
                <w:color w:val="auto"/>
              </w:rPr>
            </w:pPr>
          </w:p>
        </w:tc>
      </w:tr>
      <w:tr>
        <w:trPr>
          <w:trHeight w:val="66"/>
        </w:trPr>
        <w:tc>
          <w:tcPr>
            <w:tcW w:w="4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200" w:type="dxa"/>
            <w:vAlign w:val="bottom"/>
          </w:tcPr>
          <w:p>
            <w:pPr>
              <w:ind w:left="40"/>
              <w:spacing w:after="0"/>
              <w:rPr>
                <w:sz w:val="20"/>
                <w:szCs w:val="20"/>
                <w:color w:val="auto"/>
              </w:rPr>
            </w:pPr>
            <w:r>
              <w:rPr>
                <w:rFonts w:ascii="Arial" w:cs="Arial" w:eastAsia="Arial" w:hAnsi="Arial"/>
                <w:sz w:val="14"/>
                <w:szCs w:val="14"/>
                <w:color w:val="auto"/>
              </w:rPr>
              <w:t>Total liabilities and shareholders’ equity</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6,857,350</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15,975</w:t>
            </w:r>
          </w:p>
        </w:tc>
        <w:tc>
          <w:tcPr>
            <w:tcW w:w="8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6,873,325</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adoption of these standards impacted the referenced line items on our Consolidated Balance Sheets, Statement of Operations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Comprehensive Income (Loss)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As of December 31, 2018</w:t>
            </w:r>
          </w:p>
        </w:tc>
        <w:tc>
          <w:tcPr>
            <w:tcW w:w="4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Adjustments Due to the</w:t>
            </w:r>
          </w:p>
        </w:tc>
        <w:tc>
          <w:tcPr>
            <w:tcW w:w="4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88"/>
              <w:spacing w:after="0"/>
              <w:rPr>
                <w:sz w:val="20"/>
                <w:szCs w:val="20"/>
                <w:color w:val="auto"/>
              </w:rPr>
            </w:pPr>
            <w:r>
              <w:rPr>
                <w:rFonts w:ascii="Arial" w:cs="Arial" w:eastAsia="Arial" w:hAnsi="Arial"/>
                <w:sz w:val="14"/>
                <w:szCs w:val="14"/>
                <w:b w:val="1"/>
                <w:bCs w:val="1"/>
                <w:color w:val="auto"/>
              </w:rPr>
              <w:t>Balances If We</w:t>
            </w: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rPr>
              <w:t>New Revenue</w:t>
            </w:r>
          </w:p>
        </w:tc>
        <w:tc>
          <w:tcPr>
            <w:tcW w:w="14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New Investment</w:t>
            </w: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Had Not Adopted</w:t>
            </w:r>
          </w:p>
        </w:tc>
        <w:tc>
          <w:tcPr>
            <w:tcW w:w="0" w:type="dxa"/>
            <w:vAlign w:val="bottom"/>
          </w:tcPr>
          <w:p>
            <w:pPr>
              <w:spacing w:after="0"/>
              <w:rPr>
                <w:sz w:val="1"/>
                <w:szCs w:val="1"/>
                <w:color w:val="auto"/>
              </w:rPr>
            </w:pPr>
          </w:p>
        </w:tc>
      </w:tr>
      <w:tr>
        <w:trPr>
          <w:trHeight w:val="196"/>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Balance Sheet</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As Reported</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Standard</w:t>
            </w:r>
          </w:p>
        </w:tc>
        <w:tc>
          <w:tcPr>
            <w:tcW w:w="142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Standard</w:t>
            </w: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the New Standards</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gridSpan w:val="2"/>
          </w:tcPr>
          <w:p>
            <w:pPr>
              <w:jc w:val="right"/>
              <w:ind w:right="428"/>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Trade accounts receivable and contract assets, net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201,096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color w:val="auto"/>
              </w:rPr>
              <w:t>8,379</w:t>
            </w:r>
          </w:p>
        </w:tc>
        <w:tc>
          <w:tcPr>
            <w:tcW w:w="9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209,475</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18,539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940" w:type="dxa"/>
            <w:vAlign w:val="bottom"/>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18,006</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Other noncurrent assets, net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253,025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(35,314)</w:t>
            </w:r>
          </w:p>
        </w:tc>
        <w:tc>
          <w:tcPr>
            <w:tcW w:w="9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217,711</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6,893,172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(27,468)</w:t>
            </w:r>
          </w:p>
        </w:tc>
        <w:tc>
          <w:tcPr>
            <w:tcW w:w="940" w:type="dxa"/>
            <w:vAlign w:val="bottom"/>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6,865,704</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liabilities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72,249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878</w:t>
            </w:r>
          </w:p>
        </w:tc>
        <w:tc>
          <w:tcPr>
            <w:tcW w:w="940" w:type="dxa"/>
            <w:vAlign w:val="bottom"/>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73,127</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Accrued expenses and other</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68,854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(255)</w:t>
            </w:r>
          </w:p>
        </w:tc>
        <w:tc>
          <w:tcPr>
            <w:tcW w:w="9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68,599</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liabilities, net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488,736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(7,263)</w:t>
            </w:r>
          </w:p>
        </w:tc>
        <w:tc>
          <w:tcPr>
            <w:tcW w:w="940" w:type="dxa"/>
            <w:vAlign w:val="bottom"/>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481,473</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101,140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68"/>
              <w:spacing w:after="0"/>
              <w:rPr>
                <w:sz w:val="20"/>
                <w:szCs w:val="20"/>
                <w:color w:val="auto"/>
              </w:rPr>
            </w:pPr>
            <w:r>
              <w:rPr>
                <w:rFonts w:ascii="Arial" w:cs="Arial" w:eastAsia="Arial" w:hAnsi="Arial"/>
                <w:sz w:val="14"/>
                <w:szCs w:val="14"/>
                <w:color w:val="auto"/>
              </w:rPr>
              <w:t>1,635</w:t>
            </w:r>
          </w:p>
        </w:tc>
        <w:tc>
          <w:tcPr>
            <w:tcW w:w="9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102,775</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4,500,677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(5,005)</w:t>
            </w:r>
          </w:p>
        </w:tc>
        <w:tc>
          <w:tcPr>
            <w:tcW w:w="940" w:type="dxa"/>
            <w:vAlign w:val="bottom"/>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4,495,672</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Shareholders’ Equity:</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5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9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(83,774)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366</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(83,408)</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Accumulated earnings</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693,957</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(22,463)</w:t>
            </w:r>
          </w:p>
        </w:tc>
        <w:tc>
          <w:tcPr>
            <w:tcW w:w="9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(366)</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671,128</w:t>
            </w: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shareholders’ equity</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2,392,495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(22,463)</w:t>
            </w:r>
          </w:p>
        </w:tc>
        <w:tc>
          <w:tcPr>
            <w:tcW w:w="940" w:type="dxa"/>
            <w:vAlign w:val="bottom"/>
            <w:vMerge w:val="restart"/>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2,370,032</w:t>
            </w:r>
          </w:p>
        </w:tc>
        <w:tc>
          <w:tcPr>
            <w:tcW w:w="0" w:type="dxa"/>
            <w:vAlign w:val="bottom"/>
          </w:tcPr>
          <w:p>
            <w:pPr>
              <w:spacing w:after="0"/>
              <w:rPr>
                <w:sz w:val="1"/>
                <w:szCs w:val="1"/>
                <w:color w:val="auto"/>
              </w:rPr>
            </w:pPr>
          </w:p>
        </w:tc>
      </w:tr>
      <w:tr>
        <w:trPr>
          <w:trHeight w:val="66"/>
        </w:trPr>
        <w:tc>
          <w:tcPr>
            <w:tcW w:w="56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32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480" w:type="dxa"/>
            <w:vAlign w:val="bottom"/>
            <w:vMerge w:val="continue"/>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4"/>
                <w:szCs w:val="14"/>
                <w:color w:val="auto"/>
              </w:rPr>
              <w:t>Total liabilities and shareholders’ equity</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tcPr>
          <w:p>
            <w:pPr>
              <w:jc w:val="right"/>
              <w:ind w:right="168"/>
              <w:spacing w:after="0"/>
              <w:rPr>
                <w:sz w:val="20"/>
                <w:szCs w:val="20"/>
                <w:color w:val="auto"/>
              </w:rPr>
            </w:pPr>
            <w:r>
              <w:rPr>
                <w:rFonts w:ascii="Arial" w:cs="Arial" w:eastAsia="Arial" w:hAnsi="Arial"/>
                <w:sz w:val="14"/>
                <w:szCs w:val="14"/>
                <w:color w:val="auto"/>
              </w:rPr>
              <w:t>6,893,172</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color w:val="auto"/>
              </w:rPr>
              <w:t>(27,468)</w:t>
            </w:r>
          </w:p>
        </w:tc>
        <w:tc>
          <w:tcPr>
            <w:tcW w:w="940" w:type="dxa"/>
            <w:vAlign w:val="bottom"/>
            <w:vMerge w:val="restart"/>
          </w:tcPr>
          <w:p>
            <w:pPr>
              <w:jc w:val="right"/>
              <w:ind w:right="688"/>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6,865,704</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40"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year ended December 31, 2018</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Adjustments Due to the</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Balances If We</w:t>
            </w:r>
          </w:p>
        </w:tc>
        <w:tc>
          <w:tcPr>
            <w:tcW w:w="0" w:type="dxa"/>
            <w:vAlign w:val="bottom"/>
          </w:tcPr>
          <w:p>
            <w:pPr>
              <w:spacing w:after="0"/>
              <w:rPr>
                <w:sz w:val="1"/>
                <w:szCs w:val="1"/>
                <w:color w:val="auto"/>
              </w:rPr>
            </w:pPr>
          </w:p>
        </w:tc>
      </w:tr>
      <w:tr>
        <w:trPr>
          <w:trHeight w:val="102"/>
        </w:trPr>
        <w:tc>
          <w:tcPr>
            <w:tcW w:w="6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gridSpan w:val="2"/>
            <w:vMerge w:val="continue"/>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Had Not Adopted</w:t>
            </w:r>
          </w:p>
        </w:tc>
        <w:tc>
          <w:tcPr>
            <w:tcW w:w="0" w:type="dxa"/>
            <w:vAlign w:val="bottom"/>
          </w:tcPr>
          <w:p>
            <w:pPr>
              <w:spacing w:after="0"/>
              <w:rPr>
                <w:sz w:val="1"/>
                <w:szCs w:val="1"/>
                <w:color w:val="auto"/>
              </w:rPr>
            </w:pPr>
          </w:p>
        </w:tc>
      </w:tr>
      <w:tr>
        <w:trPr>
          <w:trHeight w:val="40"/>
        </w:trPr>
        <w:tc>
          <w:tcPr>
            <w:tcW w:w="6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New Revenue</w:t>
            </w:r>
          </w:p>
        </w:tc>
        <w:tc>
          <w:tcPr>
            <w:tcW w:w="13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New Investment</w:t>
            </w:r>
          </w:p>
        </w:tc>
        <w:tc>
          <w:tcPr>
            <w:tcW w:w="200" w:type="dxa"/>
            <w:vAlign w:val="bottom"/>
          </w:tcPr>
          <w:p>
            <w:pPr>
              <w:spacing w:after="0"/>
              <w:rPr>
                <w:sz w:val="14"/>
                <w:szCs w:val="14"/>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rPr>
              <w:t>the New</w:t>
            </w:r>
          </w:p>
        </w:tc>
        <w:tc>
          <w:tcPr>
            <w:tcW w:w="0" w:type="dxa"/>
            <w:vAlign w:val="bottom"/>
          </w:tcPr>
          <w:p>
            <w:pPr>
              <w:spacing w:after="0"/>
              <w:rPr>
                <w:sz w:val="1"/>
                <w:szCs w:val="1"/>
                <w:color w:val="auto"/>
              </w:rPr>
            </w:pPr>
          </w:p>
        </w:tc>
      </w:tr>
      <w:tr>
        <w:trPr>
          <w:trHeight w:val="196"/>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 and Comprehensive Income</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Standard</w:t>
            </w:r>
          </w:p>
        </w:tc>
        <w:tc>
          <w:tcPr>
            <w:tcW w:w="13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Standard</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Standards</w:t>
            </w:r>
          </w:p>
        </w:tc>
        <w:tc>
          <w:tcPr>
            <w:tcW w:w="0" w:type="dxa"/>
            <w:vAlign w:val="bottom"/>
          </w:tcPr>
          <w:p>
            <w:pPr>
              <w:spacing w:after="0"/>
              <w:rPr>
                <w:sz w:val="1"/>
                <w:szCs w:val="1"/>
                <w:color w:val="auto"/>
              </w:rPr>
            </w:pPr>
          </w:p>
        </w:tc>
      </w:tr>
      <w:tr>
        <w:trPr>
          <w:trHeight w:val="250"/>
        </w:trPr>
        <w:tc>
          <w:tcPr>
            <w:tcW w:w="6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gridSpan w:val="2"/>
          </w:tcPr>
          <w:p>
            <w:pPr>
              <w:jc w:val="right"/>
              <w:ind w:right="348"/>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Services and other revenue - other</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1,526,098</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2,323</w:t>
            </w:r>
          </w:p>
        </w:tc>
        <w:tc>
          <w:tcPr>
            <w:tcW w:w="880" w:type="dxa"/>
            <w:vAlign w:val="bottom"/>
            <w:vMerge w:val="restart"/>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1,528,421</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2,097,663</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2,323</w:t>
            </w:r>
          </w:p>
        </w:tc>
        <w:tc>
          <w:tcPr>
            <w:tcW w:w="88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2,099,986</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6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600,213</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2,738</w:t>
            </w:r>
          </w:p>
        </w:tc>
        <w:tc>
          <w:tcPr>
            <w:tcW w:w="88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602,951</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398,153</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8,520</w:t>
            </w:r>
          </w:p>
        </w:tc>
        <w:tc>
          <w:tcPr>
            <w:tcW w:w="880" w:type="dxa"/>
            <w:vAlign w:val="bottom"/>
            <w:vMerge w:val="restart"/>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406,673</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1,753,952</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11,258</w:t>
            </w:r>
          </w:p>
        </w:tc>
        <w:tc>
          <w:tcPr>
            <w:tcW w:w="88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1,765,210</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343,711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(8,935)</w:t>
            </w:r>
          </w:p>
        </w:tc>
        <w:tc>
          <w:tcPr>
            <w:tcW w:w="880" w:type="dxa"/>
            <w:vAlign w:val="bottom"/>
            <w:vMerge w:val="restart"/>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334,776</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Interest expense, net of amounts capitalized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(259,721)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539</w:t>
            </w:r>
          </w:p>
        </w:tc>
        <w:tc>
          <w:tcPr>
            <w:tcW w:w="880" w:type="dxa"/>
            <w:vAlign w:val="bottom"/>
            <w:vMerge w:val="restart"/>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(259,182)</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Gains (losses) on investments,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2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(613)</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Total other income (expense), net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(199,999)</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539</w:t>
            </w:r>
          </w:p>
        </w:tc>
        <w:tc>
          <w:tcPr>
            <w:tcW w:w="880" w:type="dxa"/>
            <w:vAlign w:val="bottom"/>
            <w:vMerge w:val="restart"/>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(800)</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(200,260)</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143,712</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(8,396)</w:t>
            </w:r>
          </w:p>
        </w:tc>
        <w:tc>
          <w:tcPr>
            <w:tcW w:w="88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2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134,516</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Income tax benefit (provision)</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(46,369)</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2,139</w:t>
            </w:r>
          </w:p>
        </w:tc>
        <w:tc>
          <w:tcPr>
            <w:tcW w:w="880" w:type="dxa"/>
            <w:vAlign w:val="bottom"/>
            <w:vMerge w:val="restart"/>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(44,230)</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97,343</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(6,257)</w:t>
            </w:r>
          </w:p>
        </w:tc>
        <w:tc>
          <w:tcPr>
            <w:tcW w:w="880" w:type="dxa"/>
            <w:vAlign w:val="bottom"/>
            <w:vMerge w:val="restart"/>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20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90,286</w:t>
            </w: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1160" w:type="dxa"/>
            <w:vAlign w:val="bottom"/>
            <w:vMerge w:val="continue"/>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040" w:type="dxa"/>
            <w:vAlign w:val="bottom"/>
          </w:tcPr>
          <w:p>
            <w:pPr>
              <w:ind w:left="20"/>
              <w:spacing w:after="0"/>
              <w:rPr>
                <w:sz w:val="20"/>
                <w:szCs w:val="20"/>
                <w:color w:val="auto"/>
              </w:rPr>
            </w:pPr>
            <w:r>
              <w:rPr>
                <w:rFonts w:ascii="Arial" w:cs="Arial" w:eastAsia="Arial" w:hAnsi="Arial"/>
                <w:sz w:val="14"/>
                <w:szCs w:val="14"/>
                <w:color w:val="auto"/>
              </w:rPr>
              <w:t>Net income attributable to HSS</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95,501</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(6,257)</w:t>
            </w:r>
          </w:p>
        </w:tc>
        <w:tc>
          <w:tcPr>
            <w:tcW w:w="880" w:type="dxa"/>
            <w:vAlign w:val="bottom"/>
            <w:vMerge w:val="restart"/>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color w:val="auto"/>
              </w:rPr>
              <w:t>(800)</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88,444</w:t>
            </w:r>
          </w:p>
        </w:tc>
        <w:tc>
          <w:tcPr>
            <w:tcW w:w="0" w:type="dxa"/>
            <w:vAlign w:val="bottom"/>
          </w:tcPr>
          <w:p>
            <w:pPr>
              <w:spacing w:after="0"/>
              <w:rPr>
                <w:sz w:val="1"/>
                <w:szCs w:val="1"/>
                <w:color w:val="auto"/>
              </w:rPr>
            </w:pPr>
          </w:p>
        </w:tc>
      </w:tr>
      <w:tr>
        <w:trPr>
          <w:trHeight w:val="60"/>
        </w:trPr>
        <w:tc>
          <w:tcPr>
            <w:tcW w:w="6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0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60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97,343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(6,257)</w:t>
            </w:r>
          </w:p>
        </w:tc>
        <w:tc>
          <w:tcPr>
            <w:tcW w:w="8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(800)</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90,286</w:t>
            </w:r>
          </w:p>
        </w:tc>
        <w:tc>
          <w:tcPr>
            <w:tcW w:w="0" w:type="dxa"/>
            <w:vAlign w:val="bottom"/>
          </w:tcPr>
          <w:p>
            <w:pPr>
              <w:spacing w:after="0"/>
              <w:rPr>
                <w:sz w:val="1"/>
                <w:szCs w:val="1"/>
                <w:color w:val="auto"/>
              </w:rPr>
            </w:pPr>
          </w:p>
        </w:tc>
      </w:tr>
      <w:tr>
        <w:trPr>
          <w:trHeight w:val="27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40" w:type="dxa"/>
            <w:vAlign w:val="bottom"/>
          </w:tcPr>
          <w:p>
            <w:pPr>
              <w:ind w:left="20"/>
              <w:spacing w:after="0"/>
              <w:rPr>
                <w:sz w:val="20"/>
                <w:szCs w:val="20"/>
                <w:color w:val="auto"/>
              </w:rPr>
            </w:pPr>
            <w:r>
              <w:rPr>
                <w:rFonts w:ascii="Arial" w:cs="Arial" w:eastAsia="Arial" w:hAnsi="Arial"/>
                <w:sz w:val="14"/>
                <w:szCs w:val="14"/>
                <w:color w:val="auto"/>
              </w:rPr>
              <w:t>Unrealized gains (losses) on available-for-sale securities and other</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(624)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27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Other-than-temporary impairment loss on available-for-sale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828</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828</w:t>
            </w:r>
          </w:p>
        </w:tc>
        <w:tc>
          <w:tcPr>
            <w:tcW w:w="0" w:type="dxa"/>
            <w:vAlign w:val="bottom"/>
          </w:tcPr>
          <w:p>
            <w:pPr>
              <w:spacing w:after="0"/>
              <w:rPr>
                <w:sz w:val="1"/>
                <w:szCs w:val="1"/>
                <w:color w:val="auto"/>
              </w:rPr>
            </w:pPr>
          </w:p>
        </w:tc>
      </w:tr>
      <w:tr>
        <w:trPr>
          <w:trHeight w:val="264"/>
        </w:trPr>
        <w:tc>
          <w:tcPr>
            <w:tcW w:w="6040" w:type="dxa"/>
            <w:vAlign w:val="bottom"/>
          </w:tcPr>
          <w:p>
            <w:pPr>
              <w:ind w:left="20"/>
              <w:spacing w:after="0"/>
              <w:rPr>
                <w:sz w:val="20"/>
                <w:szCs w:val="20"/>
                <w:color w:val="auto"/>
              </w:rPr>
            </w:pPr>
            <w:r>
              <w:rPr>
                <w:rFonts w:ascii="Arial" w:cs="Arial" w:eastAsia="Arial" w:hAnsi="Arial"/>
                <w:sz w:val="14"/>
                <w:szCs w:val="14"/>
                <w:color w:val="auto"/>
              </w:rPr>
              <w:t>Total other comprehensive gain (loss), net of tax</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(32,774)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800</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(31,974)</w:t>
            </w:r>
          </w:p>
        </w:tc>
        <w:tc>
          <w:tcPr>
            <w:tcW w:w="0" w:type="dxa"/>
            <w:vAlign w:val="bottom"/>
          </w:tcPr>
          <w:p>
            <w:pPr>
              <w:spacing w:after="0"/>
              <w:rPr>
                <w:sz w:val="1"/>
                <w:szCs w:val="1"/>
                <w:color w:val="auto"/>
              </w:rPr>
            </w:pPr>
          </w:p>
        </w:tc>
      </w:tr>
      <w:tr>
        <w:trPr>
          <w:trHeight w:val="276"/>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64,569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(6,257)</w:t>
            </w:r>
          </w:p>
        </w:tc>
        <w:tc>
          <w:tcPr>
            <w:tcW w:w="8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58,312</w:t>
            </w:r>
          </w:p>
        </w:tc>
        <w:tc>
          <w:tcPr>
            <w:tcW w:w="0" w:type="dxa"/>
            <w:vAlign w:val="bottom"/>
          </w:tcPr>
          <w:p>
            <w:pPr>
              <w:spacing w:after="0"/>
              <w:rPr>
                <w:sz w:val="1"/>
                <w:szCs w:val="1"/>
                <w:color w:val="auto"/>
              </w:rPr>
            </w:pPr>
          </w:p>
        </w:tc>
      </w:tr>
      <w:tr>
        <w:trPr>
          <w:trHeight w:val="258"/>
        </w:trPr>
        <w:tc>
          <w:tcPr>
            <w:tcW w:w="6040" w:type="dxa"/>
            <w:vAlign w:val="bottom"/>
          </w:tcPr>
          <w:p>
            <w:pPr>
              <w:ind w:left="20"/>
              <w:spacing w:after="0"/>
              <w:rPr>
                <w:sz w:val="20"/>
                <w:szCs w:val="20"/>
                <w:color w:val="auto"/>
              </w:rPr>
            </w:pPr>
            <w:r>
              <w:rPr>
                <w:rFonts w:ascii="Arial" w:cs="Arial" w:eastAsia="Arial" w:hAnsi="Arial"/>
                <w:sz w:val="14"/>
                <w:szCs w:val="14"/>
                <w:color w:val="auto"/>
              </w:rPr>
              <w:t>Comprehensive income (loss) attributable to HSS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64,116</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(6,257)</w:t>
            </w:r>
          </w:p>
        </w:tc>
        <w:tc>
          <w:tcPr>
            <w:tcW w:w="880" w:type="dxa"/>
            <w:vAlign w:val="bottom"/>
          </w:tcPr>
          <w:p>
            <w:pPr>
              <w:jc w:val="right"/>
              <w:ind w:right="6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57,859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ASU No. 2016-18, Statement of Cash Flows (Topic 230): Restricted Cash </w:t>
      </w:r>
      <w:r>
        <w:rPr>
          <w:rFonts w:ascii="Arial" w:cs="Arial" w:eastAsia="Arial" w:hAnsi="Arial"/>
          <w:sz w:val="18"/>
          <w:szCs w:val="18"/>
          <w:color w:val="auto"/>
        </w:rPr>
        <w:t>requires restricted cash and restricted cash equivalents to be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with cash and cash equivalents in our Statement of Cash Flows. We adopted ASU No. 2016-18 as of January 1, 2018. As a result, the beginning and ending balances of cash and cash equivalents presented in our Consolidated Statements of Cash Flows include amounts for restricted cash and cash equivalents, which historically were not included in such balances, and receipts and payments of restricted cash and cash equivalents, exclusive of transfers to and from unrestricted accounts, are reported in our Consolidated Statements of Cash Flows. The adoption of this accounting standard did not have a material impact on our Statements of Cash Flows and related disclosures.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3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February 2016, the FASB issued ASU No. 2016-02, Leases (Topic 842). This standard requires lessees to recognize assets and liabilities for all leases with lease terms greater than 12 months, including leases classified as operating leases. The standard also modifies the definition of a lease and the criteria for classifying leases as operating, finance or sales-type leases and requires certain additional disclosures. ASU No. 2016-02 is effective for fiscal years beginning after December 15, 2018 and interim periods within those fiscal years. The new standard, as amended in July 2018, may be applied either on a modified retrospective basis or prospectively as of the adoption date without restating prior periods, with certain practical expedients available. We adopted the new standard prospectively as of January 1, 2019 and elected certain practical expedients permitted under the new standard’s transition guidance. This allows us to carry forward the historical lease classification and to not reassess the lease term for leases in existence as of the adoption date and to carry forward our historical accounting treatment for land easements on agreements existing on the adoption date. We also made policy elections for certain classes of underlying assets to not separate lease and non-lease components in a contract as permitted under the new standard.</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lease real estate and equipment from third parties under operating leases and we lease certain satellites from third parties under capital leases. We also lease satellites, real estate and equipment to some of our customers. Upon adoption of the new standard, we recognized right-of-use assets and liabilities related to substantially all operating leases where we are the lessee. While our work is not finalized, we expect that the aggregate increase in our operating lease assets and liabilities will be approximately 1% of total assets as of January 1, 2019.</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accounting for capital leases was not significantly impacted on the adoption date. Based on our transition method, practical expedients and policy elections, our leases existing as of the adoption date will continue to be reported in our Consolidated Statements of Operations and Comprehensive Income (Loss) in accordance with current accounting standards throughout their remaining terms unless the leases are modified. However, all leases entered into or modified after the adoption date will be accounted for in accordance with the new standard. The classification of those leases as operating, finance or sales type may be impacted by the new standard and affect our future operating results and the classification of our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No. 2016-13, Measurement of Credit Losses on Financial Instruments</w:t>
      </w:r>
      <w:r>
        <w:rPr>
          <w:rFonts w:ascii="Arial" w:cs="Arial" w:eastAsia="Arial" w:hAnsi="Arial"/>
          <w:sz w:val="18"/>
          <w:szCs w:val="18"/>
          <w:color w:val="auto"/>
        </w:rPr>
        <w:t>, which introduces a new approach to estimate credit losses on certain types of financial instruments based on expected losses instead of incurred losses. It also modifies the impairment model for available-for-sale debt securities and provides a simplified accounting model for purchased financial assets with credit deterioration since their origination. ASU No. 2016-13 is effective for fiscal years beginning after December 15, 2019 and interim periods within those fiscal years. Early adoption is permitted. We are currently assessing the impact of adopting this new accounting standard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Balances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contract balances with customers, including amounts for certain embedded leases.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246"/>
        </w:trPr>
        <w:tc>
          <w:tcPr>
            <w:tcW w:w="6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960" w:type="dxa"/>
            <w:vAlign w:val="bottom"/>
            <w:tcBorders>
              <w:bottom w:val="single" w:sz="8" w:color="auto"/>
            </w:tcBorders>
          </w:tcPr>
          <w:p>
            <w:pPr>
              <w:spacing w:after="0"/>
              <w:rPr>
                <w:sz w:val="21"/>
                <w:szCs w:val="21"/>
                <w:color w:val="auto"/>
              </w:rPr>
            </w:pPr>
          </w:p>
        </w:tc>
      </w:tr>
      <w:tr>
        <w:trPr>
          <w:trHeight w:val="264"/>
        </w:trPr>
        <w:tc>
          <w:tcPr>
            <w:tcW w:w="6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December 31, 2018</w:t>
            </w:r>
          </w:p>
        </w:tc>
        <w:tc>
          <w:tcPr>
            <w:tcW w:w="3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January 1, 2018</w:t>
            </w:r>
          </w:p>
        </w:tc>
      </w:tr>
      <w:tr>
        <w:trPr>
          <w:trHeight w:val="250"/>
        </w:trPr>
        <w:tc>
          <w:tcPr>
            <w:tcW w:w="6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80" w:type="dxa"/>
            <w:vAlign w:val="bottom"/>
            <w:gridSpan w:val="4"/>
          </w:tcPr>
          <w:p>
            <w:pPr>
              <w:jc w:val="right"/>
              <w:ind w:right="1670"/>
              <w:spacing w:after="0"/>
              <w:rPr>
                <w:sz w:val="20"/>
                <w:szCs w:val="20"/>
                <w:color w:val="auto"/>
              </w:rPr>
            </w:pPr>
            <w:r>
              <w:rPr>
                <w:rFonts w:ascii="Arial" w:cs="Arial" w:eastAsia="Arial" w:hAnsi="Arial"/>
                <w:sz w:val="18"/>
                <w:szCs w:val="18"/>
                <w:color w:val="auto"/>
              </w:rPr>
              <w:t>(In thousands)</w:t>
            </w:r>
          </w:p>
        </w:tc>
      </w:tr>
      <w:tr>
        <w:trPr>
          <w:trHeight w:val="25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22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r>
      <w:tr>
        <w:trPr>
          <w:trHeight w:val="263"/>
        </w:trPr>
        <w:tc>
          <w:tcPr>
            <w:tcW w:w="6100" w:type="dxa"/>
            <w:vAlign w:val="bottom"/>
          </w:tcPr>
          <w:p>
            <w:pPr>
              <w:ind w:left="180"/>
              <w:spacing w:after="0"/>
              <w:rPr>
                <w:sz w:val="20"/>
                <w:szCs w:val="20"/>
                <w:color w:val="auto"/>
              </w:rPr>
            </w:pPr>
            <w:r>
              <w:rPr>
                <w:rFonts w:ascii="Arial" w:cs="Arial" w:eastAsia="Arial" w:hAnsi="Arial"/>
                <w:sz w:val="18"/>
                <w:szCs w:val="18"/>
                <w:color w:val="auto"/>
              </w:rPr>
              <w:t>Sales and services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154,415</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156,794</w:t>
            </w:r>
          </w:p>
        </w:tc>
      </w:tr>
      <w:tr>
        <w:trPr>
          <w:trHeight w:val="277"/>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Leasing</w:t>
            </w:r>
          </w:p>
        </w:tc>
        <w:tc>
          <w:tcPr>
            <w:tcW w:w="220" w:type="dxa"/>
            <w:vAlign w:val="bottom"/>
            <w:tcBorders>
              <w:bottom w:val="single" w:sz="8" w:color="auto"/>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7,990</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10,355</w:t>
            </w:r>
          </w:p>
        </w:tc>
      </w:tr>
      <w:tr>
        <w:trPr>
          <w:trHeight w:val="243"/>
        </w:trPr>
        <w:tc>
          <w:tcPr>
            <w:tcW w:w="610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1"/>
                <w:szCs w:val="21"/>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162,405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167,149</w:t>
            </w:r>
          </w:p>
        </w:tc>
      </w:tr>
      <w:tr>
        <w:trPr>
          <w:trHeight w:val="277"/>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shd w:val="clear" w:color="auto" w:fill="CCEEFF"/>
          </w:tcPr>
          <w:p>
            <w:pPr>
              <w:spacing w:after="0"/>
              <w:rPr>
                <w:sz w:val="24"/>
                <w:szCs w:val="24"/>
                <w:color w:val="auto"/>
              </w:rPr>
            </w:pP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55,295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34,615</w:t>
            </w:r>
          </w:p>
        </w:tc>
      </w:tr>
      <w:tr>
        <w:trPr>
          <w:trHeight w:val="264"/>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(12,027)</w:t>
            </w: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trade accounts receivable and contract assets,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201,096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189,737</w:t>
            </w: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311"/>
        </w:trPr>
        <w:tc>
          <w:tcPr>
            <w:tcW w:w="6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 DISH Network:</w:t>
            </w:r>
          </w:p>
        </w:tc>
        <w:tc>
          <w:tcPr>
            <w:tcW w:w="2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63"/>
        </w:trPr>
        <w:tc>
          <w:tcPr>
            <w:tcW w:w="6100" w:type="dxa"/>
            <w:vAlign w:val="bottom"/>
          </w:tcPr>
          <w:p>
            <w:pPr>
              <w:ind w:left="180"/>
              <w:spacing w:after="0"/>
              <w:rPr>
                <w:sz w:val="20"/>
                <w:szCs w:val="20"/>
                <w:color w:val="auto"/>
              </w:rPr>
            </w:pPr>
            <w:r>
              <w:rPr>
                <w:rFonts w:ascii="Arial" w:cs="Arial" w:eastAsia="Arial" w:hAnsi="Arial"/>
                <w:sz w:val="18"/>
                <w:szCs w:val="18"/>
                <w:color w:val="auto"/>
              </w:rPr>
              <w:t>Sales and services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12,274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16,118</w:t>
            </w:r>
          </w:p>
        </w:tc>
      </w:tr>
      <w:tr>
        <w:trPr>
          <w:trHeight w:val="277"/>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Leasing</w:t>
            </w:r>
          </w:p>
        </w:tc>
        <w:tc>
          <w:tcPr>
            <w:tcW w:w="220" w:type="dxa"/>
            <w:vAlign w:val="bottom"/>
            <w:tcBorders>
              <w:bottom w:val="single" w:sz="8" w:color="auto"/>
            </w:tcBorders>
            <w:shd w:val="clear" w:color="auto" w:fill="CCEEFF"/>
          </w:tcPr>
          <w:p>
            <w:pPr>
              <w:spacing w:after="0"/>
              <w:rPr>
                <w:sz w:val="24"/>
                <w:szCs w:val="24"/>
                <w:color w:val="auto"/>
              </w:rPr>
            </w:pPr>
          </w:p>
        </w:tc>
        <w:tc>
          <w:tcPr>
            <w:tcW w:w="2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22,523</w:t>
            </w:r>
          </w:p>
        </w:tc>
      </w:tr>
      <w:tr>
        <w:trPr>
          <w:trHeight w:val="284"/>
        </w:trPr>
        <w:tc>
          <w:tcPr>
            <w:tcW w:w="6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trade accounts receivable - DISH Network,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13,550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38,641</w:t>
            </w:r>
          </w:p>
        </w:tc>
      </w:tr>
      <w:tr>
        <w:trPr>
          <w:trHeight w:val="311"/>
        </w:trPr>
        <w:tc>
          <w:tcPr>
            <w:tcW w:w="6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7"/>
        </w:trPr>
        <w:tc>
          <w:tcPr>
            <w:tcW w:w="6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72,249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64,417</w:t>
            </w:r>
          </w:p>
        </w:tc>
      </w:tr>
      <w:tr>
        <w:trPr>
          <w:trHeight w:val="264"/>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Noncurrent</w:t>
            </w: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13,036</w:t>
            </w: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contract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77,453</w:t>
            </w:r>
          </w:p>
        </w:tc>
      </w:tr>
      <w:tr>
        <w:trPr>
          <w:trHeight w:val="20"/>
        </w:trPr>
        <w:tc>
          <w:tcPr>
            <w:tcW w:w="6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December 31, 2018, we recognized revenue of $52 million that was previously included in the contract liability balance at January 1, 2018.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Our bad debt expense was $25 million, $10 million and $14 million for the years ended December 31, 2018, 2017 and 2016,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2018, the remaining performance obligations for our customer contracts with original expected durations of more than one year was $939 million. We expect to recognize approximately 35.7% of our remaining performance obligations of these contracts as revenue in the next twelve months. This amount excludes agreements with consumer customers in our Hughes segment and our leasing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following tables, revenue is disaggregated by segment, primary geographic market, nature of the products and services and transactions with major customers.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disaggregates revenue from customer contracts attributed to our North America (the U.S and its territories, Mexico and Canada), South and Central America and other foreign locations as well as by segment, based on the location where the goods or services are provided. All other revenue includes transactions with customers in Asia, Africa, Australia, Europe, and the Middle East.</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Corporate and</w:t>
            </w:r>
          </w:p>
        </w:tc>
        <w:tc>
          <w:tcPr>
            <w:tcW w:w="160" w:type="dxa"/>
            <w:vAlign w:val="bottom"/>
          </w:tcPr>
          <w:p>
            <w:pPr>
              <w:spacing w:after="0"/>
              <w:rPr>
                <w:sz w:val="17"/>
                <w:szCs w:val="17"/>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4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Hughes</w:t>
            </w: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ESS</w:t>
            </w:r>
          </w:p>
        </w:tc>
        <w:tc>
          <w:tcPr>
            <w:tcW w:w="1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9"/>
              </w:rPr>
              <w:t>Other</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50"/>
        </w:trPr>
        <w:tc>
          <w:tcPr>
            <w:tcW w:w="4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0" w:type="dxa"/>
            <w:vAlign w:val="bottom"/>
            <w:gridSpan w:val="5"/>
          </w:tcPr>
          <w:p>
            <w:pPr>
              <w:ind w:left="70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7"/>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2018</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97"/>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1,444,628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357,357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1,806,540</w:t>
            </w:r>
          </w:p>
        </w:tc>
      </w:tr>
      <w:tr>
        <w:trPr>
          <w:trHeight w:val="263"/>
        </w:trPr>
        <w:tc>
          <w:tcPr>
            <w:tcW w:w="4460" w:type="dxa"/>
            <w:vAlign w:val="bottom"/>
          </w:tcPr>
          <w:p>
            <w:pPr>
              <w:ind w:left="20"/>
              <w:spacing w:after="0"/>
              <w:rPr>
                <w:sz w:val="20"/>
                <w:szCs w:val="20"/>
                <w:color w:val="auto"/>
              </w:rPr>
            </w:pPr>
            <w:r>
              <w:rPr>
                <w:rFonts w:ascii="Arial" w:cs="Arial" w:eastAsia="Arial" w:hAnsi="Arial"/>
                <w:sz w:val="18"/>
                <w:szCs w:val="18"/>
                <w:color w:val="auto"/>
              </w:rPr>
              <w:t>South and Central America</w:t>
            </w:r>
          </w:p>
        </w:tc>
        <w:tc>
          <w:tcPr>
            <w:tcW w:w="28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101,632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101,632</w:t>
            </w:r>
          </w:p>
        </w:tc>
      </w:tr>
      <w:tr>
        <w:trPr>
          <w:trHeight w:val="277"/>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170,268</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18,522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189,491</w:t>
            </w:r>
          </w:p>
        </w:tc>
      </w:tr>
      <w:tr>
        <w:trPr>
          <w:trHeight w:val="284"/>
        </w:trPr>
        <w:tc>
          <w:tcPr>
            <w:tcW w:w="44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1,716,528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358,058</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23,077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2,097,663</w:t>
            </w:r>
          </w:p>
        </w:tc>
      </w:tr>
      <w:tr>
        <w:trPr>
          <w:trHeight w:val="311"/>
        </w:trPr>
        <w:tc>
          <w:tcPr>
            <w:tcW w:w="4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based on the nature of products and services and by segment.</w:t>
      </w:r>
    </w:p>
    <w:p>
      <w:pPr>
        <w:spacing w:after="0" w:line="145"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39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Hughes</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ESS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and Other</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50"/>
        </w:trPr>
        <w:tc>
          <w:tcPr>
            <w:tcW w:w="3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20" w:type="dxa"/>
            <w:vAlign w:val="bottom"/>
            <w:gridSpan w:val="5"/>
          </w:tcPr>
          <w:p>
            <w:pPr>
              <w:ind w:left="46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5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ended December 31, 2018</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63"/>
        </w:trPr>
        <w:tc>
          <w:tcPr>
            <w:tcW w:w="3940" w:type="dxa"/>
            <w:vAlign w:val="bottom"/>
          </w:tcPr>
          <w:p>
            <w:pPr>
              <w:ind w:left="20"/>
              <w:spacing w:after="0"/>
              <w:rPr>
                <w:sz w:val="20"/>
                <w:szCs w:val="20"/>
                <w:color w:val="auto"/>
              </w:rPr>
            </w:pPr>
            <w:r>
              <w:rPr>
                <w:rFonts w:ascii="Arial" w:cs="Arial" w:eastAsia="Arial" w:hAnsi="Arial"/>
                <w:sz w:val="18"/>
                <w:szCs w:val="18"/>
                <w:color w:val="auto"/>
              </w:rPr>
              <w:t>Equipment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119,657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119,657</w:t>
            </w:r>
          </w:p>
        </w:tc>
      </w:tr>
      <w:tr>
        <w:trPr>
          <w:trHeight w:val="27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1,313,059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1,338,300</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Design, development and construction</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3940" w:type="dxa"/>
            <w:vAlign w:val="bottom"/>
          </w:tcPr>
          <w:p>
            <w:pPr>
              <w:ind w:left="2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85,753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85,753</w:t>
            </w:r>
          </w:p>
        </w:tc>
      </w:tr>
      <w:tr>
        <w:trPr>
          <w:trHeight w:val="257"/>
        </w:trPr>
        <w:tc>
          <w:tcPr>
            <w:tcW w:w="39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Revenue from sales and services</w:t>
            </w:r>
          </w:p>
        </w:tc>
        <w:tc>
          <w:tcPr>
            <w:tcW w:w="20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1,518,469</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1,543,710</w:t>
            </w:r>
          </w:p>
        </w:tc>
      </w:tr>
      <w:tr>
        <w:trPr>
          <w:trHeight w:val="264"/>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Leasing income</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333,945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553,953</w:t>
            </w:r>
          </w:p>
        </w:tc>
      </w:tr>
      <w:tr>
        <w:trPr>
          <w:trHeight w:val="250"/>
        </w:trPr>
        <w:tc>
          <w:tcPr>
            <w:tcW w:w="3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1,716,528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2,097,663</w:t>
            </w:r>
          </w:p>
        </w:tc>
      </w:tr>
      <w:tr>
        <w:trPr>
          <w:trHeight w:val="20"/>
        </w:trPr>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2018, we reclassified our revenue among the categories above applicable for the full year.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40"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OTHER COMPREHENSIVE INCOME (LOSS) AND RELATED TAX EFFECTS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changes in the balances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by component were as follows:</w:t>
      </w:r>
    </w:p>
    <w:p>
      <w:pPr>
        <w:spacing w:after="0" w:line="16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Cumulative</w:t>
            </w:r>
          </w:p>
        </w:tc>
        <w:tc>
          <w:tcPr>
            <w:tcW w:w="140" w:type="dxa"/>
            <w:vAlign w:val="bottom"/>
          </w:tcPr>
          <w:p>
            <w:pPr>
              <w:spacing w:after="0"/>
              <w:rPr>
                <w:sz w:val="17"/>
                <w:szCs w:val="17"/>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Unrealized Gain</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74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Foreign Currency</w:t>
            </w:r>
          </w:p>
        </w:tc>
        <w:tc>
          <w:tcPr>
            <w:tcW w:w="140" w:type="dxa"/>
            <w:vAlign w:val="bottom"/>
          </w:tcPr>
          <w:p>
            <w:pPr>
              <w:spacing w:after="0"/>
              <w:rPr>
                <w:sz w:val="17"/>
                <w:szCs w:val="17"/>
                <w:color w:val="auto"/>
              </w:rPr>
            </w:pPr>
          </w:p>
        </w:tc>
        <w:tc>
          <w:tcPr>
            <w:tcW w:w="15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(Loss) On</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8"/>
              </w:rPr>
              <w:t>Translation</w:t>
            </w:r>
          </w:p>
        </w:tc>
        <w:tc>
          <w:tcPr>
            <w:tcW w:w="17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Available-For-Sale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Accumulated Other</w:t>
            </w:r>
          </w:p>
        </w:tc>
      </w:tr>
      <w:tr>
        <w:trPr>
          <w:trHeight w:val="246"/>
        </w:trPr>
        <w:tc>
          <w:tcPr>
            <w:tcW w:w="37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9"/>
              </w:rPr>
              <w:t>Losses</w:t>
            </w: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Securities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Other</w:t>
            </w:r>
          </w:p>
        </w:tc>
        <w:tc>
          <w:tcPr>
            <w:tcW w:w="1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Comprehensive Loss</w:t>
            </w:r>
          </w:p>
        </w:tc>
      </w:tr>
      <w:tr>
        <w:trPr>
          <w:trHeight w:val="250"/>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780" w:type="dxa"/>
            <w:vAlign w:val="bottom"/>
            <w:gridSpan w:val="4"/>
          </w:tcPr>
          <w:p>
            <w:pPr>
              <w:ind w:left="820"/>
              <w:spacing w:after="0"/>
              <w:rPr>
                <w:sz w:val="20"/>
                <w:szCs w:val="20"/>
                <w:color w:val="auto"/>
              </w:rPr>
            </w:pPr>
            <w:r>
              <w:rPr>
                <w:rFonts w:ascii="Arial" w:cs="Arial" w:eastAsia="Arial" w:hAnsi="Arial"/>
                <w:sz w:val="18"/>
                <w:szCs w:val="18"/>
                <w:color w:val="auto"/>
              </w:rPr>
              <w:t>(In thousands)</w:t>
            </w:r>
          </w:p>
        </w:tc>
        <w:tc>
          <w:tcPr>
            <w:tcW w:w="6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7"/>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2016</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(60,719)</w:t>
            </w: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3780" w:type="dxa"/>
            <w:vAlign w:val="bottom"/>
          </w:tcPr>
          <w:p>
            <w:pPr>
              <w:ind w:left="420"/>
              <w:spacing w:after="0"/>
              <w:rPr>
                <w:sz w:val="20"/>
                <w:szCs w:val="20"/>
                <w:color w:val="auto"/>
              </w:rPr>
            </w:pPr>
            <w:r>
              <w:rPr>
                <w:rFonts w:ascii="Arial" w:cs="Arial" w:eastAsia="Arial" w:hAnsi="Arial"/>
                <w:sz w:val="18"/>
                <w:szCs w:val="18"/>
                <w:color w:val="auto"/>
              </w:rPr>
              <w:t>before reclassifications</w:t>
            </w:r>
          </w:p>
        </w:tc>
        <w:tc>
          <w:tcPr>
            <w:tcW w:w="22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(2,280)</w:t>
            </w:r>
          </w:p>
        </w:tc>
        <w:tc>
          <w:tcPr>
            <w:tcW w:w="2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4,599</w:t>
            </w:r>
          </w:p>
        </w:tc>
      </w:tr>
      <w:tr>
        <w:trPr>
          <w:trHeight w:val="270"/>
        </w:trPr>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Amounts reclassified to net income</w:t>
            </w:r>
          </w:p>
        </w:tc>
        <w:tc>
          <w:tcPr>
            <w:tcW w:w="2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3,298</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3,298</w:t>
            </w:r>
          </w:p>
        </w:tc>
      </w:tr>
      <w:tr>
        <w:trPr>
          <w:trHeight w:val="264"/>
        </w:trPr>
        <w:tc>
          <w:tcPr>
            <w:tcW w:w="37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6,787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1,018</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7,897</w:t>
            </w:r>
          </w:p>
        </w:tc>
      </w:tr>
      <w:tr>
        <w:trPr>
          <w:trHeight w:val="27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(52,822)</w:t>
            </w: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Cumulative effect of adoption of the New</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37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Investment Standard</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r>
      <w:tr>
        <w:trPr>
          <w:trHeight w:val="27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2018</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(52,389)</w:t>
            </w: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Other comprehensive loss before</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4"/>
        </w:trPr>
        <w:tc>
          <w:tcPr>
            <w:tcW w:w="3780" w:type="dxa"/>
            <w:vAlign w:val="bottom"/>
          </w:tcPr>
          <w:p>
            <w:pPr>
              <w:ind w:left="420"/>
              <w:spacing w:after="0"/>
              <w:rPr>
                <w:sz w:val="20"/>
                <w:szCs w:val="20"/>
                <w:color w:val="auto"/>
              </w:rPr>
            </w:pPr>
            <w:r>
              <w:rPr>
                <w:rFonts w:ascii="Arial" w:cs="Arial" w:eastAsia="Arial" w:hAnsi="Arial"/>
                <w:sz w:val="18"/>
                <w:szCs w:val="18"/>
                <w:color w:val="auto"/>
              </w:rPr>
              <w:t>reclassifications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(30,549)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(665)</w:t>
            </w:r>
          </w:p>
        </w:tc>
        <w:tc>
          <w:tcPr>
            <w:tcW w:w="26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(31,173)</w:t>
            </w:r>
          </w:p>
        </w:tc>
      </w:tr>
      <w:tr>
        <w:trPr>
          <w:trHeight w:val="270"/>
        </w:trPr>
        <w:tc>
          <w:tcPr>
            <w:tcW w:w="3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Amounts reclassified to net income</w:t>
            </w:r>
          </w:p>
        </w:tc>
        <w:tc>
          <w:tcPr>
            <w:tcW w:w="2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64"/>
        </w:trPr>
        <w:tc>
          <w:tcPr>
            <w:tcW w:w="37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(30,549)</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(31,385)</w:t>
            </w:r>
          </w:p>
        </w:tc>
      </w:tr>
      <w:tr>
        <w:trPr>
          <w:trHeight w:val="27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(83,774)</w:t>
            </w: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The amounts reclassified to net income related to unrealized gain (loss) on available-for-sale securities in the table above are included in </w:t>
      </w:r>
      <w:r>
        <w:rPr>
          <w:rFonts w:ascii="Arial" w:cs="Arial" w:eastAsia="Arial" w:hAnsi="Arial"/>
          <w:sz w:val="18"/>
          <w:szCs w:val="18"/>
          <w:i w:val="1"/>
          <w:iCs w:val="1"/>
          <w:color w:val="auto"/>
        </w:rPr>
        <w:t>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losses on investments, net </w:t>
      </w:r>
      <w:r>
        <w:rPr>
          <w:rFonts w:ascii="Arial" w:cs="Arial" w:eastAsia="Arial" w:hAnsi="Arial"/>
          <w:sz w:val="18"/>
          <w:szCs w:val="18"/>
          <w:color w:val="auto"/>
        </w:rPr>
        <w:t>in our Consolidated Statements of Operations and Other Comprehensive Income (Loss).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in unusual circumstances, we do not recognize tax effects on foreign currency translation adjustments because they are not expected to result in future taxable income or deductions.</w:t>
      </w:r>
    </w:p>
    <w:p>
      <w:pPr>
        <w:spacing w:after="0" w:line="12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MARKETABLE INVESTMENT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portfolio consists of various debt and equity instruments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8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50"/>
        </w:trPr>
        <w:tc>
          <w:tcPr>
            <w:tcW w:w="8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40" w:type="dxa"/>
            <w:vAlign w:val="bottom"/>
          </w:tcPr>
          <w:p>
            <w:pPr>
              <w:spacing w:after="0"/>
              <w:rPr>
                <w:sz w:val="21"/>
                <w:szCs w:val="21"/>
                <w:color w:val="auto"/>
              </w:rPr>
            </w:pP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1,234,017</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368,083</w:t>
            </w:r>
          </w:p>
        </w:tc>
      </w:tr>
      <w:tr>
        <w:trPr>
          <w:trHeight w:val="264"/>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debt securities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374,106</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86,417</w:t>
            </w:r>
          </w:p>
        </w:tc>
      </w:tr>
      <w:tr>
        <w:trPr>
          <w:trHeight w:val="257"/>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debt securities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1,608,123</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454,500</w:t>
            </w:r>
          </w:p>
        </w:tc>
      </w:tr>
      <w:tr>
        <w:trPr>
          <w:trHeight w:val="264"/>
        </w:trPr>
        <w:tc>
          <w:tcPr>
            <w:tcW w:w="81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Equity securities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1,102</w:t>
            </w:r>
          </w:p>
        </w:tc>
      </w:tr>
      <w:tr>
        <w:trPr>
          <w:trHeight w:val="250"/>
        </w:trPr>
        <w:tc>
          <w:tcPr>
            <w:tcW w:w="81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marketable investment securities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1,609,196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455,602</w:t>
            </w: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other debt securities portfolio includes investments in various debt instruments, including U.S. government bonds and commercial paper.</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40" w:right="23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available-for-sale debt securities is presented in the table below.</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4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Amortized</w:t>
            </w: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8"/>
              </w:rPr>
              <w:t>Unrealized</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230"/>
              <w:spacing w:after="0"/>
              <w:rPr>
                <w:sz w:val="20"/>
                <w:szCs w:val="20"/>
                <w:color w:val="auto"/>
              </w:rPr>
            </w:pPr>
            <w:r>
              <w:rPr>
                <w:rFonts w:ascii="Arial" w:cs="Arial" w:eastAsia="Arial" w:hAnsi="Arial"/>
                <w:sz w:val="18"/>
                <w:szCs w:val="18"/>
                <w:b w:val="1"/>
                <w:bCs w:val="1"/>
                <w:color w:val="auto"/>
              </w:rPr>
              <w:t>Estimated</w:t>
            </w:r>
          </w:p>
        </w:tc>
      </w:tr>
      <w:tr>
        <w:trPr>
          <w:trHeight w:val="264"/>
        </w:trPr>
        <w:tc>
          <w:tcPr>
            <w:tcW w:w="44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Losses</w:t>
            </w: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50"/>
        </w:trPr>
        <w:tc>
          <w:tcPr>
            <w:tcW w:w="4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40" w:type="dxa"/>
            <w:vAlign w:val="bottom"/>
            <w:gridSpan w:val="5"/>
          </w:tcPr>
          <w:p>
            <w:pPr>
              <w:jc w:val="center"/>
              <w:ind w:right="400"/>
              <w:spacing w:after="0"/>
              <w:rPr>
                <w:sz w:val="20"/>
                <w:szCs w:val="20"/>
                <w:color w:val="auto"/>
              </w:rPr>
            </w:pPr>
            <w:r>
              <w:rPr>
                <w:rFonts w:ascii="Arial" w:cs="Arial" w:eastAsia="Arial" w:hAnsi="Arial"/>
                <w:sz w:val="18"/>
                <w:szCs w:val="18"/>
                <w:color w:val="auto"/>
                <w:w w:val="99"/>
              </w:rPr>
              <w:t>(In thousands)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3"/>
        </w:trPr>
        <w:tc>
          <w:tcPr>
            <w:tcW w:w="44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1,235,110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1,234,017</w:t>
            </w:r>
          </w:p>
        </w:tc>
      </w:tr>
      <w:tr>
        <w:trPr>
          <w:trHeight w:val="277"/>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securities</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374,106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374,106</w:t>
            </w:r>
          </w:p>
        </w:tc>
      </w:tr>
      <w:tr>
        <w:trPr>
          <w:trHeight w:val="284"/>
        </w:trPr>
        <w:tc>
          <w:tcPr>
            <w:tcW w:w="4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1,609,216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1,608,123</w:t>
            </w:r>
          </w:p>
        </w:tc>
      </w:tr>
      <w:tr>
        <w:trPr>
          <w:trHeight w:val="237"/>
        </w:trPr>
        <w:tc>
          <w:tcPr>
            <w:tcW w:w="44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As of 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63"/>
        </w:trPr>
        <w:tc>
          <w:tcPr>
            <w:tcW w:w="44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368,291</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368,083</w:t>
            </w:r>
          </w:p>
        </w:tc>
      </w:tr>
      <w:tr>
        <w:trPr>
          <w:trHeight w:val="277"/>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86,425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86,417</w:t>
            </w:r>
          </w:p>
        </w:tc>
      </w:tr>
      <w:tr>
        <w:trPr>
          <w:trHeight w:val="244"/>
        </w:trPr>
        <w:tc>
          <w:tcPr>
            <w:tcW w:w="4400" w:type="dxa"/>
            <w:vAlign w:val="bottom"/>
          </w:tcPr>
          <w:p>
            <w:pPr>
              <w:ind w:left="360"/>
              <w:spacing w:after="0"/>
              <w:rPr>
                <w:sz w:val="20"/>
                <w:szCs w:val="20"/>
                <w:color w:val="auto"/>
              </w:rPr>
            </w:pPr>
            <w:r>
              <w:rPr>
                <w:rFonts w:ascii="Arial" w:cs="Arial" w:eastAsia="Arial" w:hAnsi="Arial"/>
                <w:sz w:val="18"/>
                <w:szCs w:val="18"/>
                <w:color w:val="auto"/>
              </w:rPr>
              <w:t>Total available-for-sale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454,716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454,500</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2018, we have $1.3 billion of available-for-sale debt securities with contractual maturities of one year or less and $351 million with contractual maturities greater than one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marketable equity securities consist primarily of shares of common stock of public companies. Prior to January 1, 2018, we classified our marketable equity securities as available-for-sale or trading securities, depending on our investment strategy for the securities. As of December 31, 2017, our marketable equity securities consisted of available-for-sale securities with a fair value of $1.1 million, reflecting an adjusted cost basis of $1.5 million and unrealized losses of $0.4 million. Substantially all unrealized losses on our available-for-sale securities related to securities that were in a continuous loss position for less than 12 months. We recognized a $3 million other-than-temporary impairment for the year ended December 31, 2017 on one of our available-for-sale securities which had experienced a decline in market value as a result of adverse developments during the year ended December 31, 2017.</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Upon adoption of the New Investment Standard as of January 1, 2018 (see Note 2), we account for investments in equity securities at their fair value and we recognize unrealized gains and losses in </w:t>
      </w:r>
      <w:r>
        <w:rPr>
          <w:rFonts w:ascii="Arial" w:cs="Arial" w:eastAsia="Arial" w:hAnsi="Arial"/>
          <w:sz w:val="18"/>
          <w:szCs w:val="18"/>
          <w:i w:val="1"/>
          <w:iCs w:val="1"/>
          <w:color w:val="auto"/>
        </w:rPr>
        <w:t>Gains and losses on investments, net</w:t>
      </w:r>
      <w:r>
        <w:rPr>
          <w:rFonts w:ascii="Arial" w:cs="Arial" w:eastAsia="Arial" w:hAnsi="Arial"/>
          <w:sz w:val="18"/>
          <w:szCs w:val="18"/>
          <w:color w:val="auto"/>
        </w:rPr>
        <w:t xml:space="preserve"> in our Consolidated Statement of Operations and Comprehensive Income (Loss). For the year ended December 31, 2018, </w:t>
      </w:r>
      <w:r>
        <w:rPr>
          <w:rFonts w:ascii="Arial" w:cs="Arial" w:eastAsia="Arial" w:hAnsi="Arial"/>
          <w:sz w:val="18"/>
          <w:szCs w:val="18"/>
          <w:i w:val="1"/>
          <w:iCs w:val="1"/>
          <w:color w:val="auto"/>
        </w:rPr>
        <w:t>Gains and losses on investments, net</w:t>
      </w:r>
      <w:r>
        <w:rPr>
          <w:rFonts w:ascii="Arial" w:cs="Arial" w:eastAsia="Arial" w:hAnsi="Arial"/>
          <w:sz w:val="18"/>
          <w:szCs w:val="18"/>
          <w:color w:val="auto"/>
        </w:rPr>
        <w:t xml:space="preserve"> included de minimis loss related to equity securities that we held as of December 31,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Available-for-Sale Securities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Proceeds from sales of our available-for-sale securities were $50 million, $9 million and $20 million for the years ended December 31, 2018, 2017 and 2016, respectively. We recognized nil, de minimis and $3 million gains for the years ended December 31, 2018, 2017 and 2016, respectively, We recognized nil losses for the years ended December 31, 2018 and 2017 and de minimis losses for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40"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marketable investment securities are measured at fair value on a recurring basis as summarized in the table below. As of December 31, 2018 and 2017, we did not have investments that were categorized within Level 3 of the fair value hierarchy.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b w:val="1"/>
                <w:bCs w:val="1"/>
                <w:color w:val="auto"/>
              </w:rPr>
              <w:t>As of December 31,</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jc w:val="center"/>
              <w:ind w:right="20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0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1,234,017</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1,234,017</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368,083</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368,083</w:t>
            </w:r>
          </w:p>
        </w:tc>
        <w:tc>
          <w:tcPr>
            <w:tcW w:w="0" w:type="dxa"/>
            <w:vAlign w:val="bottom"/>
          </w:tcPr>
          <w:p>
            <w:pPr>
              <w:spacing w:after="0"/>
              <w:rPr>
                <w:sz w:val="1"/>
                <w:szCs w:val="1"/>
                <w:color w:val="auto"/>
              </w:rPr>
            </w:pPr>
          </w:p>
        </w:tc>
      </w:tr>
      <w:tr>
        <w:trPr>
          <w:trHeight w:val="277"/>
        </w:trPr>
        <w:tc>
          <w:tcPr>
            <w:tcW w:w="3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debt securities</w:t>
            </w:r>
          </w:p>
        </w:tc>
        <w:tc>
          <w:tcPr>
            <w:tcW w:w="2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374,106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374,106</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86,417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86,417</w:t>
            </w:r>
          </w:p>
        </w:tc>
        <w:tc>
          <w:tcPr>
            <w:tcW w:w="0" w:type="dxa"/>
            <w:vAlign w:val="bottom"/>
          </w:tcPr>
          <w:p>
            <w:pPr>
              <w:spacing w:after="0"/>
              <w:rPr>
                <w:sz w:val="1"/>
                <w:szCs w:val="1"/>
                <w:color w:val="auto"/>
              </w:rPr>
            </w:pPr>
          </w:p>
        </w:tc>
      </w:tr>
      <w:tr>
        <w:trPr>
          <w:trHeight w:val="243"/>
        </w:trPr>
        <w:tc>
          <w:tcPr>
            <w:tcW w:w="3500" w:type="dxa"/>
            <w:vAlign w:val="bottom"/>
          </w:tcPr>
          <w:p>
            <w:pPr>
              <w:ind w:left="500"/>
              <w:spacing w:after="0"/>
              <w:rPr>
                <w:sz w:val="20"/>
                <w:szCs w:val="20"/>
                <w:color w:val="auto"/>
              </w:rPr>
            </w:pPr>
            <w:r>
              <w:rPr>
                <w:rFonts w:ascii="Arial" w:cs="Arial" w:eastAsia="Arial" w:hAnsi="Arial"/>
                <w:sz w:val="18"/>
                <w:szCs w:val="18"/>
                <w:color w:val="auto"/>
              </w:rPr>
              <w:t>Total debt securities</w:t>
            </w: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1,608,123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1,608,123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454,500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454,500</w:t>
            </w:r>
          </w:p>
        </w:tc>
        <w:tc>
          <w:tcPr>
            <w:tcW w:w="0" w:type="dxa"/>
            <w:vAlign w:val="bottom"/>
          </w:tcPr>
          <w:p>
            <w:pPr>
              <w:spacing w:after="0"/>
              <w:rPr>
                <w:sz w:val="1"/>
                <w:szCs w:val="1"/>
                <w:color w:val="auto"/>
              </w:rPr>
            </w:pPr>
          </w:p>
        </w:tc>
      </w:tr>
      <w:tr>
        <w:trPr>
          <w:trHeight w:val="277"/>
        </w:trPr>
        <w:tc>
          <w:tcPr>
            <w:tcW w:w="35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09"/>
        </w:trPr>
        <w:tc>
          <w:tcPr>
            <w:tcW w:w="3500" w:type="dxa"/>
            <w:vAlign w:val="bottom"/>
          </w:tcPr>
          <w:p>
            <w:pPr>
              <w:ind w:left="720"/>
              <w:spacing w:after="0"/>
              <w:rPr>
                <w:sz w:val="20"/>
                <w:szCs w:val="20"/>
                <w:color w:val="auto"/>
              </w:rPr>
            </w:pPr>
            <w:r>
              <w:rPr>
                <w:rFonts w:ascii="Arial" w:cs="Arial" w:eastAsia="Arial" w:hAnsi="Arial"/>
                <w:sz w:val="18"/>
                <w:szCs w:val="18"/>
                <w:color w:val="auto"/>
              </w:rPr>
              <w:t>Total marketable investment</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1,608,123</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1,609,196</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454,500</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455,602</w:t>
            </w:r>
          </w:p>
        </w:tc>
        <w:tc>
          <w:tcPr>
            <w:tcW w:w="0" w:type="dxa"/>
            <w:vAlign w:val="bottom"/>
          </w:tcPr>
          <w:p>
            <w:pPr>
              <w:spacing w:after="0"/>
              <w:rPr>
                <w:sz w:val="1"/>
                <w:szCs w:val="1"/>
                <w:color w:val="auto"/>
              </w:rPr>
            </w:pPr>
          </w:p>
        </w:tc>
      </w:tr>
      <w:tr>
        <w:trPr>
          <w:trHeight w:val="222"/>
        </w:trPr>
        <w:tc>
          <w:tcPr>
            <w:tcW w:w="3500" w:type="dxa"/>
            <w:vAlign w:val="bottom"/>
          </w:tcPr>
          <w:p>
            <w:pPr>
              <w:ind w:left="720"/>
              <w:spacing w:after="0"/>
              <w:rPr>
                <w:sz w:val="20"/>
                <w:szCs w:val="20"/>
                <w:color w:val="auto"/>
              </w:rPr>
            </w:pPr>
            <w:r>
              <w:rPr>
                <w:rFonts w:ascii="Arial" w:cs="Arial" w:eastAsia="Arial" w:hAnsi="Arial"/>
                <w:sz w:val="18"/>
                <w:szCs w:val="18"/>
                <w:color w:val="auto"/>
              </w:rPr>
              <w:t>securities</w:t>
            </w: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Pr>
          <w:p>
            <w:pPr>
              <w:spacing w:after="0"/>
              <w:rPr>
                <w:sz w:val="20"/>
                <w:szCs w:val="20"/>
                <w:color w:val="auto"/>
              </w:rPr>
            </w:pPr>
            <w:r>
              <w:rPr>
                <w:rFonts w:ascii="Arial" w:cs="Arial" w:eastAsia="Arial" w:hAnsi="Arial"/>
                <w:sz w:val="18"/>
                <w:szCs w:val="18"/>
                <w:b w:val="1"/>
                <w:bCs w:val="1"/>
                <w:color w:val="auto"/>
              </w:rPr>
              <w:t>NOTE 6.  INVENTORY</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Our inventory consisted of the following:</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29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0"/>
        </w:trPr>
        <w:tc>
          <w:tcPr>
            <w:tcW w:w="60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20" w:type="dxa"/>
            <w:vAlign w:val="bottom"/>
            <w:gridSpan w:val="3"/>
          </w:tcPr>
          <w:p>
            <w:pPr>
              <w:jc w:val="center"/>
              <w:ind w:left="650"/>
              <w:spacing w:after="0"/>
              <w:rPr>
                <w:sz w:val="20"/>
                <w:szCs w:val="20"/>
                <w:color w:val="auto"/>
              </w:rPr>
            </w:pPr>
            <w:r>
              <w:rPr>
                <w:rFonts w:ascii="Arial" w:cs="Arial" w:eastAsia="Arial" w:hAnsi="Arial"/>
                <w:sz w:val="18"/>
                <w:szCs w:val="18"/>
                <w:color w:val="auto"/>
              </w:rPr>
              <w:t>(In thousands)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63"/>
        </w:trPr>
        <w:tc>
          <w:tcPr>
            <w:tcW w:w="60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13,901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7,442</w:t>
            </w:r>
          </w:p>
        </w:tc>
        <w:tc>
          <w:tcPr>
            <w:tcW w:w="0" w:type="dxa"/>
            <w:vAlign w:val="bottom"/>
          </w:tcPr>
          <w:p>
            <w:pPr>
              <w:spacing w:after="0"/>
              <w:rPr>
                <w:sz w:val="1"/>
                <w:szCs w:val="1"/>
                <w:color w:val="auto"/>
              </w:rPr>
            </w:pP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56,622</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70,669</w:t>
            </w:r>
          </w:p>
        </w:tc>
        <w:tc>
          <w:tcPr>
            <w:tcW w:w="0" w:type="dxa"/>
            <w:vAlign w:val="bottom"/>
          </w:tcPr>
          <w:p>
            <w:pPr>
              <w:spacing w:after="0"/>
              <w:rPr>
                <w:sz w:val="1"/>
                <w:szCs w:val="1"/>
                <w:color w:val="auto"/>
              </w:rPr>
            </w:pPr>
          </w:p>
        </w:tc>
      </w:tr>
      <w:tr>
        <w:trPr>
          <w:trHeight w:val="244"/>
        </w:trPr>
        <w:tc>
          <w:tcPr>
            <w:tcW w:w="608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75,379</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83,595</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NOTE 7.  PROPERTY AND EQUIPMENT</w:t>
            </w: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0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80" w:type="dxa"/>
            <w:vAlign w:val="bottom"/>
          </w:tcPr>
          <w:p>
            <w:pPr>
              <w:spacing w:after="0"/>
              <w:rPr>
                <w:sz w:val="24"/>
                <w:szCs w:val="2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Depreciable Life</w:t>
            </w:r>
          </w:p>
        </w:tc>
        <w:tc>
          <w:tcPr>
            <w:tcW w:w="4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29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(In Years)</w:t>
            </w:r>
          </w:p>
        </w:tc>
        <w:tc>
          <w:tcPr>
            <w:tcW w:w="400" w:type="dxa"/>
            <w:vAlign w:val="bottom"/>
          </w:tcPr>
          <w:p>
            <w:pPr>
              <w:spacing w:after="0"/>
              <w:rPr>
                <w:sz w:val="22"/>
                <w:szCs w:val="22"/>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63"/>
        </w:trPr>
        <w:tc>
          <w:tcPr>
            <w:tcW w:w="608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020" w:type="dxa"/>
            <w:vAlign w:val="bottom"/>
            <w:tcBorders>
              <w:top w:val="single" w:sz="8" w:color="auto"/>
            </w:tcBorders>
            <w:gridSpan w:val="3"/>
          </w:tcPr>
          <w:p>
            <w:pPr>
              <w:jc w:val="center"/>
              <w:ind w:left="650"/>
              <w:spacing w:after="0"/>
              <w:rPr>
                <w:sz w:val="20"/>
                <w:szCs w:val="20"/>
                <w:color w:val="auto"/>
              </w:rPr>
            </w:pPr>
            <w:r>
              <w:rPr>
                <w:rFonts w:ascii="Arial" w:cs="Arial" w:eastAsia="Arial" w:hAnsi="Arial"/>
                <w:sz w:val="18"/>
                <w:szCs w:val="18"/>
                <w:color w:val="auto"/>
              </w:rPr>
              <w:t>(In thousands)</w:t>
            </w:r>
          </w:p>
        </w:tc>
        <w:tc>
          <w:tcPr>
            <w:tcW w:w="11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13,401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13,475</w:t>
            </w:r>
          </w:p>
        </w:tc>
        <w:tc>
          <w:tcPr>
            <w:tcW w:w="0" w:type="dxa"/>
            <w:vAlign w:val="bottom"/>
          </w:tcPr>
          <w:p>
            <w:pPr>
              <w:spacing w:after="0"/>
              <w:rPr>
                <w:sz w:val="1"/>
                <w:szCs w:val="1"/>
                <w:color w:val="auto"/>
              </w:rPr>
            </w:pPr>
          </w:p>
        </w:tc>
      </w:tr>
      <w:tr>
        <w:trPr>
          <w:trHeight w:val="263"/>
        </w:trPr>
        <w:tc>
          <w:tcPr>
            <w:tcW w:w="608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1 to 40</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117,564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128,292</w:t>
            </w:r>
          </w:p>
        </w:tc>
        <w:tc>
          <w:tcPr>
            <w:tcW w:w="0" w:type="dxa"/>
            <w:vAlign w:val="bottom"/>
          </w:tcPr>
          <w:p>
            <w:pPr>
              <w:spacing w:after="0"/>
              <w:rPr>
                <w:sz w:val="1"/>
                <w:szCs w:val="1"/>
                <w:color w:val="auto"/>
              </w:rPr>
            </w:pP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1 to 12</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741,429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650,385</w:t>
            </w:r>
          </w:p>
        </w:tc>
        <w:tc>
          <w:tcPr>
            <w:tcW w:w="0" w:type="dxa"/>
            <w:vAlign w:val="bottom"/>
          </w:tcPr>
          <w:p>
            <w:pPr>
              <w:spacing w:after="0"/>
              <w:rPr>
                <w:sz w:val="1"/>
                <w:szCs w:val="1"/>
                <w:color w:val="auto"/>
              </w:rPr>
            </w:pPr>
          </w:p>
        </w:tc>
      </w:tr>
      <w:tr>
        <w:trPr>
          <w:trHeight w:val="263"/>
        </w:trPr>
        <w:tc>
          <w:tcPr>
            <w:tcW w:w="6080" w:type="dxa"/>
            <w:vAlign w:val="bottom"/>
          </w:tcPr>
          <w:p>
            <w:pPr>
              <w:ind w:left="40"/>
              <w:spacing w:after="0"/>
              <w:rPr>
                <w:sz w:val="20"/>
                <w:szCs w:val="20"/>
                <w:color w:val="auto"/>
              </w:rPr>
            </w:pPr>
            <w:r>
              <w:rPr>
                <w:rFonts w:ascii="Arial" w:cs="Arial" w:eastAsia="Arial" w:hAnsi="Arial"/>
                <w:sz w:val="18"/>
                <w:szCs w:val="18"/>
                <w:color w:val="auto"/>
              </w:rPr>
              <w:t>Customer rental equipment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2 to 4</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1,159,977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929,775</w:t>
            </w:r>
          </w:p>
        </w:tc>
        <w:tc>
          <w:tcPr>
            <w:tcW w:w="0" w:type="dxa"/>
            <w:vAlign w:val="bottom"/>
          </w:tcPr>
          <w:p>
            <w:pPr>
              <w:spacing w:after="0"/>
              <w:rPr>
                <w:sz w:val="1"/>
                <w:szCs w:val="1"/>
                <w:color w:val="auto"/>
              </w:rPr>
            </w:pP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2 to 15</w:t>
            </w: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2,268,862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2,516,685</w:t>
            </w:r>
          </w:p>
        </w:tc>
        <w:tc>
          <w:tcPr>
            <w:tcW w:w="0" w:type="dxa"/>
            <w:vAlign w:val="bottom"/>
          </w:tcPr>
          <w:p>
            <w:pPr>
              <w:spacing w:after="0"/>
              <w:rPr>
                <w:sz w:val="1"/>
                <w:szCs w:val="1"/>
                <w:color w:val="auto"/>
              </w:rPr>
            </w:pPr>
          </w:p>
        </w:tc>
      </w:tr>
      <w:tr>
        <w:trPr>
          <w:trHeight w:val="263"/>
        </w:trPr>
        <w:tc>
          <w:tcPr>
            <w:tcW w:w="6080" w:type="dxa"/>
            <w:vAlign w:val="bottom"/>
          </w:tcPr>
          <w:p>
            <w:pPr>
              <w:ind w:left="40"/>
              <w:spacing w:after="0"/>
              <w:rPr>
                <w:sz w:val="20"/>
                <w:szCs w:val="20"/>
                <w:color w:val="auto"/>
              </w:rPr>
            </w:pPr>
            <w:r>
              <w:rPr>
                <w:rFonts w:ascii="Arial" w:cs="Arial" w:eastAsia="Arial" w:hAnsi="Arial"/>
                <w:sz w:val="18"/>
                <w:szCs w:val="18"/>
                <w:color w:val="auto"/>
              </w:rPr>
              <w:t>Satellites acquired under capital leases</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 to 15</w:t>
            </w:r>
          </w:p>
        </w:tc>
        <w:tc>
          <w:tcPr>
            <w:tcW w:w="400" w:type="dxa"/>
            <w:vAlign w:val="bottom"/>
          </w:tcPr>
          <w:p>
            <w:pPr>
              <w:spacing w:after="0"/>
              <w:rPr>
                <w:sz w:val="22"/>
                <w:szCs w:val="22"/>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1,051,110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916,820</w:t>
            </w:r>
          </w:p>
        </w:tc>
        <w:tc>
          <w:tcPr>
            <w:tcW w:w="0" w:type="dxa"/>
            <w:vAlign w:val="bottom"/>
          </w:tcPr>
          <w:p>
            <w:pPr>
              <w:spacing w:after="0"/>
              <w:rPr>
                <w:sz w:val="1"/>
                <w:szCs w:val="1"/>
                <w:color w:val="auto"/>
              </w:rPr>
            </w:pP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28,087</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149,570</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5,380,430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5,305,002</w:t>
            </w:r>
          </w:p>
        </w:tc>
        <w:tc>
          <w:tcPr>
            <w:tcW w:w="0" w:type="dxa"/>
            <w:vAlign w:val="bottom"/>
          </w:tcPr>
          <w:p>
            <w:pPr>
              <w:spacing w:after="0"/>
              <w:rPr>
                <w:sz w:val="1"/>
                <w:szCs w:val="1"/>
                <w:color w:val="auto"/>
              </w:rPr>
            </w:pPr>
          </w:p>
        </w:tc>
      </w:tr>
      <w:tr>
        <w:trPr>
          <w:trHeight w:val="27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(2,798,249)</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(2,551,904)</w:t>
            </w:r>
          </w:p>
        </w:tc>
        <w:tc>
          <w:tcPr>
            <w:tcW w:w="0" w:type="dxa"/>
            <w:vAlign w:val="bottom"/>
          </w:tcPr>
          <w:p>
            <w:pPr>
              <w:spacing w:after="0"/>
              <w:rPr>
                <w:sz w:val="1"/>
                <w:szCs w:val="1"/>
                <w:color w:val="auto"/>
              </w:rPr>
            </w:pPr>
          </w:p>
        </w:tc>
      </w:tr>
      <w:tr>
        <w:trPr>
          <w:trHeight w:val="244"/>
        </w:trPr>
        <w:tc>
          <w:tcPr>
            <w:tcW w:w="60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2,582,181</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2,753,098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2018 and 2017, accumulated depreciation included amounts for satellites acquired under capital leases of $468 million and $394 million,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tcPr>
          <w:p>
            <w:pPr>
              <w:spacing w:after="0"/>
              <w:rPr>
                <w:sz w:val="20"/>
                <w:szCs w:val="20"/>
                <w:color w:val="auto"/>
              </w:rPr>
            </w:pPr>
            <w:r>
              <w:rPr>
                <w:rFonts w:ascii="Arial" w:cs="Arial" w:eastAsia="Arial" w:hAnsi="Arial"/>
                <w:sz w:val="18"/>
                <w:szCs w:val="18"/>
                <w:color w:val="auto"/>
              </w:rPr>
              <w:t>Construction in progress consisted of the following:</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99"/>
        </w:trPr>
        <w:tc>
          <w:tcPr>
            <w:tcW w:w="7880" w:type="dxa"/>
            <w:vAlign w:val="bottom"/>
          </w:tcPr>
          <w:p>
            <w:pPr>
              <w:spacing w:after="0"/>
              <w:rPr>
                <w:sz w:val="24"/>
                <w:szCs w:val="24"/>
                <w:color w:val="auto"/>
              </w:rPr>
            </w:pPr>
          </w:p>
        </w:tc>
        <w:tc>
          <w:tcPr>
            <w:tcW w:w="3540" w:type="dxa"/>
            <w:vAlign w:val="bottom"/>
            <w:tcBorders>
              <w:bottom w:val="single" w:sz="8" w:color="auto"/>
            </w:tcBorders>
            <w:gridSpan w:val="5"/>
          </w:tcPr>
          <w:p>
            <w:pPr>
              <w:jc w:val="right"/>
              <w:ind w:right="83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88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50"/>
        </w:trPr>
        <w:tc>
          <w:tcPr>
            <w:tcW w:w="7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120" w:type="dxa"/>
            <w:vAlign w:val="bottom"/>
          </w:tcPr>
          <w:p>
            <w:pPr>
              <w:spacing w:after="0"/>
              <w:rPr>
                <w:sz w:val="21"/>
                <w:szCs w:val="21"/>
                <w:color w:val="auto"/>
              </w:rPr>
            </w:pPr>
          </w:p>
        </w:tc>
      </w:tr>
      <w:tr>
        <w:trPr>
          <w:trHeight w:val="235"/>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Progress amounts for satellite construction, including prepayments under capital leases and</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launch services costs</w:t>
            </w:r>
          </w:p>
        </w:tc>
        <w:tc>
          <w:tcPr>
            <w:tcW w:w="10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101,733</w:t>
            </w:r>
          </w:p>
        </w:tc>
      </w:tr>
      <w:tr>
        <w:trPr>
          <w:trHeight w:val="263"/>
        </w:trPr>
        <w:tc>
          <w:tcPr>
            <w:tcW w:w="788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106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13,001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28,358</w:t>
            </w:r>
          </w:p>
        </w:tc>
      </w:tr>
      <w:tr>
        <w:trPr>
          <w:trHeight w:val="277"/>
        </w:trPr>
        <w:tc>
          <w:tcPr>
            <w:tcW w:w="7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14,840</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19,479</w:t>
            </w:r>
          </w:p>
        </w:tc>
      </w:tr>
      <w:tr>
        <w:trPr>
          <w:trHeight w:val="244"/>
        </w:trPr>
        <w:tc>
          <w:tcPr>
            <w:tcW w:w="788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28,087</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149,570</w:t>
            </w:r>
          </w:p>
        </w:tc>
      </w:tr>
      <w:tr>
        <w:trPr>
          <w:trHeight w:val="20"/>
        </w:trPr>
        <w:tc>
          <w:tcPr>
            <w:tcW w:w="7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recorded capitalized interest related to our satellites, satellite payloads and related ground facilities under construction of $6 million, $23 million and $30 million for the years ended December 31, 2018, 2017 and 2016,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9"/>
              </w:rPr>
              <w:t>For the years ended December 31,</w:t>
            </w:r>
          </w:p>
        </w:tc>
        <w:tc>
          <w:tcPr>
            <w:tcW w:w="1060" w:type="dxa"/>
            <w:vAlign w:val="bottom"/>
            <w:tcBorders>
              <w:bottom w:val="single" w:sz="8" w:color="auto"/>
            </w:tcBorders>
          </w:tcPr>
          <w:p>
            <w:pPr>
              <w:spacing w:after="0"/>
              <w:rPr>
                <w:sz w:val="21"/>
                <w:szCs w:val="21"/>
                <w:color w:val="auto"/>
              </w:rPr>
            </w:pPr>
          </w:p>
        </w:tc>
      </w:tr>
      <w:tr>
        <w:trPr>
          <w:trHeight w:val="264"/>
        </w:trPr>
        <w:tc>
          <w:tcPr>
            <w:tcW w:w="5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50"/>
        </w:trPr>
        <w:tc>
          <w:tcPr>
            <w:tcW w:w="5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rPr>
              <w:t>(In thousands)</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15,559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4,777</w:t>
            </w:r>
          </w:p>
        </w:tc>
      </w:tr>
      <w:tr>
        <w:trPr>
          <w:trHeight w:val="263"/>
        </w:trPr>
        <w:tc>
          <w:tcPr>
            <w:tcW w:w="5740" w:type="dxa"/>
            <w:vAlign w:val="bottom"/>
          </w:tcPr>
          <w:p>
            <w:pPr>
              <w:ind w:left="40"/>
              <w:spacing w:after="0"/>
              <w:rPr>
                <w:sz w:val="20"/>
                <w:szCs w:val="20"/>
                <w:color w:val="auto"/>
              </w:rPr>
            </w:pPr>
            <w:r>
              <w:rPr>
                <w:rFonts w:ascii="Arial" w:cs="Arial" w:eastAsia="Arial" w:hAnsi="Arial"/>
                <w:sz w:val="18"/>
                <w:szCs w:val="18"/>
                <w:color w:val="auto"/>
              </w:rPr>
              <w:t>Furniture, fixtures, equipment and other</w:t>
            </w:r>
          </w:p>
        </w:tc>
        <w:tc>
          <w:tcPr>
            <w:tcW w:w="380" w:type="dxa"/>
            <w:vAlign w:val="bottom"/>
          </w:tcPr>
          <w:p>
            <w:pPr>
              <w:spacing w:after="0"/>
              <w:rPr>
                <w:sz w:val="22"/>
                <w:szCs w:val="22"/>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80,301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68,184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57,952</w:t>
            </w:r>
          </w:p>
        </w:tc>
      </w:tr>
      <w:tr>
        <w:trPr>
          <w:trHeight w:val="27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rental equipment</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174,749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146,562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114,568</w:t>
            </w:r>
          </w:p>
        </w:tc>
      </w:tr>
      <w:tr>
        <w:trPr>
          <w:trHeight w:val="264"/>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Satellites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248,688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224,738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191,729</w:t>
            </w: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depreciation expense</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513,764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455,043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369,026</w:t>
            </w:r>
          </w:p>
        </w:tc>
      </w:tr>
      <w:tr>
        <w:trPr>
          <w:trHeight w:val="20"/>
        </w:trPr>
        <w:tc>
          <w:tcPr>
            <w:tcW w:w="5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Satellites depreciation expense includes amortization of satellites under capital lease agreements of $76 million, $66 million and $56 million for the years ended December 31, 2018, 2017 and 2016,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2018, our satellite fleet consisted of 15 satellites, 10 of which are owned and five of which are leased. They are all in geosynchronous orbit, approximately 22,300 miles above the equator. We depreciate our owned satellites on a straight-line basis over the estimated useful life of each satellite. We depreciate our leased satellites on a straight-line basis over their respective lease terms.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40"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Our operating satellite fleet consists of both owned and leased satellites detailed in the table below as of December 31,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Nominal Degree</w:t>
            </w:r>
          </w:p>
        </w:tc>
        <w:tc>
          <w:tcPr>
            <w:tcW w:w="18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Orbital Locations</w:t>
            </w:r>
          </w:p>
        </w:tc>
        <w:tc>
          <w:tcPr>
            <w:tcW w:w="18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Depreciable Life</w:t>
            </w:r>
          </w:p>
        </w:tc>
      </w:tr>
      <w:tr>
        <w:trPr>
          <w:trHeight w:val="246"/>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Satellites</w:t>
            </w:r>
          </w:p>
        </w:tc>
        <w:tc>
          <w:tcPr>
            <w:tcW w:w="120" w:type="dxa"/>
            <w:vAlign w:val="bottom"/>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Segment</w:t>
            </w:r>
          </w:p>
        </w:tc>
        <w:tc>
          <w:tcPr>
            <w:tcW w:w="12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Launch Date</w:t>
            </w:r>
          </w:p>
        </w:tc>
        <w:tc>
          <w:tcPr>
            <w:tcW w:w="120" w:type="dxa"/>
            <w:vAlign w:val="bottom"/>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(West Longitude)</w:t>
            </w:r>
          </w:p>
        </w:tc>
        <w:tc>
          <w:tcPr>
            <w:tcW w:w="12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 Years)</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Owned:</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SPACEWAY 3 (1)</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2007</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95</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r>
      <w:tr>
        <w:trPr>
          <w:trHeight w:val="26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EchoStar XVII</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2012</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107</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77"/>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EchoStar XIX (6)</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December 2016</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97.1</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6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EchoStar VII (2)(3)(4)</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February 2002</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119</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77"/>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EchoStar IX (2)(4)</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August 2003</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121</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w:t>
            </w:r>
          </w:p>
        </w:tc>
      </w:tr>
      <w:tr>
        <w:trPr>
          <w:trHeight w:val="26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EchoStar X (2)(3)</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February 2006</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110</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77"/>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EchoStar XI (2)(3)</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July 2008</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110</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r>
      <w:tr>
        <w:trPr>
          <w:trHeight w:val="26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EchoStar XII (2)(4)(5)</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2003</w:t>
            </w:r>
          </w:p>
        </w:tc>
        <w:tc>
          <w:tcPr>
            <w:tcW w:w="1920" w:type="dxa"/>
            <w:vAlign w:val="bottom"/>
          </w:tcPr>
          <w:p>
            <w:pPr>
              <w:jc w:val="center"/>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77"/>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EchoStar XIV (2)(3)</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2010</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119</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11</w:t>
            </w:r>
          </w:p>
        </w:tc>
      </w:tr>
      <w:tr>
        <w:trPr>
          <w:trHeight w:val="26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EchoStar XVI (2)</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November 2012</w:t>
            </w:r>
          </w:p>
        </w:tc>
        <w:tc>
          <w:tcPr>
            <w:tcW w:w="1920" w:type="dxa"/>
            <w:vAlign w:val="bottom"/>
          </w:tcPr>
          <w:p>
            <w:pPr>
              <w:jc w:val="center"/>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90"/>
        </w:trPr>
        <w:tc>
          <w:tcPr>
            <w:tcW w:w="3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b w:val="1"/>
                <w:bCs w:val="1"/>
                <w:color w:val="auto"/>
              </w:rPr>
              <w:t>Capital Leases:</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Eutelsat 65 West A</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Hughes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March 2016</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65</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6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Telesat T19V</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Hughes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July 2018</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77"/>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Nimiq 5 (2)</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September 2009</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72.7</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r>
        <w:trPr>
          <w:trHeight w:val="26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QuetzSat-1 (2)</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ESS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September 2011</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77</w:t>
            </w:r>
          </w:p>
        </w:tc>
        <w:tc>
          <w:tcPr>
            <w:tcW w:w="120" w:type="dxa"/>
            <w:vAlign w:val="bottom"/>
          </w:tcPr>
          <w:p>
            <w:pPr>
              <w:spacing w:after="0"/>
              <w:rPr>
                <w:sz w:val="22"/>
                <w:szCs w:val="22"/>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77"/>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EchoStar 105/SES-11</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ESS</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October 2017</w:t>
            </w: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105</w:t>
            </w:r>
          </w:p>
        </w:tc>
        <w:tc>
          <w:tcPr>
            <w:tcW w:w="120" w:type="dxa"/>
            <w:vAlign w:val="bottom"/>
            <w:shd w:val="clear" w:color="auto" w:fill="CCEEFF"/>
          </w:tcPr>
          <w:p>
            <w:pPr>
              <w:spacing w:after="0"/>
              <w:rPr>
                <w:sz w:val="24"/>
                <w:szCs w:val="2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w:t>
            </w:r>
          </w:p>
        </w:tc>
      </w:tr>
    </w:tbl>
    <w:p>
      <w:pPr>
        <w:spacing w:after="0" w:line="5" w:lineRule="exact"/>
        <w:rPr>
          <w:sz w:val="20"/>
          <w:szCs w:val="20"/>
          <w:color w:val="auto"/>
        </w:rPr>
      </w:pPr>
    </w:p>
    <w:p>
      <w:pPr>
        <w:ind w:left="340" w:right="20" w:hanging="332"/>
        <w:spacing w:after="0" w:line="24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8, 2011, the date EchoStar completed its acquisition of Hughes Communications, Inc. and its subsidiaries (the “Hughes Acquisition”).</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See Note 16 for discussion of related party transactions with DISH Network.</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March 1, 2014, the effective date of our receipt of the satellites from DISH Network as part of the Satellite and Tracking Stock Transaction (See Note 16).</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Fully depreciated assets as of December 31, 2018.</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Depreciable life represents the remaining useful life as of June 30, 2013, the date the EchoStar XII satellite was impaired.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EchoStar contributed the EchoStar XIX satellite to us in February 2017.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EchoStar I and EchoStar VI. </w:t>
      </w:r>
      <w:r>
        <w:rPr>
          <w:rFonts w:ascii="Arial" w:cs="Arial" w:eastAsia="Arial" w:hAnsi="Arial"/>
          <w:sz w:val="18"/>
          <w:szCs w:val="18"/>
          <w:color w:val="auto"/>
        </w:rPr>
        <w:t>The EchoStar I and EchoStar VI satellites were removed from their orbital locations and retired from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in January 2018 and May 2018, respectively. The retirement of these satellites has not had, and is not expected to have, a material impact on our results of operations or financial position.</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EchoStar 105/SES-11. </w:t>
      </w:r>
      <w:r>
        <w:rPr>
          <w:rFonts w:ascii="Arial" w:cs="Arial" w:eastAsia="Arial" w:hAnsi="Arial"/>
          <w:sz w:val="18"/>
          <w:szCs w:val="18"/>
          <w:color w:val="auto"/>
        </w:rPr>
        <w:t>The EchoStar 105/SES-11 satellite was launched in October 2017 and was placed into service in November 2017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105 degree west longitude orbital location. Pursuant to agreements that we entered into in August 2014, we funded substantially all construction, launch and other costs associated with the EchoStar 105/SES-11 satellite and transferred the C-, Ku - and Ka-band payloads to two affiliates of SES Americom, Inc. (“SES”) after the launch date, while retaining the right to use the entire Ku-band payload on the satellite for an initial ten-year term, with an option for us to renew the agreement on a year-to-year basis. In October 2017, we recorded a $77 million receivable from SES 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in the Consolidated Balance Sheets, representing capitalized costs allocable to certain satellite payloads controlled by SES, and we reduced our carrying amount of the satellite by such amount. In January 2018, we received payment from SES for the receivable plus accrued interest. Our leased Ku-band payload on the EchoStar 105/SES-11 satellite has replaced the capacity we had on the AMC-15 satellite.</w:t>
      </w:r>
    </w:p>
    <w:p>
      <w:pPr>
        <w:spacing w:after="0" w:line="18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 xml:space="preserve">Telesat T19V. </w:t>
      </w:r>
      <w:r>
        <w:rPr>
          <w:rFonts w:ascii="Arial" w:cs="Arial" w:eastAsia="Arial" w:hAnsi="Arial"/>
          <w:sz w:val="18"/>
          <w:szCs w:val="18"/>
          <w:color w:val="auto"/>
        </w:rPr>
        <w:t>In September 2015, we entered into agreements pursuant to which affiliates of Telesat Canada will provide to us Ka-band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capacity on the Telesat T19V satellite at the 63 degree west longitude orbital location for a 15-year term. The Telesat T19V satellite was launched in July 2018 and placed into service in October 2018. This satellite augments the capacity being provided by the EUTELSAT 65 West A and EchoStar XIX satellites in Central and South America.</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40"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 and Impairments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year ended December 31, 2018. There can be no assurance, however, that anomalies will not have any such adverse effects in the future. In addition, there can be no assurance that we can recover critical transmission capacity in the event one or more of our satellites were to fail.</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EchoStar X satellite experienced anomalies in the past which affected seven solar array circuits. In December 2017, the satellite experienced anomalies which affected one additional solar array circuit reducing the number of functional solar array circuits to 16. As a result of these anomalies, we had a reduction in revenue of $4 million for the year ended December 31, 2018</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Our other satellites, either in orbit or under construction, are not covered by launch or in-orbit insurance. We will continue to assess circumstances going forward and make insurance decisions on a case-by-case basis.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8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GOODWILL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2018 and 2017, all of our goodwill was assigned to reporting units of our Hughes segment. We test this goodwill for impairment annually in the second quarter. Based on our impairment testing in the second quarter of 2018, our goodwill is considered to be not impaired.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40"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9"/>
              </w:rPr>
              <w:t>Weighted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6"/>
                <w:szCs w:val="16"/>
                <w:b w:val="1"/>
                <w:bCs w:val="1"/>
                <w:color w:val="auto"/>
              </w:rPr>
              <w:t>As of December 31,</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4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420" w:type="dxa"/>
            <w:vAlign w:val="bottom"/>
          </w:tcPr>
          <w:p>
            <w:pPr>
              <w:spacing w:after="0"/>
              <w:rPr>
                <w:sz w:val="14"/>
                <w:szCs w:val="14"/>
                <w:color w:val="auto"/>
              </w:rPr>
            </w:pPr>
          </w:p>
        </w:tc>
        <w:tc>
          <w:tcPr>
            <w:tcW w:w="1380" w:type="dxa"/>
            <w:vAlign w:val="bottom"/>
            <w:gridSpan w:val="2"/>
          </w:tcPr>
          <w:p>
            <w:pPr>
              <w:jc w:val="center"/>
              <w:ind w:right="140"/>
              <w:spacing w:after="0" w:line="147" w:lineRule="exact"/>
              <w:rPr>
                <w:sz w:val="20"/>
                <w:szCs w:val="20"/>
                <w:color w:val="auto"/>
              </w:rPr>
            </w:pPr>
            <w:r>
              <w:rPr>
                <w:rFonts w:ascii="Arial" w:cs="Arial" w:eastAsia="Arial" w:hAnsi="Arial"/>
                <w:sz w:val="16"/>
                <w:szCs w:val="16"/>
                <w:b w:val="1"/>
                <w:bCs w:val="1"/>
                <w:color w:val="auto"/>
              </w:rPr>
              <w:t>Average</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420" w:type="dxa"/>
            <w:vAlign w:val="bottom"/>
          </w:tcPr>
          <w:p>
            <w:pPr>
              <w:spacing w:after="0"/>
              <w:rPr>
                <w:sz w:val="16"/>
                <w:szCs w:val="16"/>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Useful Life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(in Years)</w:t>
            </w:r>
          </w:p>
        </w:tc>
        <w:tc>
          <w:tcPr>
            <w:tcW w:w="22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9"/>
                <w:szCs w:val="19"/>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9"/>
                <w:szCs w:val="19"/>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5"/>
          </w:tcPr>
          <w:p>
            <w:pPr>
              <w:jc w:val="center"/>
              <w:ind w:right="260"/>
              <w:spacing w:after="0"/>
              <w:rPr>
                <w:sz w:val="20"/>
                <w:szCs w:val="20"/>
                <w:color w:val="auto"/>
              </w:rPr>
            </w:pPr>
            <w:r>
              <w:rPr>
                <w:rFonts w:ascii="Arial" w:cs="Arial" w:eastAsia="Arial" w:hAnsi="Arial"/>
                <w:sz w:val="16"/>
                <w:szCs w:val="16"/>
                <w:color w:val="auto"/>
              </w:rPr>
              <w:t>(In thousands)</w:t>
            </w: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270,300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(244,787)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25,513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270,300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38,658</w:t>
            </w:r>
          </w:p>
        </w:tc>
        <w:tc>
          <w:tcPr>
            <w:tcW w:w="0" w:type="dxa"/>
            <w:vAlign w:val="bottom"/>
          </w:tcPr>
          <w:p>
            <w:pPr>
              <w:spacing w:after="0"/>
              <w:rPr>
                <w:sz w:val="1"/>
                <w:szCs w:val="1"/>
                <w:color w:val="auto"/>
              </w:rPr>
            </w:pPr>
          </w:p>
        </w:tc>
      </w:tr>
      <w:tr>
        <w:trPr>
          <w:trHeight w:val="260"/>
        </w:trPr>
        <w:tc>
          <w:tcPr>
            <w:tcW w:w="2420" w:type="dxa"/>
            <w:vAlign w:val="bottom"/>
          </w:tcPr>
          <w:p>
            <w:pPr>
              <w:ind w:left="20"/>
              <w:spacing w:after="0"/>
              <w:rPr>
                <w:sz w:val="20"/>
                <w:szCs w:val="20"/>
                <w:color w:val="auto"/>
              </w:rPr>
            </w:pPr>
            <w:r>
              <w:rPr>
                <w:rFonts w:ascii="Arial" w:cs="Arial" w:eastAsia="Arial" w:hAnsi="Arial"/>
                <w:sz w:val="16"/>
                <w:szCs w:val="16"/>
                <w:color w:val="auto"/>
              </w:rPr>
              <w:t>Technology-based</w:t>
            </w:r>
          </w:p>
        </w:tc>
        <w:tc>
          <w:tcPr>
            <w:tcW w:w="1240" w:type="dxa"/>
            <w:vAlign w:val="bottom"/>
          </w:tcPr>
          <w:p>
            <w:pPr>
              <w:jc w:val="center"/>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51,417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(51,417)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Trademark portfolio</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29,700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(11,261)</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18,439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29,700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19,924</w:t>
            </w:r>
          </w:p>
        </w:tc>
        <w:tc>
          <w:tcPr>
            <w:tcW w:w="0" w:type="dxa"/>
            <w:vAlign w:val="bottom"/>
          </w:tcPr>
          <w:p>
            <w:pPr>
              <w:spacing w:after="0"/>
              <w:rPr>
                <w:sz w:val="1"/>
                <w:szCs w:val="1"/>
                <w:color w:val="auto"/>
              </w:rPr>
            </w:pPr>
          </w:p>
        </w:tc>
      </w:tr>
      <w:tr>
        <w:trPr>
          <w:trHeight w:val="198"/>
        </w:trPr>
        <w:tc>
          <w:tcPr>
            <w:tcW w:w="2420" w:type="dxa"/>
            <w:vAlign w:val="bottom"/>
          </w:tcPr>
          <w:p>
            <w:pPr>
              <w:ind w:left="380"/>
              <w:spacing w:after="0"/>
              <w:rPr>
                <w:sz w:val="20"/>
                <w:szCs w:val="20"/>
                <w:color w:val="auto"/>
              </w:rPr>
            </w:pPr>
            <w:r>
              <w:rPr>
                <w:rFonts w:ascii="Arial" w:cs="Arial" w:eastAsia="Arial" w:hAnsi="Arial"/>
                <w:sz w:val="16"/>
                <w:szCs w:val="16"/>
                <w:color w:val="auto"/>
              </w:rPr>
              <w:t>Total other intangible</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351,400</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(307,448)</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43,952</w:t>
            </w:r>
          </w:p>
        </w:tc>
        <w:tc>
          <w:tcPr>
            <w:tcW w:w="100" w:type="dxa"/>
            <w:vAlign w:val="bottom"/>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351,417</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(292,835)</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58,582</w:t>
            </w:r>
          </w:p>
        </w:tc>
        <w:tc>
          <w:tcPr>
            <w:tcW w:w="0" w:type="dxa"/>
            <w:vAlign w:val="bottom"/>
          </w:tcPr>
          <w:p>
            <w:pPr>
              <w:spacing w:after="0"/>
              <w:rPr>
                <w:sz w:val="1"/>
                <w:szCs w:val="1"/>
                <w:color w:val="auto"/>
              </w:rPr>
            </w:pPr>
          </w:p>
        </w:tc>
      </w:tr>
      <w:tr>
        <w:trPr>
          <w:trHeight w:val="203"/>
        </w:trPr>
        <w:tc>
          <w:tcPr>
            <w:tcW w:w="2420" w:type="dxa"/>
            <w:vAlign w:val="bottom"/>
          </w:tcPr>
          <w:p>
            <w:pPr>
              <w:ind w:left="380"/>
              <w:spacing w:after="0"/>
              <w:rPr>
                <w:sz w:val="20"/>
                <w:szCs w:val="20"/>
                <w:color w:val="auto"/>
              </w:rPr>
            </w:pPr>
            <w:r>
              <w:rPr>
                <w:rFonts w:ascii="Arial" w:cs="Arial" w:eastAsia="Arial" w:hAnsi="Arial"/>
                <w:sz w:val="16"/>
                <w:szCs w:val="16"/>
                <w:color w:val="auto"/>
              </w:rPr>
              <w:t>assets</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Intangible asset amortization expense, including amortization of externally marketed capitalized software, was $38 million, $42 million and $45 million for the years ended December 31, 2018, 2017 and 2016,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Amortization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our estimated future amortization of intangible assets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0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r>
      <w:tr>
        <w:trPr>
          <w:trHeight w:val="250"/>
        </w:trPr>
        <w:tc>
          <w:tcPr>
            <w:tcW w:w="320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(In thousands)</w:t>
            </w:r>
          </w:p>
        </w:tc>
      </w:tr>
      <w:tr>
        <w:trPr>
          <w:trHeight w:val="263"/>
        </w:trPr>
        <w:tc>
          <w:tcPr>
            <w:tcW w:w="3200" w:type="dxa"/>
            <w:vAlign w:val="bottom"/>
            <w:shd w:val="clear" w:color="auto" w:fill="CCEEFF"/>
          </w:tcPr>
          <w:p>
            <w:pPr>
              <w:spacing w:after="0"/>
              <w:rPr>
                <w:sz w:val="22"/>
                <w:szCs w:val="22"/>
                <w:color w:val="auto"/>
              </w:rPr>
            </w:pPr>
          </w:p>
        </w:tc>
        <w:tc>
          <w:tcPr>
            <w:tcW w:w="61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For the years ending December 31,</w:t>
            </w:r>
          </w:p>
        </w:tc>
        <w:tc>
          <w:tcPr>
            <w:tcW w:w="1620" w:type="dxa"/>
            <w:vAlign w:val="bottom"/>
            <w:shd w:val="clear" w:color="auto" w:fill="CCEEFF"/>
          </w:tcPr>
          <w:p>
            <w:pPr>
              <w:spacing w:after="0"/>
              <w:rPr>
                <w:sz w:val="22"/>
                <w:szCs w:val="22"/>
                <w:color w:val="auto"/>
              </w:rPr>
            </w:pPr>
          </w:p>
        </w:tc>
      </w:tr>
      <w:tr>
        <w:trPr>
          <w:trHeight w:val="250"/>
        </w:trPr>
        <w:tc>
          <w:tcPr>
            <w:tcW w:w="3200" w:type="dxa"/>
            <w:vAlign w:val="bottom"/>
          </w:tcPr>
          <w:p>
            <w:pPr>
              <w:ind w:left="40"/>
              <w:spacing w:after="0"/>
              <w:rPr>
                <w:sz w:val="20"/>
                <w:szCs w:val="20"/>
                <w:color w:val="auto"/>
              </w:rPr>
            </w:pPr>
            <w:r>
              <w:rPr>
                <w:rFonts w:ascii="Arial" w:cs="Arial" w:eastAsia="Arial" w:hAnsi="Arial"/>
                <w:sz w:val="18"/>
                <w:szCs w:val="18"/>
                <w:color w:val="auto"/>
              </w:rPr>
              <w:t>2019</w:t>
            </w:r>
          </w:p>
        </w:tc>
        <w:tc>
          <w:tcPr>
            <w:tcW w:w="61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14,631</w:t>
            </w:r>
          </w:p>
        </w:tc>
      </w:tr>
      <w:tr>
        <w:trPr>
          <w:trHeight w:val="26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10,981</w:t>
            </w:r>
          </w:p>
        </w:tc>
      </w:tr>
      <w:tr>
        <w:trPr>
          <w:trHeight w:val="250"/>
        </w:trPr>
        <w:tc>
          <w:tcPr>
            <w:tcW w:w="3200" w:type="dxa"/>
            <w:vAlign w:val="bottom"/>
          </w:tcPr>
          <w:p>
            <w:pPr>
              <w:ind w:left="40"/>
              <w:spacing w:after="0"/>
              <w:rPr>
                <w:sz w:val="20"/>
                <w:szCs w:val="20"/>
                <w:color w:val="auto"/>
              </w:rPr>
            </w:pPr>
            <w:r>
              <w:rPr>
                <w:rFonts w:ascii="Arial" w:cs="Arial" w:eastAsia="Arial" w:hAnsi="Arial"/>
                <w:sz w:val="18"/>
                <w:szCs w:val="18"/>
                <w:color w:val="auto"/>
              </w:rPr>
              <w:t>2021</w:t>
            </w:r>
          </w:p>
        </w:tc>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4,356</w:t>
            </w:r>
          </w:p>
        </w:tc>
      </w:tr>
      <w:tr>
        <w:trPr>
          <w:trHeight w:val="26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8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r>
      <w:tr>
        <w:trPr>
          <w:trHeight w:val="250"/>
        </w:trPr>
        <w:tc>
          <w:tcPr>
            <w:tcW w:w="3200" w:type="dxa"/>
            <w:vAlign w:val="bottom"/>
          </w:tcPr>
          <w:p>
            <w:pPr>
              <w:ind w:left="40"/>
              <w:spacing w:after="0"/>
              <w:rPr>
                <w:sz w:val="20"/>
                <w:szCs w:val="20"/>
                <w:color w:val="auto"/>
              </w:rPr>
            </w:pPr>
            <w:r>
              <w:rPr>
                <w:rFonts w:ascii="Arial" w:cs="Arial" w:eastAsia="Arial" w:hAnsi="Arial"/>
                <w:sz w:val="18"/>
                <w:szCs w:val="18"/>
                <w:color w:val="auto"/>
              </w:rPr>
              <w:t>2023</w:t>
            </w:r>
          </w:p>
        </w:tc>
        <w:tc>
          <w:tcPr>
            <w:tcW w:w="5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1,485</w:t>
            </w:r>
          </w:p>
        </w:tc>
      </w:tr>
      <w:tr>
        <w:trPr>
          <w:trHeight w:val="263"/>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8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11,014</w:t>
            </w:r>
          </w:p>
        </w:tc>
      </w:tr>
      <w:tr>
        <w:trPr>
          <w:trHeight w:val="244"/>
        </w:trPr>
        <w:tc>
          <w:tcPr>
            <w:tcW w:w="3200" w:type="dxa"/>
            <w:vAlign w:val="bottom"/>
          </w:tcPr>
          <w:p>
            <w:pPr>
              <w:ind w:left="180"/>
              <w:spacing w:after="0"/>
              <w:rPr>
                <w:sz w:val="20"/>
                <w:szCs w:val="20"/>
                <w:color w:val="auto"/>
              </w:rPr>
            </w:pPr>
            <w:r>
              <w:rPr>
                <w:rFonts w:ascii="Arial" w:cs="Arial" w:eastAsia="Arial" w:hAnsi="Arial"/>
                <w:sz w:val="18"/>
                <w:szCs w:val="18"/>
                <w:color w:val="auto"/>
              </w:rPr>
              <w:t>Total</w:t>
            </w:r>
          </w:p>
        </w:tc>
        <w:tc>
          <w:tcPr>
            <w:tcW w:w="588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43,952</w:t>
            </w:r>
          </w:p>
        </w:tc>
      </w:tr>
      <w:tr>
        <w:trPr>
          <w:trHeight w:val="20"/>
        </w:trPr>
        <w:tc>
          <w:tcPr>
            <w:tcW w:w="32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878"/>
        </w:trPr>
        <w:tc>
          <w:tcPr>
            <w:tcW w:w="3200" w:type="dxa"/>
            <w:vAlign w:val="bottom"/>
          </w:tcPr>
          <w:p>
            <w:pPr>
              <w:spacing w:after="0"/>
              <w:rPr>
                <w:sz w:val="24"/>
                <w:szCs w:val="24"/>
                <w:color w:val="auto"/>
              </w:rPr>
            </w:pPr>
          </w:p>
        </w:tc>
        <w:tc>
          <w:tcPr>
            <w:tcW w:w="6120" w:type="dxa"/>
            <w:vAlign w:val="bottom"/>
            <w:gridSpan w:val="2"/>
          </w:tcPr>
          <w:p>
            <w:pPr>
              <w:jc w:val="right"/>
              <w:ind w:right="3330"/>
              <w:spacing w:after="0"/>
              <w:rPr>
                <w:sz w:val="20"/>
                <w:szCs w:val="20"/>
                <w:color w:val="auto"/>
              </w:rPr>
            </w:pPr>
            <w:r>
              <w:rPr>
                <w:rFonts w:ascii="Arial" w:cs="Arial" w:eastAsia="Arial" w:hAnsi="Arial"/>
                <w:sz w:val="18"/>
                <w:szCs w:val="18"/>
                <w:color w:val="auto"/>
              </w:rPr>
              <w:t>F-28</w:t>
            </w:r>
          </w:p>
        </w:tc>
        <w:tc>
          <w:tcPr>
            <w:tcW w:w="162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INVESTMENTS IN UNCONSOLIDATED ENTITIES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strategic investments in certain non-publicly traded equity securities that do not have a readily determinable fair value. We account for most of these investments using the equity method. We accounted for other investments in such equity securities using the cost method of accounting prior to January 1, 2018. In connection with our adoption of the New Investment Standard effective January 1, 2018 (see Note 2), we elected to measure our equity securities without a readily determinable fair value, other than those accounted for using the equity method, at cost adjusted for changes resulting from impairments, if any, and observable price changes in orderly transactions for the identical or similar securities of the same issuer. For the year ended December 31, 2018, we did not identify any observable price changes requiring an adjustment to our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in unconsolidated entities consisted of the following:</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668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420" w:type="dxa"/>
            <w:vAlign w:val="bottom"/>
            <w:tcBorders>
              <w:bottom w:val="single" w:sz="8" w:color="auto"/>
            </w:tcBorders>
          </w:tcPr>
          <w:p>
            <w:pPr>
              <w:spacing w:after="0"/>
              <w:rPr>
                <w:sz w:val="21"/>
                <w:szCs w:val="21"/>
                <w:color w:val="auto"/>
              </w:rPr>
            </w:pPr>
          </w:p>
        </w:tc>
      </w:tr>
      <w:tr>
        <w:trPr>
          <w:trHeight w:val="264"/>
        </w:trPr>
        <w:tc>
          <w:tcPr>
            <w:tcW w:w="6680" w:type="dxa"/>
            <w:vAlign w:val="bottom"/>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2017</w:t>
            </w:r>
          </w:p>
        </w:tc>
      </w:tr>
      <w:tr>
        <w:trPr>
          <w:trHeight w:val="250"/>
        </w:trPr>
        <w:tc>
          <w:tcPr>
            <w:tcW w:w="66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40" w:type="dxa"/>
            <w:vAlign w:val="bottom"/>
            <w:gridSpan w:val="3"/>
          </w:tcPr>
          <w:p>
            <w:pPr>
              <w:jc w:val="right"/>
              <w:ind w:right="250"/>
              <w:spacing w:after="0"/>
              <w:rPr>
                <w:sz w:val="20"/>
                <w:szCs w:val="20"/>
                <w:color w:val="auto"/>
              </w:rPr>
            </w:pPr>
            <w:r>
              <w:rPr>
                <w:rFonts w:ascii="Arial" w:cs="Arial" w:eastAsia="Arial" w:hAnsi="Arial"/>
                <w:sz w:val="18"/>
                <w:szCs w:val="18"/>
                <w:color w:val="auto"/>
              </w:rPr>
              <w:t>(In thousands)</w:t>
            </w:r>
          </w:p>
        </w:tc>
        <w:tc>
          <w:tcPr>
            <w:tcW w:w="1420" w:type="dxa"/>
            <w:vAlign w:val="bottom"/>
          </w:tcPr>
          <w:p>
            <w:pPr>
              <w:spacing w:after="0"/>
              <w:rPr>
                <w:sz w:val="21"/>
                <w:szCs w:val="21"/>
                <w:color w:val="auto"/>
              </w:rPr>
            </w:pPr>
          </w:p>
        </w:tc>
      </w:tr>
      <w:tr>
        <w:trPr>
          <w:trHeight w:val="257"/>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in unconsolidated entities:</w:t>
            </w:r>
          </w:p>
        </w:tc>
        <w:tc>
          <w:tcPr>
            <w:tcW w:w="14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63"/>
        </w:trPr>
        <w:tc>
          <w:tcPr>
            <w:tcW w:w="6680" w:type="dxa"/>
            <w:vAlign w:val="bottom"/>
          </w:tcPr>
          <w:p>
            <w:pPr>
              <w:ind w:left="20"/>
              <w:spacing w:after="0"/>
              <w:rPr>
                <w:sz w:val="20"/>
                <w:szCs w:val="20"/>
                <w:color w:val="auto"/>
              </w:rPr>
            </w:pPr>
            <w:r>
              <w:rPr>
                <w:rFonts w:ascii="Arial" w:cs="Arial" w:eastAsia="Arial" w:hAnsi="Arial"/>
                <w:sz w:val="18"/>
                <w:szCs w:val="18"/>
                <w:color w:val="auto"/>
              </w:rPr>
              <w:t>Equity method</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110,931</w:t>
            </w:r>
          </w:p>
        </w:tc>
        <w:tc>
          <w:tcPr>
            <w:tcW w:w="120" w:type="dxa"/>
            <w:vAlign w:val="bottom"/>
          </w:tcPr>
          <w:p>
            <w:pPr>
              <w:spacing w:after="0"/>
              <w:rPr>
                <w:sz w:val="22"/>
                <w:szCs w:val="22"/>
                <w:color w:val="auto"/>
              </w:rPr>
            </w:pP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15,149</w:t>
            </w:r>
          </w:p>
        </w:tc>
      </w:tr>
      <w:tr>
        <w:trPr>
          <w:trHeight w:val="27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equity investments without a readily determinable fair value</w:t>
            </w:r>
          </w:p>
        </w:tc>
        <w:tc>
          <w:tcPr>
            <w:tcW w:w="142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15,438</w:t>
            </w:r>
          </w:p>
        </w:tc>
        <w:tc>
          <w:tcPr>
            <w:tcW w:w="120" w:type="dxa"/>
            <w:vAlign w:val="bottom"/>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15,438</w:t>
            </w:r>
          </w:p>
        </w:tc>
      </w:tr>
      <w:tr>
        <w:trPr>
          <w:trHeight w:val="244"/>
        </w:trPr>
        <w:tc>
          <w:tcPr>
            <w:tcW w:w="6680" w:type="dxa"/>
            <w:vAlign w:val="bottom"/>
          </w:tcPr>
          <w:p>
            <w:pPr>
              <w:ind w:left="160"/>
              <w:spacing w:after="0"/>
              <w:rPr>
                <w:sz w:val="20"/>
                <w:szCs w:val="20"/>
                <w:color w:val="auto"/>
              </w:rPr>
            </w:pPr>
            <w:r>
              <w:rPr>
                <w:rFonts w:ascii="Arial" w:cs="Arial" w:eastAsia="Arial" w:hAnsi="Arial"/>
                <w:sz w:val="18"/>
                <w:szCs w:val="18"/>
                <w:color w:val="auto"/>
              </w:rPr>
              <w:t>Total investments in unconsolidated entities</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126,369</w:t>
            </w:r>
          </w:p>
        </w:tc>
        <w:tc>
          <w:tcPr>
            <w:tcW w:w="120" w:type="dxa"/>
            <w:vAlign w:val="bottom"/>
          </w:tcPr>
          <w:p>
            <w:pPr>
              <w:spacing w:after="0"/>
              <w:rPr>
                <w:sz w:val="21"/>
                <w:szCs w:val="21"/>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30,587</w:t>
            </w:r>
          </w:p>
        </w:tc>
      </w:tr>
      <w:tr>
        <w:trPr>
          <w:trHeight w:val="20"/>
        </w:trPr>
        <w:tc>
          <w:tcPr>
            <w:tcW w:w="66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cash distributions from our investments accounted for using the equity method of $10 million, $19 million and $10 million for the years ended December 31, 2018, 2017 and 2016, respectively. These cash distributions were determined to be a return on investment and reported in cash flows from operating activities in our consolidated statements of cash flows.</w:t>
      </w:r>
    </w:p>
    <w:p>
      <w:pPr>
        <w:spacing w:after="0" w:line="39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LONG-TERM DEBT AND CAPITAL LEASE OBLIGATIONS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2018, our debt primarily consisted of the 2019 Senior Secured Notes, the 2021 Senior Unsecured Notes, the 2026 Senior Secured Notes and the 2026 Senior Unsecured Notes, each as defined below, and our capital lease obligations.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long-term debt and capital lease obligations: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As of December 31,</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64"/>
        </w:trPr>
        <w:tc>
          <w:tcPr>
            <w:tcW w:w="4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auto"/>
            </w:tcBorders>
          </w:tcPr>
          <w:p>
            <w:pPr>
              <w:spacing w:after="0"/>
              <w:rPr>
                <w:sz w:val="22"/>
                <w:szCs w:val="22"/>
                <w:color w:val="auto"/>
              </w:rPr>
            </w:pPr>
          </w:p>
        </w:tc>
      </w:tr>
      <w:tr>
        <w:trPr>
          <w:trHeight w:val="207"/>
        </w:trPr>
        <w:tc>
          <w:tcPr>
            <w:tcW w:w="4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Effective</w:t>
            </w:r>
          </w:p>
        </w:tc>
        <w:tc>
          <w:tcPr>
            <w:tcW w:w="200" w:type="dxa"/>
            <w:vAlign w:val="bottom"/>
          </w:tcPr>
          <w:p>
            <w:pPr>
              <w:spacing w:after="0"/>
              <w:rPr>
                <w:sz w:val="17"/>
                <w:szCs w:val="17"/>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7"/>
                <w:szCs w:val="17"/>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46"/>
        </w:trPr>
        <w:tc>
          <w:tcPr>
            <w:tcW w:w="4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Interest Rate</w:t>
            </w:r>
          </w:p>
        </w:tc>
        <w:tc>
          <w:tcPr>
            <w:tcW w:w="200" w:type="dxa"/>
            <w:vAlign w:val="bottom"/>
          </w:tcPr>
          <w:p>
            <w:pPr>
              <w:spacing w:after="0"/>
              <w:rPr>
                <w:sz w:val="21"/>
                <w:szCs w:val="21"/>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Value</w:t>
            </w:r>
          </w:p>
        </w:tc>
        <w:tc>
          <w:tcPr>
            <w:tcW w:w="180" w:type="dxa"/>
            <w:vAlign w:val="bottom"/>
          </w:tcPr>
          <w:p>
            <w:pPr>
              <w:spacing w:after="0"/>
              <w:rPr>
                <w:sz w:val="21"/>
                <w:szCs w:val="21"/>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Value</w:t>
            </w:r>
          </w:p>
        </w:tc>
      </w:tr>
      <w:tr>
        <w:trPr>
          <w:trHeight w:val="263"/>
        </w:trPr>
        <w:tc>
          <w:tcPr>
            <w:tcW w:w="40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(In thousands)</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57"/>
        </w:trPr>
        <w:tc>
          <w:tcPr>
            <w:tcW w:w="4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r>
      <w:tr>
        <w:trPr>
          <w:trHeight w:val="263"/>
        </w:trPr>
        <w:tc>
          <w:tcPr>
            <w:tcW w:w="400" w:type="dxa"/>
            <w:vAlign w:val="bottom"/>
          </w:tcPr>
          <w:p>
            <w:pPr>
              <w:ind w:left="280"/>
              <w:spacing w:after="0"/>
              <w:rPr>
                <w:sz w:val="20"/>
                <w:szCs w:val="20"/>
                <w:color w:val="auto"/>
              </w:rPr>
            </w:pPr>
            <w:r>
              <w:rPr>
                <w:rFonts w:ascii="Arial" w:cs="Arial" w:eastAsia="Arial" w:hAnsi="Arial"/>
                <w:sz w:val="18"/>
                <w:szCs w:val="18"/>
                <w:color w:val="auto"/>
                <w:w w:val="99"/>
              </w:rPr>
              <w:t>6</w:t>
            </w:r>
          </w:p>
        </w:tc>
        <w:tc>
          <w:tcPr>
            <w:tcW w:w="4260" w:type="dxa"/>
            <w:vAlign w:val="bottom"/>
          </w:tcPr>
          <w:p>
            <w:pPr>
              <w:ind w:left="20"/>
              <w:spacing w:after="0"/>
              <w:rPr>
                <w:sz w:val="20"/>
                <w:szCs w:val="20"/>
                <w:color w:val="auto"/>
              </w:rPr>
            </w:pPr>
            <w:r>
              <w:rPr>
                <w:rFonts w:ascii="Arial" w:cs="Arial" w:eastAsia="Arial" w:hAnsi="Arial"/>
                <w:sz w:val="18"/>
                <w:szCs w:val="18"/>
                <w:color w:val="auto"/>
              </w:rPr>
              <w:t>1/2% Senior Secured Notes due 2019</w:t>
            </w:r>
          </w:p>
        </w:tc>
        <w:tc>
          <w:tcPr>
            <w:tcW w:w="1240" w:type="dxa"/>
            <w:vAlign w:val="bottom"/>
          </w:tcPr>
          <w:p>
            <w:pPr>
              <w:jc w:val="center"/>
              <w:spacing w:after="0"/>
              <w:rPr>
                <w:sz w:val="20"/>
                <w:szCs w:val="20"/>
                <w:color w:val="auto"/>
              </w:rPr>
            </w:pPr>
            <w:r>
              <w:rPr>
                <w:rFonts w:ascii="Arial" w:cs="Arial" w:eastAsia="Arial" w:hAnsi="Arial"/>
                <w:sz w:val="18"/>
                <w:szCs w:val="18"/>
                <w:color w:val="auto"/>
              </w:rPr>
              <w:t>6.959%</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920,836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932,696</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990,000</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1,042,609</w:t>
            </w:r>
          </w:p>
        </w:tc>
      </w:tr>
      <w:tr>
        <w:trPr>
          <w:trHeight w:val="277"/>
        </w:trPr>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5</w:t>
            </w: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 Senior Secured Notes due 2026</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5.320%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695,865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769,305</w:t>
            </w:r>
          </w:p>
        </w:tc>
      </w:tr>
      <w:tr>
        <w:trPr>
          <w:trHeight w:val="243"/>
        </w:trPr>
        <w:tc>
          <w:tcPr>
            <w:tcW w:w="4660" w:type="dxa"/>
            <w:vAlign w:val="bottom"/>
            <w:gridSpan w:val="2"/>
          </w:tcPr>
          <w:p>
            <w:pPr>
              <w:ind w:left="40"/>
              <w:spacing w:after="0"/>
              <w:rPr>
                <w:sz w:val="20"/>
                <w:szCs w:val="20"/>
                <w:color w:val="auto"/>
              </w:rPr>
            </w:pPr>
            <w:r>
              <w:rPr>
                <w:rFonts w:ascii="Arial" w:cs="Arial" w:eastAsia="Arial" w:hAnsi="Arial"/>
                <w:sz w:val="18"/>
                <w:szCs w:val="18"/>
                <w:color w:val="auto"/>
              </w:rPr>
              <w:t>Senior Unsecured Notes: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7</w:t>
            </w: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2021</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934,902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992,745</w:t>
            </w:r>
          </w:p>
        </w:tc>
      </w:tr>
      <w:tr>
        <w:trPr>
          <w:trHeight w:val="263"/>
        </w:trPr>
        <w:tc>
          <w:tcPr>
            <w:tcW w:w="400" w:type="dxa"/>
            <w:vAlign w:val="bottom"/>
          </w:tcPr>
          <w:p>
            <w:pPr>
              <w:ind w:left="280"/>
              <w:spacing w:after="0"/>
              <w:rPr>
                <w:sz w:val="20"/>
                <w:szCs w:val="20"/>
                <w:color w:val="auto"/>
              </w:rPr>
            </w:pPr>
            <w:r>
              <w:rPr>
                <w:rFonts w:ascii="Arial" w:cs="Arial" w:eastAsia="Arial" w:hAnsi="Arial"/>
                <w:sz w:val="18"/>
                <w:szCs w:val="18"/>
                <w:color w:val="auto"/>
                <w:w w:val="99"/>
              </w:rPr>
              <w:t>6</w:t>
            </w:r>
          </w:p>
        </w:tc>
        <w:tc>
          <w:tcPr>
            <w:tcW w:w="4260" w:type="dxa"/>
            <w:vAlign w:val="bottom"/>
          </w:tcPr>
          <w:p>
            <w:pPr>
              <w:ind w:left="20"/>
              <w:spacing w:after="0"/>
              <w:rPr>
                <w:sz w:val="20"/>
                <w:szCs w:val="20"/>
                <w:color w:val="auto"/>
              </w:rPr>
            </w:pPr>
            <w:r>
              <w:rPr>
                <w:rFonts w:ascii="Arial" w:cs="Arial" w:eastAsia="Arial" w:hAnsi="Arial"/>
                <w:sz w:val="18"/>
                <w:szCs w:val="18"/>
                <w:color w:val="auto"/>
              </w:rPr>
              <w:t>5/8% Senior Unsecured Notes due 2026</w:t>
            </w:r>
          </w:p>
        </w:tc>
        <w:tc>
          <w:tcPr>
            <w:tcW w:w="1240" w:type="dxa"/>
            <w:vAlign w:val="bottom"/>
          </w:tcPr>
          <w:p>
            <w:pPr>
              <w:jc w:val="center"/>
              <w:spacing w:after="0"/>
              <w:rPr>
                <w:sz w:val="20"/>
                <w:szCs w:val="20"/>
                <w:color w:val="auto"/>
              </w:rPr>
            </w:pPr>
            <w:r>
              <w:rPr>
                <w:rFonts w:ascii="Arial" w:cs="Arial" w:eastAsia="Arial" w:hAnsi="Arial"/>
                <w:sz w:val="18"/>
                <w:szCs w:val="18"/>
                <w:color w:val="auto"/>
              </w:rPr>
              <w:t>6.688%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696,353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791,865</w:t>
            </w:r>
          </w:p>
        </w:tc>
      </w:tr>
      <w:tr>
        <w:trPr>
          <w:trHeight w:val="277"/>
        </w:trPr>
        <w:tc>
          <w:tcPr>
            <w:tcW w:w="4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4660" w:type="dxa"/>
            <w:vAlign w:val="bottom"/>
            <w:gridSpan w:val="2"/>
          </w:tcPr>
          <w:p>
            <w:pPr>
              <w:ind w:left="280"/>
              <w:spacing w:after="0"/>
              <w:rPr>
                <w:sz w:val="20"/>
                <w:szCs w:val="20"/>
                <w:color w:val="auto"/>
              </w:rPr>
            </w:pPr>
            <w:r>
              <w:rPr>
                <w:rFonts w:ascii="Arial" w:cs="Arial" w:eastAsia="Arial" w:hAnsi="Arial"/>
                <w:sz w:val="18"/>
                <w:szCs w:val="18"/>
                <w:color w:val="auto"/>
              </w:rPr>
              <w:t>Subtotal</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3,304,079</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3,259,816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3,365,143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3,596,524</w:t>
            </w:r>
          </w:p>
        </w:tc>
      </w:tr>
      <w:tr>
        <w:trPr>
          <w:trHeight w:val="244"/>
        </w:trPr>
        <w:tc>
          <w:tcPr>
            <w:tcW w:w="4660" w:type="dxa"/>
            <w:vAlign w:val="bottom"/>
            <w:tcBorders>
              <w:top w:val="single" w:sz="8" w:color="CCEEFF"/>
            </w:tcBorders>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rPr>
              <w:t>Capital lease obligations</w:t>
            </w:r>
          </w:p>
        </w:tc>
        <w:tc>
          <w:tcPr>
            <w:tcW w:w="12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spacing w:after="0"/>
              <w:rPr>
                <w:sz w:val="21"/>
                <w:szCs w:val="21"/>
                <w:color w:val="auto"/>
              </w:rPr>
            </w:pPr>
          </w:p>
        </w:tc>
        <w:tc>
          <w:tcPr>
            <w:tcW w:w="106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228,702</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auto"/>
            </w:tcBorders>
            <w:shd w:val="clear" w:color="auto" w:fill="CCEEFF"/>
          </w:tcPr>
          <w:p>
            <w:pPr>
              <w:spacing w:after="0"/>
              <w:rPr>
                <w:sz w:val="21"/>
                <w:szCs w:val="21"/>
                <w:color w:val="auto"/>
              </w:rPr>
            </w:pPr>
          </w:p>
        </w:tc>
        <w:tc>
          <w:tcPr>
            <w:tcW w:w="108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269,701</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r>
    </w:tbl>
    <w:p>
      <w:pPr>
        <w:spacing w:after="0" w:line="13" w:lineRule="exact"/>
        <w:rPr>
          <w:sz w:val="20"/>
          <w:szCs w:val="20"/>
          <w:color w:val="auto"/>
        </w:rPr>
      </w:pPr>
    </w:p>
    <w:p>
      <w:pPr>
        <w:sectPr>
          <w:pgSz w:w="11900" w:h="16838" w:orient="portrait"/>
          <w:cols w:equalWidth="0" w:num="1">
            <w:col w:w="11420"/>
          </w:cols>
          <w:pgMar w:left="240" w:top="140" w:right="239" w:bottom="1440" w:gutter="0" w:footer="0" w:header="0"/>
        </w:sectPr>
      </w:pPr>
    </w:p>
    <w:p>
      <w:pPr>
        <w:ind w:left="500" w:right="1740"/>
        <w:spacing w:after="0" w:line="313" w:lineRule="auto"/>
        <w:rPr>
          <w:sz w:val="20"/>
          <w:szCs w:val="20"/>
          <w:color w:val="auto"/>
        </w:rPr>
      </w:pPr>
      <w:r>
        <w:rPr>
          <w:rFonts w:ascii="Arial" w:cs="Arial" w:eastAsia="Arial" w:hAnsi="Arial"/>
          <w:sz w:val="18"/>
          <w:szCs w:val="18"/>
          <w:color w:val="auto"/>
        </w:rPr>
        <w:t>Total debt and capital lease obligations Less: Current portion</w:t>
      </w:r>
    </w:p>
    <w:p>
      <w:pPr>
        <w:ind w:left="880" w:right="1020" w:hanging="161"/>
        <w:spacing w:after="0" w:line="246" w:lineRule="auto"/>
        <w:rPr>
          <w:sz w:val="20"/>
          <w:szCs w:val="20"/>
          <w:color w:val="auto"/>
        </w:rPr>
      </w:pPr>
      <w:r>
        <w:rPr>
          <w:rFonts w:ascii="Arial" w:cs="Arial" w:eastAsia="Arial" w:hAnsi="Arial"/>
          <w:sz w:val="18"/>
          <w:szCs w:val="18"/>
          <w:color w:val="auto"/>
        </w:rPr>
        <w:t>Long-term debt and capital lease obligations, net</w:t>
      </w:r>
    </w:p>
    <w:p>
      <w:pPr>
        <w:spacing w:after="0" w:line="20" w:lineRule="exact"/>
        <w:rPr>
          <w:sz w:val="20"/>
          <w:szCs w:val="20"/>
          <w:color w:val="auto"/>
        </w:rPr>
      </w:pPr>
      <w:r>
        <w:rPr>
          <w:sz w:val="20"/>
          <w:szCs w:val="20"/>
          <w:color w:val="auto"/>
        </w:rPr>
        <w:br w:type="column"/>
      </w:r>
    </w:p>
    <w:p>
      <w:pPr>
        <w:jc w:val="right"/>
        <w:ind w:right="900"/>
        <w:spacing w:after="0"/>
        <w:rPr>
          <w:sz w:val="20"/>
          <w:szCs w:val="20"/>
          <w:color w:val="auto"/>
        </w:rPr>
      </w:pPr>
      <w:r>
        <w:rPr>
          <w:rFonts w:ascii="Arial" w:cs="Arial" w:eastAsia="Arial" w:hAnsi="Arial"/>
          <w:sz w:val="18"/>
          <w:szCs w:val="18"/>
          <w:color w:val="auto"/>
        </w:rPr>
        <w:t>3,532,781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14605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(959,577)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805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19" w:lineRule="exact"/>
        <w:rPr>
          <w:sz w:val="20"/>
          <w:szCs w:val="20"/>
          <w:color w:val="auto"/>
        </w:rPr>
      </w:pPr>
    </w:p>
    <w:p>
      <w:pPr>
        <w:ind w:left="340" w:hanging="335"/>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2,573,204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8058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5">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31750</wp:posOffset>
            </wp:positionV>
            <wp:extent cx="8058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6">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480"/>
        <w:spacing w:after="0"/>
        <w:rPr>
          <w:sz w:val="20"/>
          <w:szCs w:val="20"/>
          <w:color w:val="auto"/>
        </w:rPr>
      </w:pPr>
      <w:r>
        <w:rPr>
          <w:rFonts w:ascii="Arial" w:cs="Arial" w:eastAsia="Arial" w:hAnsi="Arial"/>
          <w:sz w:val="18"/>
          <w:szCs w:val="18"/>
          <w:color w:val="auto"/>
        </w:rPr>
        <w:t>3,634,844</w:t>
      </w:r>
    </w:p>
    <w:p>
      <w:pPr>
        <w:spacing w:after="0" w:line="63"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(40,631)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058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19" w:lineRule="exact"/>
        <w:rPr>
          <w:sz w:val="20"/>
          <w:szCs w:val="20"/>
          <w:color w:val="auto"/>
        </w:rPr>
      </w:pPr>
    </w:p>
    <w:p>
      <w:pPr>
        <w:ind w:left="340" w:hanging="340"/>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3,594,213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8058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8">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8058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9">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3">
            <w:col w:w="5320" w:space="720"/>
            <w:col w:w="2040" w:space="720"/>
            <w:col w:w="2620"/>
          </w:cols>
          <w:pgMar w:left="240" w:top="140" w:right="239" w:bottom="1440" w:gutter="0" w:footer="0" w:header="0"/>
          <w:type w:val="continuous"/>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40"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Senior Secured Notes and 2021 Senior Unsecured Notes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1, 2011, we issued $1.1 billion aggregate principal amount of 6 1/2% Senior Secured Notes due 2019 (the “2019 Senior Secured Notes”) at an issue price of 100.0%, pursuant to a Secured Indenture dated June 1, 2011, (as amended the “2011 Secured Indenture”). The 2019 Senior Secured Notes mature on June 15, 2019. Interest accrues at an annual rate of 6 1/2% and is payable semi-annually in cash, in arrears on June 15 and December 15 of each year. As of December 31, 2018 and 2017, the outstanding principal balance on the 2019 Senior Secured Notes was $921 million and$990 million , respectively. The decrease in the principal outstanding was due to our repurchase of $69 million in the open market during 2018. We recorded a loss on the repurchase of $1 million.</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1, 2011, we also issued $900 million aggregate principal amount of 7 5/8% Senior Unsecured Notes due 2021 (the “2021 Senior Unsecured Notes,”) at an issue price of 100.0%, pursuant to an Unsecured Indenture dated June 1, 2011 (together with the “2011 Secured Indenture”, the “2011 Indentures”). The 2021 Senior Unsecured Notes mature on June 15, 2021. Interest accrues at an annual rate of 7 5/8% and is payable semi-annually in cash, in arrears on June 15 and December 15 of each year. As of December 31, 2018 and 2017, the outstanding principal balance on the 2021 Senior Unsecured Notes was $900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Senior Secured Notes and 2026 Senior Unsecured Notes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July 27, 2016, we issued $750 million aggregate principal amount of 5 1/4% Senior Secured Notes due 2026 (the “2026 Senior Secured Notes” and, together with the 2019 Senior Secured Notes, the “Secured Notes”) at an issue price of 100.0%, pursuant to an indenture dated July 27, 2016 (the “2016 Secured Indenture”) and $ 750 million aggregate principal amount of 6 5/8% Senior Unsecured Notes due 2026 (the “2026 Senior Unsecured Notes” and, together with the 2021 Senior Unsecured Notes, the “Unsecured Notes”) at an issue price of 100.0%, pursuant to an indenture dated July 27, 2016 (together with the 2011 Indentures and the 2016 Secured Indenture, the “Indentures”). The 2019 Senior Secured Notes, the 2021 Senior Unsecured Notes, the 2026 Senior Secured Notes and the 2026 Senior Unsecured Notes are referred to collectively as the “Notes” and individually as a series of the Notes. The 2026 Senior Secured Notes and the 2026 Senior Unsecured Notes (collectively, the “2026 Notes”) mature on August 1, 2026. Interest on the 2026 Senior Secured Notes accrues at an annual rate of 5 1/4% and interest on the 2026 Senior Unsecured Notes accrues at an annual rate of 6 5/8%. Interest on the 2026 Notes is payable semi-annually in cash, in arrears on February 1 and August 1 of each year commencing February 1, 2017. At each of December 31, 2018 and 2017, the outstanding principal balance on each of the 2026 Senior Secured Notes and the 2026 Senior Unsecured Notes was $750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Relating to the Notes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series of the Notes is redeemable, in whole or in part, at any time at a redemption price equal to 100.0% of the principal amount thereof plus a “make-whole” premium, as defined in the applicable Indenture, together with accrued and unpaid interest, if any, to the date of redemption. We may also redeem up to 10% of the outstanding 2026 Senior Secured Notes per year prior to August 1, 2020 at a redemption price equal to 103% of the principal amount thereof plus accrued and unpaid interest to the date of redemption. In addition, we may, at any time prior to August 1, 2019, with the net cash proceeds from certain equity offerings or capital contributions, redeem up to 35% of the 2026 Senior Secured Notes, at 105.250% of the principal amount, and up to 35% of the 2026 Senior Unsecured Notes, at a redemption price equal to 106.625% of the principal amount plus, in each case, accrued and unpaid interest on the 2026 Notes being redeemed to the date of redemption.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Secured Notes are:</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secured obligations;</w:t>
      </w:r>
    </w:p>
    <w:p>
      <w:pPr>
        <w:spacing w:after="0" w:line="9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secured by security interests in substantially all of our and certain of our subsidiaries’ existing and future tangible and intangible assets on a first priority basis, subject to certain exceptions;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ranked equally and ratably as between the 2019 Senior Secured Notes and the 2026 Senior Secured Notes;</w:t>
      </w:r>
    </w:p>
    <w:p>
      <w:pPr>
        <w:spacing w:after="0" w:line="9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effectively junior to our obligations that are secured by assets that are not part of the collateral that secures the respective Secured Notes, in each case, to the extent of the value of the collateral securing such obligations;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40"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66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effectively senior to our existing and future unsecured obligations to the extent of the value of the collateral securing the respective Secured Notes, after giving effect to permitted liens as provided in the Indenture governing the respective Secured Notes;</w:t>
      </w:r>
    </w:p>
    <w:p>
      <w:pPr>
        <w:spacing w:after="0" w:line="6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senior in right of payment to all of our existing and future obligations that are expressly subordinated to the respective Secured Notes;</w:t>
      </w:r>
    </w:p>
    <w:p>
      <w:pPr>
        <w:spacing w:after="0" w:line="9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structurally junior to any existing and future obligations of any of our subsidiaries that do not guarantee the respective Secured Notes; and</w:t>
      </w:r>
    </w:p>
    <w:p>
      <w:pPr>
        <w:spacing w:after="0" w:line="6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subsidiaries, which guarantees rank equally with all of the guarantors’ existing and future unsubordinated indebtedness and effectively senior to such guarantors’ existing and future obligations to the extent of the value of the assets securing the respective Secured Notes.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Unsecured Notes are:</w:t>
      </w:r>
    </w:p>
    <w:p>
      <w:pPr>
        <w:spacing w:after="0" w:line="22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unsecured senior obligations;</w:t>
      </w:r>
    </w:p>
    <w:p>
      <w:pPr>
        <w:spacing w:after="0" w:line="90"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ranked equally with all existing and future unsubordinated indebtedness (including as between the 2021 Senior Unsecured Notes and the 2026 Senior Unsecured Notes) and effectively junior to any secured indebtedness up to the value of the assets securing such indebtedness;</w:t>
      </w:r>
    </w:p>
    <w:p>
      <w:pPr>
        <w:spacing w:after="0" w:line="66"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effectively junior to our obligations that are secured to the extent of the value of the collateral securing such obligations;</w:t>
      </w:r>
    </w:p>
    <w:p>
      <w:pPr>
        <w:spacing w:after="0" w:line="9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senior in right of payment to all of our existing and future obligations that are expressly subordinated to the respective Unsecured Notes;</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structurally junior to any existing and future obligations of any of our subsidiaries that do not guarantee the respective Unsecured Notes; and</w:t>
      </w:r>
    </w:p>
    <w:p>
      <w:pPr>
        <w:spacing w:after="0" w:line="6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28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Subject to certain exceptions, the Indentures contain restrictive covenants that, among other things, impose limitations on our ability and, in certain instances, the ability of certain of our subsidiaries to:</w:t>
      </w:r>
    </w:p>
    <w:p>
      <w:pPr>
        <w:spacing w:after="0" w:line="19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allow to exist certain restrictions on the ability of certain of our subsidiaries to pay dividends, make distributions, make other payments, or transfer assets to us or our subsidiaries.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event of a Change of Control, as defined in the respective Indentures, we would be required to make an offer to repurchase all or any part of a holder’s Notes at a purchase price equal to 101.0% of the aggregate principal amount thereof, together with accrued and unpaid interest to the date of repurchase.</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Indentures provide for customary events of default for each series of the Notes, including, among other things, nonpayment, breach of the covenants in the applicable Indentures, payment defaults or acceleration of other indebtedness, a failure to pay certain judgments and certain events of bankruptcy, insolvency and reorganization. If any event of default occurs and is continuing with respect to any series of the Notes, the trustee or the holders of at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40"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least 25% in principal amount of the then outstanding Notes of such series may declare all the Notes of such series to be due and payable immediately, together with any accrued and unpaid interest.</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terms of a registration rights agreement, we registered notes having substantially identical terms as the 2026 Notes with the Securities and Exchange Commission as part of an offer to exchange registered notes for the 2026 Notes. This exchange offer expired May 11, 2017 with 99.98% of the 2026 Notes being tendered for exchange.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issuance of the 2026 Notes, we incurred $8 million of debt issuance costs. For the years ended December 31, 2018, 2017 and 2016, we amortized $8 million, $7 million and $7 million of debt issuance costs incurred for all debt issuances, respectively, which are included in “Interest expense, net of amounts capitalized” in our Consolidated Statements of Operations and Comprehensive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 Obligations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capital lease obligations reflect the present value of future minimum lease payments under noncancelable lease agreements, primarily for certain of our satellites (see Note 7). These agreements require monthly recurring payments, which generally include principal, interest, an amount for use of the orbital location and estimated executory costs, such as insurance and maintenance. The monthly recurring payments generally are subject to reduction in the event of failures that reduce the satellite transponder capacity. Certain of these agreements provide for extension of the initial lease term at our option. The effective interest rates for our satellite capital lease obligations range from 9.1% to 11.2%, with a weighted average of 10.7% as of December 31, 2018.</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capital lease obligations consist primarily of our payment obligations under agreements for the Nimiq 5 and QuetzSat-1 satellites, which have remaining noncancelable terms ending in September 2024 and November 2021, respectively. As discussed in Note 16, we have subleased transponders on these satellites to DISH Network.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our capital lease obligations, together with the present value of the net minimum lease payments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6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Amount</w:t>
            </w:r>
          </w:p>
        </w:tc>
      </w:tr>
      <w:tr>
        <w:trPr>
          <w:trHeight w:val="250"/>
        </w:trPr>
        <w:tc>
          <w:tcPr>
            <w:tcW w:w="9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(In thousands)</w:t>
            </w:r>
          </w:p>
        </w:tc>
      </w:tr>
      <w:tr>
        <w:trPr>
          <w:trHeight w:val="263"/>
        </w:trPr>
        <w:tc>
          <w:tcPr>
            <w:tcW w:w="9660" w:type="dxa"/>
            <w:vAlign w:val="bottom"/>
            <w:shd w:val="clear" w:color="auto" w:fill="CCEEFF"/>
          </w:tcPr>
          <w:p>
            <w:pPr>
              <w:ind w:left="6600"/>
              <w:spacing w:after="0"/>
              <w:rPr>
                <w:sz w:val="20"/>
                <w:szCs w:val="20"/>
                <w:color w:val="auto"/>
              </w:rPr>
            </w:pPr>
            <w:r>
              <w:rPr>
                <w:rFonts w:ascii="Arial" w:cs="Arial" w:eastAsia="Arial" w:hAnsi="Arial"/>
                <w:sz w:val="18"/>
                <w:szCs w:val="18"/>
                <w:b w:val="1"/>
                <w:bCs w:val="1"/>
                <w:color w:val="auto"/>
              </w:rPr>
              <w:t>For the Years Ending December 31,</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50"/>
        </w:trPr>
        <w:tc>
          <w:tcPr>
            <w:tcW w:w="966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88,615</w:t>
            </w:r>
          </w:p>
        </w:tc>
      </w:tr>
      <w:tr>
        <w:trPr>
          <w:trHeight w:val="263"/>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88,395</w:t>
            </w:r>
          </w:p>
        </w:tc>
      </w:tr>
      <w:tr>
        <w:trPr>
          <w:trHeight w:val="250"/>
        </w:trPr>
        <w:tc>
          <w:tcPr>
            <w:tcW w:w="966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84,248</w:t>
            </w:r>
          </w:p>
        </w:tc>
      </w:tr>
      <w:tr>
        <w:trPr>
          <w:trHeight w:val="263"/>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63,484</w:t>
            </w:r>
          </w:p>
        </w:tc>
      </w:tr>
      <w:tr>
        <w:trPr>
          <w:trHeight w:val="250"/>
        </w:trPr>
        <w:tc>
          <w:tcPr>
            <w:tcW w:w="966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63,360</w:t>
            </w:r>
          </w:p>
        </w:tc>
      </w:tr>
      <w:tr>
        <w:trPr>
          <w:trHeight w:val="263"/>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47,520</w:t>
            </w:r>
          </w:p>
        </w:tc>
      </w:tr>
      <w:tr>
        <w:trPr>
          <w:trHeight w:val="243"/>
        </w:trPr>
        <w:tc>
          <w:tcPr>
            <w:tcW w:w="9660" w:type="dxa"/>
            <w:vAlign w:val="bottom"/>
          </w:tcPr>
          <w:p>
            <w:pPr>
              <w:ind w:left="280"/>
              <w:spacing w:after="0"/>
              <w:rPr>
                <w:sz w:val="20"/>
                <w:szCs w:val="20"/>
                <w:color w:val="auto"/>
              </w:rPr>
            </w:pPr>
            <w:r>
              <w:rPr>
                <w:rFonts w:ascii="Arial" w:cs="Arial" w:eastAsia="Arial" w:hAnsi="Arial"/>
                <w:sz w:val="18"/>
                <w:szCs w:val="18"/>
                <w:color w:val="auto"/>
              </w:rPr>
              <w:t>Total minimum lease payments</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435,622</w:t>
            </w:r>
          </w:p>
        </w:tc>
      </w:tr>
      <w:tr>
        <w:trPr>
          <w:trHeight w:val="235"/>
        </w:trPr>
        <w:tc>
          <w:tcPr>
            <w:tcW w:w="9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Amount representing use of the orbital location and estimated executory costs including profit thereon, included</w:t>
            </w: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30"/>
        </w:trPr>
        <w:tc>
          <w:tcPr>
            <w:tcW w:w="9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 total minimum lease payments</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(136,799)</w:t>
            </w:r>
          </w:p>
        </w:tc>
      </w:tr>
      <w:tr>
        <w:trPr>
          <w:trHeight w:val="243"/>
        </w:trPr>
        <w:tc>
          <w:tcPr>
            <w:tcW w:w="9660" w:type="dxa"/>
            <w:vAlign w:val="bottom"/>
          </w:tcPr>
          <w:p>
            <w:pPr>
              <w:ind w:left="500"/>
              <w:spacing w:after="0"/>
              <w:rPr>
                <w:sz w:val="20"/>
                <w:szCs w:val="20"/>
                <w:color w:val="auto"/>
              </w:rPr>
            </w:pPr>
            <w:r>
              <w:rPr>
                <w:rFonts w:ascii="Arial" w:cs="Arial" w:eastAsia="Arial" w:hAnsi="Arial"/>
                <w:sz w:val="18"/>
                <w:szCs w:val="18"/>
                <w:color w:val="auto"/>
              </w:rPr>
              <w:t>Net minimum lease payments</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298,823</w:t>
            </w:r>
          </w:p>
        </w:tc>
      </w:tr>
      <w:tr>
        <w:trPr>
          <w:trHeight w:val="263"/>
        </w:trPr>
        <w:tc>
          <w:tcPr>
            <w:tcW w:w="9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(70,121)</w:t>
            </w:r>
          </w:p>
        </w:tc>
      </w:tr>
      <w:tr>
        <w:trPr>
          <w:trHeight w:val="243"/>
        </w:trPr>
        <w:tc>
          <w:tcPr>
            <w:tcW w:w="9660" w:type="dxa"/>
            <w:vAlign w:val="bottom"/>
          </w:tcPr>
          <w:p>
            <w:pPr>
              <w:ind w:left="720"/>
              <w:spacing w:after="0"/>
              <w:rPr>
                <w:sz w:val="20"/>
                <w:szCs w:val="20"/>
                <w:color w:val="auto"/>
              </w:rPr>
            </w:pPr>
            <w:r>
              <w:rPr>
                <w:rFonts w:ascii="Arial" w:cs="Arial" w:eastAsia="Arial" w:hAnsi="Arial"/>
                <w:sz w:val="18"/>
                <w:szCs w:val="18"/>
                <w:color w:val="auto"/>
              </w:rPr>
              <w:t>Present value of net minimum lease payments</w:t>
            </w:r>
          </w:p>
        </w:tc>
        <w:tc>
          <w:tcPr>
            <w:tcW w:w="16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228,702</w:t>
            </w:r>
          </w:p>
        </w:tc>
      </w:tr>
      <w:tr>
        <w:trPr>
          <w:trHeight w:val="263"/>
        </w:trPr>
        <w:tc>
          <w:tcPr>
            <w:tcW w:w="96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(40,662)</w:t>
            </w:r>
          </w:p>
        </w:tc>
      </w:tr>
      <w:tr>
        <w:trPr>
          <w:trHeight w:val="244"/>
        </w:trPr>
        <w:tc>
          <w:tcPr>
            <w:tcW w:w="9660" w:type="dxa"/>
            <w:vAlign w:val="bottom"/>
          </w:tcPr>
          <w:p>
            <w:pPr>
              <w:ind w:left="920"/>
              <w:spacing w:after="0"/>
              <w:rPr>
                <w:sz w:val="20"/>
                <w:szCs w:val="20"/>
                <w:color w:val="auto"/>
              </w:rPr>
            </w:pPr>
            <w:r>
              <w:rPr>
                <w:rFonts w:ascii="Arial" w:cs="Arial" w:eastAsia="Arial" w:hAnsi="Arial"/>
                <w:sz w:val="18"/>
                <w:szCs w:val="18"/>
                <w:color w:val="auto"/>
              </w:rPr>
              <w:t>Long-term portion of capital lease obligations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188,040</w:t>
            </w:r>
          </w:p>
        </w:tc>
      </w:tr>
      <w:tr>
        <w:trPr>
          <w:trHeight w:val="20"/>
        </w:trPr>
        <w:tc>
          <w:tcPr>
            <w:tcW w:w="9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received rental income from the sublease of our capital lease satellites of approximately $132 million for each of the years ended December 31, 2018, 2017 and 2016. As of December 31, 2018, our future minimum sublease rental income was $216 million relating to such satellites. The subleases have a remaining weighted average term of two years.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40"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INCOME TAXES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components of income before income taxes in our Consolidated Statements of Operations and Comprehensive Income (Loss)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1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gridSpan w:val="7"/>
          </w:tcPr>
          <w:p>
            <w:pPr>
              <w:jc w:val="center"/>
              <w:ind w:right="250"/>
              <w:spacing w:after="0"/>
              <w:rPr>
                <w:sz w:val="20"/>
                <w:szCs w:val="20"/>
                <w:color w:val="auto"/>
              </w:rPr>
            </w:pPr>
            <w:r>
              <w:rPr>
                <w:rFonts w:ascii="Arial" w:cs="Arial" w:eastAsia="Arial" w:hAnsi="Arial"/>
                <w:sz w:val="18"/>
                <w:szCs w:val="18"/>
                <w:b w:val="1"/>
                <w:bCs w:val="1"/>
                <w:color w:val="auto"/>
              </w:rPr>
              <w:t>For the years ended December 31,</w:t>
            </w:r>
          </w:p>
        </w:tc>
      </w:tr>
      <w:tr>
        <w:trPr>
          <w:trHeight w:val="264"/>
        </w:trPr>
        <w:tc>
          <w:tcPr>
            <w:tcW w:w="6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50"/>
        </w:trPr>
        <w:tc>
          <w:tcPr>
            <w:tcW w:w="6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(In thousands)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7"/>
        </w:trPr>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177,563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66,947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202,905</w:t>
            </w:r>
          </w:p>
        </w:tc>
      </w:tr>
      <w:tr>
        <w:trPr>
          <w:trHeight w:val="264"/>
        </w:trPr>
        <w:tc>
          <w:tcPr>
            <w:tcW w:w="6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w:t>
            </w:r>
          </w:p>
        </w:tc>
      </w:tr>
      <w:tr>
        <w:trPr>
          <w:trHeight w:val="250"/>
        </w:trPr>
        <w:tc>
          <w:tcPr>
            <w:tcW w:w="6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143,712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195,480</w:t>
            </w:r>
          </w:p>
        </w:tc>
      </w:tr>
      <w:tr>
        <w:trPr>
          <w:trHeight w:val="20"/>
        </w:trPr>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components of the provision for income taxes in our Consolidated Statements of Operations and Comprehensive Income (Loss)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6"/>
          </w:tcPr>
          <w:p>
            <w:pPr>
              <w:jc w:val="center"/>
              <w:ind w:left="650"/>
              <w:spacing w:after="0"/>
              <w:rPr>
                <w:sz w:val="20"/>
                <w:szCs w:val="20"/>
                <w:color w:val="auto"/>
              </w:rPr>
            </w:pPr>
            <w:r>
              <w:rPr>
                <w:rFonts w:ascii="Arial" w:cs="Arial" w:eastAsia="Arial" w:hAnsi="Arial"/>
                <w:sz w:val="18"/>
                <w:szCs w:val="18"/>
                <w:b w:val="1"/>
                <w:bCs w:val="1"/>
                <w:color w:val="auto"/>
              </w:rPr>
              <w:t>For the years ended December 31,</w:t>
            </w:r>
          </w:p>
        </w:tc>
        <w:tc>
          <w:tcPr>
            <w:tcW w:w="1100" w:type="dxa"/>
            <w:vAlign w:val="bottom"/>
            <w:tcBorders>
              <w:bottom w:val="single" w:sz="8" w:color="auto"/>
            </w:tcBorders>
          </w:tcPr>
          <w:p>
            <w:pPr>
              <w:spacing w:after="0"/>
              <w:rPr>
                <w:sz w:val="21"/>
                <w:szCs w:val="21"/>
                <w:color w:val="auto"/>
              </w:rPr>
            </w:pPr>
          </w:p>
        </w:tc>
      </w:tr>
      <w:tr>
        <w:trPr>
          <w:trHeight w:val="264"/>
        </w:trPr>
        <w:tc>
          <w:tcPr>
            <w:tcW w:w="59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r>
      <w:tr>
        <w:trPr>
          <w:trHeight w:val="250"/>
        </w:trPr>
        <w:tc>
          <w:tcPr>
            <w:tcW w:w="5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 thousands)</w:t>
            </w: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benefit (provision):</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63"/>
        </w:trPr>
        <w:tc>
          <w:tcPr>
            <w:tcW w:w="59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2"/>
                <w:szCs w:val="22"/>
                <w:color w:val="auto"/>
              </w:rPr>
            </w:pP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7"/>
        </w:trPr>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64"/>
        </w:trPr>
        <w:tc>
          <w:tcPr>
            <w:tcW w:w="5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r>
      <w:tr>
        <w:trPr>
          <w:trHeight w:val="250"/>
        </w:trPr>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provision</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(9,869)</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84"/>
        </w:trPr>
        <w:tc>
          <w:tcPr>
            <w:tcW w:w="5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benefit (provision):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3"/>
        </w:trPr>
        <w:tc>
          <w:tcPr>
            <w:tcW w:w="5940" w:type="dxa"/>
            <w:vAlign w:val="bottom"/>
          </w:tcPr>
          <w:p>
            <w:pPr>
              <w:ind w:left="28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(32,301)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275,957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(67,035)</w:t>
            </w:r>
          </w:p>
        </w:tc>
      </w:tr>
      <w:tr>
        <w:trPr>
          <w:trHeight w:val="277"/>
        </w:trPr>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r>
      <w:tr>
        <w:trPr>
          <w:trHeight w:val="264"/>
        </w:trPr>
        <w:tc>
          <w:tcPr>
            <w:tcW w:w="5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4,827</w:t>
            </w:r>
          </w:p>
        </w:tc>
      </w:tr>
      <w:tr>
        <w:trPr>
          <w:trHeight w:val="257"/>
        </w:trPr>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deferred benefit (provision)</w:t>
            </w:r>
          </w:p>
        </w:tc>
        <w:tc>
          <w:tcPr>
            <w:tcW w:w="3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268,071</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(70,901)</w:t>
            </w:r>
          </w:p>
        </w:tc>
      </w:tr>
      <w:tr>
        <w:trPr>
          <w:trHeight w:val="244"/>
        </w:trPr>
        <w:tc>
          <w:tcPr>
            <w:tcW w:w="5940" w:type="dxa"/>
            <w:vAlign w:val="bottom"/>
          </w:tcPr>
          <w:p>
            <w:pPr>
              <w:ind w:left="720"/>
              <w:spacing w:after="0"/>
              <w:rPr>
                <w:sz w:val="20"/>
                <w:szCs w:val="20"/>
                <w:color w:val="auto"/>
              </w:rPr>
            </w:pPr>
            <w:r>
              <w:rPr>
                <w:rFonts w:ascii="Arial" w:cs="Arial" w:eastAsia="Arial" w:hAnsi="Arial"/>
                <w:sz w:val="18"/>
                <w:szCs w:val="18"/>
                <w:color w:val="auto"/>
              </w:rPr>
              <w:t>Total income tax benefit (provision), net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258,202</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(73,759)</w:t>
            </w:r>
          </w:p>
        </w:tc>
      </w:tr>
      <w:tr>
        <w:trPr>
          <w:trHeight w:val="20"/>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actual tax provisions for the years ended December 31, 2018, 2017 and 2016 reconcile to the amounts computed by applying the statutory federal tax rate to income before income taxes in our Consolidated Statements of Operations and Comprehensive Income (Loss) as shown below:</w:t>
      </w:r>
    </w:p>
    <w:p>
      <w:pPr>
        <w:spacing w:after="0" w:line="139"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28575</wp:posOffset>
            </wp:positionV>
            <wp:extent cx="35159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57"/>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Statutory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shd w:val="clear" w:color="auto" w:fill="CCEEFF"/>
          </w:tcPr>
          <w:p>
            <w:pPr>
              <w:spacing w:after="0"/>
              <w:rPr>
                <w:sz w:val="22"/>
                <w:szCs w:val="22"/>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6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effect</w:t>
            </w:r>
          </w:p>
        </w:tc>
        <w:tc>
          <w:tcPr>
            <w:tcW w:w="640" w:type="dxa"/>
            <w:vAlign w:val="bottom"/>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4.5 %</w:t>
            </w:r>
          </w:p>
        </w:tc>
      </w:tr>
      <w:tr>
        <w:trPr>
          <w:trHeight w:val="277"/>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6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Tax credits</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7"/>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Rates Different than Statutory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 %</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3"/>
        </w:trPr>
        <w:tc>
          <w:tcPr>
            <w:tcW w:w="6800" w:type="dxa"/>
            <w:vAlign w:val="bottom"/>
            <w:gridSpan w:val="2"/>
          </w:tcPr>
          <w:p>
            <w:pPr>
              <w:ind w:left="40"/>
              <w:spacing w:after="0"/>
              <w:rPr>
                <w:sz w:val="20"/>
                <w:szCs w:val="20"/>
                <w:color w:val="auto"/>
              </w:rPr>
            </w:pPr>
            <w:r>
              <w:rPr>
                <w:rFonts w:ascii="Arial" w:cs="Arial" w:eastAsia="Arial" w:hAnsi="Arial"/>
                <w:sz w:val="18"/>
                <w:szCs w:val="18"/>
                <w:color w:val="auto"/>
              </w:rPr>
              <w:t>Valuation allowance</w:t>
            </w:r>
          </w:p>
        </w:tc>
        <w:tc>
          <w:tcPr>
            <w:tcW w:w="64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44.0 %</w:t>
            </w:r>
          </w:p>
        </w:tc>
        <w:tc>
          <w:tcPr>
            <w:tcW w:w="1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7"/>
        </w:trPr>
        <w:tc>
          <w:tcPr>
            <w:tcW w:w="6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Enactment of Tax Cuts and Job Act of 2017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w:t>
            </w:r>
          </w:p>
        </w:tc>
        <w:tc>
          <w:tcPr>
            <w:tcW w:w="10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64"/>
        </w:trPr>
        <w:tc>
          <w:tcPr>
            <w:tcW w:w="5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0.2 %</w:t>
            </w:r>
          </w:p>
        </w:tc>
      </w:tr>
      <w:tr>
        <w:trPr>
          <w:trHeight w:val="250"/>
        </w:trPr>
        <w:tc>
          <w:tcPr>
            <w:tcW w:w="6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effective tax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37.7 %</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40"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20"/>
                <w:szCs w:val="20"/>
                <w:color w:val="auto"/>
              </w:rPr>
            </w:pPr>
            <w:r>
              <w:rPr>
                <w:rFonts w:ascii="Arial" w:cs="Arial" w:eastAsia="Arial" w:hAnsi="Arial"/>
                <w:sz w:val="18"/>
                <w:szCs w:val="18"/>
                <w:color w:val="auto"/>
              </w:rPr>
              <w:t>The components of our deferred tax assets and liabilities are as follows: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99"/>
        </w:trPr>
        <w:tc>
          <w:tcPr>
            <w:tcW w:w="7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2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50"/>
        </w:trPr>
        <w:tc>
          <w:tcPr>
            <w:tcW w:w="7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color w:val="auto"/>
              </w:rPr>
              <w:t>(In thousands)</w:t>
            </w:r>
          </w:p>
        </w:tc>
        <w:tc>
          <w:tcPr>
            <w:tcW w:w="1280" w:type="dxa"/>
            <w:vAlign w:val="bottom"/>
          </w:tcPr>
          <w:p>
            <w:pPr>
              <w:spacing w:after="0"/>
              <w:rPr>
                <w:sz w:val="21"/>
                <w:szCs w:val="21"/>
                <w:color w:val="auto"/>
              </w:rPr>
            </w:pPr>
          </w:p>
        </w:tc>
      </w:tr>
      <w:tr>
        <w:trPr>
          <w:trHeight w:val="257"/>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3"/>
        </w:trPr>
        <w:tc>
          <w:tcPr>
            <w:tcW w:w="7240" w:type="dxa"/>
            <w:vAlign w:val="bottom"/>
          </w:tcPr>
          <w:p>
            <w:pPr>
              <w:ind w:left="280"/>
              <w:spacing w:after="0"/>
              <w:rPr>
                <w:sz w:val="20"/>
                <w:szCs w:val="20"/>
                <w:color w:val="auto"/>
              </w:rPr>
            </w:pPr>
            <w:r>
              <w:rPr>
                <w:rFonts w:ascii="Arial" w:cs="Arial" w:eastAsia="Arial" w:hAnsi="Arial"/>
                <w:sz w:val="18"/>
                <w:szCs w:val="18"/>
                <w:color w:val="auto"/>
              </w:rPr>
              <w:t>Net operating losses, credit and other carryforwards</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103,230</w:t>
            </w:r>
          </w:p>
        </w:tc>
        <w:tc>
          <w:tcPr>
            <w:tcW w:w="120" w:type="dxa"/>
            <w:vAlign w:val="bottom"/>
          </w:tcPr>
          <w:p>
            <w:pPr>
              <w:spacing w:after="0"/>
              <w:rPr>
                <w:sz w:val="22"/>
                <w:szCs w:val="22"/>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155,450</w:t>
            </w:r>
          </w:p>
        </w:tc>
      </w:tr>
      <w:tr>
        <w:trPr>
          <w:trHeight w:val="277"/>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losses on investments, net</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6,597</w:t>
            </w:r>
          </w:p>
        </w:tc>
      </w:tr>
      <w:tr>
        <w:trPr>
          <w:trHeight w:val="263"/>
        </w:trPr>
        <w:tc>
          <w:tcPr>
            <w:tcW w:w="72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22"/>
                <w:szCs w:val="22"/>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21,646</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22,683</w:t>
            </w:r>
          </w:p>
        </w:tc>
      </w:tr>
      <w:tr>
        <w:trPr>
          <w:trHeight w:val="277"/>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w:t>
            </w:r>
          </w:p>
        </w:tc>
      </w:tr>
      <w:tr>
        <w:trPr>
          <w:trHeight w:val="264"/>
        </w:trPr>
        <w:tc>
          <w:tcPr>
            <w:tcW w:w="7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assets</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7,707</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7,179</w:t>
            </w:r>
          </w:p>
        </w:tc>
      </w:tr>
      <w:tr>
        <w:trPr>
          <w:trHeight w:val="257"/>
        </w:trPr>
        <w:tc>
          <w:tcPr>
            <w:tcW w:w="7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deferred tax assets</w:t>
            </w:r>
          </w:p>
        </w:tc>
        <w:tc>
          <w:tcPr>
            <w:tcW w:w="44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141,194</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193,194</w:t>
            </w:r>
          </w:p>
        </w:tc>
      </w:tr>
      <w:tr>
        <w:trPr>
          <w:trHeight w:val="264"/>
        </w:trPr>
        <w:tc>
          <w:tcPr>
            <w:tcW w:w="72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Valuation allowance</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(49,183)</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(39,511)</w:t>
            </w:r>
          </w:p>
        </w:tc>
      </w:tr>
      <w:tr>
        <w:trPr>
          <w:trHeight w:val="250"/>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assets after valuation allowance</w:t>
            </w: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92,011</w:t>
            </w:r>
          </w:p>
        </w:tc>
        <w:tc>
          <w:tcPr>
            <w:tcW w:w="12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153,683</w:t>
            </w:r>
          </w:p>
        </w:tc>
      </w:tr>
      <w:tr>
        <w:trPr>
          <w:trHeight w:val="284"/>
        </w:trPr>
        <w:tc>
          <w:tcPr>
            <w:tcW w:w="7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3"/>
        </w:trPr>
        <w:tc>
          <w:tcPr>
            <w:tcW w:w="72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(575,875)</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(588,105)</w:t>
            </w:r>
          </w:p>
        </w:tc>
      </w:tr>
      <w:tr>
        <w:trPr>
          <w:trHeight w:val="277"/>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r>
      <w:tr>
        <w:trPr>
          <w:trHeight w:val="244"/>
        </w:trPr>
        <w:tc>
          <w:tcPr>
            <w:tcW w:w="72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deferred tax liabilities</w:t>
            </w: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(577,165)</w:t>
            </w: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(589,614)</w:t>
            </w:r>
          </w:p>
        </w:tc>
      </w:tr>
      <w:tr>
        <w:trPr>
          <w:trHeight w:val="250"/>
        </w:trPr>
        <w:tc>
          <w:tcPr>
            <w:tcW w:w="72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net deferred tax liabilities</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(485,154)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(435,931)</w:t>
            </w:r>
          </w:p>
        </w:tc>
      </w:tr>
      <w:tr>
        <w:trPr>
          <w:trHeight w:val="20"/>
        </w:trPr>
        <w:tc>
          <w:tcPr>
            <w:tcW w:w="7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tax assets and liabilities reflect the effects of tax losses, credits, and the future income tax effects of temporary differences between the accompanying Consolidated Financial Statement carrying amounts of existing assets and liabilities and their respective tax bases and are measured using enacted tax rates that apply to taxable income in the years in which those temporary differences are expected to be recovered or settled.</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evaluate our deferred tax assets for realization and record a valuation allowance when we determine that it is more likely than not that the amounts will not be realized. Overall, our net deferred tax assets were offset by a valuation allowance of $49 million and $40 million as of December 31, 2018 and 2017, respectively. The change in the valuation allowance primarily relates to a decrease in realized and unrealized gains that are capital in nature, and an increase in the net operating loss carryforwards of certain foreign subsidiaries.</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Tax benefits of net operating loss and tax credit carryforwards are evaluated on an ongoing basis, including a review of historical and projected future operating results, the eligible carryforward period, and other circumstances. As of December 31, 2018, we had net operating loss carryforwards of $193 million, including $119 million of foreign net operating loss carryforwards. A substantial portion of these net operating loss carryforwards will begin to expire in 2029. As of December 31, 2018, we have tax credit carryforwards of $ 40 million and $2 million for federal and state income tax purposes, respectively. If not utilized, the federal tax credit carryforwards will begin to expire in 2026 and the state tax credit carryforwards will begin to expire in 2018.</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2018, we had undistributed earnings attributable to foreign subsidiaries for which no provision for U.S. income taxes or foreign withholding taxes has been made because it is expected that such earnings will be reinvested outside the U.S. indefinitely. It is not practicable to determine the amount of the unrecognized deferred tax liability at this time. However, due to the one-time transition tax on the deemed repatriation of post-1986 undistributed foreign subsidiary earnings, the majority of previously unremitted earnings have now been subjected to U.S. federal income tax.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U.S. Tax Cuts and Jobs Act</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Tax Cuts and Jobs Act of 2017 (the “2017 Tax Act”) was enacted in December 2017 and has significantly impacted our effective tax rate and the tax benefit calculated for the year ended December 31, 2017. For the year ended December 31, 2017, we recorded a benefit of $283 million to reflect the change in the value of our deferred tax assets and liabilities resulting from the change in the federal corporate tax rate from 35% to 21%. For the year ended December 31, 2018, we recorded an additional benefit of $0.8 million upon completion of our analysis. This amount included an estimate of zero related to valuation allowances on foreign tax credit carryovers. We account for the effects, if any, of</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40"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global intangible low-taxed income provisions (“GILTI”) of the 2017 Tax Act as incurred. We also recorded a tax provision of nil related to the tax on deemed mandatory repatriation of our unrepatriated foreign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Uncertainty in Income Taxes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filing U.S. federal income tax returns with EchoStar, we file income tax returns in all states that impose an income tax. We also file income tax returns in the United Kingdom, Brazil, India and a number of other foreign jurisdictions. We generally are open to income tax examination in these foreign jurisdictions for taxable years beginning in 2003. As of December 31, 2018, we are currently being audited by the Indian tax authorities for fiscal years 2003 through 2012. We have no other on-going significant income tax examinations in process in our foreign jurisdictions.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income tax benefits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66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9"/>
              </w:rPr>
              <w:t>For the Years Ended December 31,</w:t>
            </w:r>
          </w:p>
        </w:tc>
        <w:tc>
          <w:tcPr>
            <w:tcW w:w="1020" w:type="dxa"/>
            <w:vAlign w:val="bottom"/>
            <w:tcBorders>
              <w:bottom w:val="single" w:sz="8" w:color="auto"/>
            </w:tcBorders>
          </w:tcPr>
          <w:p>
            <w:pPr>
              <w:spacing w:after="0"/>
              <w:rPr>
                <w:sz w:val="21"/>
                <w:szCs w:val="21"/>
                <w:color w:val="auto"/>
              </w:rPr>
            </w:pPr>
          </w:p>
        </w:tc>
      </w:tr>
      <w:tr>
        <w:trPr>
          <w:trHeight w:val="264"/>
        </w:trPr>
        <w:tc>
          <w:tcPr>
            <w:tcW w:w="636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Unrecognized tax benefit</w:t>
            </w:r>
          </w:p>
        </w:tc>
        <w:tc>
          <w:tcPr>
            <w:tcW w:w="360" w:type="dxa"/>
            <w:vAlign w:val="bottom"/>
          </w:tcPr>
          <w:p>
            <w:pPr>
              <w:spacing w:after="0"/>
              <w:rPr>
                <w:sz w:val="22"/>
                <w:szCs w:val="22"/>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2016</w:t>
            </w:r>
          </w:p>
        </w:tc>
      </w:tr>
      <w:tr>
        <w:trPr>
          <w:trHeight w:val="263"/>
        </w:trPr>
        <w:tc>
          <w:tcPr>
            <w:tcW w:w="6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9"/>
              </w:rPr>
              <w:t>(In thousands)</w:t>
            </w:r>
          </w:p>
        </w:tc>
        <w:tc>
          <w:tcPr>
            <w:tcW w:w="6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7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beginning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7,057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3,508</w:t>
            </w:r>
          </w:p>
        </w:tc>
      </w:tr>
      <w:tr>
        <w:trPr>
          <w:trHeight w:val="263"/>
        </w:trPr>
        <w:tc>
          <w:tcPr>
            <w:tcW w:w="6360" w:type="dxa"/>
            <w:vAlign w:val="bottom"/>
            <w:gridSpan w:val="2"/>
          </w:tcPr>
          <w:p>
            <w:pPr>
              <w:ind w:left="2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388</w:t>
            </w:r>
          </w:p>
        </w:tc>
      </w:tr>
      <w:tr>
        <w:trPr>
          <w:trHeight w:val="277"/>
        </w:trPr>
        <w:tc>
          <w:tcPr>
            <w:tcW w:w="6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Additions based on tax positions related to prior years</w:t>
            </w:r>
          </w:p>
        </w:tc>
        <w:tc>
          <w:tcPr>
            <w:tcW w:w="36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3,161</w:t>
            </w:r>
          </w:p>
        </w:tc>
      </w:tr>
      <w:tr>
        <w:trPr>
          <w:trHeight w:val="264"/>
        </w:trPr>
        <w:tc>
          <w:tcPr>
            <w:tcW w:w="6360" w:type="dxa"/>
            <w:vAlign w:val="bottom"/>
            <w:gridSpan w:val="2"/>
          </w:tcPr>
          <w:p>
            <w:pPr>
              <w:ind w:left="280"/>
              <w:spacing w:after="0"/>
              <w:rPr>
                <w:sz w:val="20"/>
                <w:szCs w:val="20"/>
                <w:color w:val="auto"/>
              </w:rPr>
            </w:pPr>
            <w:r>
              <w:rPr>
                <w:rFonts w:ascii="Arial" w:cs="Arial" w:eastAsia="Arial" w:hAnsi="Arial"/>
                <w:sz w:val="18"/>
                <w:szCs w:val="18"/>
                <w:color w:val="auto"/>
              </w:rPr>
              <w:t>Reductions based on tax positions related to prior years</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636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Balance as of end of period</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7,057</w:t>
            </w:r>
          </w:p>
        </w:tc>
      </w:tr>
      <w:tr>
        <w:trPr>
          <w:trHeight w:val="20"/>
        </w:trPr>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of December 31, 2018, we had $8 million of unrecognized income tax benefits, all of which, if recognized, would affect our effective tax rate. As of December 31, 2017, we had $8 million of unrecognized income tax benefits, all of which, if recognized, would affect our effective tax rate. We do not believe that the total amount of unrecognized income tax benefits will significantly increase or decrease within the next twelve months due to the lapse of statute of limitations or settlement with tax authorities.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2018, 2017 and 2016, our income tax provision included an insignificant amount of interest and penalties.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Estimates of our uncertain tax positions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we will record additional income tax provision or benefit in the period in which such resolution occurs.</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EMPLOYEE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EchoStar has an employee stock purchase plan (the “ESPP”), under which it is authorized to issue 5.0 million shares of EchoStar Class A common stock. As of December 31, 2018, EchoStar had approximately 2.5 million shares of Class A common stock which remain available for issuance under the ESPP. Generally, all full-time employees who have been employed by EchoStar for at least one calendar quarter are eligible to participate in the ESPP. Employee stock purchases are made through payroll deductions. Under the terms of the ESPP, each employee’s deductions are limited so that the maximum they may purchase under the ESPP is $25,000 in fair value of Class A common stock per year. Stock purchases are made on the last business day of each calendar quarter at 85.0% of the closing price of EchoStar’s Class A common stock on that date. For the years ended December 31, 2018, 2017 and 2016, employee purchases of EchoStar Class A common stock through the ESPP totaled approximately 235,000 shares, 169,000 shares and 209,000 shares,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Employee Savings Plans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EchoStar 401(k) Plan (“the Plan”), eligible employees are entitled to contribute up to 75.0% of their eligible compensation subject to the maximum contribution limit provided by the Internal Revenue Code of 1986, as amended (the “Code”). Eligible employees have the option to contribute up to 75% of their eligible compensation on a pre-tax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40"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and/or after-tax basis subject to the Code limits. All employee contributions to the Plan are immediately vested. EchoStar matches 50 cents on the dollar for the first 6.0% of each employee’s salary contributions to the Plan for a total of 3.0% match on a pre-tax basis up to a maximum of $7,500 annually. EchoStar’s match is calculated each pay period there is an employee contribution. In addition, EchoStar may make an annual discretionary contribution to the Plan to be made in cash or EchoStar’s stock. EchoStar’s contributions under the Plan vest at 20.0% per year and are 100.0% vested after an eligible employee has completed five years of employment. Forfeitures of unvested participant balances may be used to fund matching and discretionary contributions.</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years ended December 31, 2018, 2017 and 2016, we recognized matching contributions, net of forfeitures, of $5 million, $5 million and $4 million, respectively, and EchoStar made discretionary contributions to our employees of shares of its Class A common stock, net of forfeitures, with a fair value of $8 million, $7 million and $6 million, respectively, to the Plan.</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at December 31,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020" w:type="dxa"/>
            <w:vAlign w:val="bottom"/>
            <w:tcBorders>
              <w:bottom w:val="single" w:sz="8" w:color="auto"/>
            </w:tcBorders>
            <w:gridSpan w:val="11"/>
          </w:tcPr>
          <w:p>
            <w:pPr>
              <w:jc w:val="center"/>
              <w:ind w:left="730"/>
              <w:spacing w:after="0"/>
              <w:rPr>
                <w:sz w:val="20"/>
                <w:szCs w:val="20"/>
                <w:color w:val="auto"/>
              </w:rPr>
            </w:pPr>
            <w:r>
              <w:rPr>
                <w:rFonts w:ascii="Arial" w:cs="Arial" w:eastAsia="Arial" w:hAnsi="Arial"/>
                <w:sz w:val="18"/>
                <w:szCs w:val="18"/>
                <w:b w:val="1"/>
                <w:bCs w:val="1"/>
                <w:color w:val="auto"/>
                <w:w w:val="99"/>
              </w:rPr>
              <w:t>Payments Due in the Year Ending December 31,</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r>
      <w:tr>
        <w:trPr>
          <w:trHeight w:val="264"/>
        </w:trPr>
        <w:tc>
          <w:tcPr>
            <w:tcW w:w="2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Thereafter</w:t>
            </w:r>
          </w:p>
        </w:tc>
      </w:tr>
      <w:tr>
        <w:trPr>
          <w:trHeight w:val="250"/>
        </w:trPr>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7"/>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3,320,836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920,836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1,500,000</w:t>
            </w:r>
          </w:p>
        </w:tc>
      </w:tr>
      <w:tr>
        <w:trPr>
          <w:trHeight w:val="263"/>
        </w:trPr>
        <w:tc>
          <w:tcPr>
            <w:tcW w:w="236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228,702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40,662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45,031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46,353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31,857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35,476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29,323</w:t>
            </w:r>
          </w:p>
        </w:tc>
      </w:tr>
      <w:tr>
        <w:trPr>
          <w:trHeight w:val="235"/>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on long-term debt</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03"/>
        </w:trPr>
        <w:tc>
          <w:tcPr>
            <w:tcW w:w="2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and capital lease</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2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983,824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209,989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175,808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136,662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98,265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94,529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268,571</w:t>
            </w:r>
          </w:p>
        </w:tc>
      </w:tr>
      <w:tr>
        <w:trPr>
          <w:trHeight w:val="263"/>
        </w:trPr>
        <w:tc>
          <w:tcPr>
            <w:tcW w:w="2360" w:type="dxa"/>
            <w:vAlign w:val="bottom"/>
          </w:tcPr>
          <w:p>
            <w:pPr>
              <w:ind w:left="40"/>
              <w:spacing w:after="0"/>
              <w:rPr>
                <w:sz w:val="20"/>
                <w:szCs w:val="20"/>
                <w:color w:val="auto"/>
              </w:rPr>
            </w:pPr>
            <w:r>
              <w:rPr>
                <w:rFonts w:ascii="Arial" w:cs="Arial" w:eastAsia="Arial" w:hAnsi="Arial"/>
                <w:sz w:val="18"/>
                <w:szCs w:val="18"/>
                <w:color w:val="auto"/>
              </w:rPr>
              <w:t>Satellite-related obligations</w:t>
            </w:r>
          </w:p>
        </w:tc>
        <w:tc>
          <w:tcPr>
            <w:tcW w:w="2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482,010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115,514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118,688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52,515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39,451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39,771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116,071</w:t>
            </w:r>
          </w:p>
        </w:tc>
      </w:tr>
      <w:tr>
        <w:trPr>
          <w:trHeight w:val="277"/>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87,987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17,587</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16,957</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13,400</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9,730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8,427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21,886</w:t>
            </w:r>
          </w:p>
        </w:tc>
      </w:tr>
      <w:tr>
        <w:trPr>
          <w:trHeight w:val="244"/>
        </w:trPr>
        <w:tc>
          <w:tcPr>
            <w:tcW w:w="236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5,103,359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1,304,588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356,484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1,148,930</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179,303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178,203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1,935,851</w:t>
            </w:r>
          </w:p>
        </w:tc>
      </w:tr>
      <w:tr>
        <w:trPr>
          <w:trHeight w:val="20"/>
        </w:trPr>
        <w:tc>
          <w:tcPr>
            <w:tcW w:w="2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satellite-related obligations primarily include payments pursuant to regulatory authorizations; executory costs for our capital lease satellites; costs under agreements to lease satellite capacity; and in-orbit incentives relating to certain satellites; as well as commitments for long-term satellite operating leases and satellite service arrangements. We incurred satellite-related expenses of $101 million, $140 million and $144 million for the years ended December 31, 2018, 2017 and 2016, respectively.</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table above does not include amounts related to deferred tax liabilities, unrecognized tax positions and certain other amounts recorded in our noncurrent liabilities as the timing of any payments is uncertain. The table also excludes long-term deferred revenue and other long-term liabilities that do not require future cash payments.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certain circumstances, the dates on which we are obligated to pay our contractual obligations could change.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 Expense</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For the years ended December 31, 2018, 2017 and 2016, we recorded $26 million, $28 million and $19 million, respectively, of operating lease expense relating to the leases of office space, equipment, and other facilities.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40"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and Share Exchange</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EchoStar’s spin-off from DISH in 2008 (the “Spin-off”), EchoStar entered into a separation agreement with DISH Network that provides, among other things, for the division of certain liabilities, including liabilities resulting from litigation. Under the terms of the separation agreement, EchoStar assumed certain liabilities that relate to its and our business, including certain designated liabilities for acts or omissions that occurred prior to the Spin-off. Certain specific provisions govern intellectual property related claims under which, generally, EchoStar will only be liable for its acts or omissions following the Spin-off and DISH Network will indemnify EchoStar for any liabilities or damages resulting from intellectual property claims relating to the period prior to the Spin-off, as well as DISH Network’s acts or omissions following the Spin-off. Additionally, in connection with the Share Exchange, EchoStar entered into a share exchange agreement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EchoStar and us and DISH Network for certain pre-existing liabilities and legal proceedings.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certain cases,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or motions;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40"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vigorously defend the proceedings against us. In the event that a court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Elbit</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(“USPTO”) challenging the validity of the patents in suit, which the USPTO subsequently declined to institute. On April 13, 2016, the defendants answered Elbit’s complaint. At Elbit’s request, on June 26, 2017, the court dismissed Elbit’s claims of infringement against all parties other than HNS. Trial commenced on July 31, 2017. On August 7, 2017, the jury returned a verdict that the 073 patent was valid and infringed, and awarded Elbit approximately $21 million. The jury also found that such infringement of the 073 patent was not willful and that the 874 patent was not infringed. On March 30, 2018, the court ruled on post-trial motions, upholding the jury’s findings and awarding Elbit attorneys’ fees in an amount that has not yet been specified. As a result of pre-judgment interest, costs and unit sales through the 073 patent’s expiration in November 2017, the jury verdict would result in a payment of approximately $29 million plus post-judgment interest if not overturned or modified on appeal. Elbit has requested an award of approximately $14 million of attorneys’ fees. HNS is contesting Elbit’s claims as inappropriate and unreasonable in light of the court’s decision and prevailing law. On April 27, 2018, HNS filed a notice of appeal to the U.S. Court of Appeals for the Federal Circuit. The parties have briefed the appeal and are awaiting a date for oral arguments. We cannot predict with certainty the outcome of the appeal. As of December 31, 2018 and 2017, we have recorded an accrual of approximately $3 million and $3 million, respectively, with respect to this liability. Any eventual payments made with respect to the ultimate outcome of this matter may be different from our accruals and such differences could be significant.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Realtime Data LLC</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May 8, 2015, Realtime Data LLC (“Realtime”) filed suit against EchoStar Corporation and our subsidiary HNS in the U.S. District Court for the Eastern District of Texas alleging infringement of U.S. Patent Nos. 7,378,992 (the “992 patent”), entitled “Content Independent Data Compression Method and System;” 7,415,530 (the “530 patent”), entitled “System and Methods for Accelerated Data Storage and Retrieval,” and 8,643,513 (the “513 patent”), entitled “Data Compression System and Methods.” On September 14, 2015, Realtime amended its complaint, additionally alleging infringement of U.S. Patent No. 9,116,908 (the “908 patent”), entitled “System and Methods for Accelerated Data Storage and Retrieval.” On February 14, 2017, Realtime filed a second suit against EchoStar Corporation and our subsidiary HNS in the same District Court, alleging infringement of four additional U.S. Patents, Nos. 7,358,867 (the “867 patent”), entitled “Content Independent Data Compression Method and System;” 8,502,707 (the “707 patent”), entitled “Data Compression Systems and Methods;” 8,717,204 (the “204 patent”), entitled “Methods for Encoding and Decoding Data;” and 9,054,728 (the “728 patent”), entitled “Data Compression System and Methods.” On February 13, 2018, we filed petitions before the USPTO challenging the validity of all claims asserted against us from the 707 patent, as well as one of the asserted claims of the 728 patent. On September 5, 2018, the USPTO declined to institute proceedings for the petition that we had filed against the 728 patent. On September 12, 2018, the USPTO instituted proceedings to review the validity of the asserted claims of the 707 patent. In a stipulation filed on October 24, 2018, Realtime voluntarily elected not to pursue any previously asserted claims from the 992, 530, 513, 908, 867 and 204 patents. Realtime is an entity that seeks to license an acquired patent portfolio without itself practicing any of the claims recited therein. In February 2019, we entered into a settlement agreement with Realtime and the case was dismissed with prejudice.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40"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18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tab/>
        <w:t>SEGMENT REPORTING</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segments are business components of an enterprise for which separate financial information is available and regularly evaluated by our chief operating decision maker (“CODM”), who is our Chief Executive Officer. We primarily operate in two business segments, Hughes and ESS as described in Note 1 .</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or EBITDA. 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the tables below or in the reconciliation of EBITDA below.</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Transactions between segments were not significant for the years ended December 31, 2018, 2017 and 2016. Total assets by segment have not been reported herein because the information is not provided to our CODM on a regular basis.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40"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Corporate</w:t>
            </w:r>
          </w:p>
        </w:tc>
        <w:tc>
          <w:tcPr>
            <w:tcW w:w="220" w:type="dxa"/>
            <w:vAlign w:val="bottom"/>
          </w:tcPr>
          <w:p>
            <w:pPr>
              <w:spacing w:after="0"/>
              <w:rPr>
                <w:sz w:val="17"/>
                <w:szCs w:val="17"/>
                <w:color w:val="auto"/>
              </w:rPr>
            </w:pPr>
          </w:p>
        </w:tc>
        <w:tc>
          <w:tcPr>
            <w:tcW w:w="1380" w:type="dxa"/>
            <w:vAlign w:val="bottom"/>
          </w:tcPr>
          <w:p>
            <w:pPr>
              <w:jc w:val="right"/>
              <w:ind w:right="110"/>
              <w:spacing w:after="0"/>
              <w:rPr>
                <w:sz w:val="20"/>
                <w:szCs w:val="20"/>
                <w:color w:val="auto"/>
              </w:rPr>
            </w:pPr>
            <w:r>
              <w:rPr>
                <w:rFonts w:ascii="Arial" w:cs="Arial" w:eastAsia="Arial" w:hAnsi="Arial"/>
                <w:sz w:val="18"/>
                <w:szCs w:val="18"/>
                <w:b w:val="1"/>
                <w:bCs w:val="1"/>
                <w:color w:val="auto"/>
              </w:rPr>
              <w:t>Consolidated</w:t>
            </w:r>
          </w:p>
        </w:tc>
      </w:tr>
      <w:tr>
        <w:trPr>
          <w:trHeight w:val="246"/>
        </w:trPr>
        <w:tc>
          <w:tcPr>
            <w:tcW w:w="45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Hughes</w:t>
            </w: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ESS</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and Other</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50"/>
        </w:trPr>
        <w:tc>
          <w:tcPr>
            <w:tcW w:w="4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900" w:type="dxa"/>
            <w:vAlign w:val="bottom"/>
            <w:gridSpan w:val="3"/>
          </w:tcPr>
          <w:p>
            <w:pPr>
              <w:jc w:val="right"/>
              <w:ind w:right="99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2018</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1,716,169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355,734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25,760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2,097,663</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2,324</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1,716,528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358,058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23,077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2,097,663</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601,319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308,058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893,903</w:t>
            </w: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390,108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(76,582)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313,541</w:t>
            </w: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2017</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1,476,131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390,831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9,907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1,876,869</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1,787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1,413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1,477,918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392,244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6,707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1,876,869</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475,222</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315,285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(42,415)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748,092</w:t>
            </w: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376,502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20,725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397,227</w:t>
            </w: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 ended December 31, 2016</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63"/>
        </w:trPr>
        <w:tc>
          <w:tcPr>
            <w:tcW w:w="450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1,389,152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406,970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3,671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1,799,793</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3,209</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45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1,392,361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407,660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1,799,793</w:t>
            </w:r>
          </w:p>
        </w:tc>
      </w:tr>
      <w:tr>
        <w:trPr>
          <w:trHeight w:val="27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477,165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341,516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782,507</w:t>
            </w:r>
          </w:p>
        </w:tc>
      </w:tr>
      <w:tr>
        <w:trPr>
          <w:trHeight w:val="257"/>
        </w:trPr>
        <w:tc>
          <w:tcPr>
            <w:tcW w:w="450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322,362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58,925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381,287</w:t>
            </w:r>
          </w:p>
        </w:tc>
      </w:tr>
    </w:tbl>
    <w:p>
      <w:pPr>
        <w:spacing w:after="0" w:line="3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reconciles total consolidated EBITDA to reported “Income before income taxes” in our consolidated statements of operations and comprehensive income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99"/>
              </w:rPr>
              <w:t>For the Years Ended December 31,</w:t>
            </w:r>
          </w:p>
        </w:tc>
        <w:tc>
          <w:tcPr>
            <w:tcW w:w="1060" w:type="dxa"/>
            <w:vAlign w:val="bottom"/>
            <w:tcBorders>
              <w:bottom w:val="single" w:sz="8" w:color="auto"/>
            </w:tcBorders>
          </w:tcPr>
          <w:p>
            <w:pPr>
              <w:spacing w:after="0"/>
              <w:rPr>
                <w:sz w:val="21"/>
                <w:szCs w:val="21"/>
                <w:color w:val="auto"/>
              </w:rPr>
            </w:pPr>
          </w:p>
        </w:tc>
      </w:tr>
      <w:tr>
        <w:trPr>
          <w:trHeight w:val="264"/>
        </w:trPr>
        <w:tc>
          <w:tcPr>
            <w:tcW w:w="5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50"/>
        </w:trPr>
        <w:tc>
          <w:tcPr>
            <w:tcW w:w="5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rPr>
              <w:t>(In thousands)</w:t>
            </w:r>
          </w:p>
        </w:tc>
        <w:tc>
          <w:tcPr>
            <w:tcW w:w="6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7"/>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893,903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748,092</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782,507</w:t>
            </w:r>
          </w:p>
        </w:tc>
      </w:tr>
      <w:tr>
        <w:trPr>
          <w:trHeight w:val="263"/>
        </w:trPr>
        <w:tc>
          <w:tcPr>
            <w:tcW w:w="5740" w:type="dxa"/>
            <w:vAlign w:val="bottom"/>
          </w:tcPr>
          <w:p>
            <w:pPr>
              <w:ind w:left="180"/>
              <w:spacing w:after="0"/>
              <w:rPr>
                <w:sz w:val="20"/>
                <w:szCs w:val="20"/>
                <w:color w:val="auto"/>
              </w:rPr>
            </w:pPr>
            <w:r>
              <w:rPr>
                <w:rFonts w:ascii="Arial" w:cs="Arial" w:eastAsia="Arial" w:hAnsi="Arial"/>
                <w:sz w:val="18"/>
                <w:szCs w:val="18"/>
                <w:color w:val="auto"/>
              </w:rPr>
              <w:t>Interest income and expense, net</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(200,617)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(213,526)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(174,600)</w:t>
            </w:r>
          </w:p>
        </w:tc>
      </w:tr>
      <w:tr>
        <w:trPr>
          <w:trHeight w:val="277"/>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(496,798)</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(414,133)</w:t>
            </w:r>
          </w:p>
        </w:tc>
      </w:tr>
      <w:tr>
        <w:trPr>
          <w:trHeight w:val="264"/>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1,706</w:t>
            </w:r>
          </w:p>
        </w:tc>
      </w:tr>
      <w:tr>
        <w:trPr>
          <w:trHeight w:val="250"/>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143,712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39,351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195,480</w:t>
            </w:r>
          </w:p>
        </w:tc>
      </w:tr>
      <w:tr>
        <w:trPr>
          <w:trHeight w:val="20"/>
        </w:trPr>
        <w:tc>
          <w:tcPr>
            <w:tcW w:w="5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 and Transactions with Major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Geographic Information. </w:t>
      </w:r>
      <w:r>
        <w:rPr>
          <w:rFonts w:ascii="Arial" w:cs="Arial" w:eastAsia="Arial" w:hAnsi="Arial"/>
          <w:sz w:val="18"/>
          <w:szCs w:val="18"/>
          <w:color w:val="auto"/>
        </w:rPr>
        <w:t>Revenue is attributed to geographic regions based upon the location where the goods and services are provided.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North America revenue includes transactions with customers in the U.S. and its territories, Mexico and Canada. Central and South America revenue includes transactions with customers in Brazil, Colombia, Peru, Ecuador and other countries in this region. All other revenue includes transactions with customers in Asia, Africa, Australia, Europe, and the Middle East. The following table summarizes total long-lived assets and revenue attributed to the North America, South and Central America and other foreign locations.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40"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As of December 31,</w:t>
            </w:r>
          </w:p>
        </w:tc>
      </w:tr>
      <w:tr>
        <w:trPr>
          <w:trHeight w:val="264"/>
        </w:trPr>
        <w:tc>
          <w:tcPr>
            <w:tcW w:w="780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Long-lived assets:</w:t>
            </w:r>
          </w:p>
        </w:tc>
        <w:tc>
          <w:tcPr>
            <w:tcW w:w="360" w:type="dxa"/>
            <w:vAlign w:val="bottom"/>
          </w:tcPr>
          <w:p>
            <w:pPr>
              <w:spacing w:after="0"/>
              <w:rPr>
                <w:sz w:val="22"/>
                <w:szCs w:val="22"/>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2017</w:t>
            </w:r>
          </w:p>
        </w:tc>
      </w:tr>
      <w:tr>
        <w:trPr>
          <w:trHeight w:val="263"/>
        </w:trPr>
        <w:tc>
          <w:tcPr>
            <w:tcW w:w="7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000" w:type="dxa"/>
            <w:vAlign w:val="bottom"/>
            <w:tcBorders>
              <w:top w:val="single" w:sz="8" w:color="auto"/>
            </w:tcBorders>
          </w:tcPr>
          <w:p>
            <w:pPr>
              <w:spacing w:after="0"/>
              <w:rPr>
                <w:sz w:val="22"/>
                <w:szCs w:val="22"/>
                <w:color w:val="auto"/>
              </w:rPr>
            </w:pPr>
          </w:p>
        </w:tc>
      </w:tr>
      <w:tr>
        <w:trPr>
          <w:trHeight w:val="304"/>
        </w:trPr>
        <w:tc>
          <w:tcPr>
            <w:tcW w:w="7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3,311,208</w:t>
            </w:r>
          </w:p>
        </w:tc>
        <w:tc>
          <w:tcPr>
            <w:tcW w:w="10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3,482,462</w:t>
            </w:r>
          </w:p>
        </w:tc>
      </w:tr>
      <w:tr>
        <w:trPr>
          <w:trHeight w:val="277"/>
        </w:trPr>
        <w:tc>
          <w:tcPr>
            <w:tcW w:w="7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Central and South America</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192,860</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28,360</w:t>
            </w:r>
          </w:p>
        </w:tc>
      </w:tr>
      <w:tr>
        <w:trPr>
          <w:trHeight w:val="264"/>
        </w:trPr>
        <w:tc>
          <w:tcPr>
            <w:tcW w:w="7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91,798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270,689</w:t>
            </w:r>
          </w:p>
        </w:tc>
      </w:tr>
      <w:tr>
        <w:trPr>
          <w:trHeight w:val="250"/>
        </w:trPr>
        <w:tc>
          <w:tcPr>
            <w:tcW w:w="7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long-lived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3,595,866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3,781,511</w:t>
            </w:r>
          </w:p>
        </w:tc>
      </w:tr>
      <w:tr>
        <w:trPr>
          <w:trHeight w:val="20"/>
        </w:trPr>
        <w:tc>
          <w:tcPr>
            <w:tcW w:w="7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gridSpan w:val="7"/>
          </w:tcPr>
          <w:p>
            <w:pPr>
              <w:jc w:val="center"/>
              <w:ind w:right="230"/>
              <w:spacing w:after="0"/>
              <w:rPr>
                <w:sz w:val="20"/>
                <w:szCs w:val="20"/>
                <w:color w:val="auto"/>
              </w:rPr>
            </w:pPr>
            <w:r>
              <w:rPr>
                <w:rFonts w:ascii="Arial" w:cs="Arial" w:eastAsia="Arial" w:hAnsi="Arial"/>
                <w:sz w:val="18"/>
                <w:szCs w:val="18"/>
                <w:b w:val="1"/>
                <w:bCs w:val="1"/>
                <w:color w:val="auto"/>
                <w:w w:val="99"/>
              </w:rPr>
              <w:t>For the Years Ended December 31,</w:t>
            </w:r>
          </w:p>
        </w:tc>
      </w:tr>
      <w:tr>
        <w:trPr>
          <w:trHeight w:val="264"/>
        </w:trPr>
        <w:tc>
          <w:tcPr>
            <w:tcW w:w="616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w:t>
            </w:r>
          </w:p>
        </w:tc>
        <w:tc>
          <w:tcPr>
            <w:tcW w:w="340" w:type="dxa"/>
            <w:vAlign w:val="bottom"/>
          </w:tcPr>
          <w:p>
            <w:pPr>
              <w:spacing w:after="0"/>
              <w:rPr>
                <w:sz w:val="22"/>
                <w:szCs w:val="22"/>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2017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63"/>
        </w:trPr>
        <w:tc>
          <w:tcPr>
            <w:tcW w:w="6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rPr>
              <w:t>(In thousands)</w:t>
            </w:r>
          </w:p>
        </w:tc>
        <w:tc>
          <w:tcPr>
            <w:tcW w:w="3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304"/>
        </w:trPr>
        <w:tc>
          <w:tcPr>
            <w:tcW w:w="6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3"/>
        </w:trPr>
        <w:tc>
          <w:tcPr>
            <w:tcW w:w="616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1,806,540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1,511,096</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1,469,666</w:t>
            </w:r>
          </w:p>
        </w:tc>
      </w:tr>
      <w:tr>
        <w:trPr>
          <w:trHeight w:val="277"/>
        </w:trPr>
        <w:tc>
          <w:tcPr>
            <w:tcW w:w="6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Central and South America</w:t>
            </w: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89,928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86,236</w:t>
            </w:r>
          </w:p>
        </w:tc>
      </w:tr>
      <w:tr>
        <w:trPr>
          <w:trHeight w:val="264"/>
        </w:trPr>
        <w:tc>
          <w:tcPr>
            <w:tcW w:w="61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189,491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275,845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243,891</w:t>
            </w:r>
          </w:p>
        </w:tc>
      </w:tr>
      <w:tr>
        <w:trPr>
          <w:trHeight w:val="250"/>
        </w:trPr>
        <w:tc>
          <w:tcPr>
            <w:tcW w:w="6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2,097,663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1,876,869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1,799,793</w:t>
            </w:r>
          </w:p>
        </w:tc>
      </w:tr>
      <w:tr>
        <w:trPr>
          <w:trHeight w:val="20"/>
        </w:trPr>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Transactions with Major Customers. </w:t>
      </w:r>
      <w:r>
        <w:rPr>
          <w:rFonts w:ascii="Arial" w:cs="Arial" w:eastAsia="Arial" w:hAnsi="Arial"/>
          <w:sz w:val="18"/>
          <w:szCs w:val="18"/>
          <w:color w:val="auto"/>
        </w:rPr>
        <w:t>For the years ended December 31, 2018, 2017 and 2016, our revenue included sales to one major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The following table summarizes sales to this customer and its percentage of total revenue.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72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rPr>
              <w:t>For the Years Ended December 31,</w:t>
            </w:r>
          </w:p>
        </w:tc>
        <w:tc>
          <w:tcPr>
            <w:tcW w:w="1040" w:type="dxa"/>
            <w:vAlign w:val="bottom"/>
            <w:tcBorders>
              <w:bottom w:val="single" w:sz="8" w:color="auto"/>
            </w:tcBorders>
          </w:tcPr>
          <w:p>
            <w:pPr>
              <w:spacing w:after="0"/>
              <w:rPr>
                <w:sz w:val="21"/>
                <w:szCs w:val="21"/>
                <w:color w:val="auto"/>
              </w:rPr>
            </w:pPr>
          </w:p>
        </w:tc>
      </w:tr>
      <w:tr>
        <w:trPr>
          <w:trHeight w:val="264"/>
        </w:trPr>
        <w:tc>
          <w:tcPr>
            <w:tcW w:w="59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2016</w:t>
            </w:r>
          </w:p>
        </w:tc>
      </w:tr>
      <w:tr>
        <w:trPr>
          <w:trHeight w:val="250"/>
        </w:trPr>
        <w:tc>
          <w:tcPr>
            <w:tcW w:w="5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 thousands)</w:t>
            </w: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7"/>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DISH Network:</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Hughes segment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50,275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82,625</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107,300</w:t>
            </w:r>
          </w:p>
        </w:tc>
      </w:tr>
      <w:tr>
        <w:trPr>
          <w:trHeight w:val="263"/>
        </w:trPr>
        <w:tc>
          <w:tcPr>
            <w:tcW w:w="5940" w:type="dxa"/>
            <w:vAlign w:val="bottom"/>
          </w:tcPr>
          <w:p>
            <w:pPr>
              <w:ind w:left="280"/>
              <w:spacing w:after="0"/>
              <w:rPr>
                <w:sz w:val="20"/>
                <w:szCs w:val="20"/>
                <w:color w:val="auto"/>
              </w:rPr>
            </w:pPr>
            <w:r>
              <w:rPr>
                <w:rFonts w:ascii="Arial" w:cs="Arial" w:eastAsia="Arial" w:hAnsi="Arial"/>
                <w:sz w:val="18"/>
                <w:szCs w:val="18"/>
                <w:color w:val="auto"/>
              </w:rPr>
              <w:t>EchoStar Satellite Services segment</w:t>
            </w:r>
          </w:p>
        </w:tc>
        <w:tc>
          <w:tcPr>
            <w:tcW w:w="360" w:type="dxa"/>
            <w:vAlign w:val="bottom"/>
          </w:tcPr>
          <w:p>
            <w:pPr>
              <w:spacing w:after="0"/>
              <w:rPr>
                <w:sz w:val="22"/>
                <w:szCs w:val="22"/>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309,815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344,841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349,549</w:t>
            </w:r>
          </w:p>
        </w:tc>
      </w:tr>
      <w:tr>
        <w:trPr>
          <w:trHeight w:val="277"/>
        </w:trPr>
        <w:tc>
          <w:tcPr>
            <w:tcW w:w="5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6,537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6,653</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1,538</w:t>
            </w:r>
          </w:p>
        </w:tc>
      </w:tr>
      <w:tr>
        <w:trPr>
          <w:trHeight w:val="243"/>
        </w:trPr>
        <w:tc>
          <w:tcPr>
            <w:tcW w:w="5940" w:type="dxa"/>
            <w:vAlign w:val="bottom"/>
          </w:tcPr>
          <w:p>
            <w:pPr>
              <w:ind w:left="500"/>
              <w:spacing w:after="0"/>
              <w:rPr>
                <w:sz w:val="20"/>
                <w:szCs w:val="20"/>
                <w:color w:val="auto"/>
              </w:rPr>
            </w:pPr>
            <w:r>
              <w:rPr>
                <w:rFonts w:ascii="Arial" w:cs="Arial" w:eastAsia="Arial" w:hAnsi="Arial"/>
                <w:sz w:val="18"/>
                <w:szCs w:val="18"/>
                <w:color w:val="auto"/>
              </w:rPr>
              <w:t>Total DISH Network</w:t>
            </w:r>
          </w:p>
        </w:tc>
        <w:tc>
          <w:tcPr>
            <w:tcW w:w="36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366,627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434,119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458,387</w:t>
            </w:r>
          </w:p>
        </w:tc>
      </w:tr>
      <w:tr>
        <w:trPr>
          <w:trHeight w:val="277"/>
        </w:trPr>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All other</w:t>
            </w:r>
          </w:p>
        </w:tc>
        <w:tc>
          <w:tcPr>
            <w:tcW w:w="3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1,731,036</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1,442,750</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1,341,406</w:t>
            </w:r>
          </w:p>
        </w:tc>
      </w:tr>
      <w:tr>
        <w:trPr>
          <w:trHeight w:val="284"/>
        </w:trPr>
        <w:tc>
          <w:tcPr>
            <w:tcW w:w="59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2,097,663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1,876,869</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1,799,793</w:t>
            </w:r>
          </w:p>
        </w:tc>
      </w:tr>
      <w:tr>
        <w:trPr>
          <w:trHeight w:val="271"/>
        </w:trPr>
        <w:tc>
          <w:tcPr>
            <w:tcW w:w="5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Percentage of total revenue:</w:t>
            </w:r>
          </w:p>
        </w:tc>
        <w:tc>
          <w:tcPr>
            <w:tcW w:w="1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DISH Network</w:t>
            </w:r>
          </w:p>
        </w:tc>
        <w:tc>
          <w:tcPr>
            <w:tcW w:w="19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500"/>
              <w:spacing w:after="0"/>
              <w:rPr>
                <w:sz w:val="20"/>
                <w:szCs w:val="20"/>
                <w:color w:val="auto"/>
              </w:rPr>
            </w:pPr>
            <w:r>
              <w:rPr>
                <w:rFonts w:ascii="Arial" w:cs="Arial" w:eastAsia="Arial" w:hAnsi="Arial"/>
                <w:sz w:val="18"/>
                <w:szCs w:val="18"/>
                <w:color w:val="auto"/>
              </w:rPr>
              <w:t>All other</w:t>
            </w:r>
          </w:p>
        </w:tc>
        <w:tc>
          <w:tcPr>
            <w:tcW w:w="19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3680" w:type="dxa"/>
            <w:vAlign w:val="bottom"/>
            <w:gridSpan w:val="3"/>
          </w:tcPr>
          <w:p>
            <w:pPr>
              <w:ind w:left="1520"/>
              <w:spacing w:after="0"/>
              <w:rPr>
                <w:sz w:val="20"/>
                <w:szCs w:val="20"/>
                <w:color w:val="auto"/>
              </w:rPr>
            </w:pPr>
            <w:r>
              <w:rPr>
                <w:rFonts w:ascii="Arial" w:cs="Arial" w:eastAsia="Arial" w:hAnsi="Arial"/>
                <w:sz w:val="18"/>
                <w:szCs w:val="18"/>
                <w:color w:val="auto"/>
              </w:rPr>
              <w:t>F-41</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QUARTERLY FINANCIAL DATA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results of operations 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For the Three Months Ended</w:t>
            </w: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r>
      <w:tr>
        <w:trPr>
          <w:trHeight w:val="264"/>
        </w:trPr>
        <w:tc>
          <w:tcPr>
            <w:tcW w:w="4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(1)</w:t>
            </w:r>
          </w:p>
        </w:tc>
      </w:tr>
      <w:tr>
        <w:trPr>
          <w:trHeight w:val="250"/>
        </w:trPr>
        <w:tc>
          <w:tcPr>
            <w:tcW w:w="4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20" w:type="dxa"/>
            <w:vAlign w:val="bottom"/>
            <w:gridSpan w:val="3"/>
          </w:tcPr>
          <w:p>
            <w:pPr>
              <w:jc w:val="right"/>
              <w:ind w:right="75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57"/>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r>
      <w:tr>
        <w:trPr>
          <w:trHeight w:val="263"/>
        </w:trPr>
        <w:tc>
          <w:tcPr>
            <w:tcW w:w="43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502,895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527,596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534,855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532,317</w:t>
            </w:r>
          </w:p>
        </w:tc>
      </w:tr>
      <w:tr>
        <w:trPr>
          <w:trHeight w:val="27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80,664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98,778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94,320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69,949</w:t>
            </w:r>
          </w:p>
        </w:tc>
      </w:tr>
      <w:tr>
        <w:trPr>
          <w:trHeight w:val="263"/>
        </w:trPr>
        <w:tc>
          <w:tcPr>
            <w:tcW w:w="4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20,381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40,693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28,920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7,349</w:t>
            </w:r>
          </w:p>
        </w:tc>
      </w:tr>
      <w:tr>
        <w:trPr>
          <w:trHeight w:val="27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HSS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20,001</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40,231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28,470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6,799</w:t>
            </w:r>
          </w:p>
        </w:tc>
      </w:tr>
      <w:tr>
        <w:trPr>
          <w:trHeight w:val="284"/>
        </w:trPr>
        <w:tc>
          <w:tcPr>
            <w:tcW w:w="4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63"/>
        </w:trPr>
        <w:tc>
          <w:tcPr>
            <w:tcW w:w="43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430,118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462,265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478,362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506,124</w:t>
            </w:r>
          </w:p>
        </w:tc>
      </w:tr>
      <w:tr>
        <w:trPr>
          <w:trHeight w:val="27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60,690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68,919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66,969</w:t>
            </w:r>
          </w:p>
        </w:tc>
      </w:tr>
      <w:tr>
        <w:trPr>
          <w:trHeight w:val="263"/>
        </w:trPr>
        <w:tc>
          <w:tcPr>
            <w:tcW w:w="43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9,427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11,483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276,341</w:t>
            </w:r>
          </w:p>
        </w:tc>
      </w:tr>
      <w:tr>
        <w:trPr>
          <w:trHeight w:val="277"/>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HSS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9,135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10,951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275,764</w:t>
            </w:r>
          </w:p>
        </w:tc>
      </w:tr>
    </w:tbl>
    <w:p>
      <w:pPr>
        <w:spacing w:after="0" w:line="221" w:lineRule="exact"/>
        <w:rPr>
          <w:sz w:val="20"/>
          <w:szCs w:val="20"/>
          <w:color w:val="auto"/>
        </w:rPr>
      </w:pPr>
    </w:p>
    <w:p>
      <w:pPr>
        <w:jc w:val="both"/>
        <w:ind w:left="340" w:hanging="332"/>
        <w:spacing w:after="0" w:line="253"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Net income for the three months ended December 31, 2017 include a discrete income tax benefit of $283 million related to the enactment of federal tax legislation in December 2017 and an impairment loss of $6 million relating to our regulatory authorizations with indefinite lives. See Note 11 for additional information relating to the income tax benefit.</w:t>
      </w:r>
    </w:p>
    <w:p>
      <w:pPr>
        <w:spacing w:after="0" w:line="2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and EchoStar, including EchoStar’s other subsidiaries, have agreed that we shall each have the right, but not the obligation, to receive from the other certain shared corporate services, including among other things: treasury, tax, accounting and reporting, risk management, cybersecurity, legal, internal audit, human resources, and information technology. These shared corporate services are generally provided at cost. Effective March 2017, and as a result of the Share Exchange, we implemented a new methodology for determining the cost of these shared corporate services. We and EchoStar, including EchoStar’s other subsidiaries, may each terminate a particular shared corporate service for any reason upon at least 30 days’ notice. We recorded net expenses for shared corporate services received from EchoStar and it other subsidiaries of $16 million, $22 million and $17 million for the years ended December 31, 2018, 2017 and 2016, respectively.</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also reimburse EchoStar and its other subsidiaries from time to time for amounts paid by EchoStar and its other subsidiaries for costs and expenses attributable to us, and EchoStar and its other subsidiaries similarly reimburse us from time to time for amounts paid by us for costs and expenses attributable to EchoStar and its other subsidiaries. We report net payments under these arrangements in </w:t>
      </w:r>
      <w:r>
        <w:rPr>
          <w:rFonts w:ascii="Arial" w:cs="Arial" w:eastAsia="Arial" w:hAnsi="Arial"/>
          <w:sz w:val="18"/>
          <w:szCs w:val="18"/>
          <w:i w:val="1"/>
          <w:iCs w:val="1"/>
          <w:color w:val="auto"/>
        </w:rPr>
        <w:t>Advances to affiliates,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net </w:t>
      </w:r>
      <w:r>
        <w:rPr>
          <w:rFonts w:ascii="Arial" w:cs="Arial" w:eastAsia="Arial" w:hAnsi="Arial"/>
          <w:sz w:val="18"/>
          <w:szCs w:val="18"/>
          <w:color w:val="auto"/>
        </w:rPr>
        <w:t>within current assets and we report net receipts under these arrangements in</w:t>
      </w:r>
      <w:r>
        <w:rPr>
          <w:rFonts w:ascii="Arial" w:cs="Arial" w:eastAsia="Arial" w:hAnsi="Arial"/>
          <w:sz w:val="18"/>
          <w:szCs w:val="18"/>
          <w:i w:val="1"/>
          <w:iCs w:val="1"/>
          <w:color w:val="auto"/>
        </w:rPr>
        <w:t xml:space="preserve"> Advances from affiliates, net </w:t>
      </w:r>
      <w:r>
        <w:rPr>
          <w:rFonts w:ascii="Arial" w:cs="Arial" w:eastAsia="Arial" w:hAnsi="Arial"/>
          <w:sz w:val="18"/>
          <w:szCs w:val="18"/>
          <w:color w:val="auto"/>
        </w:rPr>
        <w:t>within current liabilities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No repayment schedule for these net advances has been determined.</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occupy certain office space in buildings owned or leased by EchoStar and its other subsidiaries and pay a portion of the taxes, insurance, utilities and maintenance of the premises in accordance with the percentage of the space we occupy.</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EchoStar and certain of its other subsidiaries have also provided cash advances to certain of our foreign subsidiaries to fund certain expenditures pursuant to loan agreements that mature in 2021 and 2022. Advances under these agreements bear interest at annual rates ranging from one to three percent, subject to periodic adjustment based on the one-year U.S. LIBOR rate. We report amounts payable under these agreements in </w:t>
      </w:r>
      <w:r>
        <w:rPr>
          <w:rFonts w:ascii="Arial" w:cs="Arial" w:eastAsia="Arial" w:hAnsi="Arial"/>
          <w:sz w:val="18"/>
          <w:szCs w:val="18"/>
          <w:i w:val="1"/>
          <w:iCs w:val="1"/>
          <w:color w:val="auto"/>
        </w:rPr>
        <w:t>Advances from affiliates, net</w:t>
      </w:r>
      <w:r>
        <w:rPr>
          <w:rFonts w:ascii="Arial" w:cs="Arial" w:eastAsia="Arial" w:hAnsi="Arial"/>
          <w:sz w:val="18"/>
          <w:szCs w:val="18"/>
          <w:color w:val="auto"/>
        </w:rPr>
        <w:t xml:space="preserve"> within noncurrent liabilities in our Consolidated Balance Sheets.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Contribution of EchoStar XIX Satellite. </w:t>
      </w:r>
      <w:r>
        <w:rPr>
          <w:rFonts w:ascii="Arial" w:cs="Arial" w:eastAsia="Arial" w:hAnsi="Arial"/>
          <w:sz w:val="18"/>
          <w:szCs w:val="18"/>
          <w:color w:val="auto"/>
        </w:rPr>
        <w:t>On February 1, 2017, EchoStar contributed the EchoStar XIX satellite and assigned the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contract with the satellite manufacturer to us. We recorded a $349 million increase in Additional paid-in capital, reflecting EchoStar’s $514 million carrying amount of the satellite, including capitalized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40"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interest that was previously charged to expense in our consolidated financial statements, less related deferred taxes of $165 million.</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EchoStar XXI and EchoStar XXIII Launch Facilitation and Operational Control Agreements. </w:t>
      </w:r>
      <w:r>
        <w:rPr>
          <w:rFonts w:ascii="Arial" w:cs="Arial" w:eastAsia="Arial" w:hAnsi="Arial"/>
          <w:sz w:val="18"/>
          <w:szCs w:val="18"/>
          <w:color w:val="auto"/>
        </w:rPr>
        <w:t>As part of applying for launch licenses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EchoStar XXI and XXIII satellites through the UK Space Agency, we and a subsidiary of EchoStar, EchoStar Operating L.L.C. (“EOC”), entered into agreements in June 2015 and March 2016 to transfer to us EOC’s launch service contracts for the EchoStar XXI and EchoStar XXIII satellites, respectively, and to grant us certain rights to control the in-orbit operations of these satellites. EOC retained ownership of the satellites and agreed to make additional payments to us. for amounts that we are required to pay under both launch service contracts. In 2016, we recorded additions to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and corresponding increases in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our Consolidated Balance Sheet to reflect EOC’s cumulative payments under the launch service contracts prior to the transfer dates and to reflect EOC’s funding of additional cash payments to the launch service provider. The EchoStar XXIII and the EchoStar XXI satellites were successfully launched in March 2017 and June 2017, respectively. We recorded decreases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and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of $62 million and $ 83 million, respectively, representing the carrying amounts of the launch service contracts at the time of launch to reflect the consumption of the contracts’ economic benefits by EOC, the owner of the satellites.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Share Exchange. </w:t>
      </w:r>
      <w:r>
        <w:rPr>
          <w:rFonts w:ascii="Arial" w:cs="Arial" w:eastAsia="Arial" w:hAnsi="Arial"/>
          <w:sz w:val="18"/>
          <w:szCs w:val="18"/>
          <w:color w:val="auto"/>
        </w:rPr>
        <w:t>Prior to consummation of the Share Exchange, EchoStar was required to complete steps necessary for the transferring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assets and liabilities to DISH and certain of its subsidiaries. As part of these steps, subsidiaries of EchoStar that, prior to the consummation of the Share Exchange, owned EchoStar’s business of providing online video delivery and satellite video delivery for broadcasters and pay-TV operators, including satellite uplinking/downlinking, transmission services, signal processing, conditional access management and other services and related assets and liabilities were contributed to one of our subsidiaries in consideration for additional shares of HSS’ common stock that were then issued to a subsidiary of EchoStar. Certain data center assets that were included in the contribution of certain assets and liabilities to one of our subsidiaries were not included in the Share Exchange and continue to be owned by us and are pledged as collateral to support our obligations under the indentures relating to our Secured Notes.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EchoStar Mobile Limited Service Agreements. </w:t>
      </w:r>
      <w:r>
        <w:rPr>
          <w:rFonts w:ascii="Arial" w:cs="Arial" w:eastAsia="Arial" w:hAnsi="Arial"/>
          <w:sz w:val="18"/>
          <w:szCs w:val="18"/>
          <w:color w:val="auto"/>
        </w:rPr>
        <w:t>We provide services and lease equipment to support the business of EchoStar Mobile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Limited, a subsidiary of EchoStar that is licensed by the European Union and its member states (“EU”) to provide mobile satellite services and complementary ground component services covering the entire EU using S-band spectrum. Generally, the amounts EchoStar’s subsidiaries pay for these services are based on cost plus a fixed margin. We have converted the receivables for certain of these services into loans, bearing an annual interest rate of 5%, that mature in 2023. We recorded revenue in </w:t>
      </w:r>
      <w:r>
        <w:rPr>
          <w:rFonts w:ascii="Arial" w:cs="Arial" w:eastAsia="Arial" w:hAnsi="Arial"/>
          <w:sz w:val="18"/>
          <w:szCs w:val="18"/>
          <w:i w:val="1"/>
          <w:iCs w:val="1"/>
          <w:color w:val="auto"/>
        </w:rPr>
        <w:t>Services and other revenue - other</w:t>
      </w:r>
      <w:r>
        <w:rPr>
          <w:rFonts w:ascii="Arial" w:cs="Arial" w:eastAsia="Arial" w:hAnsi="Arial"/>
          <w:sz w:val="18"/>
          <w:szCs w:val="18"/>
          <w:color w:val="auto"/>
        </w:rPr>
        <w:t xml:space="preserve"> of $19 million and $3 million for the year ended December 31, 2018 and 2017, respectively, related to these services.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DBS Transponder Lease. </w:t>
      </w:r>
      <w:r>
        <w:rPr>
          <w:rFonts w:ascii="Arial" w:cs="Arial" w:eastAsia="Arial" w:hAnsi="Arial"/>
          <w:sz w:val="18"/>
          <w:szCs w:val="18"/>
          <w:color w:val="auto"/>
        </w:rPr>
        <w:t>EchoStar leases satellite capacity from us on eight DBS transponders on the QuetzSat-1 satellite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2021, after which EchoStar has certain options to renew the agreement on a year-to year basis through the end of life of the QuetzSat-1 satellite. We recorded revenue in connection with this agreement of approximately $23 million for each of the years ended December 31, 2018, 2017 and 2016. As of December 31, 2018 and 2017, we had related trade accounts receivable of approximately $6 million and $8 million, respectively.</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Construction Management Services for EchoStar XXIV satellite. </w:t>
      </w:r>
      <w:r>
        <w:rPr>
          <w:rFonts w:ascii="Arial" w:cs="Arial" w:eastAsia="Arial" w:hAnsi="Arial"/>
          <w:sz w:val="18"/>
          <w:szCs w:val="18"/>
          <w:color w:val="auto"/>
        </w:rPr>
        <w:t>In August 2017, a subsidiary of EchoStar entered into a contract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Systems Loral, LLC for the design and construction of the EchoStar XXIV satellite, a new, next-generation, high throughput geostationary satellite, with a planned 2021 launch. We provide construction management services to EchoStar’s subsidiary for the construction of the EchoStar XXIV satellite. We charged EchoStar and reduced our operating expenses by the costs of such services of $1 million and $0.4 million for the years ended December 31, 2018 and 2017, respectively.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40"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DISH Network</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the Spin-off, EchoStar and DISH have operated as separate publicly-traded companies. In addition, prior to the consummation of the Share Exchange in February 2017, DISH Network owned the Tracking Stock, which represented an aggregate 80.0% economic interest in the residential retail satellite broadband business of our Hughes segment. Following the consummation of the Share Exchange, the Tracking Stock was retired. A substantial majority of the voting power of the shares of each of EchoStar and DISH is owned beneficially by Charles W. Ergen, our Chairman, and by certain entities established by Mr. Ergen for the benefit of his family.</w:t>
      </w:r>
    </w:p>
    <w:p>
      <w:pPr>
        <w:spacing w:after="0" w:line="20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and following both the Spin-off and the Share Exchange, EchoStar, we and certain other of EchoStar’s subsidiaries and DISH and certain of its subsidiaries entered into certain agreements pursuant to which we and EchoStar and its other subsidiaries obtain certain products, services and rights from DISH Network; DISH Network obtains certain products, services and rights from us and EchoStar and its other subsidiaries and such entities indemnify each other against certain liabilities arising from the respective businesses. We and/or EchoStar also may enter into additional agreements with DISH Network in the future. Generally, the amounts we and/or EchoStar or DISH Network pay for products and services provided under the agreements are based on cost plus a fixed margin (unless noted differently below), which varies depending on the nature of the products and services provided.</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have entered into certain agreements to lease satellite capacity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satellite services to DISH Network on certain satellites owned or leased by us. The fees for the services provided under these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EchoStar VII, EchoStar X, EchoStar XI and EchoStar XIV</w:t>
      </w:r>
      <w:r>
        <w:rPr>
          <w:rFonts w:ascii="Arial" w:cs="Arial" w:eastAsia="Arial" w:hAnsi="Arial"/>
          <w:sz w:val="18"/>
          <w:szCs w:val="18"/>
          <w:color w:val="auto"/>
        </w:rPr>
        <w:t>. In March 2014, as part of the Satellite and Tracking Stock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below in Other Agreements - DISH Network, we began leasing certain satellite capacity to DISH Network on the EchoStar VII, EchoStar X, EchoStar XI and EchoStar XIV satellites. These agreements to lease satellite capacity generally terminate upon the earlier of:</w:t>
      </w:r>
    </w:p>
    <w:p>
      <w:pPr>
        <w:spacing w:after="0" w:line="1" w:lineRule="exact"/>
        <w:rPr>
          <w:sz w:val="20"/>
          <w:szCs w:val="20"/>
          <w:color w:val="auto"/>
        </w:rPr>
      </w:pPr>
    </w:p>
    <w:p>
      <w:pPr>
        <w:jc w:val="both"/>
        <w:ind w:left="340" w:hanging="8"/>
        <w:spacing w:after="0" w:line="254" w:lineRule="auto"/>
        <w:tabs>
          <w:tab w:leader="none" w:pos="55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end of life of the satellite; (ii) the date the satellite fails; or (iii) a certain date, which depends upon, among other things, the estimated useful life of the satellite. DISH Network generally has the option to renew each agreement to lease satellite capacity on a year-to-year basis through the end of the respective satellite’s life. There can be no assurance that any options to renew such agreements will be exercised. The agreement to lease satellite capacity on the EchoStar VII satellite expired at the end of June 2018.</w:t>
      </w:r>
    </w:p>
    <w:p>
      <w:pPr>
        <w:spacing w:after="0" w:line="186"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i w:val="1"/>
          <w:iCs w:val="1"/>
          <w:color w:val="auto"/>
        </w:rPr>
        <w:t xml:space="preserve">EchoStar IX. </w:t>
      </w:r>
      <w:r>
        <w:rPr>
          <w:rFonts w:ascii="Arial" w:cs="Arial" w:eastAsia="Arial" w:hAnsi="Arial"/>
          <w:sz w:val="18"/>
          <w:szCs w:val="18"/>
          <w:color w:val="auto"/>
        </w:rPr>
        <w:t>Effective January 2008, DISH Network began leasing satellite capacity from us on the EchoStar IX satellite.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DISH Network generally has the right to continue leasing satellite capacity from us on the EchoStar IX satellite on a month-to-month basis.</w:t>
      </w:r>
    </w:p>
    <w:p>
      <w:pPr>
        <w:spacing w:after="0" w:line="176" w:lineRule="exact"/>
        <w:rPr>
          <w:sz w:val="20"/>
          <w:szCs w:val="20"/>
          <w:color w:val="auto"/>
        </w:rPr>
      </w:pPr>
    </w:p>
    <w:p>
      <w:pPr>
        <w:jc w:val="both"/>
        <w:ind w:left="340" w:right="20"/>
        <w:spacing w:after="0" w:line="282" w:lineRule="auto"/>
        <w:rPr>
          <w:sz w:val="20"/>
          <w:szCs w:val="20"/>
          <w:color w:val="auto"/>
        </w:rPr>
      </w:pPr>
      <w:r>
        <w:rPr>
          <w:rFonts w:ascii="Arial" w:cs="Arial" w:eastAsia="Arial" w:hAnsi="Arial"/>
          <w:sz w:val="18"/>
          <w:szCs w:val="18"/>
          <w:i w:val="1"/>
          <w:iCs w:val="1"/>
          <w:color w:val="auto"/>
        </w:rPr>
        <w:t xml:space="preserve">EchoStar XII. </w:t>
      </w:r>
      <w:r>
        <w:rPr>
          <w:rFonts w:ascii="Arial" w:cs="Arial" w:eastAsia="Arial" w:hAnsi="Arial"/>
          <w:sz w:val="18"/>
          <w:szCs w:val="18"/>
          <w:color w:val="auto"/>
        </w:rPr>
        <w:t>DISH Network leased satellite capacity from us on the EchoStar XII satellite. The agreement to lease satellite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expired at the end of September 2017.</w:t>
      </w:r>
    </w:p>
    <w:p>
      <w:pPr>
        <w:spacing w:after="0" w:line="162"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EchoStar XVI. </w:t>
      </w:r>
      <w:r>
        <w:rPr>
          <w:rFonts w:ascii="Arial" w:cs="Arial" w:eastAsia="Arial" w:hAnsi="Arial"/>
          <w:sz w:val="18"/>
          <w:szCs w:val="18"/>
          <w:color w:val="auto"/>
        </w:rPr>
        <w:t>In December 2009, we entered into an initial ten-year agreement to lease satellite capacity to DISH Network,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DISH Network has leased satellite capacity from us on the EchoStar XVI satellite since January 2013. Effective December 2012, we and DISH Network amended the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agreement to, among other things, extend the initial term by one additional year through January 2018 and to reduce the term of the first renewal option by one year. In May 2017, DISH Network renewed the agreement through January 2023. DISH Network has the option to renew for an additional five-year period prior to expiration of the current term. There can be no assurance that such option to renew this agreement will be exercised. In the event that DISH Network does not exercise its five-year renewal option, DISH Network has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40"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 We and DISH Network have amended the agreement to allow DISH Network to place and use certain satellites at the 61.5 degree west longitude orbital location.</w:t>
      </w:r>
    </w:p>
    <w:p>
      <w:pPr>
        <w:spacing w:after="0" w:line="186"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i w:val="1"/>
          <w:iCs w:val="1"/>
          <w:color w:val="auto"/>
        </w:rPr>
        <w:t xml:space="preserve">Nimiq 5 Agreement. </w:t>
      </w:r>
      <w:r>
        <w:rPr>
          <w:rFonts w:ascii="Arial" w:cs="Arial" w:eastAsia="Arial" w:hAnsi="Arial"/>
          <w:sz w:val="18"/>
          <w:szCs w:val="18"/>
          <w:color w:val="auto"/>
        </w:rPr>
        <w:t>In September 2009, we entered into a fifteen-year agreement with Telesat Canada to lease satellite capacity from</w:t>
      </w:r>
      <w:r>
        <w:rPr>
          <w:rFonts w:ascii="Arial" w:cs="Arial" w:eastAsia="Arial" w:hAnsi="Arial"/>
          <w:sz w:val="18"/>
          <w:szCs w:val="18"/>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 location (the “Telesat Transponder Agreement”). In September 2009, we also entered into an agreement with DISH Network, pursuant to which DISH Network leases satellite capacity from us on all 32 of the DBS transponders covered by the Telesat Transponder Agreement (the “DISH Nimiq 5 Agreement”).</w:t>
      </w:r>
    </w:p>
    <w:p>
      <w:pPr>
        <w:spacing w:after="0" w:line="202"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lease satellite capacity from us on a replacement satellite. There can be no assurance that any options to renew the DISH Nimiq 5 Agreement will be exercised or that DISH Network will exercise its option to lease satellite capacity on a replacement satellite.</w:t>
      </w:r>
    </w:p>
    <w:p>
      <w:pPr>
        <w:spacing w:after="0" w:line="18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QuetzSat-1 Agreement. </w:t>
      </w:r>
      <w:r>
        <w:rPr>
          <w:rFonts w:ascii="Arial" w:cs="Arial" w:eastAsia="Arial" w:hAnsi="Arial"/>
          <w:sz w:val="18"/>
          <w:szCs w:val="18"/>
          <w:color w:val="auto"/>
        </w:rPr>
        <w:t>In November 2008, we entered into a ten-year agreement to lease satellite capacity from SES Latin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among other things, for the provision by SES Latin America to us of leased satellite capacity on 32 DBS transponders on the QuetzSat-1 satellite. Concurrently, in 2008, we entered into an agreement pursuant to which DISH Network leases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EchoStar and DISH Network entered into an agreement pursuant to which EchoStar leases back from DISH Network certain satellite capacity on five DBS transponders on the QuetzSat-1 satellite through November 2021, unless extended or earlier terminated under the terms and conditions of our agreement.</w:t>
      </w:r>
    </w:p>
    <w:p>
      <w:pPr>
        <w:spacing w:after="0" w:line="203"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Under the terms of our contractual arrangements with DISH Network, we began leasing satellite capacity to DISH Network on the QuetzSat-1 satellite in February 2013 and will continue leasing such capacity through November 2021, unless extended or earlier terminated under the terms and conditions of our agreement with DISH Network for the QuetzSat-1 satellite.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lease satellite capacity from us on a replacement satellite. There can be no assurance that any options to renew this agreement will be exercised or that DISH Network will exercise its option to lease satellite capacity on a replacement satellite.</w:t>
      </w:r>
    </w:p>
    <w:p>
      <w:pPr>
        <w:spacing w:after="0" w:line="18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103 Degree Orbital Location/SES-3. </w:t>
      </w:r>
      <w:r>
        <w:rPr>
          <w:rFonts w:ascii="Arial" w:cs="Arial" w:eastAsia="Arial" w:hAnsi="Arial"/>
          <w:sz w:val="18"/>
          <w:szCs w:val="18"/>
          <w:color w:val="auto"/>
        </w:rPr>
        <w:t>In May 2012, we entered into a spectrum development agreement (the “103 Spectrum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20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40"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ind w:left="340" w:right="20"/>
        <w:spacing w:after="0" w:line="262" w:lineRule="auto"/>
        <w:rPr>
          <w:sz w:val="20"/>
          <w:szCs w:val="20"/>
          <w:color w:val="auto"/>
        </w:rPr>
      </w:pPr>
      <w:r>
        <w:rPr>
          <w:rFonts w:ascii="Arial" w:cs="Arial" w:eastAsia="Arial" w:hAnsi="Arial"/>
          <w:sz w:val="18"/>
          <w:szCs w:val="18"/>
          <w:color w:val="auto"/>
        </w:rPr>
        <w:t>payments to us through the service term. Effective in March 2018, DISH Network exercised its right to terminate the DISH 103 Agreement and we exercised our right to terminate the Ciel 103 Agreement.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TT&amp;C Agreement. </w:t>
      </w:r>
      <w:r>
        <w:rPr>
          <w:rFonts w:ascii="Arial" w:cs="Arial" w:eastAsia="Arial" w:hAnsi="Arial"/>
          <w:sz w:val="18"/>
          <w:szCs w:val="18"/>
          <w:color w:val="auto"/>
        </w:rPr>
        <w:t>Effective January 2012, we entered into a TT&amp;C agreement pursuant to which we provided TT&amp;C services to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period ending in December 2016 (the “TT&amp;C Agreement”). We and DISH Network have amended the TT&amp;C Agreement over time to, among other things, extend the term through February 2023. The fees for services provided under the TT&amp;C Agreement are calculated at either: (i) a fixed fee or (ii) cost plus a fixed margin, which will vary depending on the nature of the services provided. DISH Network is able to terminate the TT&amp;C Agreement for any reason upon 12 months’ notice.</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Effective March 2014, we provide TT&amp;C services for the D-1 and EchoStar XV satellites; however, for the 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Real Estate Lease</w:t>
      </w:r>
      <w:r>
        <w:rPr>
          <w:rFonts w:ascii="Arial" w:cs="Arial" w:eastAsia="Arial" w:hAnsi="Arial"/>
          <w:sz w:val="18"/>
          <w:szCs w:val="18"/>
          <w:color w:val="auto"/>
        </w:rPr>
        <w:t>. Prior to the Share Exchange, EchoStar leased to DISH Network certain space at 530 EchoStar Drive, Cheyenne,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Wyoming. In connection with the Share Exchange, EchoStar transferred ownership of a portion of this property to DISH Network and contributed a portion to us and we amended the agreement to (i) terminate the lease for the transferred space and (ii) provide for a continued lease to DISH Network of the portion of the property contributed to us for a period ending in December 2031. The rent on a per square foot basis for the lease is comparable to per square foot rental rates of similar commercial property in the same geographic area at the time of the lease, and DISH Network is responsible for its portion of the taxes, insurance, utilities and maintenance of the premises. After December 2031, this agreement may be converted by mutual consent to a month-to-month lease agreement with either party having the right to terminate upon 30 days’ notice.</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TerreStar Agreement. </w:t>
      </w:r>
      <w:r>
        <w:rPr>
          <w:rFonts w:ascii="Arial" w:cs="Arial" w:eastAsia="Arial" w:hAnsi="Arial"/>
          <w:sz w:val="18"/>
          <w:szCs w:val="18"/>
          <w:color w:val="auto"/>
        </w:rPr>
        <w:t>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Hughes Acquisition, TerreStar and HNS entered into various agreements pursuant to which we provide,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Hughes Broadband Distribution Agreement. </w:t>
      </w:r>
      <w:r>
        <w:rPr>
          <w:rFonts w:ascii="Arial" w:cs="Arial" w:eastAsia="Arial" w:hAnsi="Arial"/>
          <w:sz w:val="18"/>
          <w:szCs w:val="18"/>
          <w:color w:val="auto"/>
        </w:rPr>
        <w:t>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HughesNet satellite internet service (the “HughesNet service”). DISH Network pays us a monthly per subscriber wholesale service fee for the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HughesNet service. The Distribution Agreement had an initial term of five years with automatic renewal for successive one 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HughesNet service to the then-current DISH Network subscribers pursuant to the terms and conditions of the Distribution Agreement.</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DBSD North America Agreement. </w:t>
      </w:r>
      <w:r>
        <w:rPr>
          <w:rFonts w:ascii="Arial" w:cs="Arial" w:eastAsia="Arial" w:hAnsi="Arial"/>
          <w:sz w:val="18"/>
          <w:szCs w:val="18"/>
          <w:color w:val="auto"/>
        </w:rPr>
        <w:t>100% of the equity of reorganized DBSD North America, Inc. (“DBSD North America”). Prior to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communicatIn March 2012, DISH Network completed its acquisition of 100% of the equity of reorganized DBSD North America, Inc. (“DBSD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40"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RUS Implementation Agreement. </w:t>
      </w:r>
      <w:r>
        <w:rPr>
          <w:rFonts w:ascii="Arial" w:cs="Arial" w:eastAsia="Arial" w:hAnsi="Arial"/>
          <w:sz w:val="18"/>
          <w:szCs w:val="18"/>
          <w:color w:val="auto"/>
        </w:rPr>
        <w:t>In September 2010, DISH Network was selected by the Rural Utilities Service (“RUS”) of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 of Agriculture to receive up to approximately $14 million in broadband stimulus grant funds. Effective November 2011, we and DISH Network entered into a RUS Implementation Agreement (the “RUS Agreement”) pursuant to which we provided certain portions of the equipment and broadband service used to implement DISH Network’s RUS program. While the RUS Agreement expired in June 2013 when the broadband stimulus grant funds were exhausted, we are required to continue providing services to DISH Network’s customers activated prior to the expiration of the RUS Agreement in accordance with the terms and conditions of the RUS Agreement.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Hughes Equipment and Services Agreement</w:t>
      </w:r>
      <w:r>
        <w:rPr>
          <w:rFonts w:ascii="Arial" w:cs="Arial" w:eastAsia="Arial" w:hAnsi="Arial"/>
          <w:sz w:val="18"/>
          <w:szCs w:val="18"/>
          <w:color w:val="auto"/>
        </w:rPr>
        <w:t>. In February 2019, we and DISH Network entered into an agreement pursuant to which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 xml:space="preserve">Amended and Restated Professional Services Agreement. </w:t>
      </w:r>
      <w:r>
        <w:rPr>
          <w:rFonts w:ascii="Arial" w:cs="Arial" w:eastAsia="Arial" w:hAnsi="Arial"/>
          <w:sz w:val="18"/>
          <w:szCs w:val="18"/>
          <w:color w:val="auto"/>
        </w:rPr>
        <w:t>In connection with the Spin-off, EchoStar entered into various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including a transition services agreement, satellite procurement agreement and services agreement, which all expired in January 2010 and were replaced by a professional services agreement (the “Professional Services Agreement”). In January 2010, EchoStar and DISH Network agreed that EchoStar and its subsidiaries shall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Additionally, EchoStar and DISH Network agreed that DISH Network would continue to have the right, but not the obligation, to engage EchoStar and its subsidiaries to manage the process of procuring new satellite capacity for DISH Network (previously provided under a satellite procurement agreement), receive logistics, procurement and quality assurance services from EchoStar and its subsidiaries (previously provided under a services agreement) and provide other support services. In connection with the consummation of the Share Exchange, EchoStar and DISH amended and restated the Professional Services Agreement (the “Amended and Restated Professional Services Agreement”) to provide that EchoStar and its subsidiaries and DISH Network shall have the right to receive additional services that either EchoStar and its subsidiaries or DISH Network may require as a result of the Share Exchange, including access to antennas owned by DISH Network for our use in performing TT&amp;C services and maintenance and support services for our antennas. A portion of these costs and expenses have been allocated to us in the manner described above under the caption “EchoStar.” The term of the Amended and Restated Professional Services Agreement is through January 2020 and renews automatically for successive one-year periods thereafter, unless the agreement is terminated earlier by either party upon at least 60 days’ notice. However, either party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1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Real Estate Lease from DISH Network</w:t>
      </w:r>
      <w:r>
        <w:rPr>
          <w:rFonts w:ascii="Arial" w:cs="Arial" w:eastAsia="Arial" w:hAnsi="Arial"/>
          <w:sz w:val="18"/>
          <w:szCs w:val="18"/>
          <w:color w:val="auto"/>
        </w:rPr>
        <w:t>. Effective March 2017, we sublease from DISH Network certain space at 796 East Utah Valley Drive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American Fork, Utah for a period ending in August 2017. We exercised our option to renew this sublease for a five-year period ending in August 2022. The rent on a per square foot basis for the lease is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140"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comparable to per square foot rental rates of similar commercial property in the same geographic area at the time of the lease, and we are responsible for our portion of the taxes, insurance, utilities and maintenance of the premises.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us with 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August 2017, we and DISH Network also entered into certain other agreements pursuant to which DISH Network provides additional collocation and antenna space to EchoStar in Monee, Illinois and Spokane, Washington through August 2022. We generally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The fees for the services provided under these agreements depend on the number of racks leased at the location.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Satellite and Tracking Stock Transaction</w:t>
      </w:r>
      <w:r>
        <w:rPr>
          <w:rFonts w:ascii="Arial" w:cs="Arial" w:eastAsia="Arial" w:hAnsi="Arial"/>
          <w:sz w:val="18"/>
          <w:szCs w:val="18"/>
          <w:color w:val="auto"/>
        </w:rPr>
        <w:t>. In February 2014, we and EchoStar entered into agreements with DISH Network to implement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pursuant to which, among other things: (i) in March 2014, EchoStar and HSS issued the Tracking Stock to DISH Network in exchange for five satellites owned by DISH Network (EchoStar I, EchoStar VII, EchoStar X, EchoStar XI and EchoStar XIV) (including assumption of related in-orbit incentive obligations) and approximately $11 million in cash; and (ii) in March 2014, DISH Network began receiving certain satellite services from us as discussed above on these five satellites (collectively, the “Satellite and Tracking Stock Transaction.”) The Tracking Stock was retired in March 2017 and is no longer outstanding and all agreements, arrangements and policy statements with respect to such Tracking Stock terminated and are of no further effect.</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On January 31, 2017, EchoStar and certain of its subsidiaries entered into a share exchange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Exchange Agreement”) with DISH and certain of its subsidiaries, pursuant to which on February 28, 2017, EchoStar and its subsidiaries received all of the shares of the Tracking Stock in exchange for 100% of the equity interests of certain EchoStar subsidiaries that held substantially all of EchoStar’s EchoStar Technologies businesses and certain other assets. Following consummation of the Share Exchange on February 28, 2017, EchoStar no longer operates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EchoStar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EchoStar related to the transferred assets, assumed liabilities and the financial condition of the transferred businesses. EchoStar and DISH Network have also agreed to customary indemnification provisions whereby each party indemnifies the other against certain losses with respect to breaches of representations, warranties or covenants and certain liabilities and if certain actions undertaken by EchoStar or DISH causes the transaction to be taxable to the other party after closing. See Note 1 for further information.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March 2017, we and DISH Network entered into a master service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“Hughes Broadband MSA”) pursuant to which DISH Network, among other things: (i) has the right, but not the obligation, to market, promote and solicit orders and upgrades for our Hughes service and related equipment and other telecommunication services and (ii) installs Hughes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until March 2022 with automatic renewal for successive one-year terms. Upon expiration or termination of the Hughes Broadband MSA, we will continue to provide our Hughes service to subscribers and make certain payments to DISH Network pursuant to the terms and conditions of the Hughes Broadband MSA. We incurred sales incentives and other costs under the Hughes Broadband MSA totaling $33 million and $29 million for the year ended December 31, 2018 and 2017, respectively.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140"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Intellectual Property and Technology License Agreement</w:t>
      </w:r>
      <w:r>
        <w:rPr>
          <w:rFonts w:ascii="Arial" w:cs="Arial" w:eastAsia="Arial" w:hAnsi="Arial"/>
          <w:sz w:val="18"/>
          <w:szCs w:val="18"/>
          <w:color w:val="auto"/>
        </w:rPr>
        <w:t>. Effective March 2017 in connection with the Share Exchange, EchoStar and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its other subsidiaries and DISH Network entered into an Intellectual Property and Technology License Agreement (“IPTLA”) pursuant to which we, EchoStar and its other subsidiaries and DISH Network license to each other certain intellectual property and technology. The IPTLA will continue in perpetuity, unless mutually terminated by the parties. Pursuant to the IPTLA, we, EchoStar and its other subsidiaries granted to DISH Network a license to our and their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EchoStar and its other subsidiaries, among other things, for the continued use of all intellectual property and technology that is used in our, EchoStar and its other subsidiaries’ retained businesses but the ownership of which was transferred to DISH Network pursuant to the Share Exchange.</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Tax Matters Agreement</w:t>
      </w:r>
      <w:r>
        <w:rPr>
          <w:rFonts w:ascii="Arial" w:cs="Arial" w:eastAsia="Arial" w:hAnsi="Arial"/>
          <w:sz w:val="18"/>
          <w:szCs w:val="18"/>
          <w:color w:val="auto"/>
        </w:rPr>
        <w:t>. Effective March 2017, in connection with the Share Exchange, EchoStar and DISH entered into a tax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This agreement governs certain rights, responsibilities and obligations of EchoStar and its subsidiaries with respect to taxes of the transferred businesses pursuant to the Share Exchange. Generally, EchoStar is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EchoStar and DISH Network made certain tax-related representations and are subject to various tax-related covenants after the consummation of the Share Exchange. Both EchoStar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EchoStar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below, which continues in full force and effect.</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Tax Sharing Agreement. </w:t>
      </w:r>
      <w:r>
        <w:rPr>
          <w:rFonts w:ascii="Arial" w:cs="Arial" w:eastAsia="Arial" w:hAnsi="Arial"/>
          <w:sz w:val="18"/>
          <w:szCs w:val="18"/>
          <w:color w:val="auto"/>
        </w:rPr>
        <w:t>Effective December 2007, EchoStar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EchoStar and DISH and their respective subsidiaries’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EchoStar and its subsidiaries for such taxes. However, DISH Network is not liable for and does not indemnify EchoStar or its subsidiaries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EchoStar’s stock, stock options or assets; (ii) any action that EchoStar or its subsidiaries take or fail to take; or (iii) any action that EchoStar or its subsidiaries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EchoStar and its subsidiaries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light of the Tax Sharing Agreement, among other things, and in connection with EchoStar’s consolidated federal income tax returns for certain tax years prior to and for the year of the Spin-off, in September 2013, EchoStar and DISH Network agreed upon a supplemental allocation of the tax benefits arising from certain tax items resolved in the course of the IRS’s examination of EchoStar’s consolidated tax returns. As a result, DISH Network agreed to pay EchoStar an amount of that includes the federal tax benefit DISH received as a result of our operations.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2018, EchoStar and DISH Network amended the Tax Sharing Agreement and the 2013 agreements (the “Tax Sharing Amendment”). Under the Tax Sharing Amendment, DISH Network is required to compensate EchoStar for certain past and future excess California research and development tax credits generated by EchoStar and its subsidiaries and used by DISH Network.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140"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Caltech. </w:t>
      </w:r>
      <w:r>
        <w:rPr>
          <w:rFonts w:ascii="Arial" w:cs="Arial" w:eastAsia="Arial" w:hAnsi="Arial"/>
          <w:sz w:val="18"/>
          <w:szCs w:val="18"/>
          <w:color w:val="auto"/>
        </w:rPr>
        <w:t>On October 1, 2013, Caltech Institute of Technology (“Caltech”) filed complaints against us and DISH Network, in the U.S. District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Court for the Central District of California alleging infringement of U.S. Patent Nos. 7,116,710; 7,421,032; 7,916,781; and 8,284,833, each of which is entitled “Serial Concatenation of Interleaved Convolutional Codes forming Turbo-Like Codes.” Caltech asserted that encoding data as specified by the DVB-S2 standard infringed each of the asserted patents. Caltech claimed that certain of our satellite broadband products and services, infringed the asserted patents by implementing the DVB-S2 standard. Pursuant to a settlement agreement among us, DISH Network and Caltech, Caltech dismissed with prejudice all of its claims in these actions in May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Hughes Systique Corporation (“Hughes Systique”)</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contract with Hughes Systique for software development services. In addition to our approximately 43.4% ownership in Hughes Systique, Mr. Pradman Kaul, the President of Hughes Communications, Inc. and a member of EchoStar’s board of directors, and his brother, who is the Chief Executive Officer and President of Hughes Systique, in the aggregate, own approximately 25.5%, on an undiluted basis, of Hughes Systique’s outstanding shares as of December 31, 2018.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accompanying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Deluxe/EchoStar LLC</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$4 million, $5 million and $3 million for the years ended December 31, 2018, 2017 and 2016, respectively. As of December 31, 2018 and 2017, we had trade accounts receivable from Deluxe of approximately $1 million and $1 million,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AsiaSat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contract with AsiaSat Telecommunications Inc. (“AsiaSat”) for the use of transponder capacity on one of AsiaSat's satellites. Mr. William David Wade, who joined our board of directors in February 2017, served as the Chief Executive Officer of AsiaSat in 2016 and as a senior advisor to the Chief Executive Officer of AsiaSat through March 2017. We incurred expenses payable to AsiaSat under this agreement of approximately $0.1 million for the year ended December 31,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Global IP</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May 2017, we entered into an agreement with Global-IP Cayman (“Global IP”) providing for the sale of certain equipment and services to Global IP. Mr. William David Wade, a member of EchoStar’s board of directors, serves as a member of the board of directors of Global IP and as an executive advisor to the Chief Executive Officer of Global IP.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In February 2019, we terminated the agreement as a result of Global IP’s defaults resulting from its failure to make payments to us as required under the terms of the agreement and we reserved our rights and remedies against Global IP under the agreement. We recognized revenue under this agreement of approximately $9 million and $0.3 million for the years ended December 31, 2018 and 2017, respectively. As of December 31, 2018 and 2017, we had trade accounts receivable from Global IP of approximately $7.5 million and nil,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TerreStar Solutions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provides, among other things, warranty and support services.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40"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recognized revenue of approximately $6 million for the year ended December 31, 2018. As of December 31, 2018, we had $2 million trade accounts receivable from TSI.</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Connectivity Solutions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August 2018, we entered into an agreement with Al Yah Satellite Communications Company PrJSC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 We recognized revenue from BCS for such services and equipment of approximately $0.7 million for the year ended December 31, 2018. As of December 31, 2018, we had $3 million trade accounts receivable from BCS.</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17.</w:t>
        <w:tab/>
        <w:t>Supplemental Guarantor and Non-Guarantor Financial Information</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of our wholly-owned subsidiaries (together, the “Guarantor Subsidiaries”) have fully and unconditionally guaranteed, on a joint and several basis, the obligations of our Notes. See Note 10 for further information on our Notes.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lieu of separate financial statements of the Guarantor Subsidiaries, accompanying condensed consolidating financial information prepared in accordance with Rule 3-10(f) of Regulation S-X is presented below, including the accompanying condensed balance sheet information, the accompanying condensed statement of operations and comprehensive income (loss) information and the accompanying condensed statement of cash flows information of HSS, the Guarantor Subsidiaries on a combined basis and the non-guarantor subsidiaries of HSS on a combined basis and the eliminations necessary to arrive at the corresponding information of HSS on a consolidated basis.</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indentures governing our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enter into transactions with affiliates or allow to exist certain restrictions on the ability of certain of our subsidiaries to pay dividends, make distributions, make other payments, or transfer assets to us.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accompanying condensed consolidating financial information presented below should be read in conjunction with our accompanying condensed consolidated financial statements and notes thereto included herein.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40"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as of December 31, 2018</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Guarantor</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Non-Guarantor</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HSS</w:t>
            </w:r>
          </w:p>
        </w:tc>
        <w:tc>
          <w:tcPr>
            <w:tcW w:w="16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Subsidiaries</w:t>
            </w:r>
          </w:p>
        </w:tc>
        <w:tc>
          <w:tcPr>
            <w:tcW w:w="16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Subsidiaries</w:t>
            </w: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771,718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46,353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29,752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847,823</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Marketable investment securities, at fair value</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1,608,123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1,609,196</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Trade accounts receivable and contract assets, net</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128,831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72,265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201,096</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Trade accounts receivable - DISH Network, net</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13,550</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58,607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16,772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75,379</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Advances to affiliates, net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109,433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536,600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27,174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(569,657)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103,550</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current assets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26,331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41,378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67,220</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2,489,346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811,035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187,651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(570,218)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2,917,814</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2,280,804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301,377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2,582,181</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Regulatory authorizations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465,658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465,658</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504,173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504,173</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intangible assets, net</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43,952</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Investments in unconsolidated entities</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126,369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126,369</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 subsidiaries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3,362,589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192,370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(3,554,959)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Advances to affiliates</w:t>
            </w:r>
          </w:p>
        </w:tc>
        <w:tc>
          <w:tcPr>
            <w:tcW w:w="3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86,280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(86,980)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 asset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54,001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6"/>
                <w:szCs w:val="16"/>
                <w:color w:val="auto"/>
              </w:rPr>
              <w:t>Other noncurrent assets, net</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236,675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12,769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249,444</w:t>
            </w:r>
          </w:p>
        </w:tc>
        <w:tc>
          <w:tcPr>
            <w:tcW w:w="0" w:type="dxa"/>
            <w:vAlign w:val="bottom"/>
          </w:tcPr>
          <w:p>
            <w:pPr>
              <w:spacing w:after="0"/>
              <w:rPr>
                <w:sz w:val="1"/>
                <w:szCs w:val="1"/>
                <w:color w:val="auto"/>
              </w:rPr>
            </w:pPr>
          </w:p>
        </w:tc>
      </w:tr>
      <w:tr>
        <w:trPr>
          <w:trHeight w:val="237"/>
        </w:trPr>
        <w:tc>
          <w:tcPr>
            <w:tcW w:w="41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5,906,636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4,747,316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505,378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(4,266,158)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6,893,172</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Trade accounts payable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88,342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104,751</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Trade accounts payable - DISH Network</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 and capital lease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obligations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918,916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959,577</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Advances from affiliates, net</w:t>
            </w:r>
          </w:p>
        </w:tc>
        <w:tc>
          <w:tcPr>
            <w:tcW w:w="3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181,926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282,268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106,331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(569,657)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 and other</w:t>
            </w:r>
          </w:p>
        </w:tc>
        <w:tc>
          <w:tcPr>
            <w:tcW w:w="3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43,410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147,055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48,307</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238,211</w:t>
            </w:r>
          </w:p>
        </w:tc>
        <w:tc>
          <w:tcPr>
            <w:tcW w:w="0" w:type="dxa"/>
            <w:vAlign w:val="bottom"/>
          </w:tcPr>
          <w:p>
            <w:pPr>
              <w:spacing w:after="0"/>
              <w:rPr>
                <w:sz w:val="1"/>
                <w:szCs w:val="1"/>
                <w:color w:val="auto"/>
              </w:rPr>
            </w:pPr>
          </w:p>
        </w:tc>
      </w:tr>
      <w:tr>
        <w:trPr>
          <w:trHeight w:val="240"/>
        </w:trPr>
        <w:tc>
          <w:tcPr>
            <w:tcW w:w="412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1,144,252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558,412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171,713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(570,218)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1,304,159</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Long-term debt and capital lease obligations, net</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2,385,164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187,002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2,573,204</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541,903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(54,001)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488,736</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Advances from affiliates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120,418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(86,980)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33,438</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Other noncurrent liabilities</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98,661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2,479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101,140</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HSS shareholders’ equity</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2,377,220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3,361,338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193,621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(3,554,959)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2,377,220</w:t>
            </w:r>
          </w:p>
        </w:tc>
        <w:tc>
          <w:tcPr>
            <w:tcW w:w="0" w:type="dxa"/>
            <w:vAlign w:val="bottom"/>
          </w:tcPr>
          <w:p>
            <w:pPr>
              <w:spacing w:after="0"/>
              <w:rPr>
                <w:sz w:val="1"/>
                <w:szCs w:val="1"/>
                <w:color w:val="auto"/>
              </w:rPr>
            </w:pPr>
          </w:p>
        </w:tc>
      </w:tr>
      <w:tr>
        <w:trPr>
          <w:trHeight w:val="264"/>
        </w:trPr>
        <w:tc>
          <w:tcPr>
            <w:tcW w:w="4120" w:type="dxa"/>
            <w:vAlign w:val="bottom"/>
          </w:tcPr>
          <w:p>
            <w:pPr>
              <w:ind w:left="500"/>
              <w:spacing w:after="0"/>
              <w:rPr>
                <w:sz w:val="20"/>
                <w:szCs w:val="20"/>
                <w:color w:val="auto"/>
              </w:rPr>
            </w:pPr>
            <w:r>
              <w:rPr>
                <w:rFonts w:ascii="Arial" w:cs="Arial" w:eastAsia="Arial" w:hAnsi="Arial"/>
                <w:sz w:val="16"/>
                <w:szCs w:val="16"/>
                <w:color w:val="auto"/>
              </w:rPr>
              <w:t>Noncontrolling interests</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15,275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15,275</w:t>
            </w:r>
          </w:p>
        </w:tc>
        <w:tc>
          <w:tcPr>
            <w:tcW w:w="0" w:type="dxa"/>
            <w:vAlign w:val="bottom"/>
          </w:tcPr>
          <w:p>
            <w:pPr>
              <w:spacing w:after="0"/>
              <w:rPr>
                <w:sz w:val="1"/>
                <w:szCs w:val="1"/>
                <w:color w:val="auto"/>
              </w:rPr>
            </w:pPr>
          </w:p>
        </w:tc>
      </w:tr>
      <w:tr>
        <w:trPr>
          <w:trHeight w:val="237"/>
        </w:trPr>
        <w:tc>
          <w:tcPr>
            <w:tcW w:w="412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liabilities and shareholders’ equity</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5,906,636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4,747,316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505,378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(4,266,158)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6,893,172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40"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Consolidating Balance Sheet as of December 31, 2017</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Guarantor</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Non-Guarantor</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HSS</w:t>
            </w:r>
          </w:p>
        </w:tc>
        <w:tc>
          <w:tcPr>
            <w:tcW w:w="14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Subsidiaries</w:t>
            </w:r>
          </w:p>
        </w:tc>
        <w:tc>
          <w:tcPr>
            <w:tcW w:w="12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Subsidiaries</w:t>
            </w:r>
          </w:p>
        </w:tc>
        <w:tc>
          <w:tcPr>
            <w:tcW w:w="160" w:type="dxa"/>
            <w:vAlign w:val="bottom"/>
          </w:tcPr>
          <w:p>
            <w:pPr>
              <w:spacing w:after="0"/>
              <w:rPr>
                <w:sz w:val="19"/>
                <w:szCs w:val="19"/>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9"/>
                <w:szCs w:val="19"/>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44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1,746,878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42,373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33,310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1,822,561</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Marketable investment securities, at fair value</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454,500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455,602</w:t>
            </w: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Trade accounts receivable and contract assets, net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133,735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63,105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196,840</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Trade accounts receivable - DISH Network</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38,286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38,641</w:t>
            </w: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59,711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23,884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83,595</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Advances to affiliates,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119,605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229,488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114,858</w:t>
            </w:r>
          </w:p>
        </w:tc>
        <w:tc>
          <w:tcPr>
            <w:tcW w:w="0" w:type="dxa"/>
            <w:vAlign w:val="bottom"/>
          </w:tcPr>
          <w:p>
            <w:pPr>
              <w:spacing w:after="0"/>
              <w:rPr>
                <w:sz w:val="1"/>
                <w:szCs w:val="1"/>
                <w:color w:val="auto"/>
              </w:rPr>
            </w:pPr>
          </w:p>
        </w:tc>
      </w:tr>
      <w:tr>
        <w:trPr>
          <w:trHeight w:val="264"/>
        </w:trPr>
        <w:tc>
          <w:tcPr>
            <w:tcW w:w="44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98,890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31,788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130,341</w:t>
            </w: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2,321,047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603,585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159,755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(241,949)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2,842,438</w:t>
            </w: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2,459,703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293,395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2,753,098</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Regulatory authorizations</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465,658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465,658</w:t>
            </w: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504,173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504,173</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intangible assets, net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58,582</w:t>
            </w: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Investments in unconsolidated entities</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30,587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30,587</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Investment in subsidiaries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3,260,790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204,208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(3,464,998)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Advances to affiliates</w:t>
            </w:r>
          </w:p>
        </w:tc>
        <w:tc>
          <w:tcPr>
            <w:tcW w:w="22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80,744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(81,444)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tax asset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110,546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3,700</w:t>
            </w:r>
          </w:p>
        </w:tc>
        <w:tc>
          <w:tcPr>
            <w:tcW w:w="0" w:type="dxa"/>
            <w:vAlign w:val="bottom"/>
          </w:tcPr>
          <w:p>
            <w:pPr>
              <w:spacing w:after="0"/>
              <w:rPr>
                <w:sz w:val="1"/>
                <w:szCs w:val="1"/>
                <w:color w:val="auto"/>
              </w:rPr>
            </w:pPr>
          </w:p>
        </w:tc>
      </w:tr>
      <w:tr>
        <w:trPr>
          <w:trHeight w:val="264"/>
        </w:trPr>
        <w:tc>
          <w:tcPr>
            <w:tcW w:w="4420" w:type="dxa"/>
            <w:vAlign w:val="bottom"/>
          </w:tcPr>
          <w:p>
            <w:pPr>
              <w:ind w:left="280"/>
              <w:spacing w:after="0"/>
              <w:rPr>
                <w:sz w:val="20"/>
                <w:szCs w:val="20"/>
                <w:color w:val="auto"/>
              </w:rPr>
            </w:pPr>
            <w:r>
              <w:rPr>
                <w:rFonts w:ascii="Arial" w:cs="Arial" w:eastAsia="Arial" w:hAnsi="Arial"/>
                <w:sz w:val="16"/>
                <w:szCs w:val="16"/>
                <w:color w:val="auto"/>
              </w:rPr>
              <w:t>Other noncurrent assets, net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185,839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13,275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199,114</w:t>
            </w:r>
          </w:p>
        </w:tc>
        <w:tc>
          <w:tcPr>
            <w:tcW w:w="0" w:type="dxa"/>
            <w:vAlign w:val="bottom"/>
          </w:tcPr>
          <w:p>
            <w:pPr>
              <w:spacing w:after="0"/>
              <w:rPr>
                <w:sz w:val="1"/>
                <w:szCs w:val="1"/>
                <w:color w:val="auto"/>
              </w:rPr>
            </w:pPr>
          </w:p>
        </w:tc>
      </w:tr>
      <w:tr>
        <w:trPr>
          <w:trHeight w:val="237"/>
        </w:trPr>
        <w:tc>
          <w:tcPr>
            <w:tcW w:w="44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5,693,083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4,593,079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470,125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(3,898,937)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6,857,350</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Trade accounts payable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82,300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102,816</w:t>
            </w: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Trade accounts payable - DISH Network</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3,769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3,769</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 and capital lease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obligations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40,631</w:t>
            </w: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Advances from affiliates, net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185,161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56,864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(241,548)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Accrued expenses and other</w:t>
            </w:r>
          </w:p>
        </w:tc>
        <w:tc>
          <w:tcPr>
            <w:tcW w:w="2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43,518</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145,362</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46,748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235,227</w:t>
            </w:r>
          </w:p>
        </w:tc>
        <w:tc>
          <w:tcPr>
            <w:tcW w:w="0" w:type="dxa"/>
            <w:vAlign w:val="bottom"/>
          </w:tcPr>
          <w:p>
            <w:pPr>
              <w:spacing w:after="0"/>
              <w:rPr>
                <w:sz w:val="1"/>
                <w:szCs w:val="1"/>
                <w:color w:val="auto"/>
              </w:rPr>
            </w:pPr>
          </w:p>
        </w:tc>
      </w:tr>
      <w:tr>
        <w:trPr>
          <w:trHeight w:val="240"/>
        </w:trPr>
        <w:tc>
          <w:tcPr>
            <w:tcW w:w="442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43,518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452,478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128,873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(241,949)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382,920</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Long-term debt and capital lease obligations, net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3,365,143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226,997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3,594,213</w:t>
            </w: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549,217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(110,546)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439,631</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Advances from affiliates</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115,159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33,715</w:t>
            </w:r>
          </w:p>
        </w:tc>
        <w:tc>
          <w:tcPr>
            <w:tcW w:w="0" w:type="dxa"/>
            <w:vAlign w:val="bottom"/>
          </w:tcPr>
          <w:p>
            <w:pPr>
              <w:spacing w:after="0"/>
              <w:rPr>
                <w:sz w:val="1"/>
                <w:szCs w:val="1"/>
                <w:color w:val="auto"/>
              </w:rPr>
            </w:pPr>
          </w:p>
        </w:tc>
      </w:tr>
      <w:tr>
        <w:trPr>
          <w:trHeight w:val="260"/>
        </w:trPr>
        <w:tc>
          <w:tcPr>
            <w:tcW w:w="4420" w:type="dxa"/>
            <w:vAlign w:val="bottom"/>
          </w:tcPr>
          <w:p>
            <w:pPr>
              <w:ind w:left="280"/>
              <w:spacing w:after="0"/>
              <w:rPr>
                <w:sz w:val="20"/>
                <w:szCs w:val="20"/>
                <w:color w:val="auto"/>
              </w:rPr>
            </w:pPr>
            <w:r>
              <w:rPr>
                <w:rFonts w:ascii="Arial" w:cs="Arial" w:eastAsia="Arial" w:hAnsi="Arial"/>
                <w:sz w:val="16"/>
                <w:szCs w:val="16"/>
                <w:color w:val="auto"/>
              </w:rPr>
              <w:t>Other noncurrent liabilities</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104,249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3,378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107,627</w:t>
            </w:r>
          </w:p>
        </w:tc>
        <w:tc>
          <w:tcPr>
            <w:tcW w:w="0" w:type="dxa"/>
            <w:vAlign w:val="bottom"/>
          </w:tcPr>
          <w:p>
            <w:pPr>
              <w:spacing w:after="0"/>
              <w:rPr>
                <w:sz w:val="1"/>
                <w:szCs w:val="1"/>
                <w:color w:val="auto"/>
              </w:rPr>
            </w:pPr>
          </w:p>
        </w:tc>
      </w:tr>
      <w:tr>
        <w:trPr>
          <w:trHeight w:val="280"/>
        </w:trPr>
        <w:tc>
          <w:tcPr>
            <w:tcW w:w="44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HSS shareholders’ equity</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2,284,422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3,260,138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204,860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(3,464,998)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2,284,422</w:t>
            </w:r>
          </w:p>
        </w:tc>
        <w:tc>
          <w:tcPr>
            <w:tcW w:w="0" w:type="dxa"/>
            <w:vAlign w:val="bottom"/>
          </w:tcPr>
          <w:p>
            <w:pPr>
              <w:spacing w:after="0"/>
              <w:rPr>
                <w:sz w:val="1"/>
                <w:szCs w:val="1"/>
                <w:color w:val="auto"/>
              </w:rPr>
            </w:pPr>
          </w:p>
        </w:tc>
      </w:tr>
      <w:tr>
        <w:trPr>
          <w:trHeight w:val="264"/>
        </w:trPr>
        <w:tc>
          <w:tcPr>
            <w:tcW w:w="4420" w:type="dxa"/>
            <w:vAlign w:val="bottom"/>
          </w:tcPr>
          <w:p>
            <w:pPr>
              <w:ind w:left="500"/>
              <w:spacing w:after="0"/>
              <w:rPr>
                <w:sz w:val="20"/>
                <w:szCs w:val="20"/>
                <w:color w:val="auto"/>
              </w:rPr>
            </w:pPr>
            <w:r>
              <w:rPr>
                <w:rFonts w:ascii="Arial" w:cs="Arial" w:eastAsia="Arial" w:hAnsi="Arial"/>
                <w:sz w:val="16"/>
                <w:szCs w:val="16"/>
                <w:color w:val="auto"/>
              </w:rPr>
              <w:t>Noncontrolling interests</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14,822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14,822</w:t>
            </w:r>
          </w:p>
        </w:tc>
        <w:tc>
          <w:tcPr>
            <w:tcW w:w="0" w:type="dxa"/>
            <w:vAlign w:val="bottom"/>
          </w:tcPr>
          <w:p>
            <w:pPr>
              <w:spacing w:after="0"/>
              <w:rPr>
                <w:sz w:val="1"/>
                <w:szCs w:val="1"/>
                <w:color w:val="auto"/>
              </w:rPr>
            </w:pPr>
          </w:p>
        </w:tc>
      </w:tr>
      <w:tr>
        <w:trPr>
          <w:trHeight w:val="237"/>
        </w:trPr>
        <w:tc>
          <w:tcPr>
            <w:tcW w:w="4420" w:type="dxa"/>
            <w:vAlign w:val="bottom"/>
            <w:tcBorders>
              <w:top w:val="single" w:sz="8" w:color="CCEEFF"/>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liabilities and shareholders’ equity</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5,693,083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4,593,079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470,125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(3,898,937)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6,857,350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00"/>
          </w:cols>
          <w:pgMar w:left="240" w:top="140" w:right="359" w:bottom="1440" w:gutter="0" w:footer="0" w:header="0"/>
        </w:sectPr>
      </w:pPr>
    </w:p>
    <w:bookmarkStart w:id="106" w:name="page107"/>
    <w:bookmarkEnd w:id="106"/>
    <w:p>
      <w:pPr>
        <w:spacing w:after="0" w:line="4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Consolidating Statement of Operations and Comprehensive Income (Loss) For the Year Ended December 31, 2018</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HSS</w:t>
            </w:r>
          </w:p>
        </w:tc>
        <w:tc>
          <w:tcPr>
            <w:tcW w:w="18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Services and other revenue - DISH Network</w:t>
            </w:r>
          </w:p>
        </w:tc>
        <w:tc>
          <w:tcPr>
            <w:tcW w:w="3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364,182</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366,155</w:t>
            </w: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Services and other revenue - other</w:t>
            </w:r>
          </w:p>
        </w:tc>
        <w:tc>
          <w:tcPr>
            <w:tcW w:w="3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1,333,104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230,900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1,526,098</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Equipment revenue</w:t>
            </w:r>
          </w:p>
        </w:tc>
        <w:tc>
          <w:tcPr>
            <w:tcW w:w="340" w:type="dxa"/>
            <w:vAlign w:val="bottom"/>
          </w:tcPr>
          <w:p>
            <w:pPr>
              <w:spacing w:after="0"/>
              <w:rPr>
                <w:sz w:val="17"/>
                <w:szCs w:val="17"/>
                <w:color w:val="auto"/>
              </w:rPr>
            </w:pPr>
          </w:p>
        </w:tc>
        <w:tc>
          <w:tcPr>
            <w:tcW w:w="1060" w:type="dxa"/>
            <w:vAlign w:val="bottom"/>
            <w:vMerge w:val="restart"/>
          </w:tcPr>
          <w:p>
            <w:pPr>
              <w:ind w:left="8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221,996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29,137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(45,723)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205,410</w:t>
            </w:r>
          </w:p>
        </w:tc>
        <w:tc>
          <w:tcPr>
            <w:tcW w:w="0" w:type="dxa"/>
            <w:vAlign w:val="bottom"/>
          </w:tcPr>
          <w:p>
            <w:pPr>
              <w:spacing w:after="0"/>
              <w:rPr>
                <w:sz w:val="1"/>
                <w:szCs w:val="1"/>
                <w:color w:val="auto"/>
              </w:rPr>
            </w:pPr>
          </w:p>
        </w:tc>
      </w:tr>
      <w:tr>
        <w:trPr>
          <w:trHeight w:val="60"/>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revenue</w:t>
            </w:r>
          </w:p>
        </w:tc>
        <w:tc>
          <w:tcPr>
            <w:tcW w:w="3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1,919,282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262,010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(83,629)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2,097,663</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Costs of sales - services and other (exclusive of</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487,997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147,952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(35,736)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600,213</w:t>
            </w:r>
          </w:p>
        </w:tc>
        <w:tc>
          <w:tcPr>
            <w:tcW w:w="0" w:type="dxa"/>
            <w:vAlign w:val="bottom"/>
          </w:tcPr>
          <w:p>
            <w:pPr>
              <w:spacing w:after="0"/>
              <w:rPr>
                <w:sz w:val="1"/>
                <w:szCs w:val="1"/>
                <w:color w:val="auto"/>
              </w:rPr>
            </w:pPr>
          </w:p>
        </w:tc>
      </w:tr>
      <w:tr>
        <w:trPr>
          <w:trHeight w:val="194"/>
        </w:trPr>
        <w:tc>
          <w:tcPr>
            <w:tcW w:w="4120" w:type="dxa"/>
            <w:vAlign w:val="bottom"/>
          </w:tcPr>
          <w:p>
            <w:pPr>
              <w:ind w:left="280"/>
              <w:spacing w:after="0"/>
              <w:rPr>
                <w:sz w:val="20"/>
                <w:szCs w:val="20"/>
                <w:color w:val="auto"/>
              </w:rPr>
            </w:pPr>
            <w:r>
              <w:rPr>
                <w:rFonts w:ascii="Arial" w:cs="Arial" w:eastAsia="Arial" w:hAnsi="Arial"/>
                <w:sz w:val="14"/>
                <w:szCs w:val="14"/>
                <w:color w:val="auto"/>
              </w:rPr>
              <w:t>Cost of sales - equipment (exclusive of depreciation and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20" w:type="dxa"/>
            <w:vAlign w:val="bottom"/>
          </w:tcPr>
          <w:p>
            <w:pPr>
              <w:ind w:left="28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15"/>
                <w:szCs w:val="15"/>
                <w:color w:val="auto"/>
              </w:rPr>
            </w:pPr>
          </w:p>
        </w:tc>
        <w:tc>
          <w:tcPr>
            <w:tcW w:w="118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200,620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21,703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(45,723)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176,600</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345,380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54,943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398,153</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Research and development expenses</w:t>
            </w:r>
          </w:p>
        </w:tc>
        <w:tc>
          <w:tcPr>
            <w:tcW w:w="340" w:type="dxa"/>
            <w:vAlign w:val="bottom"/>
          </w:tcPr>
          <w:p>
            <w:pPr>
              <w:spacing w:after="0"/>
              <w:rPr>
                <w:sz w:val="17"/>
                <w:szCs w:val="17"/>
                <w:color w:val="auto"/>
              </w:rPr>
            </w:pPr>
          </w:p>
        </w:tc>
        <w:tc>
          <w:tcPr>
            <w:tcW w:w="118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27,570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27,570</w:t>
            </w: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498,861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52,555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551,416</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Impairment of assets</w:t>
            </w:r>
          </w:p>
        </w:tc>
        <w:tc>
          <w:tcPr>
            <w:tcW w:w="340" w:type="dxa"/>
            <w:vAlign w:val="bottom"/>
          </w:tcPr>
          <w:p>
            <w:pPr>
              <w:spacing w:after="0"/>
              <w:rPr>
                <w:sz w:val="17"/>
                <w:szCs w:val="17"/>
                <w:color w:val="auto"/>
              </w:rPr>
            </w:pPr>
          </w:p>
        </w:tc>
        <w:tc>
          <w:tcPr>
            <w:tcW w:w="1060" w:type="dxa"/>
            <w:vAlign w:val="bottom"/>
            <w:vMerge w:val="restart"/>
          </w:tcPr>
          <w:p>
            <w:pPr>
              <w:ind w:left="80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costs and expenses</w:t>
            </w:r>
          </w:p>
        </w:tc>
        <w:tc>
          <w:tcPr>
            <w:tcW w:w="3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1,560,428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277,153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(83,629)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1,753,952</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120" w:type="dxa"/>
            <w:vAlign w:val="bottom"/>
          </w:tcPr>
          <w:p>
            <w:pPr>
              <w:ind w:left="720"/>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16"/>
                <w:szCs w:val="16"/>
                <w:color w:val="auto"/>
              </w:rPr>
            </w:pPr>
          </w:p>
        </w:tc>
        <w:tc>
          <w:tcPr>
            <w:tcW w:w="1180" w:type="dxa"/>
            <w:vAlign w:val="bottom"/>
            <w:gridSpan w:val="2"/>
            <w:vMerge w:val="restart"/>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358,854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(15,143)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343,711</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 income (expense):</w:t>
      </w:r>
    </w:p>
    <w:p>
      <w:pPr>
        <w:sectPr>
          <w:pgSz w:w="11900" w:h="16884" w:orient="portrait"/>
          <w:cols w:equalWidth="0" w:num="1">
            <w:col w:w="11420"/>
          </w:cols>
          <w:pgMar w:left="240" w:top="140" w:right="239" w:bottom="0" w:gutter="0" w:footer="0" w:header="0"/>
        </w:sectPr>
      </w:pPr>
    </w:p>
    <w:p>
      <w:pPr>
        <w:spacing w:after="0" w:line="14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Interest expense, net of amounts capitalized</w:t>
      </w:r>
    </w:p>
    <w:p>
      <w:pPr>
        <w:spacing w:after="0" w:line="109" w:lineRule="exact"/>
        <w:rPr>
          <w:sz w:val="20"/>
          <w:szCs w:val="20"/>
          <w:color w:val="auto"/>
        </w:rPr>
      </w:pPr>
    </w:p>
    <w:p>
      <w:pPr>
        <w:ind w:left="280" w:right="40"/>
        <w:spacing w:after="0" w:line="258" w:lineRule="auto"/>
        <w:rPr>
          <w:sz w:val="20"/>
          <w:szCs w:val="20"/>
          <w:color w:val="auto"/>
        </w:rPr>
      </w:pPr>
      <w:r>
        <w:rPr>
          <w:rFonts w:ascii="Arial" w:cs="Arial" w:eastAsia="Arial" w:hAnsi="Arial"/>
          <w:sz w:val="14"/>
          <w:szCs w:val="14"/>
          <w:color w:val="auto"/>
        </w:rPr>
        <w:t>Other-than-temporary impairment loss on available-for-sale securities</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Gains (losses) on investments, net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Equity in earnings of unconsolidated affiliate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Equity in earnings (losses) of subsidiaries, net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other income (expense), net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Income (loss) before income taxes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Income tax benefit (provision), net</w:t>
      </w:r>
    </w:p>
    <w:p>
      <w:pPr>
        <w:spacing w:after="0" w:line="109"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Less: Net income attributable to</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noncontrolling interests</w:t>
      </w:r>
    </w:p>
    <w:p>
      <w:pPr>
        <w:spacing w:after="0" w:line="55"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Net income (loss) attributable to</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HSS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Comprehensive income (loss):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56,487</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3,806</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2,472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(3,661)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59,104</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(229,481)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(29,418)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(4,483)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3,661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(259,721)</w:t>
            </w:r>
          </w:p>
        </w:tc>
      </w:tr>
      <w:tr>
        <w:trPr>
          <w:trHeight w:val="378"/>
        </w:trPr>
        <w:tc>
          <w:tcPr>
            <w:tcW w:w="4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2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187</w:t>
            </w:r>
          </w:p>
        </w:tc>
      </w:tr>
      <w:tr>
        <w:trPr>
          <w:trHeight w:val="270"/>
        </w:trPr>
        <w:tc>
          <w:tcPr>
            <w:tcW w:w="42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4,874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4,874</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224,405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(33,525)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(190,880)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2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9,155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(12,628)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(4,443)</w:t>
            </w:r>
          </w:p>
        </w:tc>
      </w:tr>
      <w:tr>
        <w:trPr>
          <w:trHeight w:val="250"/>
        </w:trPr>
        <w:tc>
          <w:tcPr>
            <w:tcW w:w="4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50,441</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(44,921)</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(14,639)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(190,880)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(199,999)</w:t>
            </w:r>
          </w:p>
        </w:tc>
      </w:tr>
      <w:tr>
        <w:trPr>
          <w:trHeight w:val="244"/>
        </w:trPr>
        <w:tc>
          <w:tcPr>
            <w:tcW w:w="42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50,441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313,933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(29,782)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(190,880)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143,712</w:t>
            </w:r>
          </w:p>
        </w:tc>
      </w:tr>
      <w:tr>
        <w:trPr>
          <w:trHeight w:val="276"/>
        </w:trPr>
        <w:tc>
          <w:tcPr>
            <w:tcW w:w="4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45,060</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(89,984)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(46,369)</w:t>
            </w:r>
          </w:p>
        </w:tc>
      </w:tr>
      <w:tr>
        <w:trPr>
          <w:trHeight w:val="244"/>
        </w:trPr>
        <w:tc>
          <w:tcPr>
            <w:tcW w:w="4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95,501</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223,949</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(31,227)</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(190,880)</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97,343</w:t>
            </w:r>
          </w:p>
        </w:tc>
      </w:tr>
      <w:tr>
        <w:trPr>
          <w:trHeight w:val="384"/>
        </w:trPr>
        <w:tc>
          <w:tcPr>
            <w:tcW w:w="4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1,842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1,842</w:t>
            </w:r>
          </w:p>
        </w:tc>
      </w:tr>
      <w:tr>
        <w:trPr>
          <w:trHeight w:val="345"/>
        </w:trPr>
        <w:tc>
          <w:tcPr>
            <w:tcW w:w="4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95,501</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223,949</w:t>
            </w:r>
          </w:p>
        </w:tc>
        <w:tc>
          <w:tcPr>
            <w:tcW w:w="12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(33,069)</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(190,880)</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95,501</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21"/>
        </w:trPr>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95,501</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223,949</w:t>
            </w:r>
          </w:p>
        </w:tc>
        <w:tc>
          <w:tcPr>
            <w:tcW w:w="120" w:type="dxa"/>
            <w:vAlign w:val="bottom"/>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(31,227)</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(190,880)</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97,343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-2632075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-2220595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-1877695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-1534160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-1191260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-848360</wp:posOffset>
            </wp:positionV>
            <wp:extent cx="724662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7">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-368300</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-8255</wp:posOffset>
            </wp:positionV>
            <wp:extent cx="7246620" cy="1803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5" w:lineRule="exact"/>
        <w:rPr>
          <w:sz w:val="20"/>
          <w:szCs w:val="20"/>
          <w:color w:val="auto"/>
        </w:rPr>
      </w:pPr>
    </w:p>
    <w:p>
      <w:pPr>
        <w:sectPr>
          <w:pgSz w:w="11900" w:h="16884" w:orient="portrait"/>
          <w:cols w:equalWidth="0" w:num="2">
            <w:col w:w="3820" w:space="300"/>
            <w:col w:w="7300"/>
          </w:cols>
          <w:pgMar w:left="240" w:top="140" w:right="239" w:bottom="0" w:gutter="0" w:footer="0" w:header="0"/>
          <w:type w:val="continuous"/>
        </w:sectPr>
      </w:pPr>
    </w:p>
    <w:tbl>
      <w:tblPr>
        <w:tblLayout w:type="fixed"/>
        <w:tblInd w:w="0" w:type="dxa"/>
        <w:tblCellMar>
          <w:top w:w="0" w:type="dxa"/>
          <w:left w:w="0" w:type="dxa"/>
          <w:bottom w:w="0" w:type="dxa"/>
          <w:right w:w="0" w:type="dxa"/>
        </w:tblCellMar>
      </w:tblPr>
      <w:tr>
        <w:trPr>
          <w:trHeight w:val="178"/>
        </w:trPr>
        <w:tc>
          <w:tcPr>
            <w:tcW w:w="412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3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(31,938)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(31,938)</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gains (losses) on available-for-sale securities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and other</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(665)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Realized gains on available-for-sale securities</w:t>
            </w:r>
          </w:p>
        </w:tc>
        <w:tc>
          <w:tcPr>
            <w:tcW w:w="340" w:type="dxa"/>
            <w:vAlign w:val="bottom"/>
          </w:tcPr>
          <w:p>
            <w:pPr>
              <w:spacing w:after="0"/>
              <w:rPr>
                <w:sz w:val="22"/>
                <w:szCs w:val="22"/>
                <w:color w:val="auto"/>
              </w:rPr>
            </w:pPr>
          </w:p>
        </w:tc>
        <w:tc>
          <w:tcPr>
            <w:tcW w:w="1060" w:type="dxa"/>
            <w:vAlign w:val="bottom"/>
          </w:tcPr>
          <w:p>
            <w:pPr>
              <w:jc w:val="right"/>
              <w:ind w:right="7"/>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in other comprehensive income (loss) of</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subsidiaries, net</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(30,508)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(30,508)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61,016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comprehensive income (loss), net of tax</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(31,385)</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(30,508)</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(31,897)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61,016</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(32,774)</w:t>
            </w:r>
          </w:p>
        </w:tc>
        <w:tc>
          <w:tcPr>
            <w:tcW w:w="0" w:type="dxa"/>
            <w:vAlign w:val="bottom"/>
          </w:tcPr>
          <w:p>
            <w:pPr>
              <w:spacing w:after="0"/>
              <w:rPr>
                <w:sz w:val="1"/>
                <w:szCs w:val="1"/>
                <w:color w:val="auto"/>
              </w:rPr>
            </w:pPr>
          </w:p>
        </w:tc>
      </w:tr>
      <w:tr>
        <w:trPr>
          <w:trHeight w:val="256"/>
        </w:trPr>
        <w:tc>
          <w:tcPr>
            <w:tcW w:w="4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Comprehensive income (loss)</w:t>
            </w: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64,116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193,441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64,569</w:t>
            </w:r>
          </w:p>
        </w:tc>
        <w:tc>
          <w:tcPr>
            <w:tcW w:w="0" w:type="dxa"/>
            <w:vAlign w:val="bottom"/>
          </w:tcPr>
          <w:p>
            <w:pPr>
              <w:spacing w:after="0"/>
              <w:rPr>
                <w:sz w:val="1"/>
                <w:szCs w:val="1"/>
                <w:color w:val="auto"/>
              </w:rPr>
            </w:pPr>
          </w:p>
        </w:tc>
      </w:tr>
      <w:tr>
        <w:trPr>
          <w:trHeight w:val="194"/>
        </w:trPr>
        <w:tc>
          <w:tcPr>
            <w:tcW w:w="4120" w:type="dxa"/>
            <w:vAlign w:val="bottom"/>
          </w:tcPr>
          <w:p>
            <w:pPr>
              <w:ind w:left="920"/>
              <w:spacing w:after="0"/>
              <w:rPr>
                <w:sz w:val="20"/>
                <w:szCs w:val="20"/>
                <w:color w:val="auto"/>
              </w:rPr>
            </w:pPr>
            <w:r>
              <w:rPr>
                <w:rFonts w:ascii="Arial" w:cs="Arial" w:eastAsia="Arial" w:hAnsi="Arial"/>
                <w:sz w:val="14"/>
                <w:szCs w:val="14"/>
                <w:color w:val="auto"/>
              </w:rPr>
              <w:t>Less: Comprehensive income attributable to</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20" w:type="dxa"/>
            <w:vAlign w:val="bottom"/>
          </w:tcPr>
          <w:p>
            <w:pPr>
              <w:ind w:left="920"/>
              <w:spacing w:after="0"/>
              <w:rPr>
                <w:sz w:val="20"/>
                <w:szCs w:val="20"/>
                <w:color w:val="auto"/>
              </w:rPr>
            </w:pPr>
            <w:r>
              <w:rPr>
                <w:rFonts w:ascii="Arial" w:cs="Arial" w:eastAsia="Arial" w:hAnsi="Arial"/>
                <w:sz w:val="14"/>
                <w:szCs w:val="14"/>
                <w:color w:val="auto"/>
              </w:rPr>
              <w:t>noncontrolling interests</w:t>
            </w:r>
          </w:p>
        </w:tc>
        <w:tc>
          <w:tcPr>
            <w:tcW w:w="3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80"/>
        </w:trPr>
        <w:tc>
          <w:tcPr>
            <w:tcW w:w="4120" w:type="dxa"/>
            <w:vAlign w:val="bottom"/>
            <w:tcBorders>
              <w:top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Comprehensive income (loss) attributable to</w:t>
            </w:r>
          </w:p>
        </w:tc>
        <w:tc>
          <w:tcPr>
            <w:tcW w:w="340" w:type="dxa"/>
            <w:vAlign w:val="bottom"/>
            <w:tcBorders>
              <w:top w:val="single" w:sz="8" w:color="auto"/>
            </w:tcBorders>
            <w:vMerge w:val="restart"/>
            <w:shd w:val="clear" w:color="auto" w:fill="CCEEFF"/>
          </w:tcPr>
          <w:p>
            <w:pPr>
              <w:jc w:val="right"/>
              <w:ind w:right="145"/>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64,116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193,441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(63,577)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(129,864)</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64,116</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HSS</w:t>
            </w: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12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vMerge w:val="continue"/>
            <w:shd w:val="clear" w:color="auto" w:fill="CCEEFF"/>
          </w:tcPr>
          <w:p>
            <w:pPr>
              <w:spacing w:after="0"/>
              <w:rPr>
                <w:sz w:val="14"/>
                <w:szCs w:val="14"/>
                <w:color w:val="auto"/>
              </w:rPr>
            </w:pPr>
          </w:p>
        </w:tc>
        <w:tc>
          <w:tcPr>
            <w:tcW w:w="11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10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1320"/>
              <w:spacing w:after="0"/>
              <w:rPr>
                <w:sz w:val="20"/>
                <w:szCs w:val="20"/>
                <w:color w:val="auto"/>
              </w:rPr>
            </w:pPr>
            <w:r>
              <w:rPr>
                <w:rFonts w:ascii="Arial" w:cs="Arial" w:eastAsia="Arial" w:hAnsi="Arial"/>
                <w:sz w:val="16"/>
                <w:szCs w:val="16"/>
                <w:b w:val="1"/>
                <w:bCs w:val="1"/>
                <w:color w:val="auto"/>
                <w:w w:val="93"/>
              </w:rPr>
              <w:t>Consolidating Statement of Operations</w:t>
            </w: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20" w:type="dxa"/>
            <w:vAlign w:val="bottom"/>
            <w:vMerge w:val="continue"/>
          </w:tcPr>
          <w:p>
            <w:pPr>
              <w:spacing w:after="0"/>
              <w:rPr>
                <w:sz w:val="14"/>
                <w:szCs w:val="14"/>
                <w:color w:val="auto"/>
              </w:rPr>
            </w:pPr>
          </w:p>
        </w:tc>
        <w:tc>
          <w:tcPr>
            <w:tcW w:w="1520" w:type="dxa"/>
            <w:vAlign w:val="bottom"/>
            <w:gridSpan w:val="3"/>
          </w:tcPr>
          <w:p>
            <w:pPr>
              <w:ind w:left="260"/>
              <w:spacing w:after="0" w:line="169" w:lineRule="exact"/>
              <w:rPr>
                <w:sz w:val="20"/>
                <w:szCs w:val="20"/>
                <w:color w:val="auto"/>
              </w:rPr>
            </w:pPr>
            <w:r>
              <w:rPr>
                <w:rFonts w:ascii="Arial" w:cs="Arial" w:eastAsia="Arial" w:hAnsi="Arial"/>
                <w:sz w:val="16"/>
                <w:szCs w:val="16"/>
                <w:b w:val="1"/>
                <w:bCs w:val="1"/>
                <w:color w:val="auto"/>
                <w:w w:val="81"/>
              </w:rPr>
              <w:t>and Comprehensive</w:t>
            </w:r>
          </w:p>
        </w:tc>
        <w:tc>
          <w:tcPr>
            <w:tcW w:w="1400" w:type="dxa"/>
            <w:vAlign w:val="bottom"/>
            <w:gridSpan w:val="2"/>
          </w:tcPr>
          <w:p>
            <w:pPr>
              <w:ind w:left="340"/>
              <w:spacing w:after="0" w:line="169" w:lineRule="exact"/>
              <w:rPr>
                <w:sz w:val="20"/>
                <w:szCs w:val="20"/>
                <w:color w:val="auto"/>
              </w:rPr>
            </w:pPr>
            <w:r>
              <w:rPr>
                <w:rFonts w:ascii="Arial" w:cs="Arial" w:eastAsia="Arial" w:hAnsi="Arial"/>
                <w:sz w:val="16"/>
                <w:szCs w:val="16"/>
                <w:b w:val="1"/>
                <w:bCs w:val="1"/>
                <w:color w:val="auto"/>
                <w:w w:val="95"/>
              </w:rPr>
              <w:t>Income (Loss)</w:t>
            </w:r>
          </w:p>
        </w:tc>
        <w:tc>
          <w:tcPr>
            <w:tcW w:w="120" w:type="dxa"/>
            <w:vAlign w:val="bottom"/>
            <w:vMerge w:val="continue"/>
          </w:tcPr>
          <w:p>
            <w:pPr>
              <w:spacing w:after="0"/>
              <w:rPr>
                <w:sz w:val="14"/>
                <w:szCs w:val="14"/>
                <w:color w:val="auto"/>
              </w:rPr>
            </w:pPr>
          </w:p>
        </w:tc>
        <w:tc>
          <w:tcPr>
            <w:tcW w:w="134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w w:val="89"/>
              </w:rPr>
              <w:t>For the Year Ended</w:t>
            </w:r>
          </w:p>
        </w:tc>
        <w:tc>
          <w:tcPr>
            <w:tcW w:w="120" w:type="dxa"/>
            <w:vAlign w:val="bottom"/>
            <w:vMerge w:val="continue"/>
          </w:tcPr>
          <w:p>
            <w:pPr>
              <w:spacing w:after="0"/>
              <w:rPr>
                <w:sz w:val="14"/>
                <w:szCs w:val="14"/>
                <w:color w:val="auto"/>
              </w:rPr>
            </w:pPr>
          </w:p>
        </w:tc>
        <w:tc>
          <w:tcPr>
            <w:tcW w:w="1440" w:type="dxa"/>
            <w:vAlign w:val="bottom"/>
            <w:gridSpan w:val="3"/>
          </w:tcPr>
          <w:p>
            <w:pPr>
              <w:ind w:left="20"/>
              <w:spacing w:after="0" w:line="169" w:lineRule="exact"/>
              <w:rPr>
                <w:sz w:val="20"/>
                <w:szCs w:val="20"/>
                <w:color w:val="auto"/>
              </w:rPr>
            </w:pPr>
            <w:r>
              <w:rPr>
                <w:rFonts w:ascii="Arial" w:cs="Arial" w:eastAsia="Arial" w:hAnsi="Arial"/>
                <w:sz w:val="16"/>
                <w:szCs w:val="16"/>
                <w:b w:val="1"/>
                <w:bCs w:val="1"/>
                <w:color w:val="auto"/>
                <w:w w:val="97"/>
              </w:rPr>
              <w:t>December 31, 2017</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5"/>
          </w:tcPr>
          <w:p>
            <w:pPr>
              <w:jc w:val="center"/>
              <w:ind w:right="200"/>
              <w:spacing w:after="0"/>
              <w:rPr>
                <w:sz w:val="20"/>
                <w:szCs w:val="20"/>
                <w:color w:val="auto"/>
              </w:rPr>
            </w:pPr>
            <w:r>
              <w:rPr>
                <w:rFonts w:ascii="Arial" w:cs="Arial" w:eastAsia="Arial" w:hAnsi="Arial"/>
                <w:sz w:val="18"/>
                <w:szCs w:val="18"/>
                <w:color w:val="auto"/>
                <w:w w:val="99"/>
              </w:rPr>
              <w:t>(In thousands)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HSS</w:t>
            </w:r>
          </w:p>
        </w:tc>
        <w:tc>
          <w:tcPr>
            <w:tcW w:w="18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Services and other revenue - DISH Network</w:t>
            </w:r>
          </w:p>
        </w:tc>
        <w:tc>
          <w:tcPr>
            <w:tcW w:w="340" w:type="dxa"/>
            <w:vAlign w:val="bottom"/>
            <w:vMerge w:val="restart"/>
          </w:tcPr>
          <w:p>
            <w:pPr>
              <w:jc w:val="right"/>
              <w:ind w:right="145"/>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432,090</w:t>
            </w:r>
          </w:p>
        </w:tc>
        <w:tc>
          <w:tcPr>
            <w:tcW w:w="120" w:type="dxa"/>
            <w:vAlign w:val="bottom"/>
          </w:tcPr>
          <w:p>
            <w:pPr>
              <w:spacing w:after="0"/>
              <w:rPr>
                <w:sz w:val="17"/>
                <w:szCs w:val="17"/>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1,739</w:t>
            </w:r>
          </w:p>
        </w:tc>
        <w:tc>
          <w:tcPr>
            <w:tcW w:w="120" w:type="dxa"/>
            <w:vAlign w:val="bottom"/>
          </w:tcPr>
          <w:p>
            <w:pPr>
              <w:spacing w:after="0"/>
              <w:rPr>
                <w:sz w:val="17"/>
                <w:szCs w:val="17"/>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433,829</w:t>
            </w: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Services and other revenue - other</w:t>
            </w:r>
          </w:p>
        </w:tc>
        <w:tc>
          <w:tcPr>
            <w:tcW w:w="3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1,056,914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178,857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(32,220)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1,203,551</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Equipment revenue</w:t>
            </w:r>
          </w:p>
        </w:tc>
        <w:tc>
          <w:tcPr>
            <w:tcW w:w="340" w:type="dxa"/>
            <w:vAlign w:val="bottom"/>
          </w:tcPr>
          <w:p>
            <w:pPr>
              <w:spacing w:after="0"/>
              <w:rPr>
                <w:sz w:val="17"/>
                <w:szCs w:val="17"/>
                <w:color w:val="auto"/>
              </w:rPr>
            </w:pPr>
          </w:p>
        </w:tc>
        <w:tc>
          <w:tcPr>
            <w:tcW w:w="1060" w:type="dxa"/>
            <w:vAlign w:val="bottom"/>
            <w:vMerge w:val="restart"/>
          </w:tcPr>
          <w:p>
            <w:pPr>
              <w:jc w:val="right"/>
              <w:ind w:right="47"/>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255,610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27,205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(43,326)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239,489</w:t>
            </w:r>
          </w:p>
        </w:tc>
        <w:tc>
          <w:tcPr>
            <w:tcW w:w="0" w:type="dxa"/>
            <w:vAlign w:val="bottom"/>
          </w:tcPr>
          <w:p>
            <w:pPr>
              <w:spacing w:after="0"/>
              <w:rPr>
                <w:sz w:val="1"/>
                <w:szCs w:val="1"/>
                <w:color w:val="auto"/>
              </w:rPr>
            </w:pPr>
          </w:p>
        </w:tc>
      </w:tr>
      <w:tr>
        <w:trPr>
          <w:trHeight w:val="60"/>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revenue</w:t>
            </w:r>
          </w:p>
        </w:tc>
        <w:tc>
          <w:tcPr>
            <w:tcW w:w="3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1,744,614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207,801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(75,546)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1,876,869</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Costs of sales - services and other (exclusive of</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458,139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131,177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559,684</w:t>
            </w:r>
          </w:p>
        </w:tc>
        <w:tc>
          <w:tcPr>
            <w:tcW w:w="0" w:type="dxa"/>
            <w:vAlign w:val="bottom"/>
          </w:tcPr>
          <w:p>
            <w:pPr>
              <w:spacing w:after="0"/>
              <w:rPr>
                <w:sz w:val="1"/>
                <w:szCs w:val="1"/>
                <w:color w:val="auto"/>
              </w:rPr>
            </w:pPr>
          </w:p>
        </w:tc>
      </w:tr>
    </w:tbl>
    <w:p>
      <w:pPr>
        <w:sectPr>
          <w:pgSz w:w="11900" w:h="16884" w:orient="portrait"/>
          <w:cols w:equalWidth="0" w:num="1">
            <w:col w:w="11420"/>
          </w:cols>
          <w:pgMar w:left="240" w:top="140" w:right="239" w:bottom="0" w:gutter="0" w:footer="0" w:header="0"/>
          <w:type w:val="continuous"/>
        </w:sectPr>
      </w:pPr>
    </w:p>
    <w:bookmarkStart w:id="107" w:name="page108"/>
    <w:bookmarkEnd w:id="107"/>
    <w:p>
      <w:pPr>
        <w:spacing w:after="0" w:line="62" w:lineRule="exact"/>
        <w:rPr>
          <w:sz w:val="20"/>
          <w:szCs w:val="20"/>
          <w:color w:val="auto"/>
        </w:rPr>
      </w:pPr>
    </w:p>
    <w:p>
      <w:pPr>
        <w:ind w:left="280" w:right="100"/>
        <w:spacing w:after="0" w:line="258" w:lineRule="auto"/>
        <w:rPr>
          <w:sz w:val="20"/>
          <w:szCs w:val="20"/>
          <w:color w:val="auto"/>
        </w:rPr>
      </w:pPr>
      <w:r>
        <w:rPr>
          <w:rFonts w:ascii="Arial" w:cs="Arial" w:eastAsia="Arial" w:hAnsi="Arial"/>
          <w:sz w:val="14"/>
          <w:szCs w:val="14"/>
          <w:color w:val="auto"/>
        </w:rPr>
        <w:t>Cost of sales - equipment (exclusive of depreciation and amortization)</w:t>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Selling, general and administrative expenses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Research and development expenses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Impairment of assets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costs and expenses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Operating income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 income (expense):</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Interest income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Interest expense, net of amounts capitalized</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Gains (losses) on marketable investment securities, net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Equity in earnings of unconsolidated affiliate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Equity in earnings (losses) of subsidiaries, net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Total other income (expense), net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(loss) before income taxes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Income tax benefit (provision), net</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Net income (loss)</w:t>
      </w:r>
    </w:p>
    <w:p>
      <w:pPr>
        <w:spacing w:after="0" w:line="109"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Less: Net income attributable to</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noncontrolling interests</w:t>
      </w:r>
    </w:p>
    <w:p>
      <w:pPr>
        <w:spacing w:after="0" w:line="55"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Net income (loss) attributable to</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HSS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Comprehensive income (loss):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Foreign currency translation adjustments</w:t>
      </w:r>
    </w:p>
    <w:p>
      <w:pPr>
        <w:spacing w:after="0" w:line="55" w:lineRule="exact"/>
        <w:rPr>
          <w:sz w:val="20"/>
          <w:szCs w:val="20"/>
          <w:color w:val="auto"/>
        </w:rPr>
      </w:pPr>
    </w:p>
    <w:p>
      <w:pPr>
        <w:ind w:left="280" w:right="80"/>
        <w:spacing w:after="0" w:line="258" w:lineRule="auto"/>
        <w:rPr>
          <w:sz w:val="20"/>
          <w:szCs w:val="20"/>
          <w:color w:val="auto"/>
        </w:rPr>
      </w:pPr>
      <w:r>
        <w:rPr>
          <w:rFonts w:ascii="Arial" w:cs="Arial" w:eastAsia="Arial" w:hAnsi="Arial"/>
          <w:sz w:val="14"/>
          <w:szCs w:val="14"/>
          <w:color w:val="auto"/>
        </w:rPr>
        <w:t>Unrealized gains (losses) on available-for-sale securities and other</w:t>
      </w:r>
    </w:p>
    <w:p>
      <w:pPr>
        <w:spacing w:after="0" w:line="32" w:lineRule="exact"/>
        <w:rPr>
          <w:sz w:val="20"/>
          <w:szCs w:val="20"/>
          <w:color w:val="auto"/>
        </w:rPr>
      </w:pPr>
    </w:p>
    <w:p>
      <w:pPr>
        <w:ind w:left="280"/>
        <w:spacing w:after="0" w:line="258" w:lineRule="auto"/>
        <w:rPr>
          <w:sz w:val="20"/>
          <w:szCs w:val="20"/>
          <w:color w:val="auto"/>
        </w:rPr>
      </w:pPr>
      <w:r>
        <w:rPr>
          <w:rFonts w:ascii="Arial" w:cs="Arial" w:eastAsia="Arial" w:hAnsi="Arial"/>
          <w:sz w:val="14"/>
          <w:szCs w:val="14"/>
          <w:color w:val="auto"/>
        </w:rPr>
        <w:t>Recognition of other-than-temporary loss on available-for-sale securities in net income (loss)</w:t>
      </w:r>
    </w:p>
    <w:p>
      <w:pPr>
        <w:spacing w:after="0" w:line="32" w:lineRule="exact"/>
        <w:rPr>
          <w:sz w:val="20"/>
          <w:szCs w:val="20"/>
          <w:color w:val="auto"/>
        </w:rPr>
      </w:pPr>
    </w:p>
    <w:p>
      <w:pPr>
        <w:ind w:left="280" w:right="700"/>
        <w:spacing w:after="0" w:line="258" w:lineRule="auto"/>
        <w:rPr>
          <w:sz w:val="20"/>
          <w:szCs w:val="20"/>
          <w:color w:val="auto"/>
        </w:rPr>
      </w:pPr>
      <w:r>
        <w:rPr>
          <w:rFonts w:ascii="Arial" w:cs="Arial" w:eastAsia="Arial" w:hAnsi="Arial"/>
          <w:sz w:val="14"/>
          <w:szCs w:val="14"/>
          <w:color w:val="auto"/>
        </w:rPr>
        <w:t>Equity in other comprehensive income (loss) of subsidiaries, net</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Total other comprehensive income (loss), net of tax</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Comprehensive income (loss)</w:t>
      </w:r>
    </w:p>
    <w:p>
      <w:pPr>
        <w:spacing w:after="0" w:line="55" w:lineRule="exact"/>
        <w:rPr>
          <w:sz w:val="20"/>
          <w:szCs w:val="20"/>
          <w:color w:val="auto"/>
        </w:rPr>
      </w:pPr>
    </w:p>
    <w:p>
      <w:pPr>
        <w:ind w:left="920" w:right="220"/>
        <w:spacing w:after="0" w:line="258" w:lineRule="auto"/>
        <w:rPr>
          <w:sz w:val="20"/>
          <w:szCs w:val="20"/>
          <w:color w:val="auto"/>
        </w:rPr>
      </w:pPr>
      <w:r>
        <w:rPr>
          <w:rFonts w:ascii="Arial" w:cs="Arial" w:eastAsia="Arial" w:hAnsi="Arial"/>
          <w:sz w:val="14"/>
          <w:szCs w:val="14"/>
          <w:color w:val="auto"/>
        </w:rPr>
        <w:t>Less: Comprehensive income attributable to noncontrolling interests</w:t>
      </w:r>
    </w:p>
    <w:p>
      <w:pPr>
        <w:spacing w:after="0" w:line="32" w:lineRule="exact"/>
        <w:rPr>
          <w:sz w:val="20"/>
          <w:szCs w:val="20"/>
          <w:color w:val="auto"/>
        </w:rPr>
      </w:pPr>
    </w:p>
    <w:p>
      <w:pPr>
        <w:ind w:left="1140"/>
        <w:spacing w:after="0" w:line="258" w:lineRule="auto"/>
        <w:rPr>
          <w:sz w:val="20"/>
          <w:szCs w:val="20"/>
          <w:color w:val="auto"/>
        </w:rPr>
      </w:pPr>
      <w:r>
        <w:rPr>
          <w:rFonts w:ascii="Arial" w:cs="Arial" w:eastAsia="Arial" w:hAnsi="Arial"/>
          <w:sz w:val="14"/>
          <w:szCs w:val="14"/>
          <w:color w:val="auto"/>
        </w:rPr>
        <w:t>Comprehensive income (loss) attributable to HSS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218,299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20,318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(43,178)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195,439</w:t>
            </w:r>
          </w:p>
        </w:tc>
      </w:tr>
      <w:tr>
        <w:trPr>
          <w:trHeight w:val="432"/>
        </w:trPr>
        <w:tc>
          <w:tcPr>
            <w:tcW w:w="4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293,810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46,517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337,591</w:t>
            </w:r>
          </w:p>
        </w:tc>
      </w:tr>
      <w:tr>
        <w:trPr>
          <w:trHeight w:val="270"/>
        </w:trPr>
        <w:tc>
          <w:tcPr>
            <w:tcW w:w="42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31,745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31,745</w:t>
            </w:r>
          </w:p>
        </w:tc>
      </w:tr>
      <w:tr>
        <w:trPr>
          <w:trHeight w:val="270"/>
        </w:trPr>
        <w:tc>
          <w:tcPr>
            <w:tcW w:w="42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458,483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38,315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496,798</w:t>
            </w:r>
          </w:p>
        </w:tc>
      </w:tr>
      <w:tr>
        <w:trPr>
          <w:trHeight w:val="276"/>
        </w:trPr>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6,000</w:t>
            </w:r>
          </w:p>
        </w:tc>
      </w:tr>
      <w:tr>
        <w:trPr>
          <w:trHeight w:val="250"/>
        </w:trPr>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1,466,476</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236,327</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(75,546)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1,627,257</w:t>
            </w:r>
          </w:p>
        </w:tc>
      </w:tr>
      <w:tr>
        <w:trPr>
          <w:trHeight w:val="250"/>
        </w:trPr>
        <w:tc>
          <w:tcPr>
            <w:tcW w:w="4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278,138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(28,526)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249,612</w:t>
            </w:r>
          </w:p>
        </w:tc>
      </w:tr>
      <w:tr>
        <w:trPr>
          <w:trHeight w:val="514"/>
        </w:trPr>
        <w:tc>
          <w:tcPr>
            <w:tcW w:w="4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28,146</w:t>
            </w: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96,992</w:t>
            </w: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1,986</w:t>
            </w: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(95,172)</w:t>
            </w: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31,952</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(229,415)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(112,855)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1,620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95,172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(245,478)</w:t>
            </w:r>
          </w:p>
        </w:tc>
      </w:tr>
      <w:tr>
        <w:trPr>
          <w:trHeight w:val="270"/>
        </w:trPr>
        <w:tc>
          <w:tcPr>
            <w:tcW w:w="42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(1,574)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(1,574)</w:t>
            </w:r>
          </w:p>
        </w:tc>
      </w:tr>
      <w:tr>
        <w:trPr>
          <w:trHeight w:val="270"/>
        </w:trPr>
        <w:tc>
          <w:tcPr>
            <w:tcW w:w="42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7,027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7,027</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471,602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(35,142)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(436,460)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(956)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(2,188)</w:t>
            </w:r>
          </w:p>
        </w:tc>
      </w:tr>
      <w:tr>
        <w:trPr>
          <w:trHeight w:val="250"/>
        </w:trPr>
        <w:tc>
          <w:tcPr>
            <w:tcW w:w="4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270,333</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(46,508)</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(436,460)</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(210,261)</w:t>
            </w:r>
          </w:p>
        </w:tc>
      </w:tr>
      <w:tr>
        <w:trPr>
          <w:trHeight w:val="244"/>
        </w:trPr>
        <w:tc>
          <w:tcPr>
            <w:tcW w:w="42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270,333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231,630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(26,152)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(436,460)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39,351</w:t>
            </w:r>
          </w:p>
        </w:tc>
      </w:tr>
      <w:tr>
        <w:trPr>
          <w:trHeight w:val="276"/>
        </w:trPr>
        <w:tc>
          <w:tcPr>
            <w:tcW w:w="4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25,637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240,392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(7,827)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258,202</w:t>
            </w:r>
          </w:p>
        </w:tc>
      </w:tr>
      <w:tr>
        <w:trPr>
          <w:trHeight w:val="244"/>
        </w:trPr>
        <w:tc>
          <w:tcPr>
            <w:tcW w:w="4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295,970</w:t>
            </w: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472,022</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(33,979)</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(436,460)</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297,553</w:t>
            </w:r>
          </w:p>
        </w:tc>
      </w:tr>
      <w:tr>
        <w:trPr>
          <w:trHeight w:val="384"/>
        </w:trPr>
        <w:tc>
          <w:tcPr>
            <w:tcW w:w="4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1,583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1,583</w:t>
            </w:r>
          </w:p>
        </w:tc>
      </w:tr>
      <w:tr>
        <w:trPr>
          <w:trHeight w:val="345"/>
        </w:trPr>
        <w:tc>
          <w:tcPr>
            <w:tcW w:w="4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295,970</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472,022</w:t>
            </w:r>
          </w:p>
        </w:tc>
        <w:tc>
          <w:tcPr>
            <w:tcW w:w="12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(35,562)</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(436,460)</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295,970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94"/>
        </w:trPr>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295,970</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472,022</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(33,979)</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(436,460)</w:t>
            </w:r>
          </w:p>
        </w:tc>
        <w:tc>
          <w:tcPr>
            <w:tcW w:w="100" w:type="dxa"/>
            <w:vAlign w:val="bottom"/>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297,553</w:t>
            </w:r>
          </w:p>
        </w:tc>
      </w:tr>
      <w:tr>
        <w:trPr>
          <w:trHeight w:val="514"/>
        </w:trPr>
        <w:tc>
          <w:tcPr>
            <w:tcW w:w="4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7,196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7,196</w:t>
            </w:r>
          </w:p>
        </w:tc>
      </w:tr>
      <w:tr>
        <w:trPr>
          <w:trHeight w:val="378"/>
        </w:trPr>
        <w:tc>
          <w:tcPr>
            <w:tcW w:w="42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(2,188)</w:t>
            </w:r>
          </w:p>
        </w:tc>
      </w:tr>
      <w:tr>
        <w:trPr>
          <w:trHeight w:val="378"/>
        </w:trPr>
        <w:tc>
          <w:tcPr>
            <w:tcW w:w="4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3,298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3,298</w:t>
            </w:r>
          </w:p>
        </w:tc>
      </w:tr>
      <w:tr>
        <w:trPr>
          <w:trHeight w:val="384"/>
        </w:trPr>
        <w:tc>
          <w:tcPr>
            <w:tcW w:w="4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8,170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6,879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(15,049)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7,897</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8,170</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7,288</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(15,049)</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8,306</w:t>
            </w:r>
          </w:p>
        </w:tc>
      </w:tr>
      <w:tr>
        <w:trPr>
          <w:trHeight w:val="244"/>
        </w:trPr>
        <w:tc>
          <w:tcPr>
            <w:tcW w:w="42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303,867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480,192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(26,691)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(451,509)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305,859</w:t>
            </w:r>
          </w:p>
        </w:tc>
      </w:tr>
      <w:tr>
        <w:trPr>
          <w:trHeight w:val="384"/>
        </w:trPr>
        <w:tc>
          <w:tcPr>
            <w:tcW w:w="4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1,992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1,992</w:t>
            </w:r>
          </w:p>
        </w:tc>
      </w:tr>
      <w:tr>
        <w:trPr>
          <w:trHeight w:val="339"/>
        </w:trPr>
        <w:tc>
          <w:tcPr>
            <w:tcW w:w="4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303,867</w:t>
            </w:r>
          </w:p>
        </w:tc>
        <w:tc>
          <w:tcPr>
            <w:tcW w:w="120" w:type="dxa"/>
            <w:vAlign w:val="bottom"/>
          </w:tcPr>
          <w:p>
            <w:pPr>
              <w:spacing w:after="0"/>
              <w:rPr>
                <w:sz w:val="24"/>
                <w:szCs w:val="24"/>
                <w:color w:val="auto"/>
              </w:rPr>
            </w:pP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480,192</w:t>
            </w:r>
          </w:p>
        </w:tc>
        <w:tc>
          <w:tcPr>
            <w:tcW w:w="120" w:type="dxa"/>
            <w:vAlign w:val="bottom"/>
          </w:tcPr>
          <w:p>
            <w:pPr>
              <w:spacing w:after="0"/>
              <w:rPr>
                <w:sz w:val="24"/>
                <w:szCs w:val="24"/>
                <w:color w:val="auto"/>
              </w:rPr>
            </w:pP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(28,683)</w:t>
            </w:r>
          </w:p>
        </w:tc>
        <w:tc>
          <w:tcPr>
            <w:tcW w:w="120" w:type="dxa"/>
            <w:vAlign w:val="bottom"/>
          </w:tcPr>
          <w:p>
            <w:pPr>
              <w:spacing w:after="0"/>
              <w:rPr>
                <w:sz w:val="24"/>
                <w:szCs w:val="24"/>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(451,509)</w:t>
            </w:r>
          </w:p>
        </w:tc>
        <w:tc>
          <w:tcPr>
            <w:tcW w:w="100" w:type="dxa"/>
            <w:vAlign w:val="bottom"/>
          </w:tcPr>
          <w:p>
            <w:pPr>
              <w:spacing w:after="0"/>
              <w:rPr>
                <w:sz w:val="24"/>
                <w:szCs w:val="24"/>
                <w:color w:val="auto"/>
              </w:rPr>
            </w:pPr>
          </w:p>
        </w:tc>
        <w:tc>
          <w:tcPr>
            <w:tcW w:w="36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303,867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-5608955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-5266055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-4922520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-4579620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-4236720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-3893820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-3550920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-3207385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-2864485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-2453005</wp:posOffset>
            </wp:positionV>
            <wp:extent cx="7246620" cy="240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9">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-2041525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-1698625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-1286510</wp:posOffset>
            </wp:positionV>
            <wp:extent cx="7246620" cy="240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2">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-806450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-463550</wp:posOffset>
            </wp:positionV>
            <wp:extent cx="7246620"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4">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wp:posOffset>
            </wp:positionV>
            <wp:extent cx="46310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5">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34" w:lineRule="exact"/>
        <w:rPr>
          <w:sz w:val="20"/>
          <w:szCs w:val="20"/>
          <w:color w:val="auto"/>
        </w:rPr>
      </w:pPr>
    </w:p>
    <w:p>
      <w:pPr>
        <w:sectPr>
          <w:pgSz w:w="11900" w:h="16900" w:orient="portrait"/>
          <w:cols w:equalWidth="0" w:num="2">
            <w:col w:w="3960" w:space="160"/>
            <w:col w:w="7300"/>
          </w:cols>
          <w:pgMar w:left="240" w:top="144" w:right="239" w:bottom="0" w:gutter="0" w:footer="0" w:header="0"/>
        </w:sectPr>
      </w:pPr>
    </w:p>
    <w:p>
      <w:pPr>
        <w:jc w:val="center"/>
        <w:spacing w:after="0"/>
        <w:rPr>
          <w:sz w:val="20"/>
          <w:szCs w:val="20"/>
          <w:color w:val="auto"/>
        </w:rPr>
      </w:pPr>
      <w:r>
        <w:rPr>
          <w:rFonts w:ascii="Arial" w:cs="Arial" w:eastAsia="Arial" w:hAnsi="Arial"/>
          <w:sz w:val="16"/>
          <w:szCs w:val="16"/>
          <w:b w:val="1"/>
          <w:bCs w:val="1"/>
          <w:color w:val="auto"/>
        </w:rPr>
        <w:t>Consolidating Statement of Operations and Comprehensive Income (Loss)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-113030</wp:posOffset>
            </wp:positionV>
            <wp:extent cx="46310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6">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HSS</w:t>
            </w:r>
          </w:p>
        </w:tc>
        <w:tc>
          <w:tcPr>
            <w:tcW w:w="18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Services and other revenue - DISH Network</w:t>
            </w:r>
          </w:p>
        </w:tc>
        <w:tc>
          <w:tcPr>
            <w:tcW w:w="3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449,547</w:t>
            </w: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449,547</w:t>
            </w: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Services and other revenue - other</w:t>
            </w:r>
          </w:p>
        </w:tc>
        <w:tc>
          <w:tcPr>
            <w:tcW w:w="3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992,480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133,508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1,103,127</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Equipment revenue</w:t>
            </w:r>
          </w:p>
        </w:tc>
        <w:tc>
          <w:tcPr>
            <w:tcW w:w="34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265,201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24,859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(42,941)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247,119</w:t>
            </w:r>
          </w:p>
        </w:tc>
        <w:tc>
          <w:tcPr>
            <w:tcW w:w="0" w:type="dxa"/>
            <w:vAlign w:val="bottom"/>
          </w:tcPr>
          <w:p>
            <w:pPr>
              <w:spacing w:after="0"/>
              <w:rPr>
                <w:sz w:val="1"/>
                <w:szCs w:val="1"/>
                <w:color w:val="auto"/>
              </w:rPr>
            </w:pPr>
          </w:p>
        </w:tc>
      </w:tr>
      <w:tr>
        <w:trPr>
          <w:trHeight w:val="60"/>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revenue</w:t>
            </w:r>
          </w:p>
        </w:tc>
        <w:tc>
          <w:tcPr>
            <w:tcW w:w="3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1,707,228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158,367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(65,802)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1,799,793</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Costs of sales - services and other (exclusive of</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454,185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101,288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533,305</w:t>
            </w:r>
          </w:p>
        </w:tc>
        <w:tc>
          <w:tcPr>
            <w:tcW w:w="0" w:type="dxa"/>
            <w:vAlign w:val="bottom"/>
          </w:tcPr>
          <w:p>
            <w:pPr>
              <w:spacing w:after="0"/>
              <w:rPr>
                <w:sz w:val="1"/>
                <w:szCs w:val="1"/>
                <w:color w:val="auto"/>
              </w:rPr>
            </w:pPr>
          </w:p>
        </w:tc>
      </w:tr>
      <w:tr>
        <w:trPr>
          <w:trHeight w:val="194"/>
        </w:trPr>
        <w:tc>
          <w:tcPr>
            <w:tcW w:w="4120" w:type="dxa"/>
            <w:vAlign w:val="bottom"/>
          </w:tcPr>
          <w:p>
            <w:pPr>
              <w:ind w:left="280"/>
              <w:spacing w:after="0"/>
              <w:rPr>
                <w:sz w:val="20"/>
                <w:szCs w:val="20"/>
                <w:color w:val="auto"/>
              </w:rPr>
            </w:pPr>
            <w:r>
              <w:rPr>
                <w:rFonts w:ascii="Arial" w:cs="Arial" w:eastAsia="Arial" w:hAnsi="Arial"/>
                <w:sz w:val="14"/>
                <w:szCs w:val="14"/>
                <w:color w:val="auto"/>
              </w:rPr>
              <w:t>Cost of sales - equipment (exclusive of depreciation and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20" w:type="dxa"/>
            <w:vAlign w:val="bottom"/>
          </w:tcPr>
          <w:p>
            <w:pPr>
              <w:ind w:left="280"/>
              <w:spacing w:after="0"/>
              <w:rPr>
                <w:sz w:val="20"/>
                <w:szCs w:val="20"/>
                <w:color w:val="auto"/>
              </w:rPr>
            </w:pPr>
            <w:r>
              <w:rPr>
                <w:rFonts w:ascii="Arial" w:cs="Arial" w:eastAsia="Arial" w:hAnsi="Arial"/>
                <w:sz w:val="14"/>
                <w:szCs w:val="14"/>
                <w:color w:val="auto"/>
              </w:rPr>
              <w:t>amortization)</w:t>
            </w:r>
          </w:p>
        </w:tc>
        <w:tc>
          <w:tcPr>
            <w:tcW w:w="3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210,439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19,512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(40,546)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189,405</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expenses</w:t>
            </w:r>
          </w:p>
        </w:tc>
        <w:tc>
          <w:tcPr>
            <w:tcW w:w="3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246,399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37,737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281,048</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Research and development expenses</w:t>
            </w:r>
          </w:p>
        </w:tc>
        <w:tc>
          <w:tcPr>
            <w:tcW w:w="340" w:type="dxa"/>
            <w:vAlign w:val="bottom"/>
          </w:tcPr>
          <w:p>
            <w:pPr>
              <w:spacing w:after="0"/>
              <w:rPr>
                <w:sz w:val="17"/>
                <w:szCs w:val="17"/>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31,170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31,170</w:t>
            </w: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401,688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12,445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414,133</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120" w:type="dxa"/>
            <w:vAlign w:val="bottom"/>
          </w:tcPr>
          <w:p>
            <w:pPr>
              <w:ind w:left="280"/>
              <w:spacing w:after="0"/>
              <w:rPr>
                <w:sz w:val="20"/>
                <w:szCs w:val="20"/>
                <w:color w:val="auto"/>
              </w:rPr>
            </w:pPr>
            <w:r>
              <w:rPr>
                <w:rFonts w:ascii="Arial" w:cs="Arial" w:eastAsia="Arial" w:hAnsi="Arial"/>
                <w:sz w:val="14"/>
                <w:szCs w:val="14"/>
                <w:color w:val="auto"/>
              </w:rPr>
              <w:t>Total costs and expenses</w:t>
            </w:r>
          </w:p>
        </w:tc>
        <w:tc>
          <w:tcPr>
            <w:tcW w:w="34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1,343,881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170,982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(65,802)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1,449,061</w:t>
            </w:r>
          </w:p>
        </w:tc>
        <w:tc>
          <w:tcPr>
            <w:tcW w:w="0" w:type="dxa"/>
            <w:vAlign w:val="bottom"/>
          </w:tcPr>
          <w:p>
            <w:pPr>
              <w:spacing w:after="0"/>
              <w:rPr>
                <w:sz w:val="1"/>
                <w:szCs w:val="1"/>
                <w:color w:val="auto"/>
              </w:rPr>
            </w:pPr>
          </w:p>
        </w:tc>
      </w:tr>
      <w:tr>
        <w:trPr>
          <w:trHeight w:val="60"/>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income</w:t>
            </w:r>
          </w:p>
        </w:tc>
        <w:tc>
          <w:tcPr>
            <w:tcW w:w="34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363,347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350,732</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income</w:t>
            </w:r>
          </w:p>
        </w:tc>
        <w:tc>
          <w:tcPr>
            <w:tcW w:w="3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10,826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12,598</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Interest expense, net of amounts capitalized</w:t>
            </w:r>
          </w:p>
        </w:tc>
        <w:tc>
          <w:tcPr>
            <w:tcW w:w="340" w:type="dxa"/>
            <w:vAlign w:val="bottom"/>
          </w:tcPr>
          <w:p>
            <w:pPr>
              <w:spacing w:after="0"/>
              <w:rPr>
                <w:sz w:val="17"/>
                <w:szCs w:val="17"/>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(177,625)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(14,538)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4,889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(187,198)</w:t>
            </w: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Gains (losses) on investments, net</w:t>
            </w:r>
          </w:p>
        </w:tc>
        <w:tc>
          <w:tcPr>
            <w:tcW w:w="34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6,995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6,995</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Equity in earnings of unconsolidated affiliate</w:t>
            </w:r>
          </w:p>
        </w:tc>
        <w:tc>
          <w:tcPr>
            <w:tcW w:w="340" w:type="dxa"/>
            <w:vAlign w:val="bottom"/>
          </w:tcPr>
          <w:p>
            <w:pPr>
              <w:spacing w:after="0"/>
              <w:rPr>
                <w:sz w:val="17"/>
                <w:szCs w:val="17"/>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9,444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9,444</w:t>
            </w: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in earnings (losses) of subsidiaries, net</w:t>
            </w:r>
          </w:p>
        </w:tc>
        <w:tc>
          <w:tcPr>
            <w:tcW w:w="34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218,125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(4,906)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(213,219)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280"/>
              <w:spacing w:after="0"/>
              <w:rPr>
                <w:sz w:val="20"/>
                <w:szCs w:val="20"/>
                <w:color w:val="auto"/>
              </w:rPr>
            </w:pPr>
            <w:r>
              <w:rPr>
                <w:rFonts w:ascii="Arial" w:cs="Arial" w:eastAsia="Arial" w:hAnsi="Arial"/>
                <w:sz w:val="14"/>
                <w:szCs w:val="14"/>
                <w:color w:val="auto"/>
              </w:rPr>
              <w:t>Other, net</w:t>
            </w:r>
          </w:p>
        </w:tc>
        <w:tc>
          <w:tcPr>
            <w:tcW w:w="340" w:type="dxa"/>
            <w:vAlign w:val="bottom"/>
          </w:tcPr>
          <w:p>
            <w:pPr>
              <w:spacing w:after="0"/>
              <w:rPr>
                <w:sz w:val="17"/>
                <w:szCs w:val="17"/>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9,749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(6,956)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2,909</w:t>
            </w: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other income (expense), net</w:t>
            </w: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61,075</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(9,762)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6,654</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(213,219)</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(155,252)</w:t>
            </w:r>
          </w:p>
        </w:tc>
        <w:tc>
          <w:tcPr>
            <w:tcW w:w="0" w:type="dxa"/>
            <w:vAlign w:val="bottom"/>
          </w:tcPr>
          <w:p>
            <w:pPr>
              <w:spacing w:after="0"/>
              <w:rPr>
                <w:sz w:val="1"/>
                <w:szCs w:val="1"/>
                <w:color w:val="auto"/>
              </w:rPr>
            </w:pPr>
          </w:p>
        </w:tc>
      </w:tr>
      <w:tr>
        <w:trPr>
          <w:trHeight w:val="66"/>
        </w:trPr>
        <w:tc>
          <w:tcPr>
            <w:tcW w:w="4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120" w:type="dxa"/>
            <w:vAlign w:val="bottom"/>
          </w:tcPr>
          <w:p>
            <w:pPr>
              <w:ind w:left="720"/>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61,075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353,585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(5,961)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(213,219)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195,480</w:t>
            </w:r>
          </w:p>
        </w:tc>
        <w:tc>
          <w:tcPr>
            <w:tcW w:w="0" w:type="dxa"/>
            <w:vAlign w:val="bottom"/>
          </w:tcPr>
          <w:p>
            <w:pPr>
              <w:spacing w:after="0"/>
              <w:rPr>
                <w:sz w:val="1"/>
                <w:szCs w:val="1"/>
                <w:color w:val="auto"/>
              </w:rPr>
            </w:pPr>
          </w:p>
        </w:tc>
      </w:tr>
      <w:tr>
        <w:trPr>
          <w:trHeight w:val="62"/>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040" w:type="dxa"/>
            <w:vAlign w:val="bottom"/>
            <w:tcBorders>
              <w:bottom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4" w:right="239" w:bottom="0" w:gutter="0" w:footer="0" w:header="0"/>
          <w:type w:val="continuous"/>
        </w:sectPr>
      </w:pPr>
    </w:p>
    <w:bookmarkStart w:id="108" w:name="page109"/>
    <w:bookmarkEnd w:id="108"/>
    <w:p>
      <w:pPr>
        <w:ind w:left="920" w:right="720"/>
        <w:spacing w:after="0" w:line="402" w:lineRule="auto"/>
        <w:rPr>
          <w:sz w:val="20"/>
          <w:szCs w:val="20"/>
          <w:color w:val="auto"/>
        </w:rPr>
      </w:pPr>
      <w:r>
        <w:rPr>
          <w:rFonts w:ascii="Arial" w:cs="Arial" w:eastAsia="Arial" w:hAnsi="Arial"/>
          <w:sz w:val="14"/>
          <w:szCs w:val="14"/>
          <w:color w:val="auto"/>
        </w:rPr>
        <w:t>Income tax benefit (provision), net Net income (loss)</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Less: Net income attributable to</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noncontrolling interests</w:t>
      </w:r>
    </w:p>
    <w:p>
      <w:pPr>
        <w:spacing w:after="0" w:line="55"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Net income (loss) attributable to</w:t>
      </w:r>
    </w:p>
    <w:p>
      <w:pPr>
        <w:spacing w:after="0" w:line="1"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HSS</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Comprehensive income (loss):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 (loss)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58,940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(135,081)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2,382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(73,759)</w:t>
            </w:r>
          </w:p>
        </w:tc>
      </w:tr>
      <w:tr>
        <w:trPr>
          <w:trHeight w:val="66"/>
        </w:trPr>
        <w:tc>
          <w:tcPr>
            <w:tcW w:w="4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38"/>
        </w:trPr>
        <w:tc>
          <w:tcPr>
            <w:tcW w:w="440" w:type="dxa"/>
            <w:vAlign w:val="bottom"/>
          </w:tcPr>
          <w:p>
            <w:pPr>
              <w:spacing w:after="0"/>
              <w:rPr>
                <w:sz w:val="20"/>
                <w:szCs w:val="20"/>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120,015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218,504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(3,579)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(213,219)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121,721</w:t>
            </w:r>
          </w:p>
        </w:tc>
      </w:tr>
      <w:tr>
        <w:trPr>
          <w:trHeight w:val="384"/>
        </w:trPr>
        <w:tc>
          <w:tcPr>
            <w:tcW w:w="4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1,706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1,706</w:t>
            </w:r>
          </w:p>
        </w:tc>
      </w:tr>
      <w:tr>
        <w:trPr>
          <w:trHeight w:val="345"/>
        </w:trPr>
        <w:tc>
          <w:tcPr>
            <w:tcW w:w="4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120,015</w:t>
            </w:r>
          </w:p>
        </w:tc>
        <w:tc>
          <w:tcPr>
            <w:tcW w:w="12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218,504</w:t>
            </w:r>
          </w:p>
        </w:tc>
        <w:tc>
          <w:tcPr>
            <w:tcW w:w="12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(5,285)</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(213,219)</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120,015</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21"/>
        </w:trPr>
        <w:tc>
          <w:tcPr>
            <w:tcW w:w="4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120,015</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218,504</w:t>
            </w: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(3,579)</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(213,219)</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-1174115</wp:posOffset>
            </wp:positionV>
            <wp:extent cx="72466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-848360</wp:posOffset>
            </wp:positionV>
            <wp:extent cx="7246620" cy="240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8">
                      <a:extLst>
                        <a:ext uri="{28A0092B-C50C-407E-A947-70E740481C1C}"/>
                      </a:extLst>
                    </a:blip>
                    <a:srcRect/>
                    <a:stretch>
                      <a:fillRect/>
                    </a:stretch>
                  </pic:blipFill>
                  <pic:spPr bwMode="auto">
                    <a:xfrm>
                      <a:off x="0" y="0"/>
                      <a:ext cx="7246620" cy="24003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-368300</wp:posOffset>
            </wp:positionV>
            <wp:extent cx="724662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-8255</wp:posOffset>
            </wp:positionV>
            <wp:extent cx="7246620" cy="1803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55" w:lineRule="exact"/>
        <w:rPr>
          <w:sz w:val="20"/>
          <w:szCs w:val="20"/>
          <w:color w:val="auto"/>
        </w:rPr>
      </w:pPr>
    </w:p>
    <w:p>
      <w:pPr>
        <w:sectPr>
          <w:pgSz w:w="11900" w:h="16838" w:orient="portrait"/>
          <w:cols w:equalWidth="0" w:num="2">
            <w:col w:w="3820" w:space="300"/>
            <w:col w:w="7300"/>
          </w:cols>
          <w:pgMar w:left="240" w:top="144" w:right="239" w:bottom="1440" w:gutter="0" w:footer="0" w:header="0"/>
        </w:sectPr>
      </w:pPr>
    </w:p>
    <w:tbl>
      <w:tblPr>
        <w:tblLayout w:type="fixed"/>
        <w:tblInd w:w="0" w:type="dxa"/>
        <w:tblCellMar>
          <w:top w:w="0" w:type="dxa"/>
          <w:left w:w="0" w:type="dxa"/>
          <w:bottom w:w="0" w:type="dxa"/>
          <w:right w:w="0" w:type="dxa"/>
        </w:tblCellMar>
      </w:tblPr>
      <w:tr>
        <w:trPr>
          <w:trHeight w:val="178"/>
        </w:trPr>
        <w:tc>
          <w:tcPr>
            <w:tcW w:w="4120" w:type="dxa"/>
            <w:vAlign w:val="bottom"/>
          </w:tcPr>
          <w:p>
            <w:pPr>
              <w:ind w:left="280"/>
              <w:spacing w:after="0"/>
              <w:rPr>
                <w:sz w:val="20"/>
                <w:szCs w:val="20"/>
                <w:color w:val="auto"/>
              </w:rPr>
            </w:pPr>
            <w:r>
              <w:rPr>
                <w:rFonts w:ascii="Arial" w:cs="Arial" w:eastAsia="Arial" w:hAnsi="Arial"/>
                <w:sz w:val="14"/>
                <w:szCs w:val="14"/>
                <w:color w:val="auto"/>
              </w:rPr>
              <w:t>Foreign currency translation adjustments</w:t>
            </w:r>
          </w:p>
        </w:tc>
        <w:tc>
          <w:tcPr>
            <w:tcW w:w="44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(5,377)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(5,377)</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gains (losses) on available-for-sale securities</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and other</w:t>
            </w:r>
          </w:p>
        </w:tc>
        <w:tc>
          <w:tcPr>
            <w:tcW w:w="4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(1,642)</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1,584</w:t>
            </w:r>
          </w:p>
        </w:tc>
        <w:tc>
          <w:tcPr>
            <w:tcW w:w="0" w:type="dxa"/>
            <w:vAlign w:val="bottom"/>
          </w:tcPr>
          <w:p>
            <w:pPr>
              <w:spacing w:after="0"/>
              <w:rPr>
                <w:sz w:val="1"/>
                <w:szCs w:val="1"/>
                <w:color w:val="auto"/>
              </w:rPr>
            </w:pPr>
          </w:p>
        </w:tc>
      </w:tr>
      <w:tr>
        <w:trPr>
          <w:trHeight w:val="194"/>
        </w:trPr>
        <w:tc>
          <w:tcPr>
            <w:tcW w:w="4120" w:type="dxa"/>
            <w:vAlign w:val="bottom"/>
          </w:tcPr>
          <w:p>
            <w:pPr>
              <w:ind w:left="280"/>
              <w:spacing w:after="0"/>
              <w:rPr>
                <w:sz w:val="20"/>
                <w:szCs w:val="20"/>
                <w:color w:val="auto"/>
              </w:rPr>
            </w:pPr>
            <w:r>
              <w:rPr>
                <w:rFonts w:ascii="Arial" w:cs="Arial" w:eastAsia="Arial" w:hAnsi="Arial"/>
                <w:sz w:val="14"/>
                <w:szCs w:val="14"/>
                <w:color w:val="auto"/>
              </w:rPr>
              <w:t>Recognition of realized loss on available-for-sale</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20" w:type="dxa"/>
            <w:vAlign w:val="bottom"/>
          </w:tcPr>
          <w:p>
            <w:pPr>
              <w:ind w:left="280"/>
              <w:spacing w:after="0"/>
              <w:rPr>
                <w:sz w:val="20"/>
                <w:szCs w:val="20"/>
                <w:color w:val="auto"/>
              </w:rPr>
            </w:pPr>
            <w:r>
              <w:rPr>
                <w:rFonts w:ascii="Arial" w:cs="Arial" w:eastAsia="Arial" w:hAnsi="Arial"/>
                <w:sz w:val="14"/>
                <w:szCs w:val="14"/>
                <w:color w:val="auto"/>
              </w:rPr>
              <w:t>securities included in net income (loss)</w:t>
            </w:r>
          </w:p>
        </w:tc>
        <w:tc>
          <w:tcPr>
            <w:tcW w:w="44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(2,996)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in other comprehensive income (loss) of</w:t>
            </w: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subsidiaries, net</w:t>
            </w:r>
          </w:p>
        </w:tc>
        <w:tc>
          <w:tcPr>
            <w:tcW w:w="4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(6,897)</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(5,255)</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12,152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comprehensive income (loss), net of tax</w:t>
            </w:r>
          </w:p>
        </w:tc>
        <w:tc>
          <w:tcPr>
            <w:tcW w:w="44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(6,603)</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(6,897)</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(5,441)</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12,152</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(6,789)</w:t>
            </w:r>
          </w:p>
        </w:tc>
        <w:tc>
          <w:tcPr>
            <w:tcW w:w="0" w:type="dxa"/>
            <w:vAlign w:val="bottom"/>
          </w:tcPr>
          <w:p>
            <w:pPr>
              <w:spacing w:after="0"/>
              <w:rPr>
                <w:sz w:val="1"/>
                <w:szCs w:val="1"/>
                <w:color w:val="auto"/>
              </w:rPr>
            </w:pPr>
          </w:p>
        </w:tc>
      </w:tr>
      <w:tr>
        <w:trPr>
          <w:trHeight w:val="256"/>
        </w:trPr>
        <w:tc>
          <w:tcPr>
            <w:tcW w:w="4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Comprehensive income (loss)</w:t>
            </w: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113,412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211,607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(9,020)</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(201,067)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114,932</w:t>
            </w:r>
          </w:p>
        </w:tc>
        <w:tc>
          <w:tcPr>
            <w:tcW w:w="0" w:type="dxa"/>
            <w:vAlign w:val="bottom"/>
          </w:tcPr>
          <w:p>
            <w:pPr>
              <w:spacing w:after="0"/>
              <w:rPr>
                <w:sz w:val="1"/>
                <w:szCs w:val="1"/>
                <w:color w:val="auto"/>
              </w:rPr>
            </w:pPr>
          </w:p>
        </w:tc>
      </w:tr>
      <w:tr>
        <w:trPr>
          <w:trHeight w:val="194"/>
        </w:trPr>
        <w:tc>
          <w:tcPr>
            <w:tcW w:w="4120" w:type="dxa"/>
            <w:vAlign w:val="bottom"/>
          </w:tcPr>
          <w:p>
            <w:pPr>
              <w:ind w:left="920"/>
              <w:spacing w:after="0"/>
              <w:rPr>
                <w:sz w:val="20"/>
                <w:szCs w:val="20"/>
                <w:color w:val="auto"/>
              </w:rPr>
            </w:pPr>
            <w:r>
              <w:rPr>
                <w:rFonts w:ascii="Arial" w:cs="Arial" w:eastAsia="Arial" w:hAnsi="Arial"/>
                <w:sz w:val="14"/>
                <w:szCs w:val="14"/>
                <w:color w:val="auto"/>
              </w:rPr>
              <w:t>Less: Comprehensive income attributable to</w:t>
            </w: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20" w:type="dxa"/>
            <w:vAlign w:val="bottom"/>
          </w:tcPr>
          <w:p>
            <w:pPr>
              <w:ind w:left="920"/>
              <w:spacing w:after="0"/>
              <w:rPr>
                <w:sz w:val="20"/>
                <w:szCs w:val="20"/>
                <w:color w:val="auto"/>
              </w:rPr>
            </w:pPr>
            <w:r>
              <w:rPr>
                <w:rFonts w:ascii="Arial" w:cs="Arial" w:eastAsia="Arial" w:hAnsi="Arial"/>
                <w:sz w:val="14"/>
                <w:szCs w:val="14"/>
                <w:color w:val="auto"/>
              </w:rPr>
              <w:t>noncontrolling interests</w:t>
            </w:r>
          </w:p>
        </w:tc>
        <w:tc>
          <w:tcPr>
            <w:tcW w:w="44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1,520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180"/>
        </w:trPr>
        <w:tc>
          <w:tcPr>
            <w:tcW w:w="4120" w:type="dxa"/>
            <w:vAlign w:val="bottom"/>
            <w:tcBorders>
              <w:top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Comprehensive income (loss) attributable to</w:t>
            </w:r>
          </w:p>
        </w:tc>
        <w:tc>
          <w:tcPr>
            <w:tcW w:w="44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113,412</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211,607</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(10,540)</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(201,067)</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113,412</w:t>
            </w:r>
          </w:p>
        </w:tc>
        <w:tc>
          <w:tcPr>
            <w:tcW w:w="0" w:type="dxa"/>
            <w:vAlign w:val="bottom"/>
          </w:tcPr>
          <w:p>
            <w:pPr>
              <w:spacing w:after="0"/>
              <w:rPr>
                <w:sz w:val="1"/>
                <w:szCs w:val="1"/>
                <w:color w:val="auto"/>
              </w:rPr>
            </w:pPr>
          </w:p>
        </w:tc>
      </w:tr>
      <w:tr>
        <w:trPr>
          <w:trHeight w:val="171"/>
        </w:trPr>
        <w:tc>
          <w:tcPr>
            <w:tcW w:w="41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4"/>
                <w:szCs w:val="14"/>
                <w:color w:val="auto"/>
              </w:rPr>
              <w:t>HSS</w:t>
            </w: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144" w:right="2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for the Year Ended December 31, 2018</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HSS</w:t>
            </w:r>
          </w:p>
        </w:tc>
        <w:tc>
          <w:tcPr>
            <w:tcW w:w="18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95,501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223,949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(31,227)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(190,880)</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97,343</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(loss) to net cash</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flows from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(160,236)</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536,404</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78,312</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190,880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645,360</w:t>
            </w:r>
          </w:p>
        </w:tc>
        <w:tc>
          <w:tcPr>
            <w:tcW w:w="0" w:type="dxa"/>
            <w:vAlign w:val="bottom"/>
          </w:tcPr>
          <w:p>
            <w:pPr>
              <w:spacing w:after="0"/>
              <w:rPr>
                <w:sz w:val="1"/>
                <w:szCs w:val="1"/>
                <w:color w:val="auto"/>
              </w:rPr>
            </w:pPr>
          </w:p>
        </w:tc>
      </w:tr>
      <w:tr>
        <w:trPr>
          <w:trHeight w:val="250"/>
        </w:trPr>
        <w:tc>
          <w:tcPr>
            <w:tcW w:w="4120" w:type="dxa"/>
            <w:vAlign w:val="bottom"/>
          </w:tcPr>
          <w:p>
            <w:pPr>
              <w:ind w:left="720"/>
              <w:spacing w:after="0"/>
              <w:rPr>
                <w:sz w:val="20"/>
                <w:szCs w:val="20"/>
                <w:color w:val="auto"/>
              </w:rPr>
            </w:pPr>
            <w:r>
              <w:rPr>
                <w:rFonts w:ascii="Arial" w:cs="Arial" w:eastAsia="Arial" w:hAnsi="Arial"/>
                <w:sz w:val="14"/>
                <w:szCs w:val="14"/>
                <w:color w:val="auto"/>
              </w:rPr>
              <w:t>Net cash flows from operating activities</w:t>
            </w:r>
          </w:p>
        </w:tc>
        <w:tc>
          <w:tcPr>
            <w:tcW w:w="34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(64,735)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760,353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47,085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742,703</w:t>
            </w:r>
          </w:p>
        </w:tc>
        <w:tc>
          <w:tcPr>
            <w:tcW w:w="0" w:type="dxa"/>
            <w:vAlign w:val="bottom"/>
          </w:tcPr>
          <w:p>
            <w:pPr>
              <w:spacing w:after="0"/>
              <w:rPr>
                <w:sz w:val="1"/>
                <w:szCs w:val="1"/>
                <w:color w:val="auto"/>
              </w:rPr>
            </w:pPr>
          </w:p>
        </w:tc>
      </w:tr>
      <w:tr>
        <w:trPr>
          <w:trHeight w:val="19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Purchases of marketable investment securities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(2,063,042)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(2,063,042)</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marketable investment securities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909,996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909,996</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Expenditures for property and equipment</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(304,376)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(86,689)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(391,065)</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Refund and other receipts related to capital expenditures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77,524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77,524</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Investment in subsidiary</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305,669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(50,540)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(255,129)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for satellite launch services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Expenditures for externally marketed software</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(31,639)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(31,639)</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 in unconsolidated entity</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(100,991)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(100,991)</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Net cash flows from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(847,377)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(410,022)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(93,814)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(255,129)</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(1,606,342)</w:t>
            </w: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120" w:type="dxa"/>
            <w:vAlign w:val="bottom"/>
          </w:tcPr>
          <w:p>
            <w:pPr>
              <w:ind w:left="280"/>
              <w:spacing w:after="0"/>
              <w:rPr>
                <w:sz w:val="20"/>
                <w:szCs w:val="20"/>
                <w:color w:val="auto"/>
              </w:rPr>
            </w:pPr>
            <w:r>
              <w:rPr>
                <w:rFonts w:ascii="Arial" w:cs="Arial" w:eastAsia="Arial" w:hAnsi="Arial"/>
                <w:sz w:val="14"/>
                <w:szCs w:val="14"/>
                <w:color w:val="auto"/>
              </w:rPr>
              <w:t>Contribution (distributions) and advances (to) from parent,</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20" w:type="dxa"/>
            <w:vAlign w:val="bottom"/>
          </w:tcPr>
          <w:p>
            <w:pPr>
              <w:ind w:left="280"/>
              <w:spacing w:after="0"/>
              <w:rPr>
                <w:sz w:val="20"/>
                <w:szCs w:val="20"/>
                <w:color w:val="auto"/>
              </w:rPr>
            </w:pPr>
            <w:r>
              <w:rPr>
                <w:rFonts w:ascii="Arial" w:cs="Arial" w:eastAsia="Arial" w:hAnsi="Arial"/>
                <w:sz w:val="14"/>
                <w:szCs w:val="14"/>
                <w:color w:val="auto"/>
              </w:rPr>
              <w:t>net</w:t>
            </w:r>
          </w:p>
        </w:tc>
        <w:tc>
          <w:tcPr>
            <w:tcW w:w="3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(305,669)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50,540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255,129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contribution from EchoStar</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7,125</w:t>
            </w:r>
          </w:p>
        </w:tc>
        <w:tc>
          <w:tcPr>
            <w:tcW w:w="0" w:type="dxa"/>
            <w:vAlign w:val="bottom"/>
          </w:tcPr>
          <w:p>
            <w:pPr>
              <w:spacing w:after="0"/>
              <w:rPr>
                <w:sz w:val="1"/>
                <w:szCs w:val="1"/>
                <w:color w:val="auto"/>
              </w:rPr>
            </w:pPr>
          </w:p>
        </w:tc>
      </w:tr>
      <w:tr>
        <w:trPr>
          <w:trHeight w:val="194"/>
        </w:trPr>
        <w:tc>
          <w:tcPr>
            <w:tcW w:w="4120" w:type="dxa"/>
            <w:vAlign w:val="bottom"/>
          </w:tcPr>
          <w:p>
            <w:pPr>
              <w:ind w:left="280"/>
              <w:spacing w:after="0"/>
              <w:rPr>
                <w:sz w:val="20"/>
                <w:szCs w:val="20"/>
                <w:color w:val="auto"/>
              </w:rPr>
            </w:pPr>
            <w:r>
              <w:rPr>
                <w:rFonts w:ascii="Arial" w:cs="Arial" w:eastAsia="Arial" w:hAnsi="Arial"/>
                <w:sz w:val="14"/>
                <w:szCs w:val="14"/>
                <w:color w:val="auto"/>
              </w:rPr>
              <w:t>Repayment of Senior Secured Notes and related</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20" w:type="dxa"/>
            <w:vAlign w:val="bottom"/>
          </w:tcPr>
          <w:p>
            <w:pPr>
              <w:ind w:left="280"/>
              <w:spacing w:after="0"/>
              <w:rPr>
                <w:sz w:val="20"/>
                <w:szCs w:val="20"/>
                <w:color w:val="auto"/>
              </w:rPr>
            </w:pPr>
            <w:r>
              <w:rPr>
                <w:rFonts w:ascii="Arial" w:cs="Arial" w:eastAsia="Arial" w:hAnsi="Arial"/>
                <w:sz w:val="14"/>
                <w:szCs w:val="14"/>
                <w:color w:val="auto"/>
              </w:rPr>
              <w:t>premium</w:t>
            </w:r>
          </w:p>
        </w:tc>
        <w:tc>
          <w:tcPr>
            <w:tcW w:w="34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(70,173)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(70,173)</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 of debt and capital lease obligations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(35,886)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(41,019)</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Repayment of in-orbit incentive obligations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(4,796)</w:t>
            </w:r>
          </w:p>
        </w:tc>
        <w:tc>
          <w:tcPr>
            <w:tcW w:w="0" w:type="dxa"/>
            <w:vAlign w:val="bottom"/>
          </w:tcPr>
          <w:p>
            <w:pPr>
              <w:spacing w:after="0"/>
              <w:rPr>
                <w:sz w:val="1"/>
                <w:szCs w:val="1"/>
                <w:color w:val="auto"/>
              </w:rPr>
            </w:pPr>
          </w:p>
        </w:tc>
      </w:tr>
      <w:tr>
        <w:trPr>
          <w:trHeight w:val="256"/>
        </w:trPr>
        <w:tc>
          <w:tcPr>
            <w:tcW w:w="4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Net cash flows from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(63,048)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(346,351)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45,407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255,129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(108,863)</w:t>
            </w:r>
          </w:p>
        </w:tc>
        <w:tc>
          <w:tcPr>
            <w:tcW w:w="0" w:type="dxa"/>
            <w:vAlign w:val="bottom"/>
          </w:tcPr>
          <w:p>
            <w:pPr>
              <w:spacing w:after="0"/>
              <w:rPr>
                <w:sz w:val="1"/>
                <w:szCs w:val="1"/>
                <w:color w:val="auto"/>
              </w:rPr>
            </w:pPr>
          </w:p>
        </w:tc>
      </w:tr>
      <w:tr>
        <w:trPr>
          <w:trHeight w:val="174"/>
        </w:trPr>
        <w:tc>
          <w:tcPr>
            <w:tcW w:w="4120" w:type="dxa"/>
            <w:vAlign w:val="bottom"/>
          </w:tcPr>
          <w:p>
            <w:pPr>
              <w:ind w:left="720"/>
              <w:spacing w:after="0"/>
              <w:rPr>
                <w:sz w:val="20"/>
                <w:szCs w:val="20"/>
                <w:color w:val="auto"/>
              </w:rPr>
            </w:pPr>
            <w:r>
              <w:rPr>
                <w:rFonts w:ascii="Arial" w:cs="Arial" w:eastAsia="Arial" w:hAnsi="Arial"/>
                <w:sz w:val="14"/>
                <w:szCs w:val="14"/>
                <w:color w:val="auto"/>
              </w:rPr>
              <w:t>Effect of exchange rates on cash and cash</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20" w:type="dxa"/>
            <w:vAlign w:val="bottom"/>
          </w:tcPr>
          <w:p>
            <w:pPr>
              <w:ind w:left="720"/>
              <w:spacing w:after="0"/>
              <w:rPr>
                <w:sz w:val="20"/>
                <w:szCs w:val="20"/>
                <w:color w:val="auto"/>
              </w:rPr>
            </w:pPr>
            <w:r>
              <w:rPr>
                <w:rFonts w:ascii="Arial" w:cs="Arial" w:eastAsia="Arial" w:hAnsi="Arial"/>
                <w:sz w:val="14"/>
                <w:szCs w:val="14"/>
                <w:color w:val="auto"/>
              </w:rPr>
              <w:t>equivalents</w:t>
            </w:r>
          </w:p>
        </w:tc>
        <w:tc>
          <w:tcPr>
            <w:tcW w:w="3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(2,233)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(2,233)</w:t>
            </w:r>
          </w:p>
        </w:tc>
        <w:tc>
          <w:tcPr>
            <w:tcW w:w="0" w:type="dxa"/>
            <w:vAlign w:val="bottom"/>
          </w:tcPr>
          <w:p>
            <w:pPr>
              <w:spacing w:after="0"/>
              <w:rPr>
                <w:sz w:val="1"/>
                <w:szCs w:val="1"/>
                <w:color w:val="auto"/>
              </w:rPr>
            </w:pPr>
          </w:p>
        </w:tc>
      </w:tr>
      <w:tr>
        <w:trPr>
          <w:trHeight w:val="180"/>
        </w:trPr>
        <w:tc>
          <w:tcPr>
            <w:tcW w:w="41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Net increase (decrease) in cash and cash</w:t>
            </w:r>
          </w:p>
        </w:tc>
        <w:tc>
          <w:tcPr>
            <w:tcW w:w="3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equivalents, including restricted amounts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(975,160)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(974,735)</w:t>
            </w:r>
          </w:p>
        </w:tc>
        <w:tc>
          <w:tcPr>
            <w:tcW w:w="0" w:type="dxa"/>
            <w:vAlign w:val="bottom"/>
          </w:tcPr>
          <w:p>
            <w:pPr>
              <w:spacing w:after="0"/>
              <w:rPr>
                <w:sz w:val="1"/>
                <w:szCs w:val="1"/>
                <w:color w:val="auto"/>
              </w:rPr>
            </w:pPr>
          </w:p>
        </w:tc>
      </w:tr>
      <w:tr>
        <w:trPr>
          <w:trHeight w:val="194"/>
        </w:trPr>
        <w:tc>
          <w:tcPr>
            <w:tcW w:w="4120" w:type="dxa"/>
            <w:vAlign w:val="bottom"/>
          </w:tcPr>
          <w:p>
            <w:pPr>
              <w:ind w:left="40"/>
              <w:spacing w:after="0"/>
              <w:rPr>
                <w:sz w:val="20"/>
                <w:szCs w:val="20"/>
                <w:color w:val="auto"/>
              </w:rPr>
            </w:pPr>
            <w:r>
              <w:rPr>
                <w:rFonts w:ascii="Arial" w:cs="Arial" w:eastAsia="Arial" w:hAnsi="Arial"/>
                <w:sz w:val="14"/>
                <w:szCs w:val="14"/>
                <w:color w:val="auto"/>
              </w:rPr>
              <w:t>Cash and cash equivalents, including restricted amounts, at</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beginning of year</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1,746,878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42,373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34,103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1,823,354</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including restricted amounts, at</w:t>
            </w:r>
          </w:p>
        </w:tc>
        <w:tc>
          <w:tcPr>
            <w:tcW w:w="3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771,718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46,353</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30,548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848,619</w:t>
            </w:r>
          </w:p>
        </w:tc>
        <w:tc>
          <w:tcPr>
            <w:tcW w:w="0" w:type="dxa"/>
            <w:vAlign w:val="bottom"/>
          </w:tcPr>
          <w:p>
            <w:pPr>
              <w:spacing w:after="0"/>
              <w:rPr>
                <w:sz w:val="1"/>
                <w:szCs w:val="1"/>
                <w:color w:val="auto"/>
              </w:rPr>
            </w:pPr>
          </w:p>
        </w:tc>
      </w:tr>
      <w:tr>
        <w:trPr>
          <w:trHeight w:val="171"/>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end of year</w:t>
            </w:r>
          </w:p>
        </w:tc>
        <w:tc>
          <w:tcPr>
            <w:tcW w:w="340" w:type="dxa"/>
            <w:vAlign w:val="bottom"/>
            <w:vMerge w:val="continue"/>
            <w:shd w:val="clear" w:color="auto" w:fill="CCEEFF"/>
          </w:tcPr>
          <w:p>
            <w:pPr>
              <w:spacing w:after="0"/>
              <w:rPr>
                <w:sz w:val="14"/>
                <w:szCs w:val="14"/>
                <w:color w:val="auto"/>
              </w:rPr>
            </w:pPr>
          </w:p>
        </w:tc>
        <w:tc>
          <w:tcPr>
            <w:tcW w:w="10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140"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for the Year Ended December 31, 2017</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HSS</w:t>
            </w:r>
          </w:p>
        </w:tc>
        <w:tc>
          <w:tcPr>
            <w:tcW w:w="18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295,970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472,022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(33,979)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(436,460)</w:t>
            </w:r>
          </w:p>
        </w:tc>
        <w:tc>
          <w:tcPr>
            <w:tcW w:w="100" w:type="dxa"/>
            <w:vAlign w:val="bottom"/>
          </w:tcPr>
          <w:p>
            <w:pPr>
              <w:spacing w:after="0"/>
              <w:rPr>
                <w:sz w:val="22"/>
                <w:szCs w:val="22"/>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297,553</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(loss) to net cash</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flows from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(206,014)</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(74,310)</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43,340</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436,460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199,476</w:t>
            </w:r>
          </w:p>
        </w:tc>
        <w:tc>
          <w:tcPr>
            <w:tcW w:w="0" w:type="dxa"/>
            <w:vAlign w:val="bottom"/>
          </w:tcPr>
          <w:p>
            <w:pPr>
              <w:spacing w:after="0"/>
              <w:rPr>
                <w:sz w:val="1"/>
                <w:szCs w:val="1"/>
                <w:color w:val="auto"/>
              </w:rPr>
            </w:pPr>
          </w:p>
        </w:tc>
      </w:tr>
      <w:tr>
        <w:trPr>
          <w:trHeight w:val="250"/>
        </w:trPr>
        <w:tc>
          <w:tcPr>
            <w:tcW w:w="4120" w:type="dxa"/>
            <w:vAlign w:val="bottom"/>
          </w:tcPr>
          <w:p>
            <w:pPr>
              <w:ind w:left="720"/>
              <w:spacing w:after="0"/>
              <w:rPr>
                <w:sz w:val="20"/>
                <w:szCs w:val="20"/>
                <w:color w:val="auto"/>
              </w:rPr>
            </w:pPr>
            <w:r>
              <w:rPr>
                <w:rFonts w:ascii="Arial" w:cs="Arial" w:eastAsia="Arial" w:hAnsi="Arial"/>
                <w:sz w:val="14"/>
                <w:szCs w:val="14"/>
                <w:color w:val="auto"/>
              </w:rPr>
              <w:t>Net cash flows from operating activities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89,956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397,712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9,361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497,029</w:t>
            </w:r>
          </w:p>
        </w:tc>
        <w:tc>
          <w:tcPr>
            <w:tcW w:w="0" w:type="dxa"/>
            <w:vAlign w:val="bottom"/>
          </w:tcPr>
          <w:p>
            <w:pPr>
              <w:spacing w:after="0"/>
              <w:rPr>
                <w:sz w:val="1"/>
                <w:szCs w:val="1"/>
                <w:color w:val="auto"/>
              </w:rPr>
            </w:pPr>
          </w:p>
        </w:tc>
      </w:tr>
      <w:tr>
        <w:trPr>
          <w:trHeight w:val="19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Purchases of marketable investment securities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(535,476)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(535,476)</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marketable investment securities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259,263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259,263</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Expenditures for property and equipment</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(340,197)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(61,341)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(401,538)</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Refund and other receipts related to capital expenditures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4,311</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Investment in subsidiary</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(59,000)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(63,000)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122,000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Expenditures for externally marketed software</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(31,331)</w:t>
            </w:r>
          </w:p>
        </w:tc>
        <w:tc>
          <w:tcPr>
            <w:tcW w:w="0" w:type="dxa"/>
            <w:vAlign w:val="bottom"/>
          </w:tcPr>
          <w:p>
            <w:pPr>
              <w:spacing w:after="0"/>
              <w:rPr>
                <w:sz w:val="1"/>
                <w:szCs w:val="1"/>
                <w:color w:val="auto"/>
              </w:rPr>
            </w:pPr>
          </w:p>
        </w:tc>
      </w:tr>
      <w:tr>
        <w:trPr>
          <w:trHeight w:val="184"/>
        </w:trPr>
        <w:tc>
          <w:tcPr>
            <w:tcW w:w="4120" w:type="dxa"/>
            <w:vAlign w:val="bottom"/>
          </w:tcPr>
          <w:p>
            <w:pPr>
              <w:ind w:left="380"/>
              <w:spacing w:after="0"/>
              <w:rPr>
                <w:sz w:val="20"/>
                <w:szCs w:val="20"/>
                <w:color w:val="auto"/>
              </w:rPr>
            </w:pPr>
            <w:r>
              <w:rPr>
                <w:rFonts w:ascii="Arial" w:cs="Arial" w:eastAsia="Arial" w:hAnsi="Arial"/>
                <w:sz w:val="14"/>
                <w:szCs w:val="14"/>
                <w:color w:val="auto"/>
              </w:rPr>
              <w:t>Net cash flows from investing activities</w:t>
            </w: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(335,213)</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(430,217)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(61,341)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122,000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(704,771)</w:t>
            </w:r>
          </w:p>
        </w:tc>
        <w:tc>
          <w:tcPr>
            <w:tcW w:w="0" w:type="dxa"/>
            <w:vAlign w:val="bottom"/>
          </w:tcPr>
          <w:p>
            <w:pPr>
              <w:spacing w:after="0"/>
              <w:rPr>
                <w:sz w:val="1"/>
                <w:szCs w:val="1"/>
                <w:color w:val="auto"/>
              </w:rPr>
            </w:pPr>
          </w:p>
        </w:tc>
      </w:tr>
      <w:tr>
        <w:trPr>
          <w:trHeight w:val="60"/>
        </w:trPr>
        <w:tc>
          <w:tcPr>
            <w:tcW w:w="4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Payments of debt issuance costs</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capital contribution from parent</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Repayment of debt and capital lease obligations</w:t>
            </w:r>
          </w:p>
        </w:tc>
        <w:tc>
          <w:tcPr>
            <w:tcW w:w="34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(32,177)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(37,063)</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Advances from affiliates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Repayment of in-orbit incentive obligations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(5,850)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(5,850)</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1,486</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Net cash flows from financing activities</w:t>
            </w: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20,973</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58,964</w:t>
            </w:r>
          </w:p>
        </w:tc>
        <w:tc>
          <w:tcPr>
            <w:tcW w:w="1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(122,000)</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(41,877)</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Effect of exchange rates on cash and cash</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equivalents</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174"/>
        </w:trPr>
        <w:tc>
          <w:tcPr>
            <w:tcW w:w="4120" w:type="dxa"/>
            <w:vAlign w:val="bottom"/>
          </w:tcPr>
          <w:p>
            <w:pPr>
              <w:ind w:left="720"/>
              <w:spacing w:after="0"/>
              <w:rPr>
                <w:sz w:val="20"/>
                <w:szCs w:val="20"/>
                <w:color w:val="auto"/>
              </w:rPr>
            </w:pPr>
            <w:r>
              <w:rPr>
                <w:rFonts w:ascii="Arial" w:cs="Arial" w:eastAsia="Arial" w:hAnsi="Arial"/>
                <w:sz w:val="14"/>
                <w:szCs w:val="14"/>
                <w:color w:val="auto"/>
              </w:rPr>
              <w:t>Net increase (decrease) in cash and cash</w:t>
            </w:r>
          </w:p>
        </w:tc>
        <w:tc>
          <w:tcPr>
            <w:tcW w:w="3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120" w:type="dxa"/>
            <w:vAlign w:val="bottom"/>
          </w:tcPr>
          <w:p>
            <w:pPr>
              <w:ind w:left="720"/>
              <w:spacing w:after="0"/>
              <w:rPr>
                <w:sz w:val="20"/>
                <w:szCs w:val="20"/>
                <w:color w:val="auto"/>
              </w:rPr>
            </w:pPr>
            <w:r>
              <w:rPr>
                <w:rFonts w:ascii="Arial" w:cs="Arial" w:eastAsia="Arial" w:hAnsi="Arial"/>
                <w:sz w:val="14"/>
                <w:szCs w:val="14"/>
                <w:color w:val="auto"/>
              </w:rPr>
              <w:t>equivalents, including restricted amounts</w:t>
            </w:r>
          </w:p>
        </w:tc>
        <w:tc>
          <w:tcPr>
            <w:tcW w:w="34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(245,071)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(11,532)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8,270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(248,333)</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including restricted amounts, at</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of year</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1,991,949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53,905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25,833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2,071,687</w:t>
            </w:r>
          </w:p>
        </w:tc>
        <w:tc>
          <w:tcPr>
            <w:tcW w:w="0" w:type="dxa"/>
            <w:vAlign w:val="bottom"/>
          </w:tcPr>
          <w:p>
            <w:pPr>
              <w:spacing w:after="0"/>
              <w:rPr>
                <w:sz w:val="1"/>
                <w:szCs w:val="1"/>
                <w:color w:val="auto"/>
              </w:rPr>
            </w:pPr>
          </w:p>
        </w:tc>
      </w:tr>
      <w:tr>
        <w:trPr>
          <w:trHeight w:val="174"/>
        </w:trPr>
        <w:tc>
          <w:tcPr>
            <w:tcW w:w="4120" w:type="dxa"/>
            <w:vAlign w:val="bottom"/>
          </w:tcPr>
          <w:p>
            <w:pPr>
              <w:ind w:left="40"/>
              <w:spacing w:after="0"/>
              <w:rPr>
                <w:sz w:val="20"/>
                <w:szCs w:val="20"/>
                <w:color w:val="auto"/>
              </w:rPr>
            </w:pPr>
            <w:r>
              <w:rPr>
                <w:rFonts w:ascii="Arial" w:cs="Arial" w:eastAsia="Arial" w:hAnsi="Arial"/>
                <w:sz w:val="14"/>
                <w:szCs w:val="14"/>
                <w:color w:val="auto"/>
              </w:rPr>
              <w:t>Cash and cash equivalents, including restricted amounts, at</w:t>
            </w:r>
          </w:p>
        </w:tc>
        <w:tc>
          <w:tcPr>
            <w:tcW w:w="3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1,746,878</w:t>
            </w:r>
          </w:p>
        </w:tc>
        <w:tc>
          <w:tcPr>
            <w:tcW w:w="12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68"/>
              <w:spacing w:after="0"/>
              <w:rPr>
                <w:sz w:val="20"/>
                <w:szCs w:val="20"/>
                <w:color w:val="auto"/>
              </w:rPr>
            </w:pPr>
            <w:r>
              <w:rPr>
                <w:rFonts w:ascii="Arial" w:cs="Arial" w:eastAsia="Arial" w:hAnsi="Arial"/>
                <w:sz w:val="14"/>
                <w:szCs w:val="14"/>
                <w:color w:val="auto"/>
              </w:rPr>
              <w:t>42,373</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34,103</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28"/>
              <w:spacing w:after="0"/>
              <w:rPr>
                <w:sz w:val="20"/>
                <w:szCs w:val="20"/>
                <w:color w:val="auto"/>
              </w:rPr>
            </w:pPr>
            <w:r>
              <w:rPr>
                <w:rFonts w:ascii="Arial" w:cs="Arial" w:eastAsia="Arial" w:hAnsi="Arial"/>
                <w:sz w:val="14"/>
                <w:szCs w:val="14"/>
                <w:color w:val="auto"/>
              </w:rPr>
              <w:t>1,823,354</w:t>
            </w:r>
          </w:p>
        </w:tc>
        <w:tc>
          <w:tcPr>
            <w:tcW w:w="0" w:type="dxa"/>
            <w:vAlign w:val="bottom"/>
          </w:tcPr>
          <w:p>
            <w:pPr>
              <w:spacing w:after="0"/>
              <w:rPr>
                <w:sz w:val="1"/>
                <w:szCs w:val="1"/>
                <w:color w:val="auto"/>
              </w:rPr>
            </w:pPr>
          </w:p>
        </w:tc>
      </w:tr>
      <w:tr>
        <w:trPr>
          <w:trHeight w:val="171"/>
        </w:trPr>
        <w:tc>
          <w:tcPr>
            <w:tcW w:w="4120" w:type="dxa"/>
            <w:vAlign w:val="bottom"/>
          </w:tcPr>
          <w:p>
            <w:pPr>
              <w:ind w:left="40"/>
              <w:spacing w:after="0"/>
              <w:rPr>
                <w:sz w:val="20"/>
                <w:szCs w:val="20"/>
                <w:color w:val="auto"/>
              </w:rPr>
            </w:pPr>
            <w:r>
              <w:rPr>
                <w:rFonts w:ascii="Arial" w:cs="Arial" w:eastAsia="Arial" w:hAnsi="Arial"/>
                <w:sz w:val="14"/>
                <w:szCs w:val="14"/>
                <w:color w:val="auto"/>
              </w:rPr>
              <w:t>end of year</w:t>
            </w:r>
          </w:p>
        </w:tc>
        <w:tc>
          <w:tcPr>
            <w:tcW w:w="3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140"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Cash Flows for the Year Ended December 31, 2016</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Guarantor</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Non-Guarantor</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HSS</w:t>
            </w:r>
          </w:p>
        </w:tc>
        <w:tc>
          <w:tcPr>
            <w:tcW w:w="16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Subsidiaries</w:t>
            </w:r>
          </w:p>
        </w:tc>
        <w:tc>
          <w:tcPr>
            <w:tcW w:w="16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Subsidiaries</w:t>
            </w:r>
          </w:p>
        </w:tc>
        <w:tc>
          <w:tcPr>
            <w:tcW w:w="160" w:type="dxa"/>
            <w:vAlign w:val="bottom"/>
          </w:tcPr>
          <w:p>
            <w:pPr>
              <w:spacing w:after="0"/>
              <w:rPr>
                <w:sz w:val="19"/>
                <w:szCs w:val="19"/>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30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1"/>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120,015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218,504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(3,579)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(213,219)</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121,721</w:t>
            </w: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(loss) to net cash</w:t>
            </w:r>
          </w:p>
        </w:tc>
        <w:tc>
          <w:tcPr>
            <w:tcW w:w="3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78,875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127,462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24,594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213,219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444,150</w:t>
            </w:r>
          </w:p>
        </w:tc>
        <w:tc>
          <w:tcPr>
            <w:tcW w:w="0" w:type="dxa"/>
            <w:vAlign w:val="bottom"/>
          </w:tcPr>
          <w:p>
            <w:pPr>
              <w:spacing w:after="0"/>
              <w:rPr>
                <w:sz w:val="1"/>
                <w:szCs w:val="1"/>
                <w:color w:val="auto"/>
              </w:rPr>
            </w:pPr>
          </w:p>
        </w:tc>
      </w:tr>
      <w:tr>
        <w:trPr>
          <w:trHeight w:val="178"/>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flows from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120" w:type="dxa"/>
            <w:vAlign w:val="bottom"/>
          </w:tcPr>
          <w:p>
            <w:pPr>
              <w:ind w:left="720"/>
              <w:spacing w:after="0"/>
              <w:rPr>
                <w:sz w:val="20"/>
                <w:szCs w:val="20"/>
                <w:color w:val="auto"/>
              </w:rPr>
            </w:pPr>
            <w:r>
              <w:rPr>
                <w:rFonts w:ascii="Arial" w:cs="Arial" w:eastAsia="Arial" w:hAnsi="Arial"/>
                <w:sz w:val="13"/>
                <w:szCs w:val="13"/>
                <w:color w:val="auto"/>
              </w:rPr>
              <w:t>Net ca</w:t>
            </w:r>
            <w:r>
              <w:rPr>
                <w:rFonts w:ascii="Arial" w:cs="Arial" w:eastAsia="Arial" w:hAnsi="Arial"/>
                <w:sz w:val="14"/>
                <w:szCs w:val="14"/>
                <w:color w:val="auto"/>
              </w:rPr>
              <w:t>s</w:t>
            </w:r>
            <w:r>
              <w:rPr>
                <w:rFonts w:ascii="Arial" w:cs="Arial" w:eastAsia="Arial" w:hAnsi="Arial"/>
                <w:sz w:val="13"/>
                <w:szCs w:val="13"/>
                <w:color w:val="auto"/>
              </w:rPr>
              <w:t>h flows from operating activities</w:t>
            </w:r>
          </w:p>
        </w:tc>
        <w:tc>
          <w:tcPr>
            <w:tcW w:w="34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198,890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345,966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21,015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565,871</w:t>
            </w:r>
          </w:p>
        </w:tc>
        <w:tc>
          <w:tcPr>
            <w:tcW w:w="0" w:type="dxa"/>
            <w:vAlign w:val="bottom"/>
          </w:tcPr>
          <w:p>
            <w:pPr>
              <w:spacing w:after="0"/>
              <w:rPr>
                <w:sz w:val="1"/>
                <w:szCs w:val="1"/>
                <w:color w:val="auto"/>
              </w:rPr>
            </w:pPr>
          </w:p>
        </w:tc>
      </w:tr>
      <w:tr>
        <w:trPr>
          <w:trHeight w:val="19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Purchases of marketable investment securities</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(396,730)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(396,730)</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marketable investment securities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453,334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460,834</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Expenditures of property and equipment</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(292,427)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(88,860)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(381,287)</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restricted cash and cash equivalents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Investment in subsidiary</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(80,846)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(84,871)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165,717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for EchoStar XXI launch services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Expenditures for externally marketed software</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(23,252)</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Net cash flows from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(24,242)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(394,346)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(112,610)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165,377</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(365,821)</w:t>
            </w:r>
          </w:p>
        </w:tc>
        <w:tc>
          <w:tcPr>
            <w:tcW w:w="0" w:type="dxa"/>
            <w:vAlign w:val="bottom"/>
          </w:tcPr>
          <w:p>
            <w:pPr>
              <w:spacing w:after="0"/>
              <w:rPr>
                <w:sz w:val="1"/>
                <w:szCs w:val="1"/>
                <w:color w:val="auto"/>
              </w:rPr>
            </w:pPr>
          </w:p>
        </w:tc>
      </w:tr>
      <w:tr>
        <w:trPr>
          <w:trHeight w:val="19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1,500,000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1,500,000</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of debt issuance costs</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(7,097)</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Proceeds from capital contribution from parent</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80,846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84,871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(165,717)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contribution from EchoStar</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23,750</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Repayment debt and capital lease obligations</w:t>
            </w:r>
          </w:p>
        </w:tc>
        <w:tc>
          <w:tcPr>
            <w:tcW w:w="34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(28,829)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(31,669)</w:t>
            </w: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Advances from affiliates</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6,982</w:t>
            </w:r>
          </w:p>
        </w:tc>
        <w:tc>
          <w:tcPr>
            <w:tcW w:w="0" w:type="dxa"/>
            <w:vAlign w:val="bottom"/>
          </w:tcPr>
          <w:p>
            <w:pPr>
              <w:spacing w:after="0"/>
              <w:rPr>
                <w:sz w:val="1"/>
                <w:szCs w:val="1"/>
                <w:color w:val="auto"/>
              </w:rPr>
            </w:pPr>
          </w:p>
        </w:tc>
      </w:tr>
      <w:tr>
        <w:trPr>
          <w:trHeight w:val="264"/>
        </w:trPr>
        <w:tc>
          <w:tcPr>
            <w:tcW w:w="4120" w:type="dxa"/>
            <w:vAlign w:val="bottom"/>
          </w:tcPr>
          <w:p>
            <w:pPr>
              <w:ind w:left="280"/>
              <w:spacing w:after="0"/>
              <w:rPr>
                <w:sz w:val="20"/>
                <w:szCs w:val="20"/>
                <w:color w:val="auto"/>
              </w:rPr>
            </w:pPr>
            <w:r>
              <w:rPr>
                <w:rFonts w:ascii="Arial" w:cs="Arial" w:eastAsia="Arial" w:hAnsi="Arial"/>
                <w:sz w:val="14"/>
                <w:szCs w:val="14"/>
                <w:color w:val="auto"/>
              </w:rPr>
              <w:t>Repayment of in-orbit incentive obligations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(5,499)</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Net cash flows from financing activities</w:t>
            </w: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1,516,667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46,518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90,001</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(165,377)</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1,487,809</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Effect of exchange rates on cash and cash</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equivalents</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120" w:type="dxa"/>
            <w:vAlign w:val="bottom"/>
          </w:tcPr>
          <w:p>
            <w:pPr>
              <w:ind w:left="720"/>
              <w:spacing w:after="0"/>
              <w:rPr>
                <w:sz w:val="20"/>
                <w:szCs w:val="20"/>
                <w:color w:val="auto"/>
              </w:rPr>
            </w:pPr>
            <w:r>
              <w:rPr>
                <w:rFonts w:ascii="Arial" w:cs="Arial" w:eastAsia="Arial" w:hAnsi="Arial"/>
                <w:sz w:val="14"/>
                <w:szCs w:val="14"/>
                <w:color w:val="auto"/>
              </w:rPr>
              <w:t>Net increase (decrease) in cash and cash</w:t>
            </w:r>
          </w:p>
        </w:tc>
        <w:tc>
          <w:tcPr>
            <w:tcW w:w="340" w:type="dxa"/>
            <w:vAlign w:val="bottom"/>
          </w:tcPr>
          <w:p>
            <w:pPr>
              <w:spacing w:after="0"/>
              <w:rPr>
                <w:sz w:val="15"/>
                <w:szCs w:val="15"/>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1,691,315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(1,862)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(1,411)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1,688,042</w:t>
            </w:r>
          </w:p>
        </w:tc>
        <w:tc>
          <w:tcPr>
            <w:tcW w:w="0" w:type="dxa"/>
            <w:vAlign w:val="bottom"/>
          </w:tcPr>
          <w:p>
            <w:pPr>
              <w:spacing w:after="0"/>
              <w:rPr>
                <w:sz w:val="1"/>
                <w:szCs w:val="1"/>
                <w:color w:val="auto"/>
              </w:rPr>
            </w:pPr>
          </w:p>
        </w:tc>
      </w:tr>
      <w:tr>
        <w:trPr>
          <w:trHeight w:val="178"/>
        </w:trPr>
        <w:tc>
          <w:tcPr>
            <w:tcW w:w="4120" w:type="dxa"/>
            <w:vAlign w:val="bottom"/>
          </w:tcPr>
          <w:p>
            <w:pPr>
              <w:ind w:left="720"/>
              <w:spacing w:after="0"/>
              <w:rPr>
                <w:sz w:val="20"/>
                <w:szCs w:val="20"/>
                <w:color w:val="auto"/>
              </w:rPr>
            </w:pPr>
            <w:r>
              <w:rPr>
                <w:rFonts w:ascii="Arial" w:cs="Arial" w:eastAsia="Arial" w:hAnsi="Arial"/>
                <w:sz w:val="14"/>
                <w:szCs w:val="14"/>
                <w:color w:val="auto"/>
              </w:rPr>
              <w:t>equivalents, including restricted amounts</w:t>
            </w:r>
          </w:p>
        </w:tc>
        <w:tc>
          <w:tcPr>
            <w:tcW w:w="3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including restricted amounts, at</w:t>
            </w:r>
          </w:p>
        </w:tc>
        <w:tc>
          <w:tcPr>
            <w:tcW w:w="3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300,634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55,767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27,244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383,645</w:t>
            </w:r>
          </w:p>
        </w:tc>
        <w:tc>
          <w:tcPr>
            <w:tcW w:w="0" w:type="dxa"/>
            <w:vAlign w:val="bottom"/>
          </w:tcPr>
          <w:p>
            <w:pPr>
              <w:spacing w:after="0"/>
              <w:rPr>
                <w:sz w:val="1"/>
                <w:szCs w:val="1"/>
                <w:color w:val="auto"/>
              </w:rPr>
            </w:pPr>
          </w:p>
        </w:tc>
      </w:tr>
      <w:tr>
        <w:trPr>
          <w:trHeight w:val="184"/>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of year</w:t>
            </w: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120" w:type="dxa"/>
            <w:vAlign w:val="bottom"/>
          </w:tcPr>
          <w:p>
            <w:pPr>
              <w:ind w:left="40"/>
              <w:spacing w:after="0"/>
              <w:rPr>
                <w:sz w:val="20"/>
                <w:szCs w:val="20"/>
                <w:color w:val="auto"/>
              </w:rPr>
            </w:pPr>
            <w:r>
              <w:rPr>
                <w:rFonts w:ascii="Arial" w:cs="Arial" w:eastAsia="Arial" w:hAnsi="Arial"/>
                <w:sz w:val="14"/>
                <w:szCs w:val="14"/>
                <w:color w:val="auto"/>
              </w:rPr>
              <w:t>Cash and cash equivalents, including restricted amounts, at</w:t>
            </w: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color w:val="auto"/>
              </w:rPr>
              <w:t>1,991,949</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tcPr>
          <w:p>
            <w:pPr>
              <w:jc w:val="right"/>
              <w:ind w:right="19"/>
              <w:spacing w:after="0"/>
              <w:rPr>
                <w:sz w:val="20"/>
                <w:szCs w:val="20"/>
                <w:color w:val="auto"/>
              </w:rPr>
            </w:pPr>
            <w:r>
              <w:rPr>
                <w:rFonts w:ascii="Arial" w:cs="Arial" w:eastAsia="Arial" w:hAnsi="Arial"/>
                <w:sz w:val="16"/>
                <w:szCs w:val="16"/>
                <w:color w:val="auto"/>
              </w:rPr>
              <w:t>53,905</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ind w:right="39"/>
              <w:spacing w:after="0"/>
              <w:rPr>
                <w:sz w:val="20"/>
                <w:szCs w:val="20"/>
                <w:color w:val="auto"/>
              </w:rPr>
            </w:pPr>
            <w:r>
              <w:rPr>
                <w:rFonts w:ascii="Arial" w:cs="Arial" w:eastAsia="Arial" w:hAnsi="Arial"/>
                <w:sz w:val="16"/>
                <w:szCs w:val="16"/>
                <w:color w:val="auto"/>
              </w:rPr>
              <w:t>25,833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ind w:right="19"/>
              <w:spacing w:after="0"/>
              <w:rPr>
                <w:sz w:val="20"/>
                <w:szCs w:val="20"/>
                <w:color w:val="auto"/>
              </w:rPr>
            </w:pPr>
            <w:r>
              <w:rPr>
                <w:rFonts w:ascii="Arial" w:cs="Arial" w:eastAsia="Arial" w:hAnsi="Arial"/>
                <w:sz w:val="16"/>
                <w:szCs w:val="16"/>
                <w:color w:val="auto"/>
              </w:rPr>
              <w:t>2,071,687</w:t>
            </w:r>
          </w:p>
        </w:tc>
        <w:tc>
          <w:tcPr>
            <w:tcW w:w="0" w:type="dxa"/>
            <w:vAlign w:val="bottom"/>
          </w:tcPr>
          <w:p>
            <w:pPr>
              <w:spacing w:after="0"/>
              <w:rPr>
                <w:sz w:val="1"/>
                <w:szCs w:val="1"/>
                <w:color w:val="auto"/>
              </w:rPr>
            </w:pPr>
          </w:p>
        </w:tc>
      </w:tr>
      <w:tr>
        <w:trPr>
          <w:trHeight w:val="171"/>
        </w:trPr>
        <w:tc>
          <w:tcPr>
            <w:tcW w:w="4120" w:type="dxa"/>
            <w:vAlign w:val="bottom"/>
          </w:tcPr>
          <w:p>
            <w:pPr>
              <w:ind w:left="40"/>
              <w:spacing w:after="0"/>
              <w:rPr>
                <w:sz w:val="20"/>
                <w:szCs w:val="20"/>
                <w:color w:val="auto"/>
              </w:rPr>
            </w:pPr>
            <w:r>
              <w:rPr>
                <w:rFonts w:ascii="Arial" w:cs="Arial" w:eastAsia="Arial" w:hAnsi="Arial"/>
                <w:sz w:val="14"/>
                <w:szCs w:val="14"/>
                <w:color w:val="auto"/>
              </w:rPr>
              <w:t>end of year</w:t>
            </w:r>
          </w:p>
        </w:tc>
        <w:tc>
          <w:tcPr>
            <w:tcW w:w="3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40"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5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NOTE 18.  SUPPLEMENTAL FINANCIAL INFORMATION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2017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(In thousands)</w:t>
            </w: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Property and equipment financed under capital</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60" w:type="dxa"/>
            <w:vAlign w:val="bottom"/>
            <w:vMerge w:val="continue"/>
          </w:tcPr>
          <w:p>
            <w:pPr>
              <w:spacing w:after="0"/>
              <w:rPr>
                <w:sz w:val="16"/>
                <w:szCs w:val="16"/>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50"/>
              <w:spacing w:after="0"/>
              <w:rPr>
                <w:sz w:val="20"/>
                <w:szCs w:val="20"/>
                <w:color w:val="auto"/>
              </w:rPr>
            </w:pPr>
            <w:r>
              <w:rPr>
                <w:rFonts w:ascii="Arial" w:cs="Arial" w:eastAsia="Arial" w:hAnsi="Arial"/>
                <w:sz w:val="18"/>
                <w:szCs w:val="18"/>
                <w:color w:val="auto"/>
              </w:rPr>
              <w:t>8,484</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obligations</w:t>
            </w:r>
          </w:p>
        </w:tc>
        <w:tc>
          <w:tcPr>
            <w:tcW w:w="28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Increase (decrease) in capital expenditures</w:t>
            </w:r>
          </w:p>
        </w:tc>
        <w:tc>
          <w:tcPr>
            <w:tcW w:w="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included in accounts payable, net</w:t>
            </w: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vMerge w:val="restart"/>
          </w:tcPr>
          <w:p>
            <w:pPr>
              <w:ind w:left="20"/>
              <w:spacing w:after="0"/>
              <w:rPr>
                <w:sz w:val="20"/>
                <w:szCs w:val="20"/>
                <w:color w:val="auto"/>
              </w:rPr>
            </w:pPr>
            <w:r>
              <w:rPr>
                <w:rFonts w:ascii="Arial" w:cs="Arial" w:eastAsia="Arial" w:hAnsi="Arial"/>
                <w:sz w:val="18"/>
                <w:szCs w:val="18"/>
                <w:color w:val="auto"/>
              </w:rPr>
              <w:t>Transfer of launch service contracts from (to)</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60" w:type="dxa"/>
            <w:vAlign w:val="bottom"/>
            <w:vMerge w:val="continue"/>
          </w:tcPr>
          <w:p>
            <w:pPr>
              <w:spacing w:after="0"/>
              <w:rPr>
                <w:sz w:val="15"/>
                <w:szCs w:val="15"/>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(145,114)</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70,300</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EchoStar</w:t>
            </w:r>
          </w:p>
        </w:tc>
        <w:tc>
          <w:tcPr>
            <w:tcW w:w="28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Contribution of noncash net assets pursuant to</w:t>
            </w:r>
          </w:p>
        </w:tc>
        <w:tc>
          <w:tcPr>
            <w:tcW w:w="2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219,662</w:t>
            </w:r>
          </w:p>
        </w:tc>
        <w:tc>
          <w:tcPr>
            <w:tcW w:w="3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Exchange Agreement (Note 1)</w:t>
            </w:r>
          </w:p>
        </w:tc>
        <w:tc>
          <w:tcPr>
            <w:tcW w:w="28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net assets exchanged for HSS Tracking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60" w:type="dxa"/>
            <w:vAlign w:val="bottom"/>
            <w:vMerge w:val="continue"/>
          </w:tcPr>
          <w:p>
            <w:pPr>
              <w:spacing w:after="0"/>
              <w:rPr>
                <w:sz w:val="15"/>
                <w:szCs w:val="15"/>
                <w:color w:val="auto"/>
              </w:rPr>
            </w:pPr>
          </w:p>
        </w:tc>
        <w:tc>
          <w:tcPr>
            <w:tcW w:w="2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(190,221)</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(Note 1)</w:t>
            </w:r>
          </w:p>
        </w:tc>
        <w:tc>
          <w:tcPr>
            <w:tcW w:w="28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vMerge w:val="continue"/>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in-orbit incentive obligations</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31,000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8"/>
                <w:szCs w:val="18"/>
                <w:color w:val="auto"/>
              </w:rPr>
              <w:t>Contribution of EchoStar XIX satellite</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514,448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beginning and ending balances of cash and cash equivalents presented in our Consolidated Statements of Cash Flows included restricted cash and cash equivalents of $1 million and $1 million, respectively, for the year ended December 31, 2018 and $1 million and $1 million, respectively, for the year ended December 31, 2017. These amounts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our Consolidated Balance Sheets.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recognized net foreign currency transaction losses of $12 million and $1 million and de minimus gains for the years ended December 31, 2018, 2017 and 2016,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In-Orbit Incentives</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As of December 31, 2018 and 2017,the fair values of our in-orbit incentive obligations, based on measurements categorized within Level 2 of the fair value hierarchy, approximated their carrying amounts of $95 million and $99 million,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and Fulfillment Costs</w:t>
      </w:r>
    </w:p>
    <w:p>
      <w:pPr>
        <w:spacing w:after="0" w:line="247"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Unamortized contract acquisition costs totaled $104 million as of December 31, 2018 and related amortization expense totaled $83 million for the year ended December 31, 2018, respectively.</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Unamortized contract fulfillment costs totaled $3 million as of December 31, 2018 and related amortization expense was de minimis for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table below summarizes the research and development costs incurred in connection with customers’ orders included in cost of sales and other expenses we incurred for research and development.</w:t>
      </w:r>
    </w:p>
    <w:p>
      <w:pPr>
        <w:spacing w:after="0" w:line="134" w:lineRule="exact"/>
        <w:rPr>
          <w:sz w:val="20"/>
          <w:szCs w:val="20"/>
          <w:color w:val="auto"/>
        </w:rPr>
      </w:pPr>
    </w:p>
    <w:tbl>
      <w:tblPr>
        <w:tblLayout w:type="fixed"/>
        <w:tblInd w:w="62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40" w:type="dxa"/>
            <w:vAlign w:val="bottom"/>
            <w:gridSpan w:val="4"/>
          </w:tcPr>
          <w:p>
            <w:pPr>
              <w:jc w:val="center"/>
              <w:ind w:left="630"/>
              <w:spacing w:after="0"/>
              <w:rPr>
                <w:sz w:val="20"/>
                <w:szCs w:val="20"/>
                <w:color w:val="auto"/>
              </w:rPr>
            </w:pPr>
            <w:r>
              <w:rPr>
                <w:rFonts w:ascii="Arial" w:cs="Arial" w:eastAsia="Arial" w:hAnsi="Arial"/>
                <w:sz w:val="18"/>
                <w:szCs w:val="18"/>
                <w:b w:val="1"/>
                <w:bCs w:val="1"/>
                <w:color w:val="auto"/>
              </w:rPr>
              <w:t>For the years ended December 31,</w:t>
            </w:r>
          </w:p>
        </w:tc>
        <w:tc>
          <w:tcPr>
            <w:tcW w:w="1060" w:type="dxa"/>
            <w:vAlign w:val="bottom"/>
          </w:tcPr>
          <w:p>
            <w:pPr>
              <w:spacing w:after="0"/>
              <w:rPr>
                <w:sz w:val="20"/>
                <w:szCs w:val="20"/>
                <w:color w:val="auto"/>
              </w:rPr>
            </w:pPr>
          </w:p>
        </w:tc>
      </w:tr>
      <w:tr>
        <w:trPr>
          <w:trHeight w:val="277"/>
        </w:trPr>
        <w:tc>
          <w:tcPr>
            <w:tcW w:w="50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2017</w:t>
            </w:r>
          </w:p>
        </w:tc>
        <w:tc>
          <w:tcPr>
            <w:tcW w:w="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99"/>
              </w:rPr>
              <w:t>2016</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color w:val="auto"/>
                <w:w w:val="99"/>
              </w:rPr>
              <w:t>(In thousands)</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23,422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27,899</w:t>
            </w:r>
          </w:p>
        </w:tc>
        <w:tc>
          <w:tcPr>
            <w:tcW w:w="6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23,663</w:t>
            </w:r>
          </w:p>
        </w:tc>
      </w:tr>
      <w:tr>
        <w:trPr>
          <w:trHeight w:val="257"/>
        </w:trPr>
        <w:tc>
          <w:tcPr>
            <w:tcW w:w="50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27,570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31,745</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31,170</w:t>
            </w: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08"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2018 and 2017, the net carrying amount of externally marketed software was $97 million and $88 million, respectively, of which $29 million and $20 million, respectively, is under development and not yet placed in service. We capitalized costs related to the development of externally marketed software of $32 million, $31 million and $23 million for the years ended December 31, 2018, 2017 and 2016, respectively. We recorded amortization expense relating to the development of externally marketed software of $23 million, $20 million and $10 million for the years ended December 31, 2018, 2017 and 2016, respectively. The weighted average useful life of our externally marketed software was approximately three years as of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incurred advertising expense of $76 million, $64 million and $44 million for the years ended December 31, 2018, 2017 and 2016,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valuation and qualifying accounts as of December 31, 2018, 2017 and 2016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Balance at</w:t>
            </w:r>
          </w:p>
        </w:tc>
        <w:tc>
          <w:tcPr>
            <w:tcW w:w="460" w:type="dxa"/>
            <w:vAlign w:val="bottom"/>
          </w:tcPr>
          <w:p>
            <w:pPr>
              <w:spacing w:after="0"/>
              <w:rPr>
                <w:sz w:val="17"/>
                <w:szCs w:val="17"/>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rPr>
              <w:t>Charged to</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3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Beginning of</w:t>
            </w:r>
          </w:p>
        </w:tc>
        <w:tc>
          <w:tcPr>
            <w:tcW w:w="460" w:type="dxa"/>
            <w:vAlign w:val="bottom"/>
          </w:tcPr>
          <w:p>
            <w:pPr>
              <w:spacing w:after="0"/>
              <w:rPr>
                <w:sz w:val="17"/>
                <w:szCs w:val="17"/>
                <w:color w:val="auto"/>
              </w:rPr>
            </w:pPr>
          </w:p>
        </w:tc>
        <w:tc>
          <w:tcPr>
            <w:tcW w:w="136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rPr>
              <w:t>Costs and</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Balance at</w:t>
            </w:r>
          </w:p>
        </w:tc>
      </w:tr>
      <w:tr>
        <w:trPr>
          <w:trHeight w:val="246"/>
        </w:trPr>
        <w:tc>
          <w:tcPr>
            <w:tcW w:w="3980" w:type="dxa"/>
            <w:vAlign w:val="bottom"/>
            <w:gridSpan w:val="2"/>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200" w:type="dxa"/>
            <w:vAlign w:val="bottom"/>
          </w:tcPr>
          <w:p>
            <w:pPr>
              <w:spacing w:after="0"/>
              <w:rPr>
                <w:sz w:val="21"/>
                <w:szCs w:val="21"/>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Year</w:t>
            </w:r>
          </w:p>
        </w:tc>
        <w:tc>
          <w:tcPr>
            <w:tcW w:w="460" w:type="dxa"/>
            <w:vAlign w:val="bottom"/>
          </w:tcPr>
          <w:p>
            <w:pPr>
              <w:spacing w:after="0"/>
              <w:rPr>
                <w:sz w:val="21"/>
                <w:szCs w:val="21"/>
                <w:color w:val="auto"/>
              </w:rPr>
            </w:pPr>
          </w:p>
        </w:tc>
        <w:tc>
          <w:tcPr>
            <w:tcW w:w="13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Expenses</w:t>
            </w:r>
          </w:p>
        </w:tc>
        <w:tc>
          <w:tcPr>
            <w:tcW w:w="32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b w:val="1"/>
                <w:bCs w:val="1"/>
                <w:color w:val="auto"/>
              </w:rPr>
              <w:t>Deductions</w:t>
            </w:r>
          </w:p>
        </w:tc>
        <w:tc>
          <w:tcPr>
            <w:tcW w:w="280" w:type="dxa"/>
            <w:vAlign w:val="bottom"/>
          </w:tcPr>
          <w:p>
            <w:pPr>
              <w:spacing w:after="0"/>
              <w:rPr>
                <w:sz w:val="21"/>
                <w:szCs w:val="21"/>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End of Year</w:t>
            </w:r>
          </w:p>
        </w:tc>
      </w:tr>
      <w:tr>
        <w:trPr>
          <w:trHeight w:val="263"/>
        </w:trPr>
        <w:tc>
          <w:tcPr>
            <w:tcW w:w="3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3120" w:type="dxa"/>
            <w:vAlign w:val="bottom"/>
            <w:tcBorders>
              <w:top w:val="single" w:sz="8" w:color="auto"/>
            </w:tcBorders>
            <w:gridSpan w:val="3"/>
          </w:tcPr>
          <w:p>
            <w:pPr>
              <w:jc w:val="right"/>
              <w:ind w:right="1030"/>
              <w:spacing w:after="0"/>
              <w:rPr>
                <w:sz w:val="20"/>
                <w:szCs w:val="20"/>
                <w:color w:val="auto"/>
              </w:rPr>
            </w:pPr>
            <w:r>
              <w:rPr>
                <w:rFonts w:ascii="Arial" w:cs="Arial" w:eastAsia="Arial" w:hAnsi="Arial"/>
                <w:sz w:val="18"/>
                <w:szCs w:val="18"/>
                <w:color w:val="auto"/>
              </w:rPr>
              <w:t>(In thousands)</w:t>
            </w:r>
          </w:p>
        </w:tc>
        <w:tc>
          <w:tcPr>
            <w:tcW w:w="2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257"/>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For the years ended:</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12,027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22,184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(17,607)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16,604</w:t>
            </w:r>
          </w:p>
        </w:tc>
      </w:tr>
      <w:tr>
        <w:trPr>
          <w:trHeight w:val="277"/>
        </w:trPr>
        <w:tc>
          <w:tcPr>
            <w:tcW w:w="3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9,551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12,027</w:t>
            </w:r>
          </w:p>
        </w:tc>
      </w:tr>
      <w:tr>
        <w:trPr>
          <w:trHeight w:val="257"/>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11,447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14,384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(13,079)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12,752</w:t>
            </w:r>
          </w:p>
        </w:tc>
      </w:tr>
      <w:tr>
        <w:trPr>
          <w:trHeight w:val="905"/>
        </w:trPr>
        <w:tc>
          <w:tcPr>
            <w:tcW w:w="3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F-59</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6"/>
          <w:szCs w:val="26"/>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Arial" w:cs="Arial" w:eastAsia="Arial" w:hAnsi="Arial"/>
          <w:sz w:val="26"/>
          <w:szCs w:val="26"/>
          <w:b w:val="1"/>
          <w:bCs w:val="1"/>
          <w:color w:val="0E0E0E"/>
        </w:rPr>
        <w:t>The CORPORATE</w:t>
      </w:r>
      <w:r>
        <w:rPr>
          <w:rFonts w:ascii="Arial" w:cs="Arial" w:eastAsia="Arial" w:hAnsi="Arial"/>
          <w:sz w:val="26"/>
          <w:szCs w:val="26"/>
          <w:b w:val="1"/>
          <w:bCs w:val="1"/>
          <w:i w:val="1"/>
          <w:iCs w:val="1"/>
          <w:color w:val="0E0E0E"/>
        </w:rPr>
        <w:t>plan for Retirement</w:t>
      </w:r>
      <w:r>
        <w:rPr>
          <w:rFonts w:ascii="Arial" w:cs="Arial" w:eastAsia="Arial" w:hAnsi="Arial"/>
          <w:sz w:val="26"/>
          <w:szCs w:val="26"/>
          <w:b w:val="1"/>
          <w:bCs w:val="1"/>
          <w:color w:val="0E0E0E"/>
        </w:rPr>
        <w:t xml:space="preserve"> </w:t>
      </w:r>
      <w:r>
        <w:rPr>
          <w:rFonts w:ascii="Arial" w:cs="Arial" w:eastAsia="Arial" w:hAnsi="Arial"/>
          <w:sz w:val="26"/>
          <w:szCs w:val="26"/>
          <w:b w:val="1"/>
          <w:bCs w:val="1"/>
          <w:i w:val="1"/>
          <w:iCs w:val="1"/>
          <w:color w:val="0E0E0E"/>
          <w:vertAlign w:val="superscript"/>
        </w:rPr>
        <w:t>SM</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E0E0E"/>
        </w:rPr>
        <w:t>EXECUTIVE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E0E0E"/>
        </w:rPr>
        <w:t>Adoption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6"/>
          <w:szCs w:val="26"/>
          <w:b w:val="1"/>
          <w:bCs w:val="1"/>
          <w:i w:val="1"/>
          <w:iCs w:val="1"/>
          <w:color w:val="0E0E0E"/>
        </w:rPr>
        <w:t>IMPORTANT NOTE</w:t>
      </w:r>
    </w:p>
    <w:p>
      <w:pPr>
        <w:spacing w:after="0" w:line="295" w:lineRule="exact"/>
        <w:rPr>
          <w:sz w:val="20"/>
          <w:szCs w:val="20"/>
          <w:color w:val="auto"/>
        </w:rPr>
      </w:pPr>
    </w:p>
    <w:p>
      <w:pPr>
        <w:jc w:val="both"/>
        <w:spacing w:after="0" w:line="289" w:lineRule="auto"/>
        <w:rPr>
          <w:sz w:val="20"/>
          <w:szCs w:val="20"/>
          <w:color w:val="auto"/>
        </w:rPr>
      </w:pPr>
      <w:r>
        <w:rPr>
          <w:rFonts w:ascii="Arial" w:cs="Arial" w:eastAsia="Arial" w:hAnsi="Arial"/>
          <w:sz w:val="22"/>
          <w:szCs w:val="22"/>
          <w:b w:val="1"/>
          <w:bCs w:val="1"/>
          <w:i w:val="1"/>
          <w:iCs w:val="1"/>
          <w:color w:val="0E0E0E"/>
        </w:rPr>
        <w:t xml:space="preserve">This document has not been approved by the Department of Labor, the Internal Revenue Service or any other governmental entity. An Employer must determine whether the plan is subject to the Federal securities laws and the securities laws of the various states. An Employer may not rely on this document to ensure any particular tax consequences or to ensure that the Plan is "unfunded and maintained primarily for the purpose of providing deferred compensation to a select group of management or highly compensated employees" under the Employee Retirement Income Security Act with respect to the Employer's particular situation. Fidelity Management Trust Company, its affiliates and employees cannot and do not provide legal or tax advice or opinions in connection with this document. This document does not constitute legal or tax advice or opinions and is not intended or written to be used, and it cannot be used by any taxpayer, for the purposes of avoiding penalties that may be imposed on the taxpayer. This document </w:t>
      </w:r>
      <w:r>
        <w:rPr>
          <w:rFonts w:ascii="Arial" w:cs="Arial" w:eastAsia="Arial" w:hAnsi="Arial"/>
          <w:sz w:val="22"/>
          <w:szCs w:val="22"/>
          <w:b w:val="1"/>
          <w:bCs w:val="1"/>
          <w:i w:val="1"/>
          <w:iCs w:val="1"/>
          <w:u w:val="single" w:color="auto"/>
          <w:color w:val="0E0E0E"/>
        </w:rPr>
        <w:t>must</w:t>
      </w:r>
      <w:r>
        <w:rPr>
          <w:rFonts w:ascii="Arial" w:cs="Arial" w:eastAsia="Arial" w:hAnsi="Arial"/>
          <w:sz w:val="22"/>
          <w:szCs w:val="22"/>
          <w:b w:val="1"/>
          <w:bCs w:val="1"/>
          <w:i w:val="1"/>
          <w:iCs w:val="1"/>
          <w:color w:val="0E0E0E"/>
        </w:rPr>
        <w:t xml:space="preserve"> be reviewed by the Employer's attorney prior to adoption.</w:t>
      </w:r>
    </w:p>
    <w:p>
      <w:pPr>
        <w:sectPr>
          <w:pgSz w:w="11900" w:h="16838" w:orient="portrait"/>
          <w:cols w:equalWidth="0" w:num="1">
            <w:col w:w="11420"/>
          </w:cols>
          <w:pgMar w:left="240" w:top="1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67" w:lineRule="auto"/>
        <w:rPr>
          <w:sz w:val="20"/>
          <w:szCs w:val="20"/>
          <w:color w:val="auto"/>
        </w:rPr>
      </w:pPr>
      <w:r>
        <w:rPr>
          <w:rFonts w:ascii="Arial" w:cs="Arial" w:eastAsia="Arial" w:hAnsi="Arial"/>
          <w:sz w:val="17"/>
          <w:szCs w:val="17"/>
          <w:color w:val="0E0E0E"/>
        </w:rPr>
        <w:t>Plan Number: 443 1</w:t>
      </w:r>
      <w:r>
        <w:rPr>
          <w:rFonts w:ascii="Arial" w:cs="Arial" w:eastAsia="Arial" w:hAnsi="Arial"/>
          <w:sz w:val="17"/>
          <w:szCs w:val="17"/>
          <w:color w:val="424242"/>
        </w:rPr>
        <w:t>7</w:t>
      </w:r>
      <w:r>
        <w:rPr>
          <w:rFonts w:ascii="Arial" w:cs="Arial" w:eastAsia="Arial" w:hAnsi="Arial"/>
          <w:sz w:val="17"/>
          <w:szCs w:val="17"/>
          <w:color w:val="0E0E0E"/>
        </w:rPr>
        <w:t xml:space="preserve"> (07/2007) 10</w:t>
      </w:r>
      <w:r>
        <w:rPr>
          <w:rFonts w:ascii="Arial" w:cs="Arial" w:eastAsia="Arial" w:hAnsi="Arial"/>
          <w:sz w:val="17"/>
          <w:szCs w:val="17"/>
          <w:color w:val="6B6B6B"/>
        </w:rPr>
        <w:t>/</w:t>
      </w:r>
      <w:r>
        <w:rPr>
          <w:rFonts w:ascii="Arial" w:cs="Arial" w:eastAsia="Arial" w:hAnsi="Arial"/>
          <w:sz w:val="17"/>
          <w:szCs w:val="17"/>
          <w:color w:val="0E0E0E"/>
        </w:rPr>
        <w:t>8</w:t>
      </w:r>
      <w:r>
        <w:rPr>
          <w:rFonts w:ascii="Arial" w:cs="Arial" w:eastAsia="Arial" w:hAnsi="Arial"/>
          <w:sz w:val="17"/>
          <w:szCs w:val="17"/>
          <w:color w:val="6B6B6B"/>
        </w:rPr>
        <w:t>/</w:t>
      </w:r>
      <w:r>
        <w:rPr>
          <w:rFonts w:ascii="Arial" w:cs="Arial" w:eastAsia="Arial" w:hAnsi="Arial"/>
          <w:sz w:val="17"/>
          <w:szCs w:val="17"/>
          <w:color w:val="0E0E0E"/>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0E0E0E"/>
        </w:rPr>
        <w:t>ECM NQ 2007 AA</w:t>
      </w:r>
    </w:p>
    <w:p>
      <w:pPr>
        <w:spacing w:after="0" w:line="261" w:lineRule="exact"/>
        <w:rPr>
          <w:sz w:val="20"/>
          <w:szCs w:val="20"/>
          <w:color w:val="auto"/>
        </w:rPr>
      </w:pPr>
    </w:p>
    <w:p>
      <w:pPr>
        <w:sectPr>
          <w:pgSz w:w="11900" w:h="16838" w:orient="portrait"/>
          <w:cols w:equalWidth="0" w:num="2">
            <w:col w:w="1720" w:space="140"/>
            <w:col w:w="9560"/>
          </w:cols>
          <w:pgMar w:left="240" w:top="120" w:right="239" w:bottom="1440" w:gutter="0" w:footer="0" w:header="0"/>
          <w:type w:val="continuous"/>
        </w:sectPr>
      </w:pPr>
    </w:p>
    <w:p>
      <w:pPr>
        <w:ind w:left="4640" w:hanging="175"/>
        <w:spacing w:after="0"/>
        <w:tabs>
          <w:tab w:leader="none" w:pos="4640" w:val="left"/>
        </w:tabs>
        <w:numPr>
          <w:ilvl w:val="0"/>
          <w:numId w:val="44"/>
        </w:numPr>
        <w:rPr>
          <w:rFonts w:ascii="Arial" w:cs="Arial" w:eastAsia="Arial" w:hAnsi="Arial"/>
          <w:sz w:val="16"/>
          <w:szCs w:val="16"/>
          <w:color w:val="0E0E0E"/>
        </w:rPr>
      </w:pPr>
      <w:r>
        <w:rPr>
          <w:rFonts w:ascii="Arial" w:cs="Arial" w:eastAsia="Arial" w:hAnsi="Arial"/>
          <w:sz w:val="15"/>
          <w:szCs w:val="15"/>
          <w:color w:val="0E0E0E"/>
        </w:rPr>
        <w:t>2007 Fidelity Management &amp; Research Company</w:t>
      </w:r>
    </w:p>
    <w:p>
      <w:pPr>
        <w:sectPr>
          <w:pgSz w:w="11900" w:h="16838" w:orient="portrait"/>
          <w:cols w:equalWidth="0" w:num="1">
            <w:col w:w="11420"/>
          </w:cols>
          <w:pgMar w:left="240" w:top="120" w:right="239" w:bottom="1440" w:gutter="0" w:footer="0" w:header="0"/>
          <w:type w:val="continuous"/>
        </w:sectPr>
      </w:pPr>
    </w:p>
    <w:bookmarkStart w:id="115" w:name="page116"/>
    <w:bookmarkEnd w:id="115"/>
    <w:p>
      <w:pPr>
        <w:ind w:left="5280"/>
        <w:spacing w:after="0"/>
        <w:rPr>
          <w:sz w:val="20"/>
          <w:szCs w:val="20"/>
          <w:color w:val="auto"/>
        </w:rPr>
      </w:pPr>
      <w:r>
        <w:rPr>
          <w:rFonts w:ascii="Arial" w:cs="Arial" w:eastAsia="Arial" w:hAnsi="Arial"/>
          <w:sz w:val="24"/>
          <w:szCs w:val="24"/>
          <w:color w:val="111111"/>
        </w:rPr>
        <w:t>ADOPTION AGREEMENT ARTICLE 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0"/>
        <w:spacing w:after="0"/>
        <w:tabs>
          <w:tab w:leader="none" w:pos="700" w:val="left"/>
        </w:tabs>
        <w:rPr>
          <w:sz w:val="20"/>
          <w:szCs w:val="20"/>
          <w:color w:val="auto"/>
        </w:rPr>
      </w:pPr>
      <w:r>
        <w:rPr>
          <w:rFonts w:ascii="Arial" w:cs="Arial" w:eastAsia="Arial" w:hAnsi="Arial"/>
          <w:sz w:val="22"/>
          <w:szCs w:val="22"/>
          <w:color w:val="111111"/>
        </w:rPr>
        <w:t>1.1</w:t>
      </w:r>
      <w:r>
        <w:rPr>
          <w:sz w:val="20"/>
          <w:szCs w:val="20"/>
          <w:color w:val="auto"/>
        </w:rPr>
        <w:tab/>
      </w:r>
      <w:r>
        <w:rPr>
          <w:rFonts w:ascii="Arial" w:cs="Arial" w:eastAsia="Arial" w:hAnsi="Arial"/>
          <w:sz w:val="21"/>
          <w:szCs w:val="21"/>
          <w:u w:val="single" w:color="auto"/>
          <w:color w:val="111111"/>
        </w:rPr>
        <w:t>PLAN INFORMATION</w:t>
      </w:r>
    </w:p>
    <w:p>
      <w:pPr>
        <w:spacing w:after="0" w:line="259" w:lineRule="exact"/>
        <w:rPr>
          <w:sz w:val="20"/>
          <w:szCs w:val="20"/>
          <w:color w:val="auto"/>
        </w:rPr>
      </w:pPr>
    </w:p>
    <w:p>
      <w:pPr>
        <w:ind w:left="1380" w:hanging="656"/>
        <w:spacing w:after="0"/>
        <w:tabs>
          <w:tab w:leader="none" w:pos="1380" w:val="left"/>
        </w:tabs>
        <w:numPr>
          <w:ilvl w:val="0"/>
          <w:numId w:val="45"/>
        </w:numPr>
        <w:rPr>
          <w:rFonts w:ascii="Arial" w:cs="Arial" w:eastAsia="Arial" w:hAnsi="Arial"/>
          <w:sz w:val="19"/>
          <w:szCs w:val="19"/>
          <w:color w:val="111111"/>
        </w:rPr>
      </w:pPr>
      <w:r>
        <w:rPr>
          <w:rFonts w:ascii="Arial" w:cs="Arial" w:eastAsia="Arial" w:hAnsi="Arial"/>
          <w:sz w:val="19"/>
          <w:szCs w:val="19"/>
          <w:color w:val="111111"/>
        </w:rPr>
        <w:t>Name of Plan:</w:t>
      </w:r>
    </w:p>
    <w:p>
      <w:pPr>
        <w:spacing w:after="0" w:line="254" w:lineRule="exact"/>
        <w:rPr>
          <w:rFonts w:ascii="Arial" w:cs="Arial" w:eastAsia="Arial" w:hAnsi="Arial"/>
          <w:sz w:val="19"/>
          <w:szCs w:val="19"/>
          <w:color w:val="111111"/>
        </w:rPr>
      </w:pPr>
    </w:p>
    <w:p>
      <w:pPr>
        <w:ind w:left="1380"/>
        <w:spacing w:after="0"/>
        <w:rPr>
          <w:rFonts w:ascii="Arial" w:cs="Arial" w:eastAsia="Arial" w:hAnsi="Arial"/>
          <w:sz w:val="19"/>
          <w:szCs w:val="19"/>
          <w:color w:val="111111"/>
        </w:rPr>
      </w:pPr>
      <w:r>
        <w:rPr>
          <w:rFonts w:ascii="Arial" w:cs="Arial" w:eastAsia="Arial" w:hAnsi="Arial"/>
          <w:sz w:val="19"/>
          <w:szCs w:val="19"/>
          <w:color w:val="111111"/>
        </w:rPr>
        <w:t>This is the EchoStar Non-Qualified Plan (the "Plan").</w:t>
      </w:r>
    </w:p>
    <w:p>
      <w:pPr>
        <w:spacing w:after="0" w:line="200" w:lineRule="exact"/>
        <w:rPr>
          <w:sz w:val="20"/>
          <w:szCs w:val="20"/>
          <w:color w:val="auto"/>
        </w:rPr>
      </w:pPr>
    </w:p>
    <w:p>
      <w:pPr>
        <w:spacing w:after="0" w:line="352" w:lineRule="exact"/>
        <w:rPr>
          <w:sz w:val="20"/>
          <w:szCs w:val="20"/>
          <w:color w:val="auto"/>
        </w:rPr>
      </w:pPr>
    </w:p>
    <w:p>
      <w:pPr>
        <w:ind w:left="120"/>
        <w:spacing w:after="0"/>
        <w:tabs>
          <w:tab w:leader="none" w:pos="700" w:val="left"/>
        </w:tabs>
        <w:rPr>
          <w:sz w:val="20"/>
          <w:szCs w:val="20"/>
          <w:color w:val="auto"/>
        </w:rPr>
      </w:pPr>
      <w:r>
        <w:rPr>
          <w:rFonts w:ascii="Arial" w:cs="Arial" w:eastAsia="Arial" w:hAnsi="Arial"/>
          <w:sz w:val="22"/>
          <w:szCs w:val="22"/>
          <w:color w:val="111111"/>
        </w:rPr>
        <w:t>1.2</w:t>
      </w:r>
      <w:r>
        <w:rPr>
          <w:sz w:val="20"/>
          <w:szCs w:val="20"/>
          <w:color w:val="auto"/>
        </w:rPr>
        <w:tab/>
      </w:r>
      <w:r>
        <w:rPr>
          <w:rFonts w:ascii="Arial" w:cs="Arial" w:eastAsia="Arial" w:hAnsi="Arial"/>
          <w:sz w:val="19"/>
          <w:szCs w:val="19"/>
          <w:u w:val="single" w:color="auto"/>
          <w:color w:val="111111"/>
        </w:rPr>
        <w:t>CONTRIBUTIONS ON BEHALF OF EMPLOYEES</w:t>
      </w:r>
    </w:p>
    <w:p>
      <w:pPr>
        <w:spacing w:after="0" w:line="200" w:lineRule="exact"/>
        <w:rPr>
          <w:sz w:val="20"/>
          <w:szCs w:val="20"/>
          <w:color w:val="auto"/>
        </w:rPr>
      </w:pPr>
    </w:p>
    <w:p>
      <w:pPr>
        <w:spacing w:after="0" w:line="329" w:lineRule="exact"/>
        <w:rPr>
          <w:sz w:val="20"/>
          <w:szCs w:val="20"/>
          <w:color w:val="auto"/>
        </w:rPr>
      </w:pPr>
    </w:p>
    <w:p>
      <w:pPr>
        <w:ind w:left="1700" w:hanging="639"/>
        <w:spacing w:after="0"/>
        <w:tabs>
          <w:tab w:leader="none" w:pos="1700" w:val="left"/>
        </w:tabs>
        <w:numPr>
          <w:ilvl w:val="0"/>
          <w:numId w:val="46"/>
        </w:numPr>
        <w:rPr>
          <w:rFonts w:ascii="Arial" w:cs="Arial" w:eastAsia="Arial" w:hAnsi="Arial"/>
          <w:sz w:val="19"/>
          <w:szCs w:val="19"/>
          <w:color w:val="111111"/>
        </w:rPr>
      </w:pPr>
      <w:r>
        <w:rPr>
          <w:rFonts w:ascii="Arial" w:cs="Arial" w:eastAsia="Arial" w:hAnsi="Arial"/>
          <w:sz w:val="19"/>
          <w:szCs w:val="19"/>
          <w:color w:val="111111"/>
        </w:rPr>
        <w:t xml:space="preserve">Deferral Contributions </w:t>
      </w:r>
      <w:r>
        <w:rPr>
          <w:rFonts w:ascii="Arial" w:cs="Arial" w:eastAsia="Arial" w:hAnsi="Arial"/>
          <w:sz w:val="19"/>
          <w:szCs w:val="19"/>
          <w:i w:val="1"/>
          <w:iCs w:val="1"/>
          <w:color w:val="111111"/>
        </w:rPr>
        <w:t>(Complete all that apply):</w:t>
      </w:r>
    </w:p>
    <w:p>
      <w:pPr>
        <w:spacing w:after="0" w:line="219" w:lineRule="exact"/>
        <w:rPr>
          <w:rFonts w:ascii="Arial" w:cs="Arial" w:eastAsia="Arial" w:hAnsi="Arial"/>
          <w:sz w:val="19"/>
          <w:szCs w:val="19"/>
          <w:color w:val="111111"/>
        </w:rPr>
      </w:pPr>
    </w:p>
    <w:p>
      <w:pPr>
        <w:ind w:left="2680" w:right="220" w:hanging="876"/>
        <w:spacing w:after="0" w:line="233" w:lineRule="exact"/>
        <w:tabs>
          <w:tab w:leader="none" w:pos="2122" w:val="left"/>
        </w:tabs>
        <w:numPr>
          <w:ilvl w:val="1"/>
          <w:numId w:val="46"/>
        </w:numPr>
        <w:rPr>
          <w:rFonts w:ascii="Arial" w:cs="Arial" w:eastAsia="Arial" w:hAnsi="Arial"/>
          <w:sz w:val="19"/>
          <w:szCs w:val="19"/>
          <w:color w:val="111111"/>
        </w:rPr>
      </w:pPr>
      <w:r>
        <w:rPr>
          <w:rFonts w:ascii="MS PGothic" w:cs="MS PGothic" w:eastAsia="MS PGothic" w:hAnsi="MS PGothic"/>
          <w:sz w:val="19"/>
          <w:szCs w:val="19"/>
          <w:color w:val="000000"/>
        </w:rPr>
        <w:t>☑</w:t>
      </w:r>
      <w:r>
        <w:rPr>
          <w:rFonts w:ascii="Arial" w:cs="Arial" w:eastAsia="Arial" w:hAnsi="Arial"/>
          <w:sz w:val="19"/>
          <w:szCs w:val="19"/>
          <w:color w:val="111111"/>
        </w:rPr>
        <w:t>Deferral Contributions. Subject to any minimum or maximum deferral amount provided below, the Employer shall make a Deferral Contribution in accordance with, and subject to, Section 4.01 on behalf of each Participant who has an executed salary reduction agreement in effect with the Employer for the applicable calendar year (or portion of the applicable calendar year).</w:t>
      </w:r>
    </w:p>
    <w:p>
      <w:pPr>
        <w:spacing w:after="0" w:line="311" w:lineRule="exact"/>
        <w:rPr>
          <w:sz w:val="20"/>
          <w:szCs w:val="20"/>
          <w:color w:val="auto"/>
        </w:rPr>
      </w:pPr>
    </w:p>
    <w:tbl>
      <w:tblPr>
        <w:tblLayout w:type="fixed"/>
        <w:tblInd w:w="790" w:type="dxa"/>
        <w:tblCellMar>
          <w:top w:w="0" w:type="dxa"/>
          <w:left w:w="0" w:type="dxa"/>
          <w:bottom w:w="0" w:type="dxa"/>
          <w:right w:w="0" w:type="dxa"/>
        </w:tblCellMar>
      </w:tblPr>
      <w:tr>
        <w:trPr>
          <w:trHeight w:val="223"/>
        </w:trPr>
        <w:tc>
          <w:tcPr>
            <w:tcW w:w="292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5"/>
                <w:szCs w:val="15"/>
                <w:color w:val="111111"/>
              </w:rPr>
              <w:t>Deferral Contributions</w:t>
            </w:r>
          </w:p>
        </w:tc>
        <w:tc>
          <w:tcPr>
            <w:tcW w:w="78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5"/>
                <w:szCs w:val="15"/>
                <w:color w:val="111111"/>
              </w:rPr>
              <w:t>Dollar Amount</w:t>
            </w:r>
          </w:p>
        </w:tc>
        <w:tc>
          <w:tcPr>
            <w:tcW w:w="740" w:type="dxa"/>
            <w:vAlign w:val="bottom"/>
            <w:tcBorders>
              <w:top w:val="single" w:sz="8" w:color="auto"/>
              <w:bottom w:val="single" w:sz="8" w:color="auto"/>
            </w:tcBorders>
          </w:tcPr>
          <w:p>
            <w:pPr>
              <w:spacing w:after="0"/>
              <w:rPr>
                <w:sz w:val="19"/>
                <w:szCs w:val="19"/>
                <w:color w:val="auto"/>
              </w:rPr>
            </w:pPr>
          </w:p>
        </w:tc>
        <w:tc>
          <w:tcPr>
            <w:tcW w:w="2220" w:type="dxa"/>
            <w:vAlign w:val="bottom"/>
            <w:tcBorders>
              <w:top w:val="single" w:sz="8" w:color="auto"/>
              <w:bottom w:val="single" w:sz="8" w:color="auto"/>
              <w:right w:val="single" w:sz="8" w:color="auto"/>
            </w:tcBorders>
            <w:gridSpan w:val="2"/>
          </w:tcPr>
          <w:p>
            <w:pPr>
              <w:jc w:val="right"/>
              <w:ind w:right="1341"/>
              <w:spacing w:after="0"/>
              <w:rPr>
                <w:sz w:val="20"/>
                <w:szCs w:val="20"/>
                <w:color w:val="auto"/>
              </w:rPr>
            </w:pPr>
            <w:r>
              <w:rPr>
                <w:rFonts w:ascii="Arial" w:cs="Arial" w:eastAsia="Arial" w:hAnsi="Arial"/>
                <w:sz w:val="15"/>
                <w:szCs w:val="15"/>
                <w:color w:val="242424"/>
              </w:rPr>
              <w:t>% Amount</w:t>
            </w:r>
          </w:p>
        </w:tc>
      </w:tr>
      <w:tr>
        <w:trPr>
          <w:trHeight w:val="212"/>
        </w:trPr>
        <w:tc>
          <w:tcPr>
            <w:tcW w:w="2920" w:type="dxa"/>
            <w:vAlign w:val="bottom"/>
            <w:tcBorders>
              <w:left w:val="single" w:sz="8" w:color="auto"/>
              <w:bottom w:val="single" w:sz="8" w:color="auto"/>
              <w:right w:val="single" w:sz="8" w:color="auto"/>
            </w:tcBorders>
          </w:tcPr>
          <w:p>
            <w:pPr>
              <w:ind w:left="180"/>
              <w:spacing w:after="0" w:line="168" w:lineRule="exact"/>
              <w:rPr>
                <w:sz w:val="20"/>
                <w:szCs w:val="20"/>
                <w:color w:val="auto"/>
              </w:rPr>
            </w:pPr>
            <w:r>
              <w:rPr>
                <w:rFonts w:ascii="Arial" w:cs="Arial" w:eastAsia="Arial" w:hAnsi="Arial"/>
                <w:sz w:val="15"/>
                <w:szCs w:val="15"/>
                <w:color w:val="111111"/>
              </w:rPr>
              <w:t>Type of Compensation</w:t>
            </w: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111111"/>
              </w:rPr>
              <w:t>Min</w:t>
            </w:r>
          </w:p>
        </w:tc>
        <w:tc>
          <w:tcPr>
            <w:tcW w:w="8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5"/>
                <w:szCs w:val="15"/>
                <w:color w:val="111111"/>
              </w:rPr>
              <w:t>Max</w:t>
            </w: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111111"/>
              </w:rPr>
              <w:t>Min</w:t>
            </w:r>
          </w:p>
        </w:tc>
        <w:tc>
          <w:tcPr>
            <w:tcW w:w="6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right"/>
              <w:ind w:right="801"/>
              <w:spacing w:after="0"/>
              <w:rPr>
                <w:sz w:val="20"/>
                <w:szCs w:val="20"/>
                <w:color w:val="auto"/>
              </w:rPr>
            </w:pPr>
            <w:r>
              <w:rPr>
                <w:rFonts w:ascii="Arial" w:cs="Arial" w:eastAsia="Arial" w:hAnsi="Arial"/>
                <w:sz w:val="15"/>
                <w:szCs w:val="15"/>
                <w:color w:val="111111"/>
              </w:rPr>
              <w:t>Max</w:t>
            </w:r>
          </w:p>
        </w:tc>
      </w:tr>
      <w:tr>
        <w:trPr>
          <w:trHeight w:val="221"/>
        </w:trPr>
        <w:tc>
          <w:tcPr>
            <w:tcW w:w="29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5"/>
                <w:szCs w:val="15"/>
                <w:color w:val="111111"/>
              </w:rPr>
              <w:t>Compensation</w:t>
            </w:r>
          </w:p>
        </w:tc>
        <w:tc>
          <w:tcPr>
            <w:tcW w:w="78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spacing w:after="0"/>
              <w:rPr>
                <w:sz w:val="19"/>
                <w:szCs w:val="19"/>
                <w:color w:val="auto"/>
              </w:rPr>
            </w:pPr>
          </w:p>
        </w:tc>
        <w:tc>
          <w:tcPr>
            <w:tcW w:w="740" w:type="dxa"/>
            <w:vAlign w:val="bottom"/>
          </w:tcPr>
          <w:p>
            <w:pPr>
              <w:jc w:val="right"/>
              <w:ind w:right="101"/>
              <w:spacing w:after="0"/>
              <w:rPr>
                <w:sz w:val="20"/>
                <w:szCs w:val="20"/>
                <w:color w:val="auto"/>
              </w:rPr>
            </w:pPr>
            <w:r>
              <w:rPr>
                <w:rFonts w:ascii="Arial" w:cs="Arial" w:eastAsia="Arial" w:hAnsi="Arial"/>
                <w:sz w:val="16"/>
                <w:szCs w:val="16"/>
                <w:color w:val="111111"/>
              </w:rPr>
              <w:t>0</w:t>
            </w:r>
          </w:p>
        </w:tc>
        <w:tc>
          <w:tcPr>
            <w:tcW w:w="60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jc w:val="right"/>
              <w:ind w:right="781"/>
              <w:spacing w:after="0"/>
              <w:rPr>
                <w:sz w:val="20"/>
                <w:szCs w:val="20"/>
                <w:color w:val="auto"/>
              </w:rPr>
            </w:pPr>
            <w:r>
              <w:rPr>
                <w:rFonts w:ascii="Arial" w:cs="Arial" w:eastAsia="Arial" w:hAnsi="Arial"/>
                <w:sz w:val="16"/>
                <w:szCs w:val="16"/>
                <w:color w:val="111111"/>
              </w:rPr>
              <w:t>100</w:t>
            </w:r>
          </w:p>
        </w:tc>
      </w:tr>
      <w:tr>
        <w:trPr>
          <w:trHeight w:val="47"/>
        </w:trPr>
        <w:tc>
          <w:tcPr>
            <w:tcW w:w="2920" w:type="dxa"/>
            <w:vAlign w:val="bottom"/>
            <w:tcBorders>
              <w:left w:val="single" w:sz="8" w:color="auto"/>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r>
    </w:tbl>
    <w:p>
      <w:pPr>
        <w:spacing w:after="0" w:line="396" w:lineRule="exact"/>
        <w:rPr>
          <w:sz w:val="20"/>
          <w:szCs w:val="20"/>
          <w:color w:val="auto"/>
        </w:rPr>
      </w:pPr>
    </w:p>
    <w:p>
      <w:pPr>
        <w:ind w:left="1740" w:right="280" w:firstLine="54"/>
        <w:spacing w:after="0" w:line="291" w:lineRule="auto"/>
        <w:rPr>
          <w:sz w:val="20"/>
          <w:szCs w:val="20"/>
          <w:color w:val="auto"/>
        </w:rPr>
      </w:pPr>
      <w:r>
        <w:rPr>
          <w:rFonts w:ascii="Arial" w:cs="Arial" w:eastAsia="Arial" w:hAnsi="Arial"/>
          <w:sz w:val="19"/>
          <w:szCs w:val="19"/>
          <w:color w:val="111111"/>
        </w:rPr>
        <w:t xml:space="preserve">(Note: With respect to each type of Compensation, list the minimum and maximum dollar amounts </w:t>
      </w:r>
      <w:r>
        <w:rPr>
          <w:rFonts w:ascii="Arial" w:cs="Arial" w:eastAsia="Arial" w:hAnsi="Arial"/>
          <w:sz w:val="19"/>
          <w:szCs w:val="19"/>
          <w:u w:val="single" w:color="auto"/>
          <w:color w:val="111111"/>
        </w:rPr>
        <w:t>or</w:t>
      </w:r>
      <w:r>
        <w:rPr>
          <w:rFonts w:ascii="Arial" w:cs="Arial" w:eastAsia="Arial" w:hAnsi="Arial"/>
          <w:sz w:val="19"/>
          <w:szCs w:val="19"/>
          <w:color w:val="111111"/>
        </w:rPr>
        <w:t xml:space="preserve"> percentages as whole dollar amounts or whole number percentages.)</w:t>
      </w:r>
    </w:p>
    <w:p>
      <w:pPr>
        <w:spacing w:after="0" w:line="110" w:lineRule="exact"/>
        <w:rPr>
          <w:sz w:val="20"/>
          <w:szCs w:val="20"/>
          <w:color w:val="auto"/>
        </w:rPr>
      </w:pPr>
    </w:p>
    <w:p>
      <w:pPr>
        <w:ind w:left="2700" w:hanging="896"/>
        <w:spacing w:after="0" w:line="244" w:lineRule="exact"/>
        <w:tabs>
          <w:tab w:leader="none" w:pos="2142" w:val="left"/>
        </w:tabs>
        <w:numPr>
          <w:ilvl w:val="0"/>
          <w:numId w:val="47"/>
        </w:numPr>
        <w:rPr>
          <w:rFonts w:ascii="Arial" w:cs="Arial" w:eastAsia="Arial" w:hAnsi="Arial"/>
          <w:sz w:val="19"/>
          <w:szCs w:val="19"/>
          <w:color w:val="111111"/>
        </w:rPr>
      </w:pPr>
      <w:r>
        <w:rPr>
          <w:rFonts w:ascii="MS PGothic" w:cs="MS PGothic" w:eastAsia="MS PGothic" w:hAnsi="MS PGothic"/>
          <w:sz w:val="19"/>
          <w:szCs w:val="19"/>
          <w:color w:val="000000"/>
        </w:rPr>
        <w:t>☑</w:t>
      </w:r>
      <w:r>
        <w:rPr>
          <w:rFonts w:ascii="Arial" w:cs="Arial" w:eastAsia="Arial" w:hAnsi="Arial"/>
          <w:sz w:val="19"/>
          <w:szCs w:val="19"/>
          <w:color w:val="111111"/>
        </w:rPr>
        <w:t xml:space="preserve"> Deferral Contributions with respect to Bonus Compensation only. The Employer requires Participants to enter into a special salary reduction agreement to make Deferral Contributions with respect to one or more Bonuses, subject to minimum and maximum deferral limitations, as provided in the table below.</w:t>
      </w:r>
    </w:p>
    <w:p>
      <w:pPr>
        <w:spacing w:after="0" w:line="200" w:lineRule="exact"/>
        <w:rPr>
          <w:sz w:val="20"/>
          <w:szCs w:val="20"/>
          <w:color w:val="auto"/>
        </w:rPr>
      </w:pPr>
    </w:p>
    <w:p>
      <w:pPr>
        <w:spacing w:after="0" w:line="294" w:lineRule="exact"/>
        <w:rPr>
          <w:sz w:val="20"/>
          <w:szCs w:val="20"/>
          <w:color w:val="auto"/>
        </w:rPr>
      </w:pPr>
    </w:p>
    <w:tbl>
      <w:tblPr>
        <w:tblLayout w:type="fixed"/>
        <w:tblInd w:w="730" w:type="dxa"/>
        <w:tblCellMar>
          <w:top w:w="0" w:type="dxa"/>
          <w:left w:w="0" w:type="dxa"/>
          <w:bottom w:w="0" w:type="dxa"/>
          <w:right w:w="0" w:type="dxa"/>
        </w:tblCellMar>
      </w:tblPr>
      <w:tr>
        <w:trPr>
          <w:trHeight w:val="226"/>
        </w:trPr>
        <w:tc>
          <w:tcPr>
            <w:tcW w:w="2680" w:type="dxa"/>
            <w:vAlign w:val="bottom"/>
            <w:tcBorders>
              <w:top w:val="single" w:sz="8" w:color="auto"/>
              <w:left w:val="single" w:sz="8" w:color="auto"/>
              <w:right w:val="single" w:sz="8" w:color="auto"/>
            </w:tcBorders>
          </w:tcPr>
          <w:p>
            <w:pPr>
              <w:spacing w:after="0"/>
              <w:rPr>
                <w:sz w:val="19"/>
                <w:szCs w:val="19"/>
                <w:color w:val="auto"/>
              </w:rPr>
            </w:pPr>
          </w:p>
        </w:tc>
        <w:tc>
          <w:tcPr>
            <w:tcW w:w="1740" w:type="dxa"/>
            <w:vAlign w:val="bottom"/>
            <w:tcBorders>
              <w:top w:val="single" w:sz="8" w:color="auto"/>
              <w:bottom w:val="single" w:sz="8" w:color="auto"/>
            </w:tcBorders>
            <w:gridSpan w:val="2"/>
          </w:tcPr>
          <w:p>
            <w:pPr>
              <w:ind w:left="880"/>
              <w:spacing w:after="0"/>
              <w:rPr>
                <w:sz w:val="20"/>
                <w:szCs w:val="20"/>
                <w:color w:val="auto"/>
              </w:rPr>
            </w:pPr>
            <w:r>
              <w:rPr>
                <w:rFonts w:ascii="Arial" w:cs="Arial" w:eastAsia="Arial" w:hAnsi="Arial"/>
                <w:sz w:val="15"/>
                <w:szCs w:val="15"/>
                <w:color w:val="111111"/>
              </w:rPr>
              <w:t>Treated As</w:t>
            </w:r>
          </w:p>
        </w:tc>
        <w:tc>
          <w:tcPr>
            <w:tcW w:w="1320" w:type="dxa"/>
            <w:vAlign w:val="bottom"/>
            <w:tcBorders>
              <w:top w:val="single" w:sz="8" w:color="auto"/>
              <w:bottom w:val="single" w:sz="8" w:color="auto"/>
              <w:right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5"/>
                <w:szCs w:val="15"/>
                <w:color w:val="111111"/>
                <w:w w:val="96"/>
              </w:rPr>
              <w:t>Dollar Amount</w:t>
            </w:r>
          </w:p>
        </w:tc>
        <w:tc>
          <w:tcPr>
            <w:tcW w:w="860" w:type="dxa"/>
            <w:vAlign w:val="bottom"/>
            <w:tcBorders>
              <w:top w:val="single" w:sz="8" w:color="auto"/>
              <w:bottom w:val="single" w:sz="8" w:color="auto"/>
              <w:right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ind w:left="360"/>
              <w:spacing w:after="0"/>
              <w:rPr>
                <w:sz w:val="20"/>
                <w:szCs w:val="20"/>
                <w:color w:val="auto"/>
              </w:rPr>
            </w:pPr>
            <w:r>
              <w:rPr>
                <w:rFonts w:ascii="Arial" w:cs="Arial" w:eastAsia="Arial" w:hAnsi="Arial"/>
                <w:sz w:val="15"/>
                <w:szCs w:val="15"/>
                <w:color w:val="242424"/>
                <w:w w:val="95"/>
              </w:rPr>
              <w:t>% Amount</w:t>
            </w:r>
          </w:p>
        </w:tc>
        <w:tc>
          <w:tcPr>
            <w:tcW w:w="920" w:type="dxa"/>
            <w:vAlign w:val="bottom"/>
            <w:tcBorders>
              <w:top w:val="single" w:sz="8" w:color="auto"/>
              <w:bottom w:val="single" w:sz="8" w:color="auto"/>
              <w:right w:val="single" w:sz="8" w:color="auto"/>
            </w:tcBorders>
          </w:tcPr>
          <w:p>
            <w:pPr>
              <w:spacing w:after="0"/>
              <w:rPr>
                <w:sz w:val="19"/>
                <w:szCs w:val="19"/>
                <w:color w:val="auto"/>
              </w:rPr>
            </w:pPr>
          </w:p>
        </w:tc>
      </w:tr>
      <w:tr>
        <w:trPr>
          <w:trHeight w:val="200"/>
        </w:trPr>
        <w:tc>
          <w:tcPr>
            <w:tcW w:w="2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5"/>
                <w:szCs w:val="15"/>
                <w:color w:val="111111"/>
              </w:rPr>
              <w:t>Deferral Contributions</w:t>
            </w:r>
          </w:p>
        </w:tc>
        <w:tc>
          <w:tcPr>
            <w:tcW w:w="1480" w:type="dxa"/>
            <w:vAlign w:val="bottom"/>
            <w:tcBorders>
              <w:right w:val="single" w:sz="8" w:color="auto"/>
            </w:tcBorders>
          </w:tcPr>
          <w:p>
            <w:pPr>
              <w:ind w:left="440"/>
              <w:spacing w:after="0"/>
              <w:rPr>
                <w:sz w:val="20"/>
                <w:szCs w:val="20"/>
                <w:color w:val="auto"/>
              </w:rPr>
            </w:pPr>
            <w:r>
              <w:rPr>
                <w:rFonts w:ascii="Arial" w:cs="Arial" w:eastAsia="Arial" w:hAnsi="Arial"/>
                <w:sz w:val="15"/>
                <w:szCs w:val="15"/>
                <w:color w:val="111111"/>
              </w:rPr>
              <w:t>Performance</w:t>
            </w:r>
          </w:p>
        </w:tc>
        <w:tc>
          <w:tcPr>
            <w:tcW w:w="260" w:type="dxa"/>
            <w:vAlign w:val="bottom"/>
          </w:tcPr>
          <w:p>
            <w:pPr>
              <w:spacing w:after="0"/>
              <w:rPr>
                <w:sz w:val="17"/>
                <w:szCs w:val="17"/>
                <w:color w:val="auto"/>
              </w:rPr>
            </w:pPr>
          </w:p>
        </w:tc>
        <w:tc>
          <w:tcPr>
            <w:tcW w:w="132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111111"/>
              </w:rPr>
              <w:t>Non-</w:t>
            </w:r>
          </w:p>
        </w:tc>
        <w:tc>
          <w:tcPr>
            <w:tcW w:w="108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r>
      <w:tr>
        <w:trPr>
          <w:trHeight w:val="162"/>
        </w:trPr>
        <w:tc>
          <w:tcPr>
            <w:tcW w:w="2680" w:type="dxa"/>
            <w:vAlign w:val="bottom"/>
            <w:tcBorders>
              <w:left w:val="single" w:sz="8" w:color="auto"/>
              <w:right w:val="single" w:sz="8" w:color="auto"/>
            </w:tcBorders>
          </w:tcPr>
          <w:p>
            <w:pPr>
              <w:ind w:left="160"/>
              <w:spacing w:after="0" w:line="162" w:lineRule="exact"/>
              <w:rPr>
                <w:sz w:val="20"/>
                <w:szCs w:val="20"/>
                <w:color w:val="auto"/>
              </w:rPr>
            </w:pPr>
            <w:r>
              <w:rPr>
                <w:rFonts w:ascii="Arial" w:cs="Arial" w:eastAsia="Arial" w:hAnsi="Arial"/>
                <w:sz w:val="15"/>
                <w:szCs w:val="15"/>
                <w:color w:val="111111"/>
              </w:rPr>
              <w:t>Type of Bonus</w:t>
            </w:r>
          </w:p>
        </w:tc>
        <w:tc>
          <w:tcPr>
            <w:tcW w:w="1480" w:type="dxa"/>
            <w:vAlign w:val="bottom"/>
            <w:tcBorders>
              <w:right w:val="single" w:sz="8" w:color="auto"/>
            </w:tcBorders>
          </w:tcPr>
          <w:p>
            <w:pPr>
              <w:ind w:left="440"/>
              <w:spacing w:after="0" w:line="162" w:lineRule="exact"/>
              <w:rPr>
                <w:sz w:val="20"/>
                <w:szCs w:val="20"/>
                <w:color w:val="auto"/>
              </w:rPr>
            </w:pPr>
            <w:r>
              <w:rPr>
                <w:rFonts w:ascii="Arial" w:cs="Arial" w:eastAsia="Arial" w:hAnsi="Arial"/>
                <w:sz w:val="15"/>
                <w:szCs w:val="15"/>
                <w:color w:val="111111"/>
              </w:rPr>
              <w:t>Based</w:t>
            </w:r>
          </w:p>
        </w:tc>
        <w:tc>
          <w:tcPr>
            <w:tcW w:w="260" w:type="dxa"/>
            <w:vAlign w:val="bottom"/>
          </w:tcPr>
          <w:p>
            <w:pPr>
              <w:spacing w:after="0"/>
              <w:rPr>
                <w:sz w:val="14"/>
                <w:szCs w:val="14"/>
                <w:color w:val="auto"/>
              </w:rPr>
            </w:pPr>
          </w:p>
        </w:tc>
        <w:tc>
          <w:tcPr>
            <w:tcW w:w="1320" w:type="dxa"/>
            <w:vAlign w:val="bottom"/>
            <w:tcBorders>
              <w:right w:val="single" w:sz="8" w:color="auto"/>
            </w:tcBorders>
          </w:tcPr>
          <w:p>
            <w:pPr>
              <w:ind w:left="180"/>
              <w:spacing w:after="0" w:line="162" w:lineRule="exact"/>
              <w:rPr>
                <w:sz w:val="20"/>
                <w:szCs w:val="20"/>
                <w:color w:val="auto"/>
              </w:rPr>
            </w:pPr>
            <w:r>
              <w:rPr>
                <w:rFonts w:ascii="Arial" w:cs="Arial" w:eastAsia="Arial" w:hAnsi="Arial"/>
                <w:sz w:val="15"/>
                <w:szCs w:val="15"/>
                <w:color w:val="111111"/>
              </w:rPr>
              <w:t>Performance</w:t>
            </w:r>
          </w:p>
        </w:tc>
        <w:tc>
          <w:tcPr>
            <w:tcW w:w="1080" w:type="dxa"/>
            <w:vAlign w:val="bottom"/>
            <w:tcBorders>
              <w:right w:val="single" w:sz="8" w:color="auto"/>
            </w:tcBorders>
          </w:tcPr>
          <w:p>
            <w:pPr>
              <w:ind w:left="200"/>
              <w:spacing w:after="0" w:line="162" w:lineRule="exact"/>
              <w:rPr>
                <w:sz w:val="20"/>
                <w:szCs w:val="20"/>
                <w:color w:val="auto"/>
              </w:rPr>
            </w:pPr>
            <w:r>
              <w:rPr>
                <w:rFonts w:ascii="Arial" w:cs="Arial" w:eastAsia="Arial" w:hAnsi="Arial"/>
                <w:sz w:val="15"/>
                <w:szCs w:val="15"/>
                <w:color w:val="111111"/>
              </w:rPr>
              <w:t>Min</w:t>
            </w:r>
          </w:p>
        </w:tc>
        <w:tc>
          <w:tcPr>
            <w:tcW w:w="220" w:type="dxa"/>
            <w:vAlign w:val="bottom"/>
          </w:tcPr>
          <w:p>
            <w:pPr>
              <w:spacing w:after="0"/>
              <w:rPr>
                <w:sz w:val="14"/>
                <w:szCs w:val="14"/>
                <w:color w:val="auto"/>
              </w:rPr>
            </w:pPr>
          </w:p>
        </w:tc>
        <w:tc>
          <w:tcPr>
            <w:tcW w:w="86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5"/>
                <w:szCs w:val="15"/>
                <w:color w:val="111111"/>
              </w:rPr>
              <w:t>Max</w:t>
            </w:r>
          </w:p>
        </w:tc>
        <w:tc>
          <w:tcPr>
            <w:tcW w:w="880" w:type="dxa"/>
            <w:vAlign w:val="bottom"/>
            <w:tcBorders>
              <w:right w:val="single" w:sz="8" w:color="auto"/>
            </w:tcBorders>
          </w:tcPr>
          <w:p>
            <w:pPr>
              <w:jc w:val="center"/>
              <w:ind w:right="302"/>
              <w:spacing w:after="0" w:line="162" w:lineRule="exact"/>
              <w:rPr>
                <w:sz w:val="20"/>
                <w:szCs w:val="20"/>
                <w:color w:val="auto"/>
              </w:rPr>
            </w:pPr>
            <w:r>
              <w:rPr>
                <w:rFonts w:ascii="Arial" w:cs="Arial" w:eastAsia="Arial" w:hAnsi="Arial"/>
                <w:sz w:val="15"/>
                <w:szCs w:val="15"/>
                <w:color w:val="111111"/>
              </w:rPr>
              <w:t>Min</w:t>
            </w:r>
          </w:p>
        </w:tc>
        <w:tc>
          <w:tcPr>
            <w:tcW w:w="160" w:type="dxa"/>
            <w:vAlign w:val="bottom"/>
          </w:tcPr>
          <w:p>
            <w:pPr>
              <w:spacing w:after="0"/>
              <w:rPr>
                <w:sz w:val="14"/>
                <w:szCs w:val="14"/>
                <w:color w:val="auto"/>
              </w:rPr>
            </w:pPr>
          </w:p>
        </w:tc>
        <w:tc>
          <w:tcPr>
            <w:tcW w:w="920" w:type="dxa"/>
            <w:vAlign w:val="bottom"/>
            <w:tcBorders>
              <w:right w:val="single" w:sz="8" w:color="auto"/>
            </w:tcBorders>
          </w:tcPr>
          <w:p>
            <w:pPr>
              <w:jc w:val="right"/>
              <w:ind w:right="541"/>
              <w:spacing w:after="0" w:line="162" w:lineRule="exact"/>
              <w:rPr>
                <w:sz w:val="20"/>
                <w:szCs w:val="20"/>
                <w:color w:val="auto"/>
              </w:rPr>
            </w:pPr>
            <w:r>
              <w:rPr>
                <w:rFonts w:ascii="Arial" w:cs="Arial" w:eastAsia="Arial" w:hAnsi="Arial"/>
                <w:sz w:val="15"/>
                <w:szCs w:val="15"/>
                <w:color w:val="111111"/>
                <w:w w:val="98"/>
              </w:rPr>
              <w:t>Max</w:t>
            </w:r>
          </w:p>
        </w:tc>
      </w:tr>
      <w:tr>
        <w:trPr>
          <w:trHeight w:val="176"/>
        </w:trPr>
        <w:tc>
          <w:tcPr>
            <w:tcW w:w="2680" w:type="dxa"/>
            <w:vAlign w:val="bottom"/>
            <w:tcBorders>
              <w:left w:val="single" w:sz="8" w:color="auto"/>
              <w:bottom w:val="single" w:sz="8" w:color="auto"/>
              <w:right w:val="single" w:sz="8" w:color="auto"/>
            </w:tcBorders>
          </w:tcPr>
          <w:p>
            <w:pPr>
              <w:spacing w:after="0"/>
              <w:rPr>
                <w:sz w:val="15"/>
                <w:szCs w:val="15"/>
                <w:color w:val="auto"/>
              </w:rPr>
            </w:pPr>
          </w:p>
        </w:tc>
        <w:tc>
          <w:tcPr>
            <w:tcW w:w="1480" w:type="dxa"/>
            <w:vAlign w:val="bottom"/>
            <w:tcBorders>
              <w:bottom w:val="single" w:sz="8" w:color="auto"/>
              <w:right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5"/>
                <w:szCs w:val="15"/>
                <w:color w:val="111111"/>
              </w:rPr>
              <w:t>Based</w:t>
            </w:r>
          </w:p>
        </w:tc>
        <w:tc>
          <w:tcPr>
            <w:tcW w:w="108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r>
      <w:tr>
        <w:trPr>
          <w:trHeight w:val="217"/>
        </w:trPr>
        <w:tc>
          <w:tcPr>
            <w:tcW w:w="2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5"/>
                <w:szCs w:val="15"/>
                <w:color w:val="111111"/>
              </w:rPr>
              <w:t>Bonus Compensation</w:t>
            </w:r>
          </w:p>
        </w:tc>
        <w:tc>
          <w:tcPr>
            <w:tcW w:w="14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Borders>
              <w:right w:val="single" w:sz="8" w:color="auto"/>
            </w:tcBorders>
          </w:tcPr>
          <w:p>
            <w:pPr>
              <w:ind w:left="180"/>
              <w:spacing w:after="0"/>
              <w:rPr>
                <w:sz w:val="20"/>
                <w:szCs w:val="20"/>
                <w:color w:val="auto"/>
              </w:rPr>
            </w:pPr>
            <w:r>
              <w:rPr>
                <w:rFonts w:ascii="Arial" w:cs="Arial" w:eastAsia="Arial" w:hAnsi="Arial"/>
                <w:sz w:val="15"/>
                <w:szCs w:val="15"/>
                <w:color w:val="111111"/>
              </w:rPr>
              <w:t>Yes</w:t>
            </w:r>
          </w:p>
        </w:tc>
        <w:tc>
          <w:tcPr>
            <w:tcW w:w="10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jc w:val="right"/>
              <w:ind w:right="522"/>
              <w:spacing w:after="0"/>
              <w:rPr>
                <w:sz w:val="20"/>
                <w:szCs w:val="20"/>
                <w:color w:val="auto"/>
              </w:rPr>
            </w:pPr>
            <w:r>
              <w:rPr>
                <w:rFonts w:ascii="Arial" w:cs="Arial" w:eastAsia="Arial" w:hAnsi="Arial"/>
                <w:sz w:val="16"/>
                <w:szCs w:val="16"/>
                <w:color w:val="111111"/>
              </w:rPr>
              <w:t>0</w:t>
            </w:r>
          </w:p>
        </w:tc>
        <w:tc>
          <w:tcPr>
            <w:tcW w:w="160" w:type="dxa"/>
            <w:vAlign w:val="bottom"/>
          </w:tcPr>
          <w:p>
            <w:pPr>
              <w:spacing w:after="0"/>
              <w:rPr>
                <w:sz w:val="18"/>
                <w:szCs w:val="18"/>
                <w:color w:val="auto"/>
              </w:rPr>
            </w:pPr>
          </w:p>
        </w:tc>
        <w:tc>
          <w:tcPr>
            <w:tcW w:w="920" w:type="dxa"/>
            <w:vAlign w:val="bottom"/>
            <w:tcBorders>
              <w:right w:val="single" w:sz="8" w:color="auto"/>
            </w:tcBorders>
          </w:tcPr>
          <w:p>
            <w:pPr>
              <w:jc w:val="right"/>
              <w:ind w:right="521"/>
              <w:spacing w:after="0"/>
              <w:rPr>
                <w:sz w:val="20"/>
                <w:szCs w:val="20"/>
                <w:color w:val="auto"/>
              </w:rPr>
            </w:pPr>
            <w:r>
              <w:rPr>
                <w:rFonts w:ascii="Arial" w:cs="Arial" w:eastAsia="Arial" w:hAnsi="Arial"/>
                <w:sz w:val="16"/>
                <w:szCs w:val="16"/>
                <w:color w:val="111111"/>
              </w:rPr>
              <w:t>100</w:t>
            </w:r>
          </w:p>
        </w:tc>
      </w:tr>
      <w:tr>
        <w:trPr>
          <w:trHeight w:val="47"/>
        </w:trPr>
        <w:tc>
          <w:tcPr>
            <w:tcW w:w="268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r>
    </w:tbl>
    <w:p>
      <w:pPr>
        <w:spacing w:after="0" w:line="221" w:lineRule="exact"/>
        <w:rPr>
          <w:sz w:val="20"/>
          <w:szCs w:val="20"/>
          <w:color w:val="auto"/>
        </w:rPr>
      </w:pPr>
    </w:p>
    <w:p>
      <w:pPr>
        <w:ind w:left="1760" w:right="20"/>
        <w:spacing w:after="0" w:line="279" w:lineRule="auto"/>
        <w:rPr>
          <w:sz w:val="20"/>
          <w:szCs w:val="20"/>
          <w:color w:val="auto"/>
        </w:rPr>
      </w:pPr>
      <w:r>
        <w:rPr>
          <w:rFonts w:ascii="Arial" w:cs="Arial" w:eastAsia="Arial" w:hAnsi="Arial"/>
          <w:sz w:val="19"/>
          <w:szCs w:val="19"/>
          <w:color w:val="111111"/>
        </w:rPr>
        <w:t>(Note: With respect to each type of Bonus, list the minimum and maximum dollar amounts or percentages as whole dollar amounts or whole number percentages. In the event a bonus identified as a Performance-based Bonus above does not constitute a Performance-based</w:t>
      </w:r>
    </w:p>
    <w:p>
      <w:pPr>
        <w:sectPr>
          <w:pgSz w:w="11900" w:h="16838" w:orient="portrait"/>
          <w:cols w:equalWidth="0" w:num="1">
            <w:col w:w="11420"/>
          </w:cols>
          <w:pgMar w:left="240" w:top="700" w:right="2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line="267" w:lineRule="auto"/>
        <w:rPr>
          <w:sz w:val="20"/>
          <w:szCs w:val="20"/>
          <w:color w:val="auto"/>
        </w:rPr>
      </w:pPr>
      <w:r>
        <w:rPr>
          <w:rFonts w:ascii="Arial" w:cs="Arial" w:eastAsia="Arial" w:hAnsi="Arial"/>
          <w:sz w:val="17"/>
          <w:szCs w:val="17"/>
          <w:color w:val="0E0E0E"/>
        </w:rPr>
        <w:t>Plan Number: 443 1</w:t>
      </w:r>
      <w:r>
        <w:rPr>
          <w:rFonts w:ascii="Arial" w:cs="Arial" w:eastAsia="Arial" w:hAnsi="Arial"/>
          <w:sz w:val="17"/>
          <w:szCs w:val="17"/>
          <w:color w:val="424242"/>
        </w:rPr>
        <w:t>7</w:t>
      </w:r>
      <w:r>
        <w:rPr>
          <w:rFonts w:ascii="Arial" w:cs="Arial" w:eastAsia="Arial" w:hAnsi="Arial"/>
          <w:sz w:val="17"/>
          <w:szCs w:val="17"/>
          <w:color w:val="0E0E0E"/>
        </w:rPr>
        <w:t xml:space="preserve"> (07/2007) 10</w:t>
      </w:r>
      <w:r>
        <w:rPr>
          <w:rFonts w:ascii="Arial" w:cs="Arial" w:eastAsia="Arial" w:hAnsi="Arial"/>
          <w:sz w:val="17"/>
          <w:szCs w:val="17"/>
          <w:color w:val="6B6B6B"/>
        </w:rPr>
        <w:t>/</w:t>
      </w:r>
      <w:r>
        <w:rPr>
          <w:rFonts w:ascii="Arial" w:cs="Arial" w:eastAsia="Arial" w:hAnsi="Arial"/>
          <w:sz w:val="17"/>
          <w:szCs w:val="17"/>
          <w:color w:val="0E0E0E"/>
        </w:rPr>
        <w:t>8</w:t>
      </w:r>
      <w:r>
        <w:rPr>
          <w:rFonts w:ascii="Arial" w:cs="Arial" w:eastAsia="Arial" w:hAnsi="Arial"/>
          <w:sz w:val="17"/>
          <w:szCs w:val="17"/>
          <w:color w:val="6B6B6B"/>
        </w:rPr>
        <w:t>/</w:t>
      </w:r>
      <w:r>
        <w:rPr>
          <w:rFonts w:ascii="Arial" w:cs="Arial" w:eastAsia="Arial" w:hAnsi="Arial"/>
          <w:sz w:val="17"/>
          <w:szCs w:val="17"/>
          <w:color w:val="0E0E0E"/>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0E0E0E"/>
        </w:rPr>
        <w:t>ECM NQ 2007 AA</w:t>
      </w:r>
    </w:p>
    <w:p>
      <w:pPr>
        <w:spacing w:after="0" w:line="261" w:lineRule="exact"/>
        <w:rPr>
          <w:sz w:val="20"/>
          <w:szCs w:val="20"/>
          <w:color w:val="auto"/>
        </w:rPr>
      </w:pPr>
    </w:p>
    <w:p>
      <w:pPr>
        <w:sectPr>
          <w:pgSz w:w="11900" w:h="16838" w:orient="portrait"/>
          <w:cols w:equalWidth="0" w:num="2">
            <w:col w:w="1720" w:space="140"/>
            <w:col w:w="9560"/>
          </w:cols>
          <w:pgMar w:left="240" w:top="700" w:right="239" w:bottom="1440" w:gutter="0" w:footer="0" w:header="0"/>
          <w:type w:val="continuous"/>
        </w:sectPr>
      </w:pPr>
    </w:p>
    <w:p>
      <w:pPr>
        <w:ind w:left="4640" w:hanging="175"/>
        <w:spacing w:after="0"/>
        <w:tabs>
          <w:tab w:leader="none" w:pos="4640" w:val="left"/>
        </w:tabs>
        <w:numPr>
          <w:ilvl w:val="0"/>
          <w:numId w:val="48"/>
        </w:numPr>
        <w:rPr>
          <w:rFonts w:ascii="Arial" w:cs="Arial" w:eastAsia="Arial" w:hAnsi="Arial"/>
          <w:sz w:val="16"/>
          <w:szCs w:val="16"/>
          <w:color w:val="0E0E0E"/>
        </w:rPr>
      </w:pPr>
      <w:r>
        <w:rPr>
          <w:rFonts w:ascii="Arial" w:cs="Arial" w:eastAsia="Arial" w:hAnsi="Arial"/>
          <w:sz w:val="15"/>
          <w:szCs w:val="15"/>
          <w:color w:val="0E0E0E"/>
        </w:rPr>
        <w:t>2007 Fidelity Management &amp; Research Company</w:t>
      </w:r>
    </w:p>
    <w:p>
      <w:pPr>
        <w:sectPr>
          <w:pgSz w:w="11900" w:h="16838" w:orient="portrait"/>
          <w:cols w:equalWidth="0" w:num="1">
            <w:col w:w="11420"/>
          </w:cols>
          <w:pgMar w:left="240" w:top="700" w:right="239" w:bottom="1440" w:gutter="0" w:footer="0" w:header="0"/>
          <w:type w:val="continuous"/>
        </w:sectPr>
      </w:pPr>
    </w:p>
    <w:bookmarkStart w:id="116" w:name="page117"/>
    <w:bookmarkEnd w:id="116"/>
    <w:p>
      <w:pPr>
        <w:ind w:left="1680" w:right="80"/>
        <w:spacing w:after="0" w:line="275" w:lineRule="auto"/>
        <w:rPr>
          <w:sz w:val="20"/>
          <w:szCs w:val="20"/>
          <w:color w:val="auto"/>
        </w:rPr>
      </w:pPr>
      <w:r>
        <w:rPr>
          <w:rFonts w:ascii="Arial" w:cs="Arial" w:eastAsia="Arial" w:hAnsi="Arial"/>
          <w:sz w:val="20"/>
          <w:szCs w:val="20"/>
          <w:color w:val="0C0C0C"/>
        </w:rPr>
        <w:t>Bonus with respect to any Participant</w:t>
      </w:r>
      <w:r>
        <w:rPr>
          <w:rFonts w:ascii="Arial" w:cs="Arial" w:eastAsia="Arial" w:hAnsi="Arial"/>
          <w:sz w:val="20"/>
          <w:szCs w:val="20"/>
          <w:color w:val="2A2A2A"/>
        </w:rPr>
        <w:t>,</w:t>
      </w:r>
      <w:r>
        <w:rPr>
          <w:rFonts w:ascii="Arial" w:cs="Arial" w:eastAsia="Arial" w:hAnsi="Arial"/>
          <w:sz w:val="20"/>
          <w:szCs w:val="20"/>
          <w:color w:val="0C0C0C"/>
        </w:rPr>
        <w:t xml:space="preserve"> such Bonus will be treated as a Non-Performance based Bonus with respect to such Participant.)</w:t>
      </w:r>
    </w:p>
    <w:p>
      <w:pPr>
        <w:spacing w:after="0" w:line="200" w:lineRule="exact"/>
        <w:rPr>
          <w:sz w:val="20"/>
          <w:szCs w:val="20"/>
          <w:color w:val="auto"/>
        </w:rPr>
      </w:pPr>
    </w:p>
    <w:p>
      <w:pPr>
        <w:spacing w:after="0" w:line="218" w:lineRule="exact"/>
        <w:rPr>
          <w:sz w:val="20"/>
          <w:szCs w:val="20"/>
          <w:color w:val="auto"/>
        </w:rPr>
      </w:pPr>
    </w:p>
    <w:p>
      <w:pPr>
        <w:ind w:left="1660" w:hanging="653"/>
        <w:spacing w:after="0"/>
        <w:tabs>
          <w:tab w:leader="none" w:pos="1660" w:val="left"/>
        </w:tabs>
        <w:numPr>
          <w:ilvl w:val="0"/>
          <w:numId w:val="49"/>
        </w:numPr>
        <w:rPr>
          <w:rFonts w:ascii="Arial" w:cs="Arial" w:eastAsia="Arial" w:hAnsi="Arial"/>
          <w:sz w:val="19"/>
          <w:szCs w:val="19"/>
          <w:color w:val="0C0C0C"/>
        </w:rPr>
      </w:pPr>
      <w:r>
        <w:rPr>
          <w:rFonts w:ascii="Arial" w:cs="Arial" w:eastAsia="Arial" w:hAnsi="Arial"/>
          <w:sz w:val="20"/>
          <w:szCs w:val="20"/>
          <w:color w:val="0C0C0C"/>
        </w:rPr>
        <w:t xml:space="preserve">Matching Contributions </w:t>
      </w:r>
      <w:r>
        <w:rPr>
          <w:rFonts w:ascii="Arial" w:cs="Arial" w:eastAsia="Arial" w:hAnsi="Arial"/>
          <w:sz w:val="18"/>
          <w:szCs w:val="18"/>
          <w:i w:val="1"/>
          <w:iCs w:val="1"/>
          <w:color w:val="0C0C0C"/>
        </w:rPr>
        <w:t>(Choose (1) or (2) below, and (3) below, as applicable):</w:t>
      </w:r>
    </w:p>
    <w:p>
      <w:pPr>
        <w:spacing w:after="0" w:line="205" w:lineRule="exact"/>
        <w:rPr>
          <w:rFonts w:ascii="Arial" w:cs="Arial" w:eastAsia="Arial" w:hAnsi="Arial"/>
          <w:sz w:val="19"/>
          <w:szCs w:val="19"/>
          <w:color w:val="0C0C0C"/>
        </w:rPr>
      </w:pPr>
    </w:p>
    <w:p>
      <w:pPr>
        <w:ind w:left="2720" w:right="420" w:hanging="1037"/>
        <w:spacing w:after="0" w:line="258" w:lineRule="exact"/>
        <w:tabs>
          <w:tab w:leader="none" w:pos="2234" w:val="left"/>
        </w:tabs>
        <w:numPr>
          <w:ilvl w:val="1"/>
          <w:numId w:val="49"/>
        </w:numPr>
        <w:rPr>
          <w:rFonts w:ascii="Arial" w:cs="Arial" w:eastAsia="Arial" w:hAnsi="Arial"/>
          <w:sz w:val="20"/>
          <w:szCs w:val="20"/>
          <w:color w:val="0C0C0C"/>
        </w:rPr>
      </w:pPr>
      <w:r>
        <w:rPr>
          <w:rFonts w:ascii="MS PGothic" w:cs="MS PGothic" w:eastAsia="MS PGothic" w:hAnsi="MS PGothic"/>
          <w:sz w:val="20"/>
          <w:szCs w:val="20"/>
          <w:color w:val="000000"/>
        </w:rPr>
        <w:t>☑</w:t>
      </w:r>
      <w:r>
        <w:rPr>
          <w:rFonts w:ascii="Arial" w:cs="Arial" w:eastAsia="Arial" w:hAnsi="Arial"/>
          <w:sz w:val="20"/>
          <w:szCs w:val="20"/>
          <w:color w:val="0C0C0C"/>
        </w:rPr>
        <w:t xml:space="preserve"> The Employer shall make a Matching Contribution on behalf of each Employee Participant in an amount described below:</w:t>
      </w:r>
    </w:p>
    <w:p>
      <w:pPr>
        <w:spacing w:after="0" w:line="254" w:lineRule="exact"/>
        <w:rPr>
          <w:rFonts w:ascii="Arial" w:cs="Arial" w:eastAsia="Arial" w:hAnsi="Arial"/>
          <w:sz w:val="20"/>
          <w:szCs w:val="20"/>
          <w:color w:val="0C0C0C"/>
        </w:rPr>
      </w:pPr>
    </w:p>
    <w:p>
      <w:pPr>
        <w:ind w:left="2700" w:hanging="396"/>
        <w:spacing w:after="0" w:line="230" w:lineRule="exact"/>
        <w:tabs>
          <w:tab w:leader="none" w:pos="2700" w:val="left"/>
        </w:tabs>
        <w:numPr>
          <w:ilvl w:val="3"/>
          <w:numId w:val="49"/>
        </w:numPr>
        <w:rPr>
          <w:rFonts w:ascii="Arial" w:cs="Arial" w:eastAsia="Arial" w:hAnsi="Arial"/>
          <w:sz w:val="20"/>
          <w:szCs w:val="20"/>
          <w:color w:val="0C0C0C"/>
        </w:rPr>
      </w:pPr>
      <w:r>
        <w:rPr>
          <w:rFonts w:ascii="MS PGothic" w:cs="MS PGothic" w:eastAsia="MS PGothic" w:hAnsi="MS PGothic"/>
          <w:sz w:val="20"/>
          <w:szCs w:val="20"/>
          <w:color w:val="000000"/>
        </w:rPr>
        <w:t>☐</w:t>
      </w:r>
      <w:r>
        <w:rPr>
          <w:rFonts w:ascii="Arial" w:cs="Arial" w:eastAsia="Arial" w:hAnsi="Arial"/>
          <w:sz w:val="20"/>
          <w:szCs w:val="20"/>
          <w:color w:val="0C0C0C"/>
        </w:rPr>
        <w:t xml:space="preserve">  __% of the Employee Participant's Deferral Contributions for the calendar year.</w:t>
      </w:r>
    </w:p>
    <w:p>
      <w:pPr>
        <w:spacing w:after="0" w:line="242" w:lineRule="exact"/>
        <w:rPr>
          <w:rFonts w:ascii="Arial" w:cs="Arial" w:eastAsia="Arial" w:hAnsi="Arial"/>
          <w:sz w:val="20"/>
          <w:szCs w:val="20"/>
          <w:color w:val="0C0C0C"/>
        </w:rPr>
      </w:pPr>
    </w:p>
    <w:p>
      <w:pPr>
        <w:ind w:left="2680" w:hanging="376"/>
        <w:spacing w:after="0" w:line="219" w:lineRule="exact"/>
        <w:tabs>
          <w:tab w:leader="none" w:pos="2680" w:val="left"/>
        </w:tabs>
        <w:numPr>
          <w:ilvl w:val="3"/>
          <w:numId w:val="49"/>
        </w:numPr>
        <w:rPr>
          <w:rFonts w:ascii="Arial" w:cs="Arial" w:eastAsia="Arial" w:hAnsi="Arial"/>
          <w:sz w:val="19"/>
          <w:szCs w:val="19"/>
          <w:color w:val="0C0C0C"/>
        </w:rPr>
      </w:pPr>
      <w:r>
        <w:rPr>
          <w:rFonts w:ascii="MS PGothic" w:cs="MS PGothic" w:eastAsia="MS PGothic" w:hAnsi="MS PGothic"/>
          <w:sz w:val="19"/>
          <w:szCs w:val="19"/>
          <w:color w:val="000000"/>
        </w:rPr>
        <w:t>☑</w:t>
      </w:r>
      <w:r>
        <w:rPr>
          <w:rFonts w:ascii="Arial" w:cs="Arial" w:eastAsia="Arial" w:hAnsi="Arial"/>
          <w:sz w:val="19"/>
          <w:szCs w:val="19"/>
          <w:color w:val="0C0C0C"/>
        </w:rPr>
        <w:t xml:space="preserve">  The amount, if any, declared by the Employer in writing, which writing is hereby incorporated herein.</w:t>
      </w:r>
    </w:p>
    <w:p>
      <w:pPr>
        <w:spacing w:after="0" w:line="308" w:lineRule="exact"/>
        <w:rPr>
          <w:rFonts w:ascii="Arial" w:cs="Arial" w:eastAsia="Arial" w:hAnsi="Arial"/>
          <w:sz w:val="19"/>
          <w:szCs w:val="19"/>
          <w:color w:val="0C0C0C"/>
        </w:rPr>
      </w:pPr>
    </w:p>
    <w:p>
      <w:pPr>
        <w:ind w:left="2680" w:hanging="376"/>
        <w:spacing w:after="0" w:line="230" w:lineRule="exact"/>
        <w:tabs>
          <w:tab w:leader="none" w:pos="2680" w:val="left"/>
        </w:tabs>
        <w:numPr>
          <w:ilvl w:val="3"/>
          <w:numId w:val="49"/>
        </w:numPr>
        <w:rPr>
          <w:rFonts w:ascii="Arial" w:cs="Arial" w:eastAsia="Arial" w:hAnsi="Arial"/>
          <w:sz w:val="20"/>
          <w:szCs w:val="20"/>
          <w:color w:val="0C0C0C"/>
        </w:rPr>
      </w:pPr>
      <w:r>
        <w:rPr>
          <w:rFonts w:ascii="MS PGothic" w:cs="MS PGothic" w:eastAsia="MS PGothic" w:hAnsi="MS PGothic"/>
          <w:sz w:val="20"/>
          <w:szCs w:val="20"/>
          <w:color w:val="000000"/>
        </w:rPr>
        <w:t>☐</w:t>
      </w:r>
      <w:r>
        <w:rPr>
          <w:rFonts w:ascii="Arial" w:cs="Arial" w:eastAsia="Arial" w:hAnsi="Arial"/>
          <w:sz w:val="20"/>
          <w:szCs w:val="20"/>
          <w:color w:val="0C0C0C"/>
        </w:rPr>
        <w:t xml:space="preserve">  Other:</w:t>
      </w:r>
    </w:p>
    <w:p>
      <w:pPr>
        <w:spacing w:after="0" w:line="200" w:lineRule="exact"/>
        <w:rPr>
          <w:rFonts w:ascii="Arial" w:cs="Arial" w:eastAsia="Arial" w:hAnsi="Arial"/>
          <w:sz w:val="20"/>
          <w:szCs w:val="20"/>
          <w:color w:val="0C0C0C"/>
        </w:rPr>
      </w:pPr>
    </w:p>
    <w:p>
      <w:pPr>
        <w:spacing w:after="0" w:line="299" w:lineRule="exact"/>
        <w:rPr>
          <w:rFonts w:ascii="Arial" w:cs="Arial" w:eastAsia="Arial" w:hAnsi="Arial"/>
          <w:sz w:val="20"/>
          <w:szCs w:val="20"/>
          <w:color w:val="0C0C0C"/>
        </w:rPr>
      </w:pPr>
    </w:p>
    <w:p>
      <w:pPr>
        <w:ind w:left="2760" w:hanging="1064"/>
        <w:spacing w:after="0" w:line="256" w:lineRule="exact"/>
        <w:tabs>
          <w:tab w:leader="none" w:pos="2256" w:val="left"/>
        </w:tabs>
        <w:numPr>
          <w:ilvl w:val="2"/>
          <w:numId w:val="49"/>
        </w:numPr>
        <w:rPr>
          <w:rFonts w:ascii="Arial" w:cs="Arial" w:eastAsia="Arial" w:hAnsi="Arial"/>
          <w:sz w:val="20"/>
          <w:szCs w:val="20"/>
          <w:color w:val="0C0C0C"/>
        </w:rPr>
      </w:pPr>
      <w:r>
        <w:rPr>
          <w:rFonts w:ascii="MS PGothic" w:cs="MS PGothic" w:eastAsia="MS PGothic" w:hAnsi="MS PGothic"/>
          <w:sz w:val="20"/>
          <w:szCs w:val="20"/>
          <w:color w:val="000000"/>
        </w:rPr>
        <w:t>☐</w:t>
      </w:r>
      <w:r>
        <w:rPr>
          <w:rFonts w:ascii="Arial" w:cs="Arial" w:eastAsia="Arial" w:hAnsi="Arial"/>
          <w:sz w:val="20"/>
          <w:szCs w:val="20"/>
          <w:color w:val="0C0C0C"/>
        </w:rPr>
        <w:t xml:space="preserve"> Matching Contribution Offset. For each Employee Participant who has made elective contributions (as defined in 26 CFR section l.401(k)-6 (“QP</w:t>
      </w:r>
    </w:p>
    <w:p>
      <w:pPr>
        <w:ind w:left="2760"/>
        <w:spacing w:after="0" w:line="242" w:lineRule="auto"/>
        <w:rPr>
          <w:rFonts w:ascii="Arial" w:cs="Arial" w:eastAsia="Arial" w:hAnsi="Arial"/>
          <w:sz w:val="20"/>
          <w:szCs w:val="20"/>
          <w:color w:val="0C0C0C"/>
        </w:rPr>
      </w:pPr>
      <w:r>
        <w:rPr>
          <w:rFonts w:ascii="Arial" w:cs="Arial" w:eastAsia="Arial" w:hAnsi="Arial"/>
          <w:sz w:val="20"/>
          <w:szCs w:val="20"/>
          <w:color w:val="0C0C0C"/>
        </w:rPr>
        <w:t>Deferrals”)) of the maximum permitted under Code section 402(g), or the maximum permitted under the terms of the __________________________</w:t>
      </w:r>
    </w:p>
    <w:p>
      <w:pPr>
        <w:ind w:left="2720" w:right="2540"/>
        <w:spacing w:after="0" w:line="267" w:lineRule="auto"/>
        <w:rPr>
          <w:rFonts w:ascii="Arial" w:cs="Arial" w:eastAsia="Arial" w:hAnsi="Arial"/>
          <w:sz w:val="20"/>
          <w:szCs w:val="20"/>
          <w:color w:val="0C0C0C"/>
        </w:rPr>
      </w:pPr>
      <w:r>
        <w:rPr>
          <w:rFonts w:ascii="Arial" w:cs="Arial" w:eastAsia="Arial" w:hAnsi="Arial"/>
          <w:sz w:val="20"/>
          <w:szCs w:val="20"/>
          <w:color w:val="0C0C0C"/>
        </w:rPr>
        <w:t>Plan (the “QP”), to the QP, the Employer shall make a Matching Contribution in an amount equal to (A) minus (B) below:</w:t>
      </w:r>
    </w:p>
    <w:p>
      <w:pPr>
        <w:spacing w:after="0" w:line="196" w:lineRule="exact"/>
        <w:rPr>
          <w:rFonts w:ascii="Arial" w:cs="Arial" w:eastAsia="Arial" w:hAnsi="Arial"/>
          <w:sz w:val="20"/>
          <w:szCs w:val="20"/>
          <w:color w:val="0C0C0C"/>
        </w:rPr>
      </w:pPr>
    </w:p>
    <w:p>
      <w:pPr>
        <w:jc w:val="both"/>
        <w:ind w:left="2760" w:right="60" w:hanging="416"/>
        <w:spacing w:after="0" w:line="250" w:lineRule="auto"/>
        <w:tabs>
          <w:tab w:leader="none" w:pos="2742" w:val="left"/>
        </w:tabs>
        <w:numPr>
          <w:ilvl w:val="4"/>
          <w:numId w:val="49"/>
        </w:numPr>
        <w:rPr>
          <w:rFonts w:ascii="Arial" w:cs="Arial" w:eastAsia="Arial" w:hAnsi="Arial"/>
          <w:sz w:val="20"/>
          <w:szCs w:val="20"/>
          <w:color w:val="0C0C0C"/>
        </w:rPr>
      </w:pPr>
      <w:r>
        <w:rPr>
          <w:rFonts w:ascii="Arial" w:cs="Arial" w:eastAsia="Arial" w:hAnsi="Arial"/>
          <w:sz w:val="20"/>
          <w:szCs w:val="20"/>
          <w:color w:val="0C0C0C"/>
        </w:rPr>
        <w:t>The matching contributions (as defined in 26 CFR section l.401(m)-l(a)(2) (“QP Match”)) that the Employee Participant would have received under the QP on the sum of the Deferral Contributions and the Participant's QP Deferrals, determined as though—</w:t>
      </w:r>
    </w:p>
    <w:p>
      <w:pPr>
        <w:spacing w:after="0" w:line="226" w:lineRule="exact"/>
        <w:rPr>
          <w:rFonts w:ascii="Arial" w:cs="Arial" w:eastAsia="Arial" w:hAnsi="Arial"/>
          <w:sz w:val="20"/>
          <w:szCs w:val="20"/>
          <w:color w:val="0C0C0C"/>
        </w:rPr>
      </w:pPr>
    </w:p>
    <w:p>
      <w:pPr>
        <w:ind w:left="3620" w:hanging="303"/>
        <w:spacing w:after="0"/>
        <w:tabs>
          <w:tab w:leader="none" w:pos="3620" w:val="left"/>
        </w:tabs>
        <w:numPr>
          <w:ilvl w:val="5"/>
          <w:numId w:val="49"/>
        </w:numPr>
        <w:rPr>
          <w:rFonts w:ascii="Arial" w:cs="Arial" w:eastAsia="Arial" w:hAnsi="Arial"/>
          <w:sz w:val="20"/>
          <w:szCs w:val="20"/>
          <w:color w:val="0C0C0C"/>
        </w:rPr>
      </w:pPr>
      <w:r>
        <w:rPr>
          <w:rFonts w:ascii="Arial" w:cs="Arial" w:eastAsia="Arial" w:hAnsi="Arial"/>
          <w:sz w:val="20"/>
          <w:szCs w:val="20"/>
          <w:color w:val="0C0C0C"/>
        </w:rPr>
        <w:t>no limits otherwise imposed by the tax law applied to such QP match; and</w:t>
      </w:r>
    </w:p>
    <w:p>
      <w:pPr>
        <w:spacing w:after="0" w:line="20" w:lineRule="exact"/>
        <w:rPr>
          <w:rFonts w:ascii="Arial" w:cs="Arial" w:eastAsia="Arial" w:hAnsi="Arial"/>
          <w:sz w:val="20"/>
          <w:szCs w:val="20"/>
          <w:color w:val="0C0C0C"/>
        </w:rPr>
      </w:pPr>
    </w:p>
    <w:p>
      <w:pPr>
        <w:ind w:left="3620" w:hanging="303"/>
        <w:spacing w:after="0"/>
        <w:tabs>
          <w:tab w:leader="none" w:pos="3620" w:val="left"/>
        </w:tabs>
        <w:numPr>
          <w:ilvl w:val="5"/>
          <w:numId w:val="49"/>
        </w:numPr>
        <w:rPr>
          <w:rFonts w:ascii="Arial" w:cs="Arial" w:eastAsia="Arial" w:hAnsi="Arial"/>
          <w:sz w:val="20"/>
          <w:szCs w:val="20"/>
          <w:color w:val="0C0C0C"/>
        </w:rPr>
      </w:pPr>
      <w:r>
        <w:rPr>
          <w:rFonts w:ascii="Arial" w:cs="Arial" w:eastAsia="Arial" w:hAnsi="Arial"/>
          <w:sz w:val="20"/>
          <w:szCs w:val="20"/>
          <w:color w:val="0C0C0C"/>
        </w:rPr>
        <w:t>the Employee Participant's Deferral Contributions had been made to the QP.</w:t>
      </w:r>
    </w:p>
    <w:p>
      <w:pPr>
        <w:spacing w:after="0" w:line="248" w:lineRule="exact"/>
        <w:rPr>
          <w:rFonts w:ascii="Arial" w:cs="Arial" w:eastAsia="Arial" w:hAnsi="Arial"/>
          <w:sz w:val="20"/>
          <w:szCs w:val="20"/>
          <w:color w:val="0C0C0C"/>
        </w:rPr>
      </w:pPr>
    </w:p>
    <w:p>
      <w:pPr>
        <w:ind w:left="2760" w:hanging="416"/>
        <w:spacing w:after="0"/>
        <w:tabs>
          <w:tab w:leader="none" w:pos="2760" w:val="left"/>
        </w:tabs>
        <w:numPr>
          <w:ilvl w:val="4"/>
          <w:numId w:val="49"/>
        </w:numPr>
        <w:rPr>
          <w:rFonts w:ascii="Arial" w:cs="Arial" w:eastAsia="Arial" w:hAnsi="Arial"/>
          <w:sz w:val="18"/>
          <w:szCs w:val="18"/>
          <w:color w:val="0C0C0C"/>
        </w:rPr>
      </w:pPr>
      <w:r>
        <w:rPr>
          <w:rFonts w:ascii="Arial" w:cs="Arial" w:eastAsia="Arial" w:hAnsi="Arial"/>
          <w:sz w:val="18"/>
          <w:szCs w:val="18"/>
          <w:color w:val="0C0C0C"/>
        </w:rPr>
        <w:t>The QP Match actually made to such Employee Participant under the QP for the applicable calendar year</w:t>
      </w:r>
      <w:r>
        <w:rPr>
          <w:rFonts w:ascii="Arial" w:cs="Arial" w:eastAsia="Arial" w:hAnsi="Arial"/>
          <w:sz w:val="18"/>
          <w:szCs w:val="18"/>
          <w:color w:val="2A2A2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2444115</wp:posOffset>
            </wp:positionH>
            <wp:positionV relativeFrom="paragraph">
              <wp:posOffset>-2573020</wp:posOffset>
            </wp:positionV>
            <wp:extent cx="1568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1">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pacing w:after="0" w:line="259" w:lineRule="exact"/>
        <w:rPr>
          <w:sz w:val="20"/>
          <w:szCs w:val="20"/>
          <w:color w:val="auto"/>
        </w:rPr>
      </w:pPr>
    </w:p>
    <w:p>
      <w:pPr>
        <w:ind w:left="1480" w:right="320"/>
        <w:spacing w:after="0" w:line="275" w:lineRule="auto"/>
        <w:rPr>
          <w:sz w:val="20"/>
          <w:szCs w:val="20"/>
          <w:color w:val="auto"/>
        </w:rPr>
      </w:pPr>
      <w:r>
        <w:rPr>
          <w:rFonts w:ascii="Arial" w:cs="Arial" w:eastAsia="Arial" w:hAnsi="Arial"/>
          <w:sz w:val="20"/>
          <w:szCs w:val="20"/>
          <w:color w:val="0C0C0C"/>
        </w:rPr>
        <w:t>Provided, however, that the Matching Contributions made on behalf of any Employee Participant pursuant to this Section 1.0S(b)(2) shall be limited as provided in Section 4.02 hereof.</w:t>
      </w:r>
    </w:p>
    <w:p>
      <w:pPr>
        <w:spacing w:after="0" w:line="151" w:lineRule="exact"/>
        <w:rPr>
          <w:sz w:val="20"/>
          <w:szCs w:val="20"/>
          <w:color w:val="auto"/>
        </w:rPr>
      </w:pPr>
    </w:p>
    <w:p>
      <w:pPr>
        <w:ind w:left="2300" w:hanging="590"/>
        <w:spacing w:after="0" w:line="230" w:lineRule="exact"/>
        <w:tabs>
          <w:tab w:leader="none" w:pos="2300" w:val="left"/>
        </w:tabs>
        <w:numPr>
          <w:ilvl w:val="0"/>
          <w:numId w:val="50"/>
        </w:numPr>
        <w:rPr>
          <w:rFonts w:ascii="Arial" w:cs="Arial" w:eastAsia="Arial" w:hAnsi="Arial"/>
          <w:sz w:val="20"/>
          <w:szCs w:val="20"/>
          <w:color w:val="0C0C0C"/>
        </w:rPr>
      </w:pPr>
      <w:r>
        <w:rPr>
          <w:rFonts w:ascii="MS PGothic" w:cs="MS PGothic" w:eastAsia="MS PGothic" w:hAnsi="MS PGothic"/>
          <w:sz w:val="20"/>
          <w:szCs w:val="20"/>
          <w:color w:val="000000"/>
        </w:rPr>
        <w:t>☐</w:t>
      </w:r>
      <w:r>
        <w:rPr>
          <w:rFonts w:ascii="Arial" w:cs="Arial" w:eastAsia="Arial" w:hAnsi="Arial"/>
          <w:sz w:val="20"/>
          <w:szCs w:val="20"/>
          <w:color w:val="0C0C0C"/>
        </w:rPr>
        <w:t xml:space="preserve">  Matching Contribution Limits </w:t>
      </w:r>
      <w:r>
        <w:rPr>
          <w:rFonts w:ascii="Arial" w:cs="Arial" w:eastAsia="Arial" w:hAnsi="Arial"/>
          <w:sz w:val="18"/>
          <w:szCs w:val="18"/>
          <w:i w:val="1"/>
          <w:iCs w:val="1"/>
          <w:color w:val="0C0C0C"/>
        </w:rPr>
        <w:t>(Check the appropriate box (es)):</w:t>
      </w:r>
    </w:p>
    <w:p>
      <w:pPr>
        <w:spacing w:after="0" w:line="293" w:lineRule="exact"/>
        <w:rPr>
          <w:sz w:val="20"/>
          <w:szCs w:val="20"/>
          <w:color w:val="auto"/>
        </w:rPr>
      </w:pPr>
    </w:p>
    <w:p>
      <w:pPr>
        <w:spacing w:after="0"/>
        <w:tabs>
          <w:tab w:leader="none" w:pos="1760" w:val="left"/>
        </w:tabs>
        <w:rPr>
          <w:sz w:val="20"/>
          <w:szCs w:val="20"/>
          <w:color w:val="auto"/>
        </w:rPr>
      </w:pPr>
      <w:r>
        <w:rPr>
          <w:rFonts w:ascii="Arial" w:cs="Arial" w:eastAsia="Arial" w:hAnsi="Arial"/>
          <w:sz w:val="17"/>
          <w:szCs w:val="17"/>
          <w:color w:val="0E0E0E"/>
        </w:rPr>
        <w:t>Plan Number: 4431</w:t>
      </w:r>
      <w:r>
        <w:rPr>
          <w:rFonts w:ascii="Arial" w:cs="Arial" w:eastAsia="Arial" w:hAnsi="Arial"/>
          <w:sz w:val="17"/>
          <w:szCs w:val="17"/>
          <w:color w:val="424242"/>
        </w:rPr>
        <w:t>7</w:t>
      </w:r>
      <w:r>
        <w:rPr>
          <w:sz w:val="20"/>
          <w:szCs w:val="20"/>
          <w:color w:val="auto"/>
        </w:rPr>
        <w:tab/>
      </w:r>
      <w:r>
        <w:rPr>
          <w:rFonts w:ascii="Arial" w:cs="Arial" w:eastAsia="Arial" w:hAnsi="Arial"/>
          <w:sz w:val="16"/>
          <w:szCs w:val="16"/>
          <w:color w:val="0E0E0E"/>
        </w:rPr>
        <w:t>ECM NQ 2007 AA</w:t>
      </w:r>
    </w:p>
    <w:p>
      <w:pPr>
        <w:spacing w:after="0" w:line="2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0E0E0E"/>
        </w:rPr>
        <w:t>(07/2007)</w:t>
      </w:r>
      <w:r>
        <w:rPr>
          <w:sz w:val="20"/>
          <w:szCs w:val="20"/>
          <w:color w:val="auto"/>
        </w:rPr>
        <w:tab/>
      </w:r>
      <w:r>
        <w:rPr>
          <w:rFonts w:ascii="Arial" w:cs="Arial" w:eastAsia="Arial" w:hAnsi="Arial"/>
          <w:sz w:val="17"/>
          <w:szCs w:val="17"/>
          <w:color w:val="0E0E0E"/>
        </w:rPr>
        <w:t>10</w:t>
      </w:r>
      <w:r>
        <w:rPr>
          <w:rFonts w:ascii="Arial" w:cs="Arial" w:eastAsia="Arial" w:hAnsi="Arial"/>
          <w:sz w:val="17"/>
          <w:szCs w:val="17"/>
          <w:color w:val="6B6B6B"/>
        </w:rPr>
        <w:t>/</w:t>
      </w:r>
      <w:r>
        <w:rPr>
          <w:rFonts w:ascii="Arial" w:cs="Arial" w:eastAsia="Arial" w:hAnsi="Arial"/>
          <w:sz w:val="17"/>
          <w:szCs w:val="17"/>
          <w:color w:val="0E0E0E"/>
        </w:rPr>
        <w:t>8</w:t>
      </w:r>
      <w:r>
        <w:rPr>
          <w:rFonts w:ascii="Arial" w:cs="Arial" w:eastAsia="Arial" w:hAnsi="Arial"/>
          <w:sz w:val="17"/>
          <w:szCs w:val="17"/>
          <w:color w:val="6B6B6B"/>
        </w:rPr>
        <w:t>/</w:t>
      </w:r>
      <w:r>
        <w:rPr>
          <w:rFonts w:ascii="Arial" w:cs="Arial" w:eastAsia="Arial" w:hAnsi="Arial"/>
          <w:sz w:val="17"/>
          <w:szCs w:val="17"/>
          <w:color w:val="0E0E0E"/>
        </w:rPr>
        <w:t>2018</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Page 3</w:t>
      </w:r>
    </w:p>
    <w:p>
      <w:pPr>
        <w:spacing w:after="0" w:line="34" w:lineRule="exact"/>
        <w:rPr>
          <w:sz w:val="20"/>
          <w:szCs w:val="20"/>
          <w:color w:val="auto"/>
        </w:rPr>
      </w:pPr>
    </w:p>
    <w:p>
      <w:pPr>
        <w:ind w:left="4640" w:hanging="175"/>
        <w:spacing w:after="0"/>
        <w:tabs>
          <w:tab w:leader="none" w:pos="4640" w:val="left"/>
        </w:tabs>
        <w:numPr>
          <w:ilvl w:val="0"/>
          <w:numId w:val="51"/>
        </w:numPr>
        <w:rPr>
          <w:rFonts w:ascii="Arial" w:cs="Arial" w:eastAsia="Arial" w:hAnsi="Arial"/>
          <w:sz w:val="18"/>
          <w:szCs w:val="18"/>
          <w:color w:val="0E0E0E"/>
        </w:rPr>
      </w:pPr>
      <w:r>
        <w:rPr>
          <w:rFonts w:ascii="Arial" w:cs="Arial" w:eastAsia="Arial" w:hAnsi="Arial"/>
          <w:sz w:val="17"/>
          <w:szCs w:val="17"/>
          <w:color w:val="0E0E0E"/>
        </w:rPr>
        <w:t>2007 Fidelity Management &amp; Research Company</w:t>
      </w:r>
    </w:p>
    <w:p>
      <w:pPr>
        <w:sectPr>
          <w:pgSz w:w="11900" w:h="16838" w:orient="portrait"/>
          <w:cols w:equalWidth="0" w:num="1">
            <w:col w:w="11420"/>
          </w:cols>
          <w:pgMar w:left="240" w:top="433" w:right="239" w:bottom="1440" w:gutter="0" w:footer="0" w:header="0"/>
        </w:sectPr>
      </w:pPr>
    </w:p>
    <w:bookmarkStart w:id="117" w:name="page118"/>
    <w:bookmarkEnd w:id="117"/>
    <w:p>
      <w:pPr>
        <w:ind w:left="3080" w:right="120" w:hanging="776"/>
        <w:spacing w:after="0" w:line="265" w:lineRule="exact"/>
        <w:tabs>
          <w:tab w:leader="none" w:pos="2684" w:val="left"/>
        </w:tabs>
        <w:numPr>
          <w:ilvl w:val="2"/>
          <w:numId w:val="52"/>
        </w:numPr>
        <w:rPr>
          <w:rFonts w:ascii="Arial" w:cs="Arial" w:eastAsia="Arial" w:hAnsi="Arial"/>
          <w:sz w:val="20"/>
          <w:szCs w:val="20"/>
          <w:color w:val="0C0C0C"/>
        </w:rPr>
      </w:pPr>
      <w:r>
        <w:rPr>
          <w:rFonts w:ascii="MS PGothic" w:cs="MS PGothic" w:eastAsia="MS PGothic" w:hAnsi="MS PGothic"/>
          <w:sz w:val="20"/>
          <w:szCs w:val="20"/>
          <w:color w:val="000000"/>
        </w:rPr>
        <w:t>☐</w:t>
      </w:r>
      <w:r>
        <w:rPr>
          <w:rFonts w:ascii="Arial" w:cs="Arial" w:eastAsia="Arial" w:hAnsi="Arial"/>
          <w:sz w:val="20"/>
          <w:szCs w:val="20"/>
          <w:color w:val="0C0C0C"/>
        </w:rPr>
        <w:t xml:space="preserve"> Deferral Contributions in excess of _% of the Employee Participant’s Compensation for the calendar year shall not be considered for Matching Contributions.</w:t>
      </w:r>
    </w:p>
    <w:p>
      <w:pPr>
        <w:spacing w:after="0" w:line="186" w:lineRule="exact"/>
        <w:rPr>
          <w:rFonts w:ascii="Arial" w:cs="Arial" w:eastAsia="Arial" w:hAnsi="Arial"/>
          <w:sz w:val="20"/>
          <w:szCs w:val="20"/>
          <w:color w:val="0C0C0C"/>
        </w:rPr>
      </w:pPr>
    </w:p>
    <w:p>
      <w:pPr>
        <w:ind w:left="2680" w:hanging="376"/>
        <w:spacing w:after="0" w:line="207" w:lineRule="exact"/>
        <w:tabs>
          <w:tab w:leader="none" w:pos="2680" w:val="left"/>
        </w:tabs>
        <w:numPr>
          <w:ilvl w:val="2"/>
          <w:numId w:val="52"/>
        </w:numPr>
        <w:rPr>
          <w:rFonts w:ascii="Arial" w:cs="Arial" w:eastAsia="Arial" w:hAnsi="Arial"/>
          <w:sz w:val="18"/>
          <w:szCs w:val="18"/>
          <w:color w:val="0C0C0C"/>
        </w:rPr>
      </w:pPr>
      <w:r>
        <w:rPr>
          <w:rFonts w:ascii="MS PGothic" w:cs="MS PGothic" w:eastAsia="MS PGothic" w:hAnsi="MS PGothic"/>
          <w:sz w:val="18"/>
          <w:szCs w:val="18"/>
          <w:color w:val="000000"/>
        </w:rPr>
        <w:t>☐</w:t>
      </w:r>
      <w:r>
        <w:rPr>
          <w:rFonts w:ascii="Arial" w:cs="Arial" w:eastAsia="Arial" w:hAnsi="Arial"/>
          <w:sz w:val="18"/>
          <w:szCs w:val="18"/>
          <w:color w:val="0E0E0E"/>
        </w:rPr>
        <w:t xml:space="preserve">  Matching Contributions for each Employee Participant for each calendar year shall be limited to $__</w:t>
      </w:r>
    </w:p>
    <w:p>
      <w:pPr>
        <w:spacing w:after="0" w:line="306" w:lineRule="exact"/>
        <w:rPr>
          <w:rFonts w:ascii="Arial" w:cs="Arial" w:eastAsia="Arial" w:hAnsi="Arial"/>
          <w:sz w:val="18"/>
          <w:szCs w:val="18"/>
          <w:color w:val="0C0C0C"/>
        </w:rPr>
      </w:pPr>
    </w:p>
    <w:p>
      <w:pPr>
        <w:ind w:left="1660" w:hanging="653"/>
        <w:spacing w:after="0"/>
        <w:tabs>
          <w:tab w:leader="none" w:pos="1660" w:val="left"/>
        </w:tabs>
        <w:numPr>
          <w:ilvl w:val="0"/>
          <w:numId w:val="53"/>
        </w:numPr>
        <w:rPr>
          <w:rFonts w:ascii="Arial" w:cs="Arial" w:eastAsia="Arial" w:hAnsi="Arial"/>
          <w:sz w:val="21"/>
          <w:szCs w:val="21"/>
          <w:color w:val="0C0C0C"/>
        </w:rPr>
      </w:pPr>
      <w:r>
        <w:rPr>
          <w:rFonts w:ascii="Arial" w:cs="Arial" w:eastAsia="Arial" w:hAnsi="Arial"/>
          <w:sz w:val="21"/>
          <w:szCs w:val="21"/>
          <w:color w:val="0E0E0E"/>
        </w:rPr>
        <w:t>Employer Contributions</w:t>
      </w:r>
    </w:p>
    <w:p>
      <w:pPr>
        <w:spacing w:after="0" w:line="203" w:lineRule="exact"/>
        <w:rPr>
          <w:rFonts w:ascii="Arial" w:cs="Arial" w:eastAsia="Arial" w:hAnsi="Arial"/>
          <w:sz w:val="21"/>
          <w:szCs w:val="21"/>
          <w:color w:val="0C0C0C"/>
        </w:rPr>
      </w:pPr>
    </w:p>
    <w:p>
      <w:pPr>
        <w:ind w:left="2520" w:right="260" w:hanging="837"/>
        <w:spacing w:after="0" w:line="267" w:lineRule="exact"/>
        <w:tabs>
          <w:tab w:leader="none" w:pos="2034" w:val="left"/>
        </w:tabs>
        <w:numPr>
          <w:ilvl w:val="1"/>
          <w:numId w:val="53"/>
        </w:numPr>
        <w:rPr>
          <w:rFonts w:ascii="Arial" w:cs="Arial" w:eastAsia="Arial" w:hAnsi="Arial"/>
          <w:sz w:val="20"/>
          <w:szCs w:val="20"/>
          <w:color w:val="0C0C0C"/>
        </w:rPr>
      </w:pPr>
      <w:r>
        <w:rPr>
          <w:rFonts w:ascii="MS PGothic" w:cs="MS PGothic" w:eastAsia="MS PGothic" w:hAnsi="MS PGothic"/>
          <w:sz w:val="19"/>
          <w:szCs w:val="19"/>
          <w:color w:val="000000"/>
        </w:rPr>
        <w:t>☐</w:t>
      </w:r>
      <w:r>
        <w:rPr>
          <w:rFonts w:ascii="Arial" w:cs="Arial" w:eastAsia="Arial" w:hAnsi="Arial"/>
          <w:sz w:val="21"/>
          <w:szCs w:val="21"/>
          <w:color w:val="0E0E0E"/>
        </w:rPr>
        <w:t xml:space="preserve"> Fixed Employer Contributions. The Employer shall make an Employer Contribution on behalf of each Employee Participant in an amount determined as described below:</w:t>
      </w:r>
    </w:p>
    <w:p>
      <w:pPr>
        <w:spacing w:after="0" w:line="200" w:lineRule="exact"/>
        <w:rPr>
          <w:rFonts w:ascii="Arial" w:cs="Arial" w:eastAsia="Arial" w:hAnsi="Arial"/>
          <w:sz w:val="20"/>
          <w:szCs w:val="20"/>
          <w:color w:val="0C0C0C"/>
        </w:rPr>
      </w:pPr>
    </w:p>
    <w:p>
      <w:pPr>
        <w:spacing w:after="0" w:line="200" w:lineRule="exact"/>
        <w:rPr>
          <w:rFonts w:ascii="Arial" w:cs="Arial" w:eastAsia="Arial" w:hAnsi="Arial"/>
          <w:sz w:val="20"/>
          <w:szCs w:val="20"/>
          <w:color w:val="0C0C0C"/>
        </w:rPr>
      </w:pPr>
    </w:p>
    <w:p>
      <w:pPr>
        <w:spacing w:after="0" w:line="200" w:lineRule="exact"/>
        <w:rPr>
          <w:rFonts w:ascii="Arial" w:cs="Arial" w:eastAsia="Arial" w:hAnsi="Arial"/>
          <w:sz w:val="20"/>
          <w:szCs w:val="20"/>
          <w:color w:val="0C0C0C"/>
        </w:rPr>
      </w:pPr>
    </w:p>
    <w:p>
      <w:pPr>
        <w:spacing w:after="0" w:line="200" w:lineRule="exact"/>
        <w:rPr>
          <w:rFonts w:ascii="Arial" w:cs="Arial" w:eastAsia="Arial" w:hAnsi="Arial"/>
          <w:sz w:val="20"/>
          <w:szCs w:val="20"/>
          <w:color w:val="0C0C0C"/>
        </w:rPr>
      </w:pPr>
    </w:p>
    <w:p>
      <w:pPr>
        <w:spacing w:after="0" w:line="395" w:lineRule="exact"/>
        <w:rPr>
          <w:rFonts w:ascii="Arial" w:cs="Arial" w:eastAsia="Arial" w:hAnsi="Arial"/>
          <w:sz w:val="20"/>
          <w:szCs w:val="20"/>
          <w:color w:val="0C0C0C"/>
        </w:rPr>
      </w:pPr>
    </w:p>
    <w:p>
      <w:pPr>
        <w:ind w:left="2520" w:hanging="837"/>
        <w:spacing w:after="0" w:line="259" w:lineRule="exact"/>
        <w:tabs>
          <w:tab w:leader="none" w:pos="2034" w:val="left"/>
        </w:tabs>
        <w:numPr>
          <w:ilvl w:val="1"/>
          <w:numId w:val="53"/>
        </w:numPr>
        <w:rPr>
          <w:rFonts w:ascii="Arial" w:cs="Arial" w:eastAsia="Arial" w:hAnsi="Arial"/>
          <w:sz w:val="18"/>
          <w:szCs w:val="18"/>
          <w:color w:val="0C0C0C"/>
        </w:rPr>
      </w:pPr>
      <w:r>
        <w:rPr>
          <w:rFonts w:ascii="MS PGothic" w:cs="MS PGothic" w:eastAsia="MS PGothic" w:hAnsi="MS PGothic"/>
          <w:sz w:val="17"/>
          <w:szCs w:val="17"/>
          <w:color w:val="000000"/>
        </w:rPr>
        <w:t>☑</w:t>
      </w:r>
      <w:r>
        <w:rPr>
          <w:rFonts w:ascii="Arial" w:cs="Arial" w:eastAsia="Arial" w:hAnsi="Arial"/>
          <w:sz w:val="19"/>
          <w:szCs w:val="19"/>
          <w:color w:val="0E0E0E"/>
        </w:rPr>
        <w:t xml:space="preserve"> Discretionary Employer Contributions. The Employer may make Employer Contributions to the accounts of Employee Participants in any amount (which amount may be zero), as determined by the Employer in its sole discretion from time to time in a writing, which is hereby incorporated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5481955</wp:posOffset>
            </wp:positionH>
            <wp:positionV relativeFrom="paragraph">
              <wp:posOffset>-989330</wp:posOffset>
            </wp:positionV>
            <wp:extent cx="114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2">
                      <a:extLst>
                        <a:ext uri="{28A0092B-C50C-407E-A947-70E740481C1C}"/>
                      </a:extLst>
                    </a:blip>
                    <a:srcRect/>
                    <a:stretch>
                      <a:fillRect/>
                    </a:stretch>
                  </pic:blipFill>
                  <pic:spPr bwMode="auto">
                    <a:xfrm>
                      <a:off x="0" y="0"/>
                      <a:ext cx="11430" cy="8890"/>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-612140</wp:posOffset>
            </wp:positionV>
            <wp:extent cx="114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3">
                      <a:extLst>
                        <a:ext uri="{28A0092B-C50C-407E-A947-70E740481C1C}"/>
                      </a:extLst>
                    </a:blip>
                    <a:srcRect/>
                    <a:stretch>
                      <a:fillRect/>
                    </a:stretch>
                  </pic:blipFill>
                  <pic:spPr bwMode="auto">
                    <a:xfrm>
                      <a:off x="0" y="0"/>
                      <a:ext cx="1143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tabs>
          <w:tab w:leader="none" w:pos="1760" w:val="left"/>
        </w:tabs>
        <w:rPr>
          <w:sz w:val="20"/>
          <w:szCs w:val="20"/>
          <w:color w:val="auto"/>
        </w:rPr>
      </w:pPr>
      <w:r>
        <w:rPr>
          <w:rFonts w:ascii="Arial" w:cs="Arial" w:eastAsia="Arial" w:hAnsi="Arial"/>
          <w:sz w:val="17"/>
          <w:szCs w:val="17"/>
          <w:color w:val="0E0E0E"/>
        </w:rPr>
        <w:t>Plan Number: 4431</w:t>
      </w:r>
      <w:r>
        <w:rPr>
          <w:rFonts w:ascii="Arial" w:cs="Arial" w:eastAsia="Arial" w:hAnsi="Arial"/>
          <w:sz w:val="17"/>
          <w:szCs w:val="17"/>
          <w:color w:val="424242"/>
        </w:rPr>
        <w:t>7</w:t>
      </w:r>
      <w:r>
        <w:rPr>
          <w:sz w:val="20"/>
          <w:szCs w:val="20"/>
          <w:color w:val="auto"/>
        </w:rPr>
        <w:tab/>
      </w:r>
      <w:r>
        <w:rPr>
          <w:rFonts w:ascii="Arial" w:cs="Arial" w:eastAsia="Arial" w:hAnsi="Arial"/>
          <w:sz w:val="16"/>
          <w:szCs w:val="16"/>
          <w:color w:val="0E0E0E"/>
        </w:rPr>
        <w:t>ECM NQ 2007 AA</w:t>
      </w:r>
    </w:p>
    <w:p>
      <w:pPr>
        <w:spacing w:after="0" w:line="2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0E0E0E"/>
        </w:rPr>
        <w:t>(07/2007)</w:t>
      </w:r>
      <w:r>
        <w:rPr>
          <w:sz w:val="20"/>
          <w:szCs w:val="20"/>
          <w:color w:val="auto"/>
        </w:rPr>
        <w:tab/>
      </w:r>
      <w:r>
        <w:rPr>
          <w:rFonts w:ascii="Arial" w:cs="Arial" w:eastAsia="Arial" w:hAnsi="Arial"/>
          <w:sz w:val="17"/>
          <w:szCs w:val="17"/>
          <w:color w:val="0E0E0E"/>
        </w:rPr>
        <w:t>10</w:t>
      </w:r>
      <w:r>
        <w:rPr>
          <w:rFonts w:ascii="Arial" w:cs="Arial" w:eastAsia="Arial" w:hAnsi="Arial"/>
          <w:sz w:val="17"/>
          <w:szCs w:val="17"/>
          <w:color w:val="6B6B6B"/>
        </w:rPr>
        <w:t>/</w:t>
      </w:r>
      <w:r>
        <w:rPr>
          <w:rFonts w:ascii="Arial" w:cs="Arial" w:eastAsia="Arial" w:hAnsi="Arial"/>
          <w:sz w:val="17"/>
          <w:szCs w:val="17"/>
          <w:color w:val="0E0E0E"/>
        </w:rPr>
        <w:t>8</w:t>
      </w:r>
      <w:r>
        <w:rPr>
          <w:rFonts w:ascii="Arial" w:cs="Arial" w:eastAsia="Arial" w:hAnsi="Arial"/>
          <w:sz w:val="17"/>
          <w:szCs w:val="17"/>
          <w:color w:val="6B6B6B"/>
        </w:rPr>
        <w:t>/</w:t>
      </w:r>
      <w:r>
        <w:rPr>
          <w:rFonts w:ascii="Arial" w:cs="Arial" w:eastAsia="Arial" w:hAnsi="Arial"/>
          <w:sz w:val="17"/>
          <w:szCs w:val="17"/>
          <w:color w:val="0E0E0E"/>
        </w:rPr>
        <w:t>2018</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Page 4</w:t>
      </w:r>
    </w:p>
    <w:p>
      <w:pPr>
        <w:spacing w:after="0" w:line="34" w:lineRule="exact"/>
        <w:rPr>
          <w:sz w:val="20"/>
          <w:szCs w:val="20"/>
          <w:color w:val="auto"/>
        </w:rPr>
      </w:pPr>
    </w:p>
    <w:p>
      <w:pPr>
        <w:ind w:left="4640" w:hanging="175"/>
        <w:spacing w:after="0"/>
        <w:tabs>
          <w:tab w:leader="none" w:pos="4640" w:val="left"/>
        </w:tabs>
        <w:numPr>
          <w:ilvl w:val="0"/>
          <w:numId w:val="54"/>
        </w:numPr>
        <w:rPr>
          <w:rFonts w:ascii="Arial" w:cs="Arial" w:eastAsia="Arial" w:hAnsi="Arial"/>
          <w:sz w:val="18"/>
          <w:szCs w:val="18"/>
          <w:color w:val="0E0E0E"/>
        </w:rPr>
      </w:pPr>
      <w:r>
        <w:rPr>
          <w:rFonts w:ascii="Arial" w:cs="Arial" w:eastAsia="Arial" w:hAnsi="Arial"/>
          <w:sz w:val="17"/>
          <w:szCs w:val="17"/>
          <w:color w:val="0E0E0E"/>
        </w:rPr>
        <w:t>2007 Fidelity Management &amp; Research Company</w:t>
      </w:r>
    </w:p>
    <w:p>
      <w:pPr>
        <w:sectPr>
          <w:pgSz w:w="11900" w:h="16838" w:orient="portrait"/>
          <w:cols w:equalWidth="0" w:num="1">
            <w:col w:w="11240"/>
          </w:cols>
          <w:pgMar w:left="240" w:top="571" w:right="419"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19"/>
          <w:szCs w:val="19"/>
          <w:color w:val="131313"/>
        </w:rPr>
        <w:t>AMENDMENT EXECUTION PAGE</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131313"/>
        </w:rPr>
        <w:t>(Fidelity's Copy)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60"/>
        <w:spacing w:after="0"/>
        <w:tabs>
          <w:tab w:leader="none" w:pos="160" w:val="left"/>
        </w:tabs>
        <w:rPr>
          <w:sz w:val="20"/>
          <w:szCs w:val="20"/>
          <w:color w:val="auto"/>
        </w:rPr>
      </w:pPr>
      <w:r>
        <w:rPr>
          <w:rFonts w:ascii="Arial" w:cs="Arial" w:eastAsia="Arial" w:hAnsi="Arial"/>
          <w:sz w:val="19"/>
          <w:szCs w:val="19"/>
          <w:color w:val="131313"/>
        </w:rPr>
        <w:t>Plan Name:</w:t>
      </w:r>
      <w:r>
        <w:rPr>
          <w:sz w:val="20"/>
          <w:szCs w:val="20"/>
          <w:color w:val="auto"/>
        </w:rPr>
        <w:tab/>
      </w:r>
      <w:r>
        <w:rPr>
          <w:rFonts w:ascii="Arial" w:cs="Arial" w:eastAsia="Arial" w:hAnsi="Arial"/>
          <w:sz w:val="17"/>
          <w:szCs w:val="17"/>
          <w:color w:val="131313"/>
        </w:rPr>
        <w:t>EchoStar Non-Qualified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-12700</wp:posOffset>
            </wp:positionV>
            <wp:extent cx="21621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4">
                      <a:extLst>
                        <a:ext uri="{28A0092B-C50C-407E-A947-70E740481C1C}"/>
                      </a:extLst>
                    </a:blip>
                    <a:srcRect/>
                    <a:stretch>
                      <a:fillRect/>
                    </a:stretch>
                  </pic:blipFill>
                  <pic:spPr bwMode="auto">
                    <a:xfrm>
                      <a:off x="0" y="0"/>
                      <a:ext cx="2162175" cy="8890"/>
                    </a:xfrm>
                    <a:prstGeom prst="rect">
                      <a:avLst/>
                    </a:prstGeom>
                    <a:noFill/>
                  </pic:spPr>
                </pic:pic>
              </a:graphicData>
            </a:graphic>
          </wp:anchor>
        </w:drawing>
      </w:r>
    </w:p>
    <w:p>
      <w:pPr>
        <w:spacing w:after="0" w:line="302" w:lineRule="exact"/>
        <w:rPr>
          <w:sz w:val="20"/>
          <w:szCs w:val="20"/>
          <w:color w:val="auto"/>
        </w:rPr>
      </w:pPr>
    </w:p>
    <w:p>
      <w:pPr>
        <w:jc w:val="center"/>
        <w:ind w:right="160"/>
        <w:spacing w:after="0"/>
        <w:tabs>
          <w:tab w:leader="none" w:pos="180" w:val="left"/>
        </w:tabs>
        <w:rPr>
          <w:sz w:val="20"/>
          <w:szCs w:val="20"/>
          <w:color w:val="auto"/>
        </w:rPr>
      </w:pPr>
      <w:r>
        <w:rPr>
          <w:rFonts w:ascii="Arial" w:cs="Arial" w:eastAsia="Arial" w:hAnsi="Arial"/>
          <w:sz w:val="19"/>
          <w:szCs w:val="19"/>
          <w:color w:val="131313"/>
        </w:rPr>
        <w:t>Employer:</w:t>
      </w:r>
      <w:r>
        <w:rPr>
          <w:sz w:val="20"/>
          <w:szCs w:val="20"/>
          <w:color w:val="auto"/>
        </w:rPr>
        <w:tab/>
      </w:r>
      <w:r>
        <w:rPr>
          <w:rFonts w:ascii="Arial" w:cs="Arial" w:eastAsia="Arial" w:hAnsi="Arial"/>
          <w:sz w:val="17"/>
          <w:szCs w:val="17"/>
          <w:color w:val="131313"/>
        </w:rPr>
        <w:t>EchoStar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3362960</wp:posOffset>
            </wp:positionH>
            <wp:positionV relativeFrom="paragraph">
              <wp:posOffset>-12700</wp:posOffset>
            </wp:positionV>
            <wp:extent cx="12001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48" w:lineRule="exact"/>
        <w:rPr>
          <w:sz w:val="20"/>
          <w:szCs w:val="20"/>
          <w:color w:val="auto"/>
        </w:rPr>
      </w:pPr>
    </w:p>
    <w:p>
      <w:pPr>
        <w:ind w:left="200" w:hanging="26"/>
        <w:spacing w:after="0" w:line="291" w:lineRule="auto"/>
        <w:rPr>
          <w:sz w:val="20"/>
          <w:szCs w:val="20"/>
          <w:color w:val="auto"/>
        </w:rPr>
      </w:pPr>
      <w:r>
        <w:rPr>
          <w:rFonts w:ascii="Arial" w:cs="Arial" w:eastAsia="Arial" w:hAnsi="Arial"/>
          <w:sz w:val="19"/>
          <w:szCs w:val="19"/>
          <w:color w:val="131313"/>
        </w:rPr>
        <w:t>(Note: These execution pages are to be completed in the event the Employer modifies any prior election(s) or makes a new election(s) in this Adoption Agreement. Attach the amended page(s) of the Adoption Agreement to these execution pages.)</w:t>
      </w:r>
    </w:p>
    <w:p>
      <w:pPr>
        <w:spacing w:after="0" w:line="186"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131313"/>
        </w:rPr>
        <w:t>The following section(s) of the Plan are hereby amended effective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90" w:type="dxa"/>
        <w:tblCellMar>
          <w:top w:w="0" w:type="dxa"/>
          <w:left w:w="0" w:type="dxa"/>
          <w:bottom w:w="0" w:type="dxa"/>
          <w:right w:w="0" w:type="dxa"/>
        </w:tblCellMar>
      </w:tblPr>
      <w:tr>
        <w:trPr>
          <w:trHeight w:val="259"/>
        </w:trPr>
        <w:tc>
          <w:tcPr>
            <w:tcW w:w="67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color w:val="131313"/>
                <w:w w:val="90"/>
              </w:rPr>
              <w:t>Section Amended</w:t>
            </w:r>
          </w:p>
        </w:tc>
        <w:tc>
          <w:tcPr>
            <w:tcW w:w="3620" w:type="dxa"/>
            <w:vAlign w:val="bottom"/>
            <w:tcBorders>
              <w:top w:val="single" w:sz="8" w:color="auto"/>
              <w:right w:val="single" w:sz="8" w:color="auto"/>
            </w:tcBorders>
          </w:tcPr>
          <w:p>
            <w:pPr>
              <w:jc w:val="right"/>
              <w:ind w:right="1525"/>
              <w:spacing w:after="0"/>
              <w:rPr>
                <w:sz w:val="20"/>
                <w:szCs w:val="20"/>
                <w:color w:val="auto"/>
              </w:rPr>
            </w:pPr>
            <w:r>
              <w:rPr>
                <w:rFonts w:ascii="Arial" w:cs="Arial" w:eastAsia="Arial" w:hAnsi="Arial"/>
                <w:sz w:val="19"/>
                <w:szCs w:val="19"/>
                <w:color w:val="131313"/>
              </w:rPr>
              <w:t>Effective Date</w:t>
            </w:r>
          </w:p>
        </w:tc>
      </w:tr>
      <w:tr>
        <w:trPr>
          <w:trHeight w:val="25"/>
        </w:trPr>
        <w:tc>
          <w:tcPr>
            <w:tcW w:w="678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39"/>
        </w:trPr>
        <w:tc>
          <w:tcPr>
            <w:tcW w:w="6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9"/>
                <w:szCs w:val="19"/>
                <w:color w:val="131313"/>
                <w:w w:val="91"/>
              </w:rPr>
              <w:t>l .05(a)</w:t>
            </w:r>
          </w:p>
        </w:tc>
        <w:tc>
          <w:tcPr>
            <w:tcW w:w="3620" w:type="dxa"/>
            <w:vAlign w:val="bottom"/>
            <w:tcBorders>
              <w:right w:val="single" w:sz="8" w:color="auto"/>
            </w:tcBorders>
          </w:tcPr>
          <w:p>
            <w:pPr>
              <w:jc w:val="right"/>
              <w:ind w:right="1325"/>
              <w:spacing w:after="0"/>
              <w:rPr>
                <w:sz w:val="20"/>
                <w:szCs w:val="20"/>
                <w:color w:val="auto"/>
              </w:rPr>
            </w:pPr>
            <w:r>
              <w:rPr>
                <w:rFonts w:ascii="Arial" w:cs="Arial" w:eastAsia="Arial" w:hAnsi="Arial"/>
                <w:sz w:val="19"/>
                <w:szCs w:val="19"/>
                <w:color w:val="131313"/>
              </w:rPr>
              <w:t>11/1/2018</w:t>
            </w:r>
          </w:p>
        </w:tc>
      </w:tr>
      <w:tr>
        <w:trPr>
          <w:trHeight w:val="25"/>
        </w:trPr>
        <w:tc>
          <w:tcPr>
            <w:tcW w:w="678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345"/>
        </w:trPr>
        <w:tc>
          <w:tcPr>
            <w:tcW w:w="6780" w:type="dxa"/>
            <w:vAlign w:val="bottom"/>
            <w:tcBorders>
              <w:left w:val="single" w:sz="8" w:color="auto"/>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345"/>
        </w:trPr>
        <w:tc>
          <w:tcPr>
            <w:tcW w:w="6780" w:type="dxa"/>
            <w:vAlign w:val="bottom"/>
            <w:tcBorders>
              <w:left w:val="single" w:sz="8" w:color="auto"/>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0" w:lineRule="exact"/>
        <w:rPr>
          <w:sz w:val="20"/>
          <w:szCs w:val="20"/>
          <w:color w:val="auto"/>
        </w:rPr>
      </w:pPr>
    </w:p>
    <w:p>
      <w:pPr>
        <w:ind w:left="880"/>
        <w:spacing w:after="0"/>
        <w:rPr>
          <w:sz w:val="20"/>
          <w:szCs w:val="20"/>
          <w:color w:val="auto"/>
        </w:rPr>
      </w:pPr>
      <w:r>
        <w:rPr>
          <w:rFonts w:ascii="Arial" w:cs="Arial" w:eastAsia="Arial" w:hAnsi="Arial"/>
          <w:sz w:val="19"/>
          <w:szCs w:val="19"/>
          <w:color w:val="131313"/>
        </w:rPr>
        <w:t>IN WITNESS WHEREOF, the Employer has caused this Amendment to be executed on the date below.</w:t>
      </w:r>
    </w:p>
    <w:p>
      <w:pPr>
        <w:spacing w:after="0" w:line="214" w:lineRule="exact"/>
        <w:rPr>
          <w:sz w:val="20"/>
          <w:szCs w:val="20"/>
          <w:color w:val="auto"/>
        </w:rPr>
      </w:pPr>
    </w:p>
    <w:p>
      <w:pPr>
        <w:ind w:left="4540"/>
        <w:spacing w:after="0"/>
        <w:tabs>
          <w:tab w:leader="none" w:pos="5520" w:val="left"/>
        </w:tabs>
        <w:rPr>
          <w:sz w:val="20"/>
          <w:szCs w:val="20"/>
          <w:color w:val="auto"/>
        </w:rPr>
      </w:pPr>
      <w:r>
        <w:rPr>
          <w:rFonts w:ascii="Arial" w:cs="Arial" w:eastAsia="Arial" w:hAnsi="Arial"/>
          <w:sz w:val="19"/>
          <w:szCs w:val="19"/>
          <w:color w:val="131313"/>
        </w:rPr>
        <w:t>Employer:</w:t>
      </w:r>
      <w:r>
        <w:rPr>
          <w:sz w:val="20"/>
          <w:szCs w:val="20"/>
          <w:color w:val="auto"/>
        </w:rPr>
        <w:tab/>
      </w:r>
      <w:r>
        <w:rPr>
          <w:rFonts w:ascii="Arial" w:cs="Arial" w:eastAsia="Arial" w:hAnsi="Arial"/>
          <w:sz w:val="17"/>
          <w:szCs w:val="17"/>
          <w:u w:val="single" w:color="auto"/>
          <w:color w:val="131313"/>
        </w:rPr>
        <w:t>EchoStar Corporation</w:t>
      </w:r>
    </w:p>
    <w:p>
      <w:pPr>
        <w:spacing w:after="0" w:line="214"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9"/>
          <w:szCs w:val="19"/>
          <w:color w:val="131313"/>
        </w:rPr>
        <w:t>By:</w:t>
      </w:r>
      <w:r>
        <w:rPr>
          <w:sz w:val="20"/>
          <w:szCs w:val="20"/>
          <w:color w:val="auto"/>
        </w:rPr>
        <w:tab/>
      </w:r>
      <w:r>
        <w:rPr>
          <w:rFonts w:ascii="Arial" w:cs="Arial" w:eastAsia="Arial" w:hAnsi="Arial"/>
          <w:sz w:val="17"/>
          <w:szCs w:val="17"/>
          <w:color w:val="auto"/>
        </w:rPr>
        <w:t>Michelle Pearre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-12700</wp:posOffset>
            </wp:positionV>
            <wp:extent cx="8832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6">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40" w:lineRule="exact"/>
        <w:rPr>
          <w:sz w:val="20"/>
          <w:szCs w:val="20"/>
          <w:color w:val="auto"/>
        </w:rPr>
      </w:pPr>
    </w:p>
    <w:p>
      <w:pPr>
        <w:ind w:left="4540"/>
        <w:spacing w:after="0"/>
        <w:tabs>
          <w:tab w:leader="none" w:pos="5120" w:val="left"/>
        </w:tabs>
        <w:rPr>
          <w:sz w:val="20"/>
          <w:szCs w:val="20"/>
          <w:color w:val="auto"/>
        </w:rPr>
      </w:pPr>
      <w:r>
        <w:rPr>
          <w:rFonts w:ascii="Arial" w:cs="Arial" w:eastAsia="Arial" w:hAnsi="Arial"/>
          <w:sz w:val="19"/>
          <w:szCs w:val="19"/>
          <w:color w:val="131313"/>
        </w:rPr>
        <w:t>Title:</w:t>
      </w:r>
      <w:r>
        <w:rPr>
          <w:sz w:val="20"/>
          <w:szCs w:val="20"/>
          <w:color w:val="auto"/>
        </w:rPr>
        <w:tab/>
      </w:r>
      <w:r>
        <w:rPr>
          <w:rFonts w:ascii="Arial" w:cs="Arial" w:eastAsia="Arial" w:hAnsi="Arial"/>
          <w:sz w:val="16"/>
          <w:szCs w:val="16"/>
          <w:u w:val="single" w:color="auto"/>
          <w:color w:val="131313"/>
        </w:rPr>
        <w:t>Senior Vice President. Human Resources</w:t>
      </w:r>
    </w:p>
    <w:p>
      <w:pPr>
        <w:spacing w:after="0" w:line="214" w:lineRule="exact"/>
        <w:rPr>
          <w:sz w:val="20"/>
          <w:szCs w:val="20"/>
          <w:color w:val="auto"/>
        </w:rPr>
      </w:pPr>
    </w:p>
    <w:p>
      <w:pPr>
        <w:ind w:left="4540"/>
        <w:spacing w:after="0"/>
        <w:tabs>
          <w:tab w:leader="none" w:pos="5120" w:val="left"/>
        </w:tabs>
        <w:rPr>
          <w:sz w:val="20"/>
          <w:szCs w:val="20"/>
          <w:color w:val="auto"/>
        </w:rPr>
      </w:pPr>
      <w:r>
        <w:rPr>
          <w:rFonts w:ascii="Arial" w:cs="Arial" w:eastAsia="Arial" w:hAnsi="Arial"/>
          <w:sz w:val="19"/>
          <w:szCs w:val="19"/>
          <w:color w:val="131313"/>
        </w:rPr>
        <w:t>Date:</w:t>
      </w:r>
      <w:r>
        <w:rPr>
          <w:sz w:val="20"/>
          <w:szCs w:val="20"/>
          <w:color w:val="auto"/>
        </w:rPr>
        <w:tab/>
      </w:r>
      <w:r>
        <w:rPr>
          <w:rFonts w:ascii="Arial" w:cs="Arial" w:eastAsia="Arial" w:hAnsi="Arial"/>
          <w:sz w:val="17"/>
          <w:szCs w:val="17"/>
          <w:color w:val="131313"/>
        </w:rPr>
        <w:t>10/8/2018</w:t>
      </w:r>
    </w:p>
    <w:p>
      <w:pPr>
        <w:spacing w:after="0" w:line="200" w:lineRule="exact"/>
        <w:rPr>
          <w:sz w:val="20"/>
          <w:szCs w:val="20"/>
          <w:color w:val="auto"/>
        </w:rPr>
      </w:pPr>
    </w:p>
    <w:p>
      <w:pPr>
        <w:spacing w:after="0" w:line="234" w:lineRule="exact"/>
        <w:rPr>
          <w:sz w:val="20"/>
          <w:szCs w:val="20"/>
          <w:color w:val="auto"/>
        </w:rPr>
      </w:pPr>
    </w:p>
    <w:p>
      <w:pPr>
        <w:spacing w:after="0"/>
        <w:tabs>
          <w:tab w:leader="none" w:pos="1760" w:val="left"/>
        </w:tabs>
        <w:rPr>
          <w:sz w:val="20"/>
          <w:szCs w:val="20"/>
          <w:color w:val="auto"/>
        </w:rPr>
      </w:pPr>
      <w:r>
        <w:rPr>
          <w:rFonts w:ascii="Arial" w:cs="Arial" w:eastAsia="Arial" w:hAnsi="Arial"/>
          <w:sz w:val="17"/>
          <w:szCs w:val="17"/>
          <w:color w:val="0E0E0E"/>
        </w:rPr>
        <w:t>Plan Number: 4431</w:t>
      </w:r>
      <w:r>
        <w:rPr>
          <w:rFonts w:ascii="Arial" w:cs="Arial" w:eastAsia="Arial" w:hAnsi="Arial"/>
          <w:sz w:val="17"/>
          <w:szCs w:val="17"/>
          <w:color w:val="424242"/>
        </w:rPr>
        <w:t>7</w:t>
      </w:r>
      <w:r>
        <w:rPr>
          <w:sz w:val="20"/>
          <w:szCs w:val="20"/>
          <w:color w:val="auto"/>
        </w:rPr>
        <w:tab/>
      </w:r>
      <w:r>
        <w:rPr>
          <w:rFonts w:ascii="Arial" w:cs="Arial" w:eastAsia="Arial" w:hAnsi="Arial"/>
          <w:sz w:val="16"/>
          <w:szCs w:val="16"/>
          <w:color w:val="0E0E0E"/>
        </w:rPr>
        <w:t>ECM NQ 2007 AA</w:t>
      </w:r>
    </w:p>
    <w:p>
      <w:pPr>
        <w:spacing w:after="0" w:line="2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0E0E0E"/>
        </w:rPr>
        <w:t>(07/2007)</w:t>
      </w:r>
      <w:r>
        <w:rPr>
          <w:sz w:val="20"/>
          <w:szCs w:val="20"/>
          <w:color w:val="auto"/>
        </w:rPr>
        <w:tab/>
      </w:r>
      <w:r>
        <w:rPr>
          <w:rFonts w:ascii="Arial" w:cs="Arial" w:eastAsia="Arial" w:hAnsi="Arial"/>
          <w:sz w:val="17"/>
          <w:szCs w:val="17"/>
          <w:color w:val="0E0E0E"/>
        </w:rPr>
        <w:t>10</w:t>
      </w:r>
      <w:r>
        <w:rPr>
          <w:rFonts w:ascii="Arial" w:cs="Arial" w:eastAsia="Arial" w:hAnsi="Arial"/>
          <w:sz w:val="17"/>
          <w:szCs w:val="17"/>
          <w:color w:val="6B6B6B"/>
        </w:rPr>
        <w:t>/</w:t>
      </w:r>
      <w:r>
        <w:rPr>
          <w:rFonts w:ascii="Arial" w:cs="Arial" w:eastAsia="Arial" w:hAnsi="Arial"/>
          <w:sz w:val="17"/>
          <w:szCs w:val="17"/>
          <w:color w:val="0E0E0E"/>
        </w:rPr>
        <w:t>8</w:t>
      </w:r>
      <w:r>
        <w:rPr>
          <w:rFonts w:ascii="Arial" w:cs="Arial" w:eastAsia="Arial" w:hAnsi="Arial"/>
          <w:sz w:val="17"/>
          <w:szCs w:val="17"/>
          <w:color w:val="6B6B6B"/>
        </w:rPr>
        <w:t>/</w:t>
      </w:r>
      <w:r>
        <w:rPr>
          <w:rFonts w:ascii="Arial" w:cs="Arial" w:eastAsia="Arial" w:hAnsi="Arial"/>
          <w:sz w:val="17"/>
          <w:szCs w:val="17"/>
          <w:color w:val="0E0E0E"/>
        </w:rPr>
        <w:t>2018</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Page 5</w:t>
      </w:r>
    </w:p>
    <w:p>
      <w:pPr>
        <w:spacing w:after="0" w:line="34" w:lineRule="exact"/>
        <w:rPr>
          <w:sz w:val="20"/>
          <w:szCs w:val="20"/>
          <w:color w:val="auto"/>
        </w:rPr>
      </w:pPr>
    </w:p>
    <w:p>
      <w:pPr>
        <w:ind w:left="4640" w:hanging="175"/>
        <w:spacing w:after="0"/>
        <w:tabs>
          <w:tab w:leader="none" w:pos="4640" w:val="left"/>
        </w:tabs>
        <w:numPr>
          <w:ilvl w:val="0"/>
          <w:numId w:val="55"/>
        </w:numPr>
        <w:rPr>
          <w:rFonts w:ascii="Arial" w:cs="Arial" w:eastAsia="Arial" w:hAnsi="Arial"/>
          <w:sz w:val="18"/>
          <w:szCs w:val="18"/>
          <w:color w:val="0E0E0E"/>
        </w:rPr>
      </w:pPr>
      <w:r>
        <w:rPr>
          <w:rFonts w:ascii="Arial" w:cs="Arial" w:eastAsia="Arial" w:hAnsi="Arial"/>
          <w:sz w:val="17"/>
          <w:szCs w:val="17"/>
          <w:color w:val="0E0E0E"/>
        </w:rPr>
        <w:t>2007 Fidelity Management &amp; Research Company</w:t>
      </w:r>
    </w:p>
    <w:p>
      <w:pPr>
        <w:sectPr>
          <w:pgSz w:w="11900" w:h="16838" w:orient="portrait"/>
          <w:cols w:equalWidth="0" w:num="1">
            <w:col w:w="11420"/>
          </w:cols>
          <w:pgMar w:left="240" w:top="387" w:right="239" w:bottom="1440" w:gutter="0" w:footer="0" w:header="0"/>
        </w:sectPr>
      </w:pPr>
    </w:p>
    <w:bookmarkStart w:id="119" w:name="page120"/>
    <w:bookmarkEnd w:id="119"/>
    <w:p>
      <w:pPr>
        <w:jc w:val="center"/>
        <w:ind w:right="-99"/>
        <w:spacing w:after="0"/>
        <w:rPr>
          <w:sz w:val="20"/>
          <w:szCs w:val="20"/>
          <w:color w:val="auto"/>
        </w:rPr>
      </w:pPr>
      <w:r>
        <w:rPr>
          <w:rFonts w:ascii="Arial" w:cs="Arial" w:eastAsia="Arial" w:hAnsi="Arial"/>
          <w:sz w:val="19"/>
          <w:szCs w:val="19"/>
          <w:color w:val="131313"/>
        </w:rPr>
        <w:t>AMENDMENT EXECUTION PAGE</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131313"/>
        </w:rPr>
        <w:t>(Employer's Copy)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40"/>
        <w:spacing w:after="0"/>
        <w:tabs>
          <w:tab w:leader="none" w:pos="180" w:val="left"/>
        </w:tabs>
        <w:rPr>
          <w:sz w:val="20"/>
          <w:szCs w:val="20"/>
          <w:color w:val="auto"/>
        </w:rPr>
      </w:pPr>
      <w:r>
        <w:rPr>
          <w:rFonts w:ascii="Arial" w:cs="Arial" w:eastAsia="Arial" w:hAnsi="Arial"/>
          <w:sz w:val="19"/>
          <w:szCs w:val="19"/>
          <w:color w:val="131313"/>
        </w:rPr>
        <w:t>Plan Name:</w:t>
      </w:r>
      <w:r>
        <w:rPr>
          <w:sz w:val="20"/>
          <w:szCs w:val="20"/>
          <w:color w:val="auto"/>
        </w:rPr>
        <w:tab/>
      </w:r>
      <w:r>
        <w:rPr>
          <w:rFonts w:ascii="Arial" w:cs="Arial" w:eastAsia="Arial" w:hAnsi="Arial"/>
          <w:sz w:val="17"/>
          <w:szCs w:val="17"/>
          <w:color w:val="131313"/>
        </w:rPr>
        <w:t>EchoStar Non-Qualified Plan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-12700</wp:posOffset>
            </wp:positionV>
            <wp:extent cx="21621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7">
                      <a:extLst>
                        <a:ext uri="{28A0092B-C50C-407E-A947-70E740481C1C}"/>
                      </a:extLst>
                    </a:blip>
                    <a:srcRect/>
                    <a:stretch>
                      <a:fillRect/>
                    </a:stretch>
                  </pic:blipFill>
                  <pic:spPr bwMode="auto">
                    <a:xfrm>
                      <a:off x="0" y="0"/>
                      <a:ext cx="2162175" cy="8890"/>
                    </a:xfrm>
                    <a:prstGeom prst="rect">
                      <a:avLst/>
                    </a:prstGeom>
                    <a:noFill/>
                  </pic:spPr>
                </pic:pic>
              </a:graphicData>
            </a:graphic>
          </wp:anchor>
        </w:drawing>
      </w:r>
    </w:p>
    <w:p>
      <w:pPr>
        <w:spacing w:after="0" w:line="302" w:lineRule="exact"/>
        <w:rPr>
          <w:sz w:val="20"/>
          <w:szCs w:val="20"/>
          <w:color w:val="auto"/>
        </w:rPr>
      </w:pPr>
    </w:p>
    <w:p>
      <w:pPr>
        <w:jc w:val="center"/>
        <w:ind w:right="140"/>
        <w:spacing w:after="0"/>
        <w:tabs>
          <w:tab w:leader="none" w:pos="160" w:val="left"/>
        </w:tabs>
        <w:rPr>
          <w:sz w:val="20"/>
          <w:szCs w:val="20"/>
          <w:color w:val="auto"/>
        </w:rPr>
      </w:pPr>
      <w:r>
        <w:rPr>
          <w:rFonts w:ascii="Arial" w:cs="Arial" w:eastAsia="Arial" w:hAnsi="Arial"/>
          <w:sz w:val="19"/>
          <w:szCs w:val="19"/>
          <w:color w:val="131313"/>
        </w:rPr>
        <w:t>Employer:</w:t>
      </w:r>
      <w:r>
        <w:rPr>
          <w:sz w:val="20"/>
          <w:szCs w:val="20"/>
          <w:color w:val="auto"/>
        </w:rPr>
        <w:tab/>
      </w:r>
      <w:r>
        <w:rPr>
          <w:rFonts w:ascii="Arial" w:cs="Arial" w:eastAsia="Arial" w:hAnsi="Arial"/>
          <w:sz w:val="17"/>
          <w:szCs w:val="17"/>
          <w:color w:val="131313"/>
        </w:rPr>
        <w:t>EchoStar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3367405</wp:posOffset>
            </wp:positionH>
            <wp:positionV relativeFrom="paragraph">
              <wp:posOffset>-12700</wp:posOffset>
            </wp:positionV>
            <wp:extent cx="12001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8">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234" w:lineRule="exact"/>
        <w:rPr>
          <w:sz w:val="20"/>
          <w:szCs w:val="20"/>
          <w:color w:val="auto"/>
        </w:rPr>
      </w:pPr>
    </w:p>
    <w:p>
      <w:pPr>
        <w:ind w:left="200"/>
        <w:spacing w:after="0" w:line="291" w:lineRule="auto"/>
        <w:rPr>
          <w:sz w:val="20"/>
          <w:szCs w:val="20"/>
          <w:color w:val="auto"/>
        </w:rPr>
      </w:pPr>
      <w:r>
        <w:rPr>
          <w:rFonts w:ascii="Arial" w:cs="Arial" w:eastAsia="Arial" w:hAnsi="Arial"/>
          <w:sz w:val="19"/>
          <w:szCs w:val="19"/>
          <w:color w:val="131313"/>
        </w:rPr>
        <w:t>(Note: These execution pages are to be completed in the event the Employer modifies any prior election(s) or makes a new election(s) in this Adoption Agreement. Attach the amended page(s) of the Adoption Agreement to these execution pages.)</w:t>
      </w:r>
    </w:p>
    <w:p>
      <w:pPr>
        <w:spacing w:after="0" w:line="200" w:lineRule="exact"/>
        <w:rPr>
          <w:sz w:val="20"/>
          <w:szCs w:val="20"/>
          <w:color w:val="auto"/>
        </w:rPr>
      </w:pPr>
    </w:p>
    <w:p>
      <w:pPr>
        <w:spacing w:after="0" w:line="394" w:lineRule="exact"/>
        <w:rPr>
          <w:sz w:val="20"/>
          <w:szCs w:val="20"/>
          <w:color w:val="auto"/>
        </w:rPr>
      </w:pPr>
    </w:p>
    <w:tbl>
      <w:tblPr>
        <w:tblLayout w:type="fixed"/>
        <w:tblInd w:w="90" w:type="dxa"/>
        <w:tblCellMar>
          <w:top w:w="0" w:type="dxa"/>
          <w:left w:w="0" w:type="dxa"/>
          <w:bottom w:w="0" w:type="dxa"/>
          <w:right w:w="0" w:type="dxa"/>
        </w:tblCellMar>
      </w:tblPr>
      <w:tr>
        <w:trPr>
          <w:trHeight w:val="259"/>
        </w:trPr>
        <w:tc>
          <w:tcPr>
            <w:tcW w:w="68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9"/>
                <w:szCs w:val="19"/>
                <w:color w:val="131313"/>
                <w:w w:val="90"/>
              </w:rPr>
              <w:t>Section Amended</w:t>
            </w:r>
          </w:p>
        </w:tc>
        <w:tc>
          <w:tcPr>
            <w:tcW w:w="3620" w:type="dxa"/>
            <w:vAlign w:val="bottom"/>
            <w:tcBorders>
              <w:top w:val="single" w:sz="8" w:color="auto"/>
              <w:right w:val="single" w:sz="8" w:color="auto"/>
            </w:tcBorders>
          </w:tcPr>
          <w:p>
            <w:pPr>
              <w:jc w:val="right"/>
              <w:ind w:right="1525"/>
              <w:spacing w:after="0"/>
              <w:rPr>
                <w:sz w:val="20"/>
                <w:szCs w:val="20"/>
                <w:color w:val="auto"/>
              </w:rPr>
            </w:pPr>
            <w:r>
              <w:rPr>
                <w:rFonts w:ascii="Arial" w:cs="Arial" w:eastAsia="Arial" w:hAnsi="Arial"/>
                <w:sz w:val="19"/>
                <w:szCs w:val="19"/>
                <w:color w:val="131313"/>
              </w:rPr>
              <w:t>Effective Date</w:t>
            </w:r>
          </w:p>
        </w:tc>
      </w:tr>
      <w:tr>
        <w:trPr>
          <w:trHeight w:val="25"/>
        </w:trPr>
        <w:tc>
          <w:tcPr>
            <w:tcW w:w="680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254"/>
        </w:trPr>
        <w:tc>
          <w:tcPr>
            <w:tcW w:w="6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131313"/>
                <w:w w:val="91"/>
              </w:rPr>
              <w:t>l.05(a)</w:t>
            </w:r>
          </w:p>
        </w:tc>
        <w:tc>
          <w:tcPr>
            <w:tcW w:w="3620" w:type="dxa"/>
            <w:vAlign w:val="bottom"/>
            <w:tcBorders>
              <w:right w:val="single" w:sz="8" w:color="auto"/>
            </w:tcBorders>
          </w:tcPr>
          <w:p>
            <w:pPr>
              <w:jc w:val="right"/>
              <w:ind w:right="1325"/>
              <w:spacing w:after="0"/>
              <w:rPr>
                <w:sz w:val="20"/>
                <w:szCs w:val="20"/>
                <w:color w:val="auto"/>
              </w:rPr>
            </w:pPr>
            <w:r>
              <w:rPr>
                <w:rFonts w:ascii="Arial" w:cs="Arial" w:eastAsia="Arial" w:hAnsi="Arial"/>
                <w:sz w:val="19"/>
                <w:szCs w:val="19"/>
                <w:color w:val="131313"/>
              </w:rPr>
              <w:t>11/1/2018</w:t>
            </w:r>
          </w:p>
        </w:tc>
      </w:tr>
      <w:tr>
        <w:trPr>
          <w:trHeight w:val="23"/>
        </w:trPr>
        <w:tc>
          <w:tcPr>
            <w:tcW w:w="6800" w:type="dxa"/>
            <w:vAlign w:val="bottom"/>
            <w:tcBorders>
              <w:left w:val="single" w:sz="8" w:color="auto"/>
              <w:bottom w:val="single" w:sz="8" w:color="auto"/>
              <w:right w:val="single" w:sz="8" w:color="auto"/>
            </w:tcBorders>
          </w:tcPr>
          <w:p>
            <w:pPr>
              <w:spacing w:after="0"/>
              <w:rPr>
                <w:sz w:val="2"/>
                <w:szCs w:val="2"/>
                <w:color w:val="auto"/>
              </w:rPr>
            </w:pPr>
          </w:p>
        </w:tc>
        <w:tc>
          <w:tcPr>
            <w:tcW w:w="3620" w:type="dxa"/>
            <w:vAlign w:val="bottom"/>
            <w:tcBorders>
              <w:bottom w:val="single" w:sz="8" w:color="auto"/>
              <w:right w:val="single" w:sz="8" w:color="auto"/>
            </w:tcBorders>
          </w:tcPr>
          <w:p>
            <w:pPr>
              <w:spacing w:after="0"/>
              <w:rPr>
                <w:sz w:val="2"/>
                <w:szCs w:val="2"/>
                <w:color w:val="auto"/>
              </w:rPr>
            </w:pPr>
          </w:p>
        </w:tc>
      </w:tr>
      <w:tr>
        <w:trPr>
          <w:trHeight w:val="345"/>
        </w:trPr>
        <w:tc>
          <w:tcPr>
            <w:tcW w:w="6800" w:type="dxa"/>
            <w:vAlign w:val="bottom"/>
            <w:tcBorders>
              <w:left w:val="single" w:sz="8" w:color="auto"/>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345"/>
        </w:trPr>
        <w:tc>
          <w:tcPr>
            <w:tcW w:w="6800" w:type="dxa"/>
            <w:vAlign w:val="bottom"/>
            <w:tcBorders>
              <w:left w:val="single" w:sz="8" w:color="auto"/>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r>
        <w:trPr>
          <w:trHeight w:val="345"/>
        </w:trPr>
        <w:tc>
          <w:tcPr>
            <w:tcW w:w="6800" w:type="dxa"/>
            <w:vAlign w:val="bottom"/>
            <w:tcBorders>
              <w:left w:val="single" w:sz="8" w:color="auto"/>
              <w:bottom w:val="single" w:sz="8" w:color="auto"/>
              <w:right w:val="single" w:sz="8" w:color="auto"/>
            </w:tcBorders>
          </w:tcPr>
          <w:p>
            <w:pPr>
              <w:spacing w:after="0"/>
              <w:rPr>
                <w:sz w:val="24"/>
                <w:szCs w:val="24"/>
                <w:color w:val="auto"/>
              </w:rPr>
            </w:pPr>
          </w:p>
        </w:tc>
        <w:tc>
          <w:tcPr>
            <w:tcW w:w="36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7" w:lineRule="exact"/>
        <w:rPr>
          <w:sz w:val="20"/>
          <w:szCs w:val="20"/>
          <w:color w:val="auto"/>
        </w:rPr>
      </w:pPr>
    </w:p>
    <w:p>
      <w:pPr>
        <w:ind w:left="880"/>
        <w:spacing w:after="0"/>
        <w:rPr>
          <w:sz w:val="20"/>
          <w:szCs w:val="20"/>
          <w:color w:val="auto"/>
        </w:rPr>
      </w:pPr>
      <w:r>
        <w:rPr>
          <w:rFonts w:ascii="Arial" w:cs="Arial" w:eastAsia="Arial" w:hAnsi="Arial"/>
          <w:sz w:val="19"/>
          <w:szCs w:val="19"/>
          <w:color w:val="131313"/>
        </w:rPr>
        <w:t>IN WITNESS WHEREOF, the Employer has caused this Amendment to be executed on the date below.</w:t>
      </w:r>
    </w:p>
    <w:p>
      <w:pPr>
        <w:spacing w:after="0" w:line="173" w:lineRule="exact"/>
        <w:rPr>
          <w:sz w:val="20"/>
          <w:szCs w:val="20"/>
          <w:color w:val="auto"/>
        </w:rPr>
      </w:pPr>
    </w:p>
    <w:p>
      <w:pPr>
        <w:ind w:left="4540"/>
        <w:spacing w:after="0"/>
        <w:tabs>
          <w:tab w:leader="none" w:pos="5520" w:val="left"/>
        </w:tabs>
        <w:rPr>
          <w:sz w:val="20"/>
          <w:szCs w:val="20"/>
          <w:color w:val="auto"/>
        </w:rPr>
      </w:pPr>
      <w:r>
        <w:rPr>
          <w:rFonts w:ascii="Arial" w:cs="Arial" w:eastAsia="Arial" w:hAnsi="Arial"/>
          <w:sz w:val="19"/>
          <w:szCs w:val="19"/>
          <w:color w:val="131313"/>
        </w:rPr>
        <w:t>Employer:</w:t>
      </w:r>
      <w:r>
        <w:rPr>
          <w:sz w:val="20"/>
          <w:szCs w:val="20"/>
          <w:color w:val="auto"/>
        </w:rPr>
        <w:tab/>
      </w:r>
      <w:r>
        <w:rPr>
          <w:rFonts w:ascii="Arial" w:cs="Arial" w:eastAsia="Arial" w:hAnsi="Arial"/>
          <w:sz w:val="17"/>
          <w:szCs w:val="17"/>
          <w:u w:val="single" w:color="auto"/>
          <w:color w:val="131313"/>
        </w:rPr>
        <w:t>EchoStar Corporation</w:t>
      </w:r>
    </w:p>
    <w:p>
      <w:pPr>
        <w:spacing w:after="0" w:line="214" w:lineRule="exact"/>
        <w:rPr>
          <w:sz w:val="20"/>
          <w:szCs w:val="20"/>
          <w:color w:val="auto"/>
        </w:rPr>
      </w:pPr>
    </w:p>
    <w:p>
      <w:pPr>
        <w:ind w:left="4540"/>
        <w:spacing w:after="0"/>
        <w:tabs>
          <w:tab w:leader="none" w:pos="4980" w:val="left"/>
        </w:tabs>
        <w:rPr>
          <w:sz w:val="20"/>
          <w:szCs w:val="20"/>
          <w:color w:val="auto"/>
        </w:rPr>
      </w:pPr>
      <w:r>
        <w:rPr>
          <w:rFonts w:ascii="Arial" w:cs="Arial" w:eastAsia="Arial" w:hAnsi="Arial"/>
          <w:sz w:val="19"/>
          <w:szCs w:val="19"/>
          <w:color w:val="131313"/>
        </w:rPr>
        <w:t>By:</w:t>
      </w:r>
      <w:r>
        <w:rPr>
          <w:sz w:val="20"/>
          <w:szCs w:val="20"/>
          <w:color w:val="auto"/>
        </w:rPr>
        <w:tab/>
      </w:r>
      <w:r>
        <w:rPr>
          <w:rFonts w:ascii="Arial" w:cs="Arial" w:eastAsia="Arial" w:hAnsi="Arial"/>
          <w:sz w:val="17"/>
          <w:szCs w:val="17"/>
          <w:color w:val="auto"/>
        </w:rPr>
        <w:t>Michelle Pearre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-12700</wp:posOffset>
            </wp:positionV>
            <wp:extent cx="8832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40" w:lineRule="exact"/>
        <w:rPr>
          <w:sz w:val="20"/>
          <w:szCs w:val="20"/>
          <w:color w:val="auto"/>
        </w:rPr>
      </w:pPr>
    </w:p>
    <w:p>
      <w:pPr>
        <w:ind w:left="4540"/>
        <w:spacing w:after="0"/>
        <w:tabs>
          <w:tab w:leader="none" w:pos="5120" w:val="left"/>
        </w:tabs>
        <w:rPr>
          <w:sz w:val="20"/>
          <w:szCs w:val="20"/>
          <w:color w:val="auto"/>
        </w:rPr>
      </w:pPr>
      <w:r>
        <w:rPr>
          <w:rFonts w:ascii="Arial" w:cs="Arial" w:eastAsia="Arial" w:hAnsi="Arial"/>
          <w:sz w:val="19"/>
          <w:szCs w:val="19"/>
          <w:color w:val="131313"/>
        </w:rPr>
        <w:t>Title:</w:t>
      </w:r>
      <w:r>
        <w:rPr>
          <w:sz w:val="20"/>
          <w:szCs w:val="20"/>
          <w:color w:val="auto"/>
        </w:rPr>
        <w:tab/>
      </w:r>
      <w:r>
        <w:rPr>
          <w:rFonts w:ascii="Arial" w:cs="Arial" w:eastAsia="Arial" w:hAnsi="Arial"/>
          <w:sz w:val="16"/>
          <w:szCs w:val="16"/>
          <w:u w:val="single" w:color="auto"/>
          <w:color w:val="131313"/>
        </w:rPr>
        <w:t>Senior Vice President. Human Resources</w:t>
      </w:r>
    </w:p>
    <w:p>
      <w:pPr>
        <w:spacing w:after="0" w:line="214" w:lineRule="exact"/>
        <w:rPr>
          <w:sz w:val="20"/>
          <w:szCs w:val="20"/>
          <w:color w:val="auto"/>
        </w:rPr>
      </w:pPr>
    </w:p>
    <w:p>
      <w:pPr>
        <w:ind w:left="4540"/>
        <w:spacing w:after="0"/>
        <w:tabs>
          <w:tab w:leader="none" w:pos="5120" w:val="left"/>
        </w:tabs>
        <w:rPr>
          <w:sz w:val="20"/>
          <w:szCs w:val="20"/>
          <w:color w:val="auto"/>
        </w:rPr>
      </w:pPr>
      <w:r>
        <w:rPr>
          <w:rFonts w:ascii="Arial" w:cs="Arial" w:eastAsia="Arial" w:hAnsi="Arial"/>
          <w:sz w:val="19"/>
          <w:szCs w:val="19"/>
          <w:color w:val="131313"/>
        </w:rPr>
        <w:t>Date:</w:t>
      </w:r>
      <w:r>
        <w:rPr>
          <w:sz w:val="20"/>
          <w:szCs w:val="20"/>
          <w:color w:val="auto"/>
        </w:rPr>
        <w:tab/>
      </w:r>
      <w:r>
        <w:rPr>
          <w:rFonts w:ascii="Arial" w:cs="Arial" w:eastAsia="Arial" w:hAnsi="Arial"/>
          <w:sz w:val="17"/>
          <w:szCs w:val="17"/>
          <w:color w:val="131313"/>
        </w:rPr>
        <w:t>10/8/2018</w:t>
      </w:r>
    </w:p>
    <w:p>
      <w:pPr>
        <w:spacing w:after="0" w:line="200" w:lineRule="exact"/>
        <w:rPr>
          <w:sz w:val="20"/>
          <w:szCs w:val="20"/>
          <w:color w:val="auto"/>
        </w:rPr>
      </w:pPr>
    </w:p>
    <w:p>
      <w:pPr>
        <w:spacing w:after="0" w:line="234" w:lineRule="exact"/>
        <w:rPr>
          <w:sz w:val="20"/>
          <w:szCs w:val="20"/>
          <w:color w:val="auto"/>
        </w:rPr>
      </w:pPr>
    </w:p>
    <w:p>
      <w:pPr>
        <w:spacing w:after="0"/>
        <w:tabs>
          <w:tab w:leader="none" w:pos="1760" w:val="left"/>
        </w:tabs>
        <w:rPr>
          <w:sz w:val="20"/>
          <w:szCs w:val="20"/>
          <w:color w:val="auto"/>
        </w:rPr>
      </w:pPr>
      <w:r>
        <w:rPr>
          <w:rFonts w:ascii="Arial" w:cs="Arial" w:eastAsia="Arial" w:hAnsi="Arial"/>
          <w:sz w:val="17"/>
          <w:szCs w:val="17"/>
          <w:color w:val="0E0E0E"/>
        </w:rPr>
        <w:t>Plan Number: 4431</w:t>
      </w:r>
      <w:r>
        <w:rPr>
          <w:rFonts w:ascii="Arial" w:cs="Arial" w:eastAsia="Arial" w:hAnsi="Arial"/>
          <w:sz w:val="17"/>
          <w:szCs w:val="17"/>
          <w:color w:val="424242"/>
        </w:rPr>
        <w:t>7</w:t>
      </w:r>
      <w:r>
        <w:rPr>
          <w:sz w:val="20"/>
          <w:szCs w:val="20"/>
          <w:color w:val="auto"/>
        </w:rPr>
        <w:tab/>
      </w:r>
      <w:r>
        <w:rPr>
          <w:rFonts w:ascii="Arial" w:cs="Arial" w:eastAsia="Arial" w:hAnsi="Arial"/>
          <w:sz w:val="16"/>
          <w:szCs w:val="16"/>
          <w:color w:val="0E0E0E"/>
        </w:rPr>
        <w:t>ECM NQ 2007 AA</w:t>
      </w:r>
    </w:p>
    <w:p>
      <w:pPr>
        <w:spacing w:after="0" w:line="21"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color w:val="0E0E0E"/>
        </w:rPr>
        <w:t>(07/2007)</w:t>
      </w:r>
      <w:r>
        <w:rPr>
          <w:sz w:val="20"/>
          <w:szCs w:val="20"/>
          <w:color w:val="auto"/>
        </w:rPr>
        <w:tab/>
      </w:r>
      <w:r>
        <w:rPr>
          <w:rFonts w:ascii="Arial" w:cs="Arial" w:eastAsia="Arial" w:hAnsi="Arial"/>
          <w:sz w:val="17"/>
          <w:szCs w:val="17"/>
          <w:color w:val="0E0E0E"/>
        </w:rPr>
        <w:t>10</w:t>
      </w:r>
      <w:r>
        <w:rPr>
          <w:rFonts w:ascii="Arial" w:cs="Arial" w:eastAsia="Arial" w:hAnsi="Arial"/>
          <w:sz w:val="17"/>
          <w:szCs w:val="17"/>
          <w:color w:val="6B6B6B"/>
        </w:rPr>
        <w:t>/</w:t>
      </w:r>
      <w:r>
        <w:rPr>
          <w:rFonts w:ascii="Arial" w:cs="Arial" w:eastAsia="Arial" w:hAnsi="Arial"/>
          <w:sz w:val="17"/>
          <w:szCs w:val="17"/>
          <w:color w:val="0E0E0E"/>
        </w:rPr>
        <w:t>8</w:t>
      </w:r>
      <w:r>
        <w:rPr>
          <w:rFonts w:ascii="Arial" w:cs="Arial" w:eastAsia="Arial" w:hAnsi="Arial"/>
          <w:sz w:val="17"/>
          <w:szCs w:val="17"/>
          <w:color w:val="6B6B6B"/>
        </w:rPr>
        <w:t>/</w:t>
      </w:r>
      <w:r>
        <w:rPr>
          <w:rFonts w:ascii="Arial" w:cs="Arial" w:eastAsia="Arial" w:hAnsi="Arial"/>
          <w:sz w:val="17"/>
          <w:szCs w:val="17"/>
          <w:color w:val="0E0E0E"/>
        </w:rPr>
        <w:t>2018</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Page 6</w:t>
      </w:r>
    </w:p>
    <w:p>
      <w:pPr>
        <w:spacing w:after="0" w:line="34" w:lineRule="exact"/>
        <w:rPr>
          <w:sz w:val="20"/>
          <w:szCs w:val="20"/>
          <w:color w:val="auto"/>
        </w:rPr>
      </w:pPr>
    </w:p>
    <w:p>
      <w:pPr>
        <w:ind w:left="4640" w:hanging="175"/>
        <w:spacing w:after="0"/>
        <w:tabs>
          <w:tab w:leader="none" w:pos="4640" w:val="left"/>
        </w:tabs>
        <w:numPr>
          <w:ilvl w:val="0"/>
          <w:numId w:val="56"/>
        </w:numPr>
        <w:rPr>
          <w:rFonts w:ascii="Arial" w:cs="Arial" w:eastAsia="Arial" w:hAnsi="Arial"/>
          <w:sz w:val="18"/>
          <w:szCs w:val="18"/>
          <w:color w:val="0E0E0E"/>
        </w:rPr>
      </w:pPr>
      <w:r>
        <w:rPr>
          <w:rFonts w:ascii="Arial" w:cs="Arial" w:eastAsia="Arial" w:hAnsi="Arial"/>
          <w:sz w:val="17"/>
          <w:szCs w:val="17"/>
          <w:color w:val="0E0E0E"/>
        </w:rPr>
        <w:t>2007 Fidelity Management &amp; Research Company</w:t>
      </w:r>
    </w:p>
    <w:p>
      <w:pPr>
        <w:sectPr>
          <w:pgSz w:w="11900" w:h="16838" w:orient="portrait"/>
          <w:cols w:equalWidth="0" w:num="1">
            <w:col w:w="11420"/>
          </w:cols>
          <w:pgMar w:left="240" w:top="41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280" w:hanging="272"/>
        <w:spacing w:after="0"/>
        <w:tabs>
          <w:tab w:leader="none" w:pos="2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Hughes Satellite Systems Corporation;</w:t>
      </w:r>
    </w:p>
    <w:p>
      <w:pPr>
        <w:spacing w:after="0" w:line="265" w:lineRule="exact"/>
        <w:rPr>
          <w:rFonts w:ascii="Arial" w:cs="Arial" w:eastAsia="Arial" w:hAnsi="Arial"/>
          <w:sz w:val="18"/>
          <w:szCs w:val="18"/>
          <w:color w:val="auto"/>
        </w:rPr>
      </w:pPr>
    </w:p>
    <w:p>
      <w:pPr>
        <w:ind w:right="440" w:firstLine="8"/>
        <w:spacing w:after="0" w:line="395" w:lineRule="auto"/>
        <w:tabs>
          <w:tab w:leader="none" w:pos="274"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40" w:firstLine="8"/>
        <w:spacing w:after="0" w:line="324" w:lineRule="auto"/>
        <w:tabs>
          <w:tab w:leader="none" w:pos="274"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280" w:hanging="272"/>
        <w:spacing w:after="0"/>
        <w:tabs>
          <w:tab w:leader="none" w:pos="2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680" w:hanging="348"/>
        <w:spacing w:after="0"/>
        <w:tabs>
          <w:tab w:leader="none" w:pos="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w:t>
      </w:r>
    </w:p>
    <w:p>
      <w:pPr>
        <w:spacing w:after="0" w:line="73"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680" w:hanging="348"/>
        <w:spacing w:after="0"/>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61"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40" w:hanging="328"/>
        <w:spacing w:after="0" w:line="357" w:lineRule="auto"/>
        <w:tabs>
          <w:tab w:leader="none" w:pos="696" w:val="left"/>
        </w:tabs>
        <w:numPr>
          <w:ilvl w:val="0"/>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80" w:hanging="348"/>
        <w:spacing w:after="0"/>
        <w:tabs>
          <w:tab w:leader="none" w:pos="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360" w:firstLine="8"/>
        <w:spacing w:after="0" w:line="357" w:lineRule="auto"/>
        <w:tabs>
          <w:tab w:leader="none" w:pos="27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60" w:right="420" w:hanging="328"/>
        <w:spacing w:after="0" w:line="324" w:lineRule="auto"/>
        <w:tabs>
          <w:tab w:leader="none" w:pos="68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right="20" w:hanging="328"/>
        <w:spacing w:after="0" w:line="324" w:lineRule="auto"/>
        <w:tabs>
          <w:tab w:leader="none" w:pos="69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2019</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President and Director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Hughes Satellite Systems Corporation;</w:t>
      </w:r>
    </w:p>
    <w:p>
      <w:pPr>
        <w:spacing w:after="0" w:line="265" w:lineRule="exact"/>
        <w:rPr>
          <w:rFonts w:ascii="Arial" w:cs="Arial" w:eastAsia="Arial" w:hAnsi="Arial"/>
          <w:sz w:val="18"/>
          <w:szCs w:val="18"/>
          <w:color w:val="auto"/>
        </w:rPr>
      </w:pPr>
    </w:p>
    <w:p>
      <w:pPr>
        <w:ind w:right="440" w:firstLine="8"/>
        <w:spacing w:after="0" w:line="395" w:lineRule="auto"/>
        <w:tabs>
          <w:tab w:leader="none" w:pos="328"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580" w:firstLine="8"/>
        <w:spacing w:after="0" w:line="324"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Designed such disclosure controls and procedures, or caused such disclosure controls and procedures to be designed under our supervision, to ensure</w:t>
      </w:r>
    </w:p>
    <w:p>
      <w:pPr>
        <w:spacing w:after="0" w:line="73" w:lineRule="exact"/>
        <w:rPr>
          <w:sz w:val="20"/>
          <w:szCs w:val="20"/>
          <w:color w:val="auto"/>
        </w:rPr>
      </w:pPr>
    </w:p>
    <w:p>
      <w:pPr>
        <w:ind w:left="660" w:right="540"/>
        <w:spacing w:after="0" w:line="277" w:lineRule="auto"/>
        <w:rPr>
          <w:sz w:val="20"/>
          <w:szCs w:val="20"/>
          <w:color w:val="auto"/>
        </w:rPr>
      </w:pPr>
      <w:r>
        <w:rPr>
          <w:rFonts w:ascii="Arial" w:cs="Arial" w:eastAsia="Arial" w:hAnsi="Arial"/>
          <w:sz w:val="18"/>
          <w:szCs w:val="18"/>
          <w:color w:val="auto"/>
        </w:rPr>
        <w:t>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  Designed such internal control over financial reporting, or caused such internal control over financial reporting to be designed under our supervision,</w:t>
      </w:r>
    </w:p>
    <w:p>
      <w:pPr>
        <w:spacing w:after="0" w:line="73"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120" w:hanging="328"/>
        <w:spacing w:after="0" w:line="357" w:lineRule="auto"/>
        <w:tabs>
          <w:tab w:leader="none" w:pos="615" w:val="left"/>
        </w:tabs>
        <w:numPr>
          <w:ilvl w:val="0"/>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600" w:hanging="268"/>
        <w:spacing w:after="0"/>
        <w:tabs>
          <w:tab w:leader="none" w:pos="6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w:t>
      </w:r>
    </w:p>
    <w:p>
      <w:pPr>
        <w:spacing w:after="0" w:line="7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320" w:firstLine="8"/>
        <w:spacing w:after="0" w:line="357" w:lineRule="auto"/>
        <w:tabs>
          <w:tab w:leader="none" w:pos="32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660" w:right="420" w:hanging="328"/>
        <w:spacing w:after="0" w:line="324" w:lineRule="auto"/>
        <w:tabs>
          <w:tab w:leader="none" w:pos="696"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660" w:hanging="328"/>
        <w:spacing w:after="0" w:line="324" w:lineRule="auto"/>
        <w:tabs>
          <w:tab w:leader="none" w:pos="706"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2019</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Operating Officer and Treasurer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connection with the annual report for the year ended December 31, 2018 on Form 10-K (the “Annual Report”), of Hughes Satellite Systems Corporation (the “Company”) as filed with the Securities and Exchange Commission on the date hereof, we, Michael T. Dugan and David J. Rayner, Chief Executive Officer and Chief Financial Officer, respectively, of the Company, certify, pursuant to 18 U.S.C. Section 1350, as adopted pursuant section 906 of the Sarbanes-Oxley Act of 2002, that to the best of our knowledge:</w:t>
      </w:r>
    </w:p>
    <w:p>
      <w:pPr>
        <w:spacing w:after="0" w:line="187" w:lineRule="exact"/>
        <w:rPr>
          <w:sz w:val="20"/>
          <w:szCs w:val="20"/>
          <w:color w:val="auto"/>
        </w:rPr>
      </w:pPr>
    </w:p>
    <w:p>
      <w:pPr>
        <w:ind w:left="820" w:right="160" w:hanging="488"/>
        <w:spacing w:after="0" w:line="324" w:lineRule="auto"/>
        <w:tabs>
          <w:tab w:leader="none" w:pos="8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Report fully complies with the requirements of Section 13(a) or Section 15(d), as applicable, of the Securities Exchange Act of 1934; and</w:t>
      </w:r>
    </w:p>
    <w:p>
      <w:pPr>
        <w:spacing w:after="0" w:line="129" w:lineRule="exact"/>
        <w:rPr>
          <w:rFonts w:ascii="Arial" w:cs="Arial" w:eastAsia="Arial" w:hAnsi="Arial"/>
          <w:sz w:val="18"/>
          <w:szCs w:val="18"/>
          <w:color w:val="auto"/>
        </w:rPr>
      </w:pPr>
    </w:p>
    <w:p>
      <w:pPr>
        <w:ind w:left="820" w:right="360" w:hanging="488"/>
        <w:spacing w:after="0" w:line="324" w:lineRule="auto"/>
        <w:tabs>
          <w:tab w:leader="none" w:pos="8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the Company.</w:t>
      </w: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February 21,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vMerge w:val="continue"/>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810"/>
        </w:trPr>
        <w:tc>
          <w:tcPr>
            <w:tcW w:w="1220" w:type="dxa"/>
            <w:vAlign w:val="bottom"/>
          </w:tcPr>
          <w:p>
            <w:pPr>
              <w:spacing w:after="0"/>
              <w:rPr>
                <w:sz w:val="24"/>
                <w:szCs w:val="24"/>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12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20" w:type="dxa"/>
            <w:vAlign w:val="bottom"/>
            <w:vMerge w:val="continue"/>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12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Chief</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Operating Officer and Treasurer</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45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Annual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Announces Financial Results for Three and Twelve Months Ended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200" w:lineRule="exact"/>
        <w:rPr>
          <w:sz w:val="20"/>
          <w:szCs w:val="20"/>
          <w:color w:val="auto"/>
        </w:rPr>
      </w:pP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Englewood, CO, February 21, 2019—</w:t>
      </w:r>
      <w:r>
        <w:rPr>
          <w:rFonts w:ascii="Arial" w:cs="Arial" w:eastAsia="Arial" w:hAnsi="Arial"/>
          <w:sz w:val="18"/>
          <w:szCs w:val="18"/>
          <w:color w:val="auto"/>
        </w:rPr>
        <w:t>EchoStar Corporation (NASDAQ: SATS) today announced its financial results for the three and twelve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December 31, 2018.</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December 31, 2018 Financial Highlights:</w:t>
      </w:r>
    </w:p>
    <w:p>
      <w:pPr>
        <w:spacing w:after="0" w:line="247"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Consolidated revenues of $531 million.</w:t>
      </w:r>
    </w:p>
    <w:p>
      <w:pPr>
        <w:spacing w:after="0" w:line="19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Consolidated net loss from continuing operations of $112 million, consolidated net loss attributable to EchoStar common stock of $112 million, and diluted loss per share of $1.17. Included in these amounts are net losses on investments of $46 million and a non-recurring impairment charge of $65 million. Excluding these items, diluted loss per share would have been $0.01.</w:t>
      </w:r>
    </w:p>
    <w:p>
      <w:pPr>
        <w:spacing w:after="0" w:line="17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Consolidated EBITDA of $85 million, including net losses on investments of $46 million and a non-recurring impairment charge of $65 million. Excluding these items, EBITDA would have been $196 million (see discussion and the reconciliation of GAAP to this non-GAAP measure below).</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Ended December 31, 2018 Financial Highlights:</w:t>
      </w:r>
    </w:p>
    <w:p>
      <w:pPr>
        <w:spacing w:after="0" w:line="24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Consolidated revenues of $2.1 billion.</w:t>
      </w:r>
    </w:p>
    <w:p>
      <w:pPr>
        <w:spacing w:after="0" w:line="198"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Consolidated net loss from continuing operations of $39 million, consolidated net loss attributable to EchoStar common stock of $40 million, and diluted loss per share of $0.42. Included in these amounts are net losses on investments of $12 million and a non-recurring impairment charge of $65 million. Excluding these items, diluted earnings per share would have been $0.38.</w:t>
      </w:r>
    </w:p>
    <w:p>
      <w:pPr>
        <w:spacing w:after="0" w:line="17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Consolidated EBITDA of $757 million, including net losses on investments of $12 million and a non-recurring impairment charge of $65 million. Excluding these items, EBITDA would have been $834 million (see discussion and the reconciliation of GAAP to this non-GAAP measure below).</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Highlights:</w:t>
      </w:r>
    </w:p>
    <w:p>
      <w:pPr>
        <w:spacing w:after="0" w:line="247"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$3.2 billion as of December 31, 2018.</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Approximately 1,361,000 Hughes broadband subscribers as of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124" w:name="page125"/>
    <w:bookmarkEnd w:id="124"/>
    <w:p>
      <w:pPr>
        <w:spacing w:after="0" w:line="262" w:lineRule="auto"/>
        <w:rPr>
          <w:sz w:val="20"/>
          <w:szCs w:val="20"/>
          <w:color w:val="auto"/>
        </w:rPr>
      </w:pPr>
      <w:r>
        <w:rPr>
          <w:rFonts w:ascii="Arial" w:cs="Arial" w:eastAsia="Arial" w:hAnsi="Arial"/>
          <w:sz w:val="18"/>
          <w:szCs w:val="18"/>
          <w:color w:val="auto"/>
        </w:rPr>
        <w:t>Set forth below is a table highlighting certain of EchoStar’s segment results for the three and twelve months ended December 31, 2018 and 2017:</w:t>
      </w:r>
    </w:p>
    <w:p>
      <w:pPr>
        <w:spacing w:after="0" w:line="116" w:lineRule="exact"/>
        <w:rPr>
          <w:sz w:val="20"/>
          <w:szCs w:val="20"/>
          <w:color w:val="auto"/>
        </w:rPr>
      </w:pPr>
    </w:p>
    <w:tbl>
      <w:tblPr>
        <w:tblLayout w:type="fixed"/>
        <w:tblInd w:w="156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For the Three Months</w:t>
            </w:r>
          </w:p>
        </w:tc>
        <w:tc>
          <w:tcPr>
            <w:tcW w:w="140" w:type="dxa"/>
            <w:vAlign w:val="bottom"/>
          </w:tcPr>
          <w:p>
            <w:pPr>
              <w:spacing w:after="0"/>
              <w:rPr>
                <w:sz w:val="17"/>
                <w:szCs w:val="17"/>
                <w:color w:val="auto"/>
              </w:rPr>
            </w:pPr>
          </w:p>
        </w:tc>
        <w:tc>
          <w:tcPr>
            <w:tcW w:w="210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For the Years</w:t>
            </w:r>
          </w:p>
        </w:tc>
        <w:tc>
          <w:tcPr>
            <w:tcW w:w="0" w:type="dxa"/>
            <w:vAlign w:val="bottom"/>
          </w:tcPr>
          <w:p>
            <w:pPr>
              <w:spacing w:after="0"/>
              <w:rPr>
                <w:sz w:val="1"/>
                <w:szCs w:val="1"/>
                <w:color w:val="auto"/>
              </w:rPr>
            </w:pPr>
          </w:p>
        </w:tc>
      </w:tr>
      <w:tr>
        <w:trPr>
          <w:trHeight w:val="246"/>
        </w:trPr>
        <w:tc>
          <w:tcPr>
            <w:tcW w:w="3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Ended December 31,</w:t>
            </w:r>
          </w:p>
        </w:tc>
        <w:tc>
          <w:tcPr>
            <w:tcW w:w="140" w:type="dxa"/>
            <w:vAlign w:val="bottom"/>
          </w:tcPr>
          <w:p>
            <w:pPr>
              <w:spacing w:after="0"/>
              <w:rPr>
                <w:sz w:val="21"/>
                <w:szCs w:val="21"/>
                <w:color w:val="auto"/>
              </w:rPr>
            </w:pPr>
          </w:p>
        </w:tc>
        <w:tc>
          <w:tcPr>
            <w:tcW w:w="21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Ended December 31,</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5"/>
          </w:tcPr>
          <w:p>
            <w:pPr>
              <w:ind w:left="3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Hughes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444,642</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405,775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1,716,528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1,477,918</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EchoStar Satellite Services</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81,873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96,459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358,058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392,244</w:t>
            </w:r>
          </w:p>
        </w:tc>
        <w:tc>
          <w:tcPr>
            <w:tcW w:w="0" w:type="dxa"/>
            <w:vAlign w:val="bottom"/>
          </w:tcPr>
          <w:p>
            <w:pPr>
              <w:spacing w:after="0"/>
              <w:rPr>
                <w:sz w:val="1"/>
                <w:szCs w:val="1"/>
                <w:color w:val="auto"/>
              </w:rPr>
            </w:pPr>
          </w:p>
        </w:tc>
      </w:tr>
      <w:tr>
        <w:trPr>
          <w:trHeight w:val="277"/>
        </w:trPr>
        <w:tc>
          <w:tcPr>
            <w:tcW w:w="3740" w:type="dxa"/>
            <w:vAlign w:val="bottom"/>
          </w:tcPr>
          <w:p>
            <w:pPr>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16,777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15,346</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530,661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506,048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2,091,363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1,885,508</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EBITDA</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Hughes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148,337</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132,529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601,319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475,222</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EchoStar Satellite Services</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69,269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73,412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308,058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315,285</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Corporate and Other:</w:t>
            </w: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Corporate overhead, operating and other</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(63,168)</w:t>
            </w:r>
          </w:p>
        </w:tc>
        <w:tc>
          <w:tcPr>
            <w:tcW w:w="0" w:type="dxa"/>
            <w:vAlign w:val="bottom"/>
          </w:tcPr>
          <w:p>
            <w:pPr>
              <w:spacing w:after="0"/>
              <w:rPr>
                <w:sz w:val="1"/>
                <w:szCs w:val="1"/>
                <w:color w:val="auto"/>
              </w:rPr>
            </w:pPr>
          </w:p>
        </w:tc>
      </w:tr>
      <w:tr>
        <w:trPr>
          <w:trHeight w:val="242"/>
        </w:trPr>
        <w:tc>
          <w:tcPr>
            <w:tcW w:w="3740" w:type="dxa"/>
            <w:vAlign w:val="bottom"/>
          </w:tcPr>
          <w:p>
            <w:pPr>
              <w:ind w:left="140"/>
              <w:spacing w:after="0"/>
              <w:rPr>
                <w:sz w:val="20"/>
                <w:szCs w:val="20"/>
                <w:color w:val="auto"/>
              </w:rPr>
            </w:pPr>
            <w:r>
              <w:rPr>
                <w:rFonts w:ascii="Arial" w:cs="Arial" w:eastAsia="Arial" w:hAnsi="Arial"/>
                <w:sz w:val="18"/>
                <w:szCs w:val="18"/>
                <w:color w:val="auto"/>
              </w:rPr>
              <w:t>Equity in earnings (losses) of</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740" w:type="dxa"/>
            <w:vAlign w:val="bottom"/>
          </w:tcPr>
          <w:p>
            <w:pPr>
              <w:ind w:left="140"/>
              <w:spacing w:after="0"/>
              <w:rPr>
                <w:sz w:val="20"/>
                <w:szCs w:val="20"/>
                <w:color w:val="auto"/>
              </w:rPr>
            </w:pPr>
            <w:r>
              <w:rPr>
                <w:rFonts w:ascii="Arial" w:cs="Arial" w:eastAsia="Arial" w:hAnsi="Arial"/>
                <w:sz w:val="18"/>
                <w:szCs w:val="18"/>
                <w:color w:val="auto"/>
              </w:rPr>
              <w:t>unconsolidated affiliates, net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16,973</w:t>
            </w:r>
          </w:p>
        </w:tc>
        <w:tc>
          <w:tcPr>
            <w:tcW w:w="0" w:type="dxa"/>
            <w:vAlign w:val="bottom"/>
          </w:tcPr>
          <w:p>
            <w:pPr>
              <w:spacing w:after="0"/>
              <w:rPr>
                <w:sz w:val="1"/>
                <w:szCs w:val="1"/>
                <w:color w:val="auto"/>
              </w:rPr>
            </w:pPr>
          </w:p>
        </w:tc>
      </w:tr>
      <w:tr>
        <w:trPr>
          <w:trHeight w:val="270"/>
        </w:trPr>
        <w:tc>
          <w:tcPr>
            <w:tcW w:w="3740" w:type="dxa"/>
            <w:vAlign w:val="bottom"/>
          </w:tcPr>
          <w:p>
            <w:pPr>
              <w:ind w:left="140"/>
              <w:spacing w:after="0"/>
              <w:rPr>
                <w:sz w:val="20"/>
                <w:szCs w:val="20"/>
                <w:color w:val="auto"/>
              </w:rPr>
            </w:pPr>
            <w:r>
              <w:rPr>
                <w:rFonts w:ascii="Arial" w:cs="Arial" w:eastAsia="Arial" w:hAnsi="Arial"/>
                <w:sz w:val="18"/>
                <w:szCs w:val="18"/>
                <w:color w:val="auto"/>
              </w:rPr>
              <w:t>Gains (losses) on investments, net</w:t>
            </w:r>
          </w:p>
        </w:tc>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22,789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55,027</w:t>
            </w:r>
          </w:p>
        </w:tc>
        <w:tc>
          <w:tcPr>
            <w:tcW w:w="0" w:type="dxa"/>
            <w:vAlign w:val="bottom"/>
          </w:tcPr>
          <w:p>
            <w:pPr>
              <w:spacing w:after="0"/>
              <w:rPr>
                <w:sz w:val="1"/>
                <w:szCs w:val="1"/>
                <w:color w:val="auto"/>
              </w:rPr>
            </w:pPr>
          </w:p>
        </w:tc>
      </w:tr>
      <w:tr>
        <w:trPr>
          <w:trHeight w:val="277"/>
        </w:trPr>
        <w:tc>
          <w:tcPr>
            <w:tcW w:w="3740" w:type="dxa"/>
            <w:vAlign w:val="bottom"/>
          </w:tcPr>
          <w:p>
            <w:pPr>
              <w:ind w:left="180"/>
              <w:spacing w:after="0"/>
              <w:rPr>
                <w:sz w:val="20"/>
                <w:szCs w:val="20"/>
                <w:color w:val="auto"/>
              </w:rPr>
            </w:pPr>
            <w:r>
              <w:rPr>
                <w:rFonts w:ascii="Arial" w:cs="Arial" w:eastAsia="Arial" w:hAnsi="Arial"/>
                <w:sz w:val="18"/>
                <w:szCs w:val="18"/>
                <w:color w:val="auto"/>
              </w:rPr>
              <w:t>Impairment of long lived assets</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(65,220)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50"/>
        </w:trPr>
        <w:tc>
          <w:tcPr>
            <w:tcW w:w="3740" w:type="dxa"/>
            <w:vAlign w:val="bottom"/>
          </w:tcPr>
          <w:p>
            <w:pPr>
              <w:ind w:left="240"/>
              <w:spacing w:after="0"/>
              <w:rPr>
                <w:sz w:val="20"/>
                <w:szCs w:val="20"/>
                <w:color w:val="auto"/>
              </w:rPr>
            </w:pPr>
            <w:r>
              <w:rPr>
                <w:rFonts w:ascii="Arial" w:cs="Arial" w:eastAsia="Arial" w:hAnsi="Arial"/>
                <w:sz w:val="18"/>
                <w:szCs w:val="18"/>
                <w:color w:val="auto"/>
              </w:rPr>
              <w:t>Sub-total</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(132,588)</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(152,708)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206,539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756,669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794,577</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Net income (loss) from continuing</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740" w:type="dxa"/>
            <w:vAlign w:val="bottom"/>
          </w:tcPr>
          <w:p>
            <w:pPr>
              <w:spacing w:after="0"/>
              <w:rPr>
                <w:sz w:val="20"/>
                <w:szCs w:val="20"/>
                <w:color w:val="auto"/>
              </w:rPr>
            </w:pPr>
            <w:r>
              <w:rPr>
                <w:rFonts w:ascii="Arial" w:cs="Arial" w:eastAsia="Arial" w:hAnsi="Arial"/>
                <w:sz w:val="18"/>
                <w:szCs w:val="18"/>
                <w:b w:val="1"/>
                <w:bCs w:val="1"/>
                <w:color w:val="auto"/>
              </w:rPr>
              <w:t>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(111,648)</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311,759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(38,633)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384,980</w:t>
            </w:r>
          </w:p>
        </w:tc>
        <w:tc>
          <w:tcPr>
            <w:tcW w:w="0" w:type="dxa"/>
            <w:vAlign w:val="bottom"/>
          </w:tcPr>
          <w:p>
            <w:pPr>
              <w:spacing w:after="0"/>
              <w:rPr>
                <w:sz w:val="1"/>
                <w:szCs w:val="1"/>
                <w:color w:val="auto"/>
              </w:rPr>
            </w:pPr>
          </w:p>
        </w:tc>
      </w:tr>
      <w:tr>
        <w:trPr>
          <w:trHeight w:val="277"/>
        </w:trPr>
        <w:tc>
          <w:tcPr>
            <w:tcW w:w="3740" w:type="dxa"/>
            <w:vAlign w:val="bottom"/>
          </w:tcPr>
          <w:p>
            <w:pPr>
              <w:spacing w:after="0"/>
              <w:rPr>
                <w:sz w:val="20"/>
                <w:szCs w:val="20"/>
                <w:color w:val="auto"/>
              </w:rPr>
            </w:pPr>
            <w:r>
              <w:rPr>
                <w:rFonts w:ascii="Arial" w:cs="Arial" w:eastAsia="Arial" w:hAnsi="Arial"/>
                <w:sz w:val="18"/>
                <w:szCs w:val="18"/>
                <w:b w:val="1"/>
                <w:bCs w:val="1"/>
                <w:color w:val="auto"/>
              </w:rPr>
              <w:t>Net income from discontinued operations</w:t>
            </w:r>
          </w:p>
        </w:tc>
        <w:tc>
          <w:tcPr>
            <w:tcW w:w="16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8,509</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(111,648)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313,814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(38,633)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393,489</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Expenditures for property and equipment</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740" w:type="dxa"/>
            <w:vAlign w:val="bottom"/>
          </w:tcPr>
          <w:p>
            <w:pPr>
              <w:spacing w:after="0"/>
              <w:rPr>
                <w:sz w:val="20"/>
                <w:szCs w:val="20"/>
                <w:color w:val="auto"/>
              </w:rPr>
            </w:pPr>
            <w:r>
              <w:rPr>
                <w:rFonts w:ascii="Arial" w:cs="Arial" w:eastAsia="Arial" w:hAnsi="Arial"/>
                <w:sz w:val="18"/>
                <w:szCs w:val="18"/>
                <w:b w:val="1"/>
                <w:bCs w:val="1"/>
                <w:color w:val="auto"/>
              </w:rPr>
              <w:t>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139,888</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156,239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477,617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566,384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GAAP to non-GAAP measurements.</w:t>
      </w:r>
    </w:p>
    <w:p>
      <w:pPr>
        <w:sectPr>
          <w:pgSz w:w="11900" w:h="16838" w:orient="portrait"/>
          <w:cols w:equalWidth="0" w:num="1">
            <w:col w:w="11420"/>
          </w:cols>
          <w:pgMar w:left="240" w:top="61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Net income (loss)</w:t>
      </w:r>
    </w:p>
    <w:p>
      <w:pPr>
        <w:spacing w:after="0" w:line="38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Interest income and expense, net</w:t>
      </w:r>
    </w:p>
    <w:p>
      <w:pPr>
        <w:spacing w:after="0" w:line="6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Income tax (benefit) provision, net</w:t>
      </w:r>
    </w:p>
    <w:p>
      <w:pPr>
        <w:spacing w:after="0" w:line="6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Net income from discontinued operations</w:t>
      </w:r>
    </w:p>
    <w:p>
      <w:pPr>
        <w:spacing w:after="0" w:line="75" w:lineRule="exact"/>
        <w:rPr>
          <w:sz w:val="20"/>
          <w:szCs w:val="20"/>
          <w:color w:val="auto"/>
        </w:rPr>
      </w:pPr>
    </w:p>
    <w:p>
      <w:pPr>
        <w:ind w:left="2020" w:right="40" w:hanging="323"/>
        <w:spacing w:after="0" w:line="246" w:lineRule="auto"/>
        <w:rPr>
          <w:sz w:val="20"/>
          <w:szCs w:val="20"/>
          <w:color w:val="auto"/>
        </w:rPr>
      </w:pPr>
      <w:r>
        <w:rPr>
          <w:rFonts w:ascii="Arial" w:cs="Arial" w:eastAsia="Arial" w:hAnsi="Arial"/>
          <w:sz w:val="18"/>
          <w:szCs w:val="18"/>
          <w:color w:val="auto"/>
        </w:rPr>
        <w:t>Net income attributable to noncontrolling interests</w:t>
      </w:r>
    </w:p>
    <w:p>
      <w:pPr>
        <w:spacing w:after="0" w:line="7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EBITDA</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8"/>
                <w:szCs w:val="18"/>
                <w:color w:val="auto"/>
              </w:rPr>
            </w:pPr>
          </w:p>
        </w:tc>
        <w:tc>
          <w:tcPr>
            <w:tcW w:w="22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For the Three Months</w:t>
            </w:r>
          </w:p>
        </w:tc>
        <w:tc>
          <w:tcPr>
            <w:tcW w:w="180" w:type="dxa"/>
            <w:vAlign w:val="bottom"/>
          </w:tcPr>
          <w:p>
            <w:pPr>
              <w:spacing w:after="0"/>
              <w:rPr>
                <w:sz w:val="18"/>
                <w:szCs w:val="18"/>
                <w:color w:val="auto"/>
              </w:rPr>
            </w:pPr>
          </w:p>
        </w:tc>
        <w:tc>
          <w:tcPr>
            <w:tcW w:w="206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For the Years</w:t>
            </w:r>
          </w:p>
        </w:tc>
      </w:tr>
      <w:tr>
        <w:trPr>
          <w:trHeight w:val="246"/>
        </w:trPr>
        <w:tc>
          <w:tcPr>
            <w:tcW w:w="160" w:type="dxa"/>
            <w:vAlign w:val="bottom"/>
          </w:tcPr>
          <w:p>
            <w:pPr>
              <w:spacing w:after="0"/>
              <w:rPr>
                <w:sz w:val="21"/>
                <w:szCs w:val="21"/>
                <w:color w:val="auto"/>
              </w:rPr>
            </w:pPr>
          </w:p>
        </w:tc>
        <w:tc>
          <w:tcPr>
            <w:tcW w:w="22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9"/>
              </w:rPr>
              <w:t>Ended December 31,</w:t>
            </w:r>
          </w:p>
        </w:tc>
        <w:tc>
          <w:tcPr>
            <w:tcW w:w="180" w:type="dxa"/>
            <w:vAlign w:val="bottom"/>
          </w:tcPr>
          <w:p>
            <w:pPr>
              <w:spacing w:after="0"/>
              <w:rPr>
                <w:sz w:val="21"/>
                <w:szCs w:val="21"/>
                <w:color w:val="auto"/>
              </w:rPr>
            </w:pPr>
          </w:p>
        </w:tc>
        <w:tc>
          <w:tcPr>
            <w:tcW w:w="20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Ended December 31,</w:t>
            </w:r>
          </w:p>
        </w:tc>
      </w:tr>
      <w:tr>
        <w:trPr>
          <w:trHeight w:val="264"/>
        </w:trPr>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43"/>
        </w:trPr>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gridSpan w:val="4"/>
          </w:tcPr>
          <w:p>
            <w:pPr>
              <w:jc w:val="right"/>
              <w:ind w:right="49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(111,648)</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313,814</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(38,633)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393,489</w:t>
            </w:r>
          </w:p>
        </w:tc>
      </w:tr>
      <w:tr>
        <w:trPr>
          <w:trHeight w:val="594"/>
        </w:trPr>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38,158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46,465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168,293</w:t>
            </w: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172,621</w:t>
            </w:r>
          </w:p>
        </w:tc>
      </w:tr>
      <w:tr>
        <w:trPr>
          <w:trHeight w:val="270"/>
        </w:trPr>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(293,359)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30,673</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(284,286)</w:t>
            </w:r>
          </w:p>
        </w:tc>
      </w:tr>
      <w:tr>
        <w:trPr>
          <w:trHeight w:val="270"/>
        </w:trPr>
        <w:tc>
          <w:tcPr>
            <w:tcW w:w="1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153,620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142,251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598,178</w:t>
            </w: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522,190</w:t>
            </w:r>
          </w:p>
        </w:tc>
      </w:tr>
      <w:tr>
        <w:trPr>
          <w:trHeight w:val="270"/>
        </w:trPr>
        <w:tc>
          <w:tcPr>
            <w:tcW w:w="16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(8,509)</w:t>
            </w:r>
          </w:p>
        </w:tc>
      </w:tr>
      <w:tr>
        <w:trPr>
          <w:trHeight w:val="466"/>
        </w:trPr>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w:t>
            </w:r>
          </w:p>
        </w:tc>
      </w:tr>
      <w:tr>
        <w:trPr>
          <w:trHeight w:val="264"/>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206,539</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756,669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794,577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960" w:space="340"/>
            <w:col w:w="6120"/>
          </w:cols>
          <w:pgMar w:left="240" w:top="611" w:right="239" w:bottom="1440" w:gutter="0" w:footer="0" w:header="0"/>
          <w:type w:val="continuous"/>
        </w:sectPr>
      </w:pPr>
    </w:p>
    <w:p>
      <w:pPr>
        <w:spacing w:after="0" w:line="258" w:lineRule="exact"/>
        <w:rPr>
          <w:sz w:val="20"/>
          <w:szCs w:val="20"/>
          <w:color w:val="auto"/>
        </w:rPr>
      </w:pPr>
    </w:p>
    <w:p>
      <w:pPr>
        <w:ind w:left="77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611" w:right="2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Note on Use of Non-GAAP Financial Measures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EBITDA is defined as “Net income (loss)” excluding “Interest income and expense, net,” “Income tax provision (benefit), net,” “Depreciation and amortization,” “Net income (loss) from discontinued operations,” and “Net income (loss) attributable to noncontrolling interests.” EBITDA is not a measure determined in accordance with U.S. GAAP. EBITDA is reconciled to “Net income (loss)” in the table above and should not be considered in isolation or as a substitute for operating income, net income or any other measure determined in accordance with U.S. GAAP. Our management uses this non-GAAP measure as a measure of operating efficiency and overall financial performance for benchmarking against our peers and competitors. Management believes that this non-GAAP measure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consolidated financial statements of EchoStar for the periods ended December 31, 2018 and 2017 are attached to this press release. Detailed financial data and other information are available in EchoStar’s Annual Report on Form 10-K for the period ended December 31, 2018 filed today with the Securities and Exchange Commission.</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EchoStar will host its earnings conference call on Thursday, February 21, 2019 at 11:00 a.m. Eastern Time. The call-in numbers are (877) 815-1625 (toll-free) and (716) 247-5178 (international), Conference ID # 2185925.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EchoStar Corporation</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US Private Securities Litigation Reform Act of 1995</w:t>
      </w:r>
    </w:p>
    <w:p>
      <w:pPr>
        <w:spacing w:after="0" w:line="247"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Although management believes that the expectations reflected in these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are reasonable, it can give no assurance that these expectations will prove to have been correct. You are cautioned not to place undue reliance on any forward -looking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2018, as filed with the Securities and Exchange Commission and in the other documents EchoStar files with the Securities and Exchange Commission from time to time.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Contact Information</w:t>
            </w:r>
          </w:p>
        </w:tc>
        <w:tc>
          <w:tcPr>
            <w:tcW w:w="4540" w:type="dxa"/>
            <w:vAlign w:val="bottom"/>
          </w:tcPr>
          <w:p>
            <w:pPr>
              <w:ind w:left="1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4"/>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EchoStar Investor Relations</w:t>
            </w:r>
          </w:p>
        </w:tc>
        <w:tc>
          <w:tcPr>
            <w:tcW w:w="4540" w:type="dxa"/>
            <w:vAlign w:val="bottom"/>
          </w:tcPr>
          <w:p>
            <w:pPr>
              <w:ind w:left="1320"/>
              <w:spacing w:after="0"/>
              <w:rPr>
                <w:sz w:val="20"/>
                <w:szCs w:val="20"/>
                <w:color w:val="auto"/>
              </w:rPr>
            </w:pPr>
            <w:r>
              <w:rPr>
                <w:rFonts w:ascii="Arial" w:cs="Arial" w:eastAsia="Arial" w:hAnsi="Arial"/>
                <w:sz w:val="18"/>
                <w:szCs w:val="18"/>
                <w:b w:val="1"/>
                <w:bCs w:val="1"/>
                <w:color w:val="auto"/>
              </w:rPr>
              <w:t>EchoStar Media Relations</w:t>
            </w:r>
          </w:p>
        </w:tc>
        <w:tc>
          <w:tcPr>
            <w:tcW w:w="0" w:type="dxa"/>
            <w:vAlign w:val="bottom"/>
          </w:tcPr>
          <w:p>
            <w:pPr>
              <w:spacing w:after="0"/>
              <w:rPr>
                <w:sz w:val="1"/>
                <w:szCs w:val="1"/>
                <w:color w:val="auto"/>
              </w:rPr>
            </w:pPr>
          </w:p>
        </w:tc>
      </w:tr>
      <w:tr>
        <w:trPr>
          <w:trHeight w:val="269"/>
        </w:trPr>
        <w:tc>
          <w:tcPr>
            <w:tcW w:w="4100" w:type="dxa"/>
            <w:vAlign w:val="bottom"/>
          </w:tcPr>
          <w:p>
            <w:pPr>
              <w:ind w:left="40"/>
              <w:spacing w:after="0"/>
              <w:rPr>
                <w:sz w:val="20"/>
                <w:szCs w:val="20"/>
                <w:color w:val="auto"/>
              </w:rPr>
            </w:pPr>
            <w:r>
              <w:rPr>
                <w:rFonts w:ascii="Arial" w:cs="Arial" w:eastAsia="Arial" w:hAnsi="Arial"/>
                <w:sz w:val="18"/>
                <w:szCs w:val="18"/>
                <w:color w:val="auto"/>
              </w:rPr>
              <w:t>Deepak V. Dutt</w:t>
            </w:r>
          </w:p>
        </w:tc>
        <w:tc>
          <w:tcPr>
            <w:tcW w:w="4540" w:type="dxa"/>
            <w:vAlign w:val="bottom"/>
          </w:tcPr>
          <w:p>
            <w:pPr>
              <w:ind w:left="1320"/>
              <w:spacing w:after="0"/>
              <w:rPr>
                <w:sz w:val="20"/>
                <w:szCs w:val="20"/>
                <w:color w:val="auto"/>
              </w:rPr>
            </w:pPr>
            <w:r>
              <w:rPr>
                <w:rFonts w:ascii="Arial" w:cs="Arial" w:eastAsia="Arial" w:hAnsi="Arial"/>
                <w:sz w:val="18"/>
                <w:szCs w:val="18"/>
                <w:color w:val="auto"/>
              </w:rPr>
              <w:t>Sharyn Nerenberg</w:t>
            </w:r>
          </w:p>
        </w:tc>
        <w:tc>
          <w:tcPr>
            <w:tcW w:w="0" w:type="dxa"/>
            <w:vAlign w:val="bottom"/>
          </w:tcPr>
          <w:p>
            <w:pPr>
              <w:spacing w:after="0"/>
              <w:rPr>
                <w:sz w:val="1"/>
                <w:szCs w:val="1"/>
                <w:color w:val="auto"/>
              </w:rPr>
            </w:pPr>
          </w:p>
        </w:tc>
      </w:tr>
      <w:tr>
        <w:trPr>
          <w:trHeight w:val="203"/>
        </w:trPr>
        <w:tc>
          <w:tcPr>
            <w:tcW w:w="4100" w:type="dxa"/>
            <w:vAlign w:val="bottom"/>
          </w:tcPr>
          <w:p>
            <w:pPr>
              <w:ind w:left="40"/>
              <w:spacing w:after="0" w:line="202" w:lineRule="exact"/>
              <w:rPr>
                <w:sz w:val="20"/>
                <w:szCs w:val="20"/>
                <w:color w:val="auto"/>
              </w:rPr>
            </w:pPr>
            <w:r>
              <w:rPr>
                <w:rFonts w:ascii="Arial" w:cs="Arial" w:eastAsia="Arial" w:hAnsi="Arial"/>
                <w:sz w:val="18"/>
                <w:szCs w:val="18"/>
                <w:color w:val="auto"/>
              </w:rPr>
              <w:t>Phone: +1 301-428-1686</w:t>
            </w:r>
          </w:p>
        </w:tc>
        <w:tc>
          <w:tcPr>
            <w:tcW w:w="4540" w:type="dxa"/>
            <w:vAlign w:val="bottom"/>
          </w:tcPr>
          <w:p>
            <w:pPr>
              <w:ind w:left="1320"/>
              <w:spacing w:after="0" w:line="202" w:lineRule="exact"/>
              <w:rPr>
                <w:sz w:val="20"/>
                <w:szCs w:val="20"/>
                <w:color w:val="auto"/>
              </w:rPr>
            </w:pPr>
            <w:r>
              <w:rPr>
                <w:rFonts w:ascii="Arial" w:cs="Arial" w:eastAsia="Arial" w:hAnsi="Arial"/>
                <w:sz w:val="18"/>
                <w:szCs w:val="18"/>
                <w:color w:val="auto"/>
              </w:rPr>
              <w:t>Phone: +1 301-428-7124</w:t>
            </w:r>
          </w:p>
        </w:tc>
        <w:tc>
          <w:tcPr>
            <w:tcW w:w="0" w:type="dxa"/>
            <w:vAlign w:val="bottom"/>
          </w:tcPr>
          <w:p>
            <w:pPr>
              <w:spacing w:after="0"/>
              <w:rPr>
                <w:sz w:val="1"/>
                <w:szCs w:val="1"/>
                <w:color w:val="auto"/>
              </w:rPr>
            </w:pPr>
          </w:p>
        </w:tc>
      </w:tr>
      <w:tr>
        <w:trPr>
          <w:trHeight w:val="217"/>
        </w:trPr>
        <w:tc>
          <w:tcPr>
            <w:tcW w:w="4100" w:type="dxa"/>
            <w:vAlign w:val="bottom"/>
          </w:tcPr>
          <w:p>
            <w:pPr>
              <w:ind w:left="40"/>
              <w:spacing w:after="0"/>
              <w:rPr>
                <w:sz w:val="20"/>
                <w:szCs w:val="20"/>
                <w:color w:val="auto"/>
              </w:rPr>
            </w:pPr>
            <w:r>
              <w:rPr>
                <w:rFonts w:ascii="Arial" w:cs="Arial" w:eastAsia="Arial" w:hAnsi="Arial"/>
                <w:sz w:val="18"/>
                <w:szCs w:val="18"/>
                <w:color w:val="auto"/>
              </w:rPr>
              <w:t>Email: deepak.dutt@echostar.com</w:t>
            </w:r>
          </w:p>
        </w:tc>
        <w:tc>
          <w:tcPr>
            <w:tcW w:w="4540" w:type="dxa"/>
            <w:vAlign w:val="bottom"/>
          </w:tcPr>
          <w:p>
            <w:pPr>
              <w:ind w:left="1320"/>
              <w:spacing w:after="0"/>
              <w:rPr>
                <w:sz w:val="20"/>
                <w:szCs w:val="20"/>
                <w:color w:val="auto"/>
              </w:rPr>
            </w:pPr>
            <w:r>
              <w:rPr>
                <w:rFonts w:ascii="Arial" w:cs="Arial" w:eastAsia="Arial" w:hAnsi="Arial"/>
                <w:sz w:val="18"/>
                <w:szCs w:val="18"/>
                <w:color w:val="auto"/>
                <w:w w:val="99"/>
              </w:rPr>
              <w:t>Email: sharyn.nerenberg@echostar.com</w:t>
            </w:r>
          </w:p>
        </w:tc>
        <w:tc>
          <w:tcPr>
            <w:tcW w:w="0" w:type="dxa"/>
            <w:vAlign w:val="bottom"/>
          </w:tcPr>
          <w:p>
            <w:pPr>
              <w:spacing w:after="0"/>
              <w:rPr>
                <w:sz w:val="1"/>
                <w:szCs w:val="1"/>
                <w:color w:val="auto"/>
              </w:rPr>
            </w:pPr>
          </w:p>
        </w:tc>
      </w:tr>
      <w:tr>
        <w:trPr>
          <w:trHeight w:val="473"/>
        </w:trPr>
        <w:tc>
          <w:tcPr>
            <w:tcW w:w="4100" w:type="dxa"/>
            <w:vAlign w:val="bottom"/>
          </w:tcPr>
          <w:p>
            <w:pPr>
              <w:spacing w:after="0"/>
              <w:rPr>
                <w:sz w:val="24"/>
                <w:szCs w:val="24"/>
                <w:color w:val="auto"/>
              </w:rPr>
            </w:pPr>
          </w:p>
        </w:tc>
        <w:tc>
          <w:tcPr>
            <w:tcW w:w="4540" w:type="dxa"/>
            <w:vAlign w:val="bottom"/>
          </w:tcPr>
          <w:p>
            <w:pPr>
              <w:ind w:left="36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9" w:right="239" w:bottom="1440" w:gutter="0" w:footer="0" w:header="0"/>
        </w:sectPr>
      </w:pPr>
    </w:p>
    <w:bookmarkStart w:id="126" w:name="page127"/>
    <w:bookmarkEnd w:id="126"/>
    <w:p>
      <w:pPr>
        <w:jc w:val="center"/>
        <w:ind w:left="300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left="30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left="3000"/>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Assets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assets: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Marketable investment securities, at fair value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Trade accounts receivable and contract assets,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Trade accounts receivable - DISH Network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Inventory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Prepaids and deposits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current assets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assets: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Property and equipment,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Regulatory authorizations,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intangible assets,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Investments in unconsolidated entities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receivables - DISH Network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noncurrent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noncurrent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Total assets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Liabilities and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liabilities: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Trade accounts payable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Trade accounts payable - DISH Network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Current portion of long-term debt and capital lease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Contract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Accrued interest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Accrued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Accrued taxes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Accrued expenses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current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liabilities: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Long-term debt and capital lease obligations,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Deferred tax liabilities, net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Other noncurrent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noncurrent liabilities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Stockholders’ equity:</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Preferred stock, $0.001 par value, 20,000,000 shares authorized, none issued and outstanding at each of December 31, 2018 and 2017</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$0.001 par value, 4,000,000,000 shares authorized:</w:t>
      </w:r>
    </w:p>
    <w:p>
      <w:pPr>
        <w:spacing w:after="0" w:line="121" w:lineRule="exact"/>
        <w:rPr>
          <w:sz w:val="20"/>
          <w:szCs w:val="20"/>
          <w:color w:val="auto"/>
        </w:rPr>
      </w:pPr>
    </w:p>
    <w:p>
      <w:pPr>
        <w:ind w:left="500" w:right="240" w:hanging="161"/>
        <w:spacing w:after="0" w:line="259" w:lineRule="auto"/>
        <w:rPr>
          <w:sz w:val="20"/>
          <w:szCs w:val="20"/>
          <w:color w:val="auto"/>
        </w:rPr>
      </w:pPr>
      <w:r>
        <w:rPr>
          <w:rFonts w:ascii="Arial" w:cs="Arial" w:eastAsia="Arial" w:hAnsi="Arial"/>
          <w:sz w:val="12"/>
          <w:szCs w:val="12"/>
          <w:color w:val="auto"/>
        </w:rPr>
        <w:t>Class A common stock, $0.001 par value, 1,600,000,000 shares authorized, 54,142,566 shares issued and 47,657,645 shares outstanding at December 31, 2018 and 53,663,859 shares issued and 48,131,541 shares outstanding at December 31, 2017</w:t>
      </w:r>
    </w:p>
    <w:p>
      <w:pPr>
        <w:spacing w:after="0" w:line="26" w:lineRule="exact"/>
        <w:rPr>
          <w:sz w:val="20"/>
          <w:szCs w:val="20"/>
          <w:color w:val="auto"/>
        </w:rPr>
      </w:pPr>
    </w:p>
    <w:p>
      <w:pPr>
        <w:ind w:left="500" w:right="40" w:hanging="161"/>
        <w:spacing w:after="0" w:line="230" w:lineRule="auto"/>
        <w:rPr>
          <w:sz w:val="20"/>
          <w:szCs w:val="20"/>
          <w:color w:val="auto"/>
        </w:rPr>
      </w:pPr>
      <w:r>
        <w:rPr>
          <w:rFonts w:ascii="Arial" w:cs="Arial" w:eastAsia="Arial" w:hAnsi="Arial"/>
          <w:sz w:val="13"/>
          <w:szCs w:val="13"/>
          <w:color w:val="auto"/>
        </w:rPr>
        <w:t>Class B convertible common stock, $0.001 par value, 800,000,000 shares authorized, 47,687,039 shares issued and outstanding at each of December 31, 2018 and 2017</w:t>
      </w:r>
    </w:p>
    <w:p>
      <w:pPr>
        <w:spacing w:after="0" w:line="38" w:lineRule="exact"/>
        <w:rPr>
          <w:sz w:val="20"/>
          <w:szCs w:val="20"/>
          <w:color w:val="auto"/>
        </w:rPr>
      </w:pPr>
    </w:p>
    <w:p>
      <w:pPr>
        <w:ind w:left="500" w:right="340" w:hanging="161"/>
        <w:spacing w:after="0" w:line="230" w:lineRule="auto"/>
        <w:rPr>
          <w:sz w:val="20"/>
          <w:szCs w:val="20"/>
          <w:color w:val="auto"/>
        </w:rPr>
      </w:pPr>
      <w:r>
        <w:rPr>
          <w:rFonts w:ascii="Arial" w:cs="Arial" w:eastAsia="Arial" w:hAnsi="Arial"/>
          <w:sz w:val="13"/>
          <w:szCs w:val="13"/>
          <w:color w:val="auto"/>
        </w:rPr>
        <w:t>Class C convertible common stock, $0.001 par value, 800,000,000 shares authorized, none issued and outstanding at each of December 31, 2018 and 2017</w:t>
      </w:r>
    </w:p>
    <w:p>
      <w:pPr>
        <w:spacing w:after="0" w:line="38" w:lineRule="exact"/>
        <w:rPr>
          <w:sz w:val="20"/>
          <w:szCs w:val="20"/>
          <w:color w:val="auto"/>
        </w:rPr>
      </w:pPr>
    </w:p>
    <w:p>
      <w:pPr>
        <w:ind w:left="500" w:right="160" w:hanging="161"/>
        <w:spacing w:after="0" w:line="230" w:lineRule="auto"/>
        <w:rPr>
          <w:sz w:val="20"/>
          <w:szCs w:val="20"/>
          <w:color w:val="auto"/>
        </w:rPr>
      </w:pPr>
      <w:r>
        <w:rPr>
          <w:rFonts w:ascii="Arial" w:cs="Arial" w:eastAsia="Arial" w:hAnsi="Arial"/>
          <w:sz w:val="13"/>
          <w:szCs w:val="13"/>
          <w:color w:val="auto"/>
        </w:rPr>
        <w:t>Class D common stock, $0.001 par value, 800,000,000 shares authorized, none issued and outstanding at each of December 31, 2018 and 2017</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Additional paid-in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Treasury stock, at cost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EchoStar Corporation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noncontrolling interests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8351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2">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14"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8351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928,306</w:t>
            </w:r>
          </w:p>
        </w:tc>
        <w:tc>
          <w:tcPr>
            <w:tcW w:w="120" w:type="dxa"/>
            <w:vAlign w:val="bottom"/>
          </w:tcPr>
          <w:p>
            <w:pPr>
              <w:spacing w:after="0"/>
              <w:rPr>
                <w:sz w:val="13"/>
                <w:szCs w:val="13"/>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2,431,456</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2,282,152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814,161</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201,096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196,840</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14,200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43,295</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75,379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83,595</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61,177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54,533</w:t>
            </w:r>
          </w:p>
        </w:tc>
      </w:tr>
      <w:tr>
        <w:trPr>
          <w:trHeight w:val="280"/>
        </w:trPr>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18,539</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91,671</w:t>
            </w:r>
          </w:p>
        </w:tc>
      </w:tr>
      <w:tr>
        <w:trPr>
          <w:trHeight w:val="250"/>
        </w:trPr>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3,580,849</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3,715,551</w:t>
            </w:r>
          </w:p>
        </w:tc>
      </w:tr>
      <w:tr>
        <w:trPr>
          <w:trHeight w:val="511"/>
        </w:trPr>
        <w:tc>
          <w:tcPr>
            <w:tcW w:w="42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3,414,908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3,465,471</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495,654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536,936</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504,173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504,173</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44,231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58,955</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262,473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161,427</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95,114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92,687</w:t>
            </w:r>
          </w:p>
        </w:tc>
      </w:tr>
      <w:tr>
        <w:trPr>
          <w:trHeight w:val="280"/>
        </w:trPr>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263,892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214,814</w:t>
            </w:r>
          </w:p>
        </w:tc>
      </w:tr>
      <w:tr>
        <w:trPr>
          <w:trHeight w:val="250"/>
        </w:trPr>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5,080,445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5,034,463</w:t>
            </w:r>
          </w:p>
        </w:tc>
      </w:tr>
      <w:tr>
        <w:trPr>
          <w:trHeight w:val="237"/>
        </w:trPr>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8,661,294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8,750,014</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4"/>
        </w:trPr>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121,437</w:t>
            </w:r>
          </w:p>
        </w:tc>
        <w:tc>
          <w:tcPr>
            <w:tcW w:w="120" w:type="dxa"/>
            <w:vAlign w:val="bottom"/>
          </w:tcPr>
          <w:p>
            <w:pPr>
              <w:spacing w:after="0"/>
              <w:rPr>
                <w:sz w:val="24"/>
                <w:szCs w:val="24"/>
                <w:color w:val="auto"/>
              </w:rPr>
            </w:pPr>
          </w:p>
        </w:tc>
        <w:tc>
          <w:tcPr>
            <w:tcW w:w="400" w:type="dxa"/>
            <w:vAlign w:val="bottom"/>
          </w:tcPr>
          <w:p>
            <w:pPr>
              <w:jc w:val="right"/>
              <w:ind w:right="25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108,406</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1,698</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4,753</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959,577</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40,631</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72,284</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65,959</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47,416</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47,616</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54,242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47,756</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16,013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16,122</w:t>
            </w:r>
          </w:p>
        </w:tc>
      </w:tr>
      <w:tr>
        <w:trPr>
          <w:trHeight w:val="280"/>
        </w:trPr>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72,470</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82,647</w:t>
            </w:r>
          </w:p>
        </w:tc>
      </w:tr>
      <w:tr>
        <w:trPr>
          <w:trHeight w:val="250"/>
        </w:trPr>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1,345,137</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413,890</w:t>
            </w:r>
          </w:p>
        </w:tc>
      </w:tr>
      <w:tr>
        <w:trPr>
          <w:trHeight w:val="511"/>
        </w:trPr>
        <w:tc>
          <w:tcPr>
            <w:tcW w:w="42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2,573,204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3,594,213</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465,933</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436,023</w:t>
            </w:r>
          </w:p>
        </w:tc>
      </w:tr>
      <w:tr>
        <w:trPr>
          <w:trHeight w:val="280"/>
        </w:trPr>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121,546</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128,503</w:t>
            </w:r>
          </w:p>
        </w:tc>
      </w:tr>
      <w:tr>
        <w:trPr>
          <w:trHeight w:val="250"/>
        </w:trPr>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3,160,683</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4,158,739</w:t>
            </w:r>
          </w:p>
        </w:tc>
      </w:tr>
      <w:tr>
        <w:trPr>
          <w:trHeight w:val="250"/>
        </w:trPr>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4,505,820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4,572,629</w:t>
            </w:r>
          </w:p>
        </w:tc>
      </w:tr>
      <w:tr>
        <w:trPr>
          <w:trHeight w:val="794"/>
        </w:trPr>
        <w:tc>
          <w:tcPr>
            <w:tcW w:w="4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594"/>
        </w:trPr>
        <w:tc>
          <w:tcPr>
            <w:tcW w:w="42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54</w:t>
            </w:r>
          </w:p>
        </w:tc>
      </w:tr>
      <w:tr>
        <w:trPr>
          <w:trHeight w:val="324"/>
        </w:trPr>
        <w:tc>
          <w:tcPr>
            <w:tcW w:w="42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48</w:t>
            </w:r>
          </w:p>
        </w:tc>
      </w:tr>
      <w:tr>
        <w:trPr>
          <w:trHeight w:val="324"/>
        </w:trPr>
        <w:tc>
          <w:tcPr>
            <w:tcW w:w="4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324"/>
        </w:trPr>
        <w:tc>
          <w:tcPr>
            <w:tcW w:w="4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4"/>
                <w:szCs w:val="24"/>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3,702,522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3,669,461</w:t>
            </w:r>
          </w:p>
        </w:tc>
      </w:tr>
      <w:tr>
        <w:trPr>
          <w:trHeight w:val="270"/>
        </w:trPr>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(125,100)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(130,154)</w:t>
            </w:r>
          </w:p>
        </w:tc>
      </w:tr>
      <w:tr>
        <w:trPr>
          <w:trHeight w:val="270"/>
        </w:trPr>
        <w:tc>
          <w:tcPr>
            <w:tcW w:w="4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694,129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721,316</w:t>
            </w:r>
          </w:p>
        </w:tc>
      </w:tr>
      <w:tr>
        <w:trPr>
          <w:trHeight w:val="280"/>
        </w:trPr>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(131,454)</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(98,162)</w:t>
            </w:r>
          </w:p>
        </w:tc>
      </w:tr>
      <w:tr>
        <w:trPr>
          <w:trHeight w:val="241"/>
        </w:trPr>
        <w:tc>
          <w:tcPr>
            <w:tcW w:w="42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4,140,199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4,162,563</w:t>
            </w:r>
          </w:p>
        </w:tc>
      </w:tr>
      <w:tr>
        <w:trPr>
          <w:trHeight w:val="280"/>
        </w:trPr>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15,275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14,822</w:t>
            </w:r>
          </w:p>
        </w:tc>
      </w:tr>
      <w:tr>
        <w:trPr>
          <w:trHeight w:val="250"/>
        </w:trPr>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4,155,474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4,177,385</w:t>
            </w:r>
          </w:p>
        </w:tc>
      </w:tr>
      <w:tr>
        <w:trPr>
          <w:trHeight w:val="237"/>
        </w:trPr>
        <w:tc>
          <w:tcPr>
            <w:tcW w:w="4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8,661,294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8,750,014</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00" w:space="160"/>
            <w:col w:w="2880"/>
          </w:cols>
          <w:pgMar w:left="600" w:top="589" w:right="559" w:bottom="0" w:gutter="0" w:footer="0" w:header="0"/>
        </w:sectPr>
      </w:pPr>
    </w:p>
    <w:bookmarkStart w:id="127" w:name="page128"/>
    <w:bookmarkEnd w:id="127"/>
    <w:p>
      <w:pPr>
        <w:ind w:left="6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382" w:right="1440" w:bottom="1440" w:gutter="0" w:footer="0" w:header="0"/>
        </w:sectPr>
      </w:pPr>
    </w:p>
    <w:bookmarkStart w:id="128" w:name="page129"/>
    <w:bookmarkEnd w:id="128"/>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 except per share amounts)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840" w:type="dxa"/>
            <w:vAlign w:val="bottom"/>
            <w:tcBorders>
              <w:bottom w:val="single" w:sz="8" w:color="auto"/>
            </w:tcBorders>
            <w:gridSpan w:val="7"/>
          </w:tcPr>
          <w:p>
            <w:pPr>
              <w:jc w:val="right"/>
              <w:ind w:right="490"/>
              <w:spacing w:after="0"/>
              <w:rPr>
                <w:sz w:val="20"/>
                <w:szCs w:val="20"/>
                <w:color w:val="auto"/>
              </w:rPr>
            </w:pPr>
            <w:r>
              <w:rPr>
                <w:rFonts w:ascii="Arial" w:cs="Arial" w:eastAsia="Arial" w:hAnsi="Arial"/>
                <w:sz w:val="18"/>
                <w:szCs w:val="18"/>
                <w:b w:val="1"/>
                <w:bCs w:val="1"/>
                <w:color w:val="auto"/>
              </w:rPr>
              <w:t>For the years ended December 31,</w:t>
            </w:r>
          </w:p>
        </w:tc>
        <w:tc>
          <w:tcPr>
            <w:tcW w:w="0" w:type="dxa"/>
            <w:vAlign w:val="bottom"/>
          </w:tcPr>
          <w:p>
            <w:pPr>
              <w:spacing w:after="0"/>
              <w:rPr>
                <w:sz w:val="1"/>
                <w:szCs w:val="1"/>
                <w:color w:val="auto"/>
              </w:rPr>
            </w:pPr>
          </w:p>
        </w:tc>
      </w:tr>
      <w:tr>
        <w:trPr>
          <w:trHeight w:val="264"/>
        </w:trPr>
        <w:tc>
          <w:tcPr>
            <w:tcW w:w="66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640" w:type="dxa"/>
            <w:vAlign w:val="bottom"/>
          </w:tcPr>
          <w:p>
            <w:pPr>
              <w:ind w:left="12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378,694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445,698</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463,442</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Services and other revenue - other</w:t>
            </w: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1,507,259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1,200,321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1,100,828</w:t>
            </w:r>
          </w:p>
        </w:tc>
        <w:tc>
          <w:tcPr>
            <w:tcW w:w="0" w:type="dxa"/>
            <w:vAlign w:val="bottom"/>
          </w:tcPr>
          <w:p>
            <w:pPr>
              <w:spacing w:after="0"/>
              <w:rPr>
                <w:sz w:val="1"/>
                <w:szCs w:val="1"/>
                <w:color w:val="auto"/>
              </w:rPr>
            </w:pPr>
          </w:p>
        </w:tc>
      </w:tr>
      <w:tr>
        <w:trPr>
          <w:trHeight w:val="277"/>
        </w:trPr>
        <w:tc>
          <w:tcPr>
            <w:tcW w:w="6640" w:type="dxa"/>
            <w:vAlign w:val="bottom"/>
          </w:tcPr>
          <w:p>
            <w:pPr>
              <w:ind w:left="120"/>
              <w:spacing w:after="0"/>
              <w:rPr>
                <w:sz w:val="20"/>
                <w:szCs w:val="20"/>
                <w:color w:val="auto"/>
              </w:rPr>
            </w:pPr>
            <w:r>
              <w:rPr>
                <w:rFonts w:ascii="Arial" w:cs="Arial" w:eastAsia="Arial" w:hAnsi="Arial"/>
                <w:sz w:val="18"/>
                <w:szCs w:val="18"/>
                <w:color w:val="auto"/>
              </w:rPr>
              <w:t>Equipment revenue</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205,410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239,489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246,196</w:t>
            </w:r>
          </w:p>
        </w:tc>
        <w:tc>
          <w:tcPr>
            <w:tcW w:w="0" w:type="dxa"/>
            <w:vAlign w:val="bottom"/>
          </w:tcPr>
          <w:p>
            <w:pPr>
              <w:spacing w:after="0"/>
              <w:rPr>
                <w:sz w:val="1"/>
                <w:szCs w:val="1"/>
                <w:color w:val="auto"/>
              </w:rPr>
            </w:pPr>
          </w:p>
        </w:tc>
      </w:tr>
      <w:tr>
        <w:trPr>
          <w:trHeight w:val="250"/>
        </w:trPr>
        <w:tc>
          <w:tcPr>
            <w:tcW w:w="664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2,091,363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1,885,508</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1,810,466</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640" w:type="dxa"/>
            <w:vAlign w:val="bottom"/>
          </w:tcPr>
          <w:p>
            <w:pPr>
              <w:ind w:left="12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2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604,305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563,346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536,568</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176,600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195,151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188,617</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436,247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366,007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325,044</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27,570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31,745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31,170</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598,178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522,190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432,904</w:t>
            </w:r>
          </w:p>
        </w:tc>
        <w:tc>
          <w:tcPr>
            <w:tcW w:w="0" w:type="dxa"/>
            <w:vAlign w:val="bottom"/>
          </w:tcPr>
          <w:p>
            <w:pPr>
              <w:spacing w:after="0"/>
              <w:rPr>
                <w:sz w:val="1"/>
                <w:szCs w:val="1"/>
                <w:color w:val="auto"/>
              </w:rPr>
            </w:pPr>
          </w:p>
        </w:tc>
      </w:tr>
      <w:tr>
        <w:trPr>
          <w:trHeight w:val="277"/>
        </w:trPr>
        <w:tc>
          <w:tcPr>
            <w:tcW w:w="6640" w:type="dxa"/>
            <w:vAlign w:val="bottom"/>
          </w:tcPr>
          <w:p>
            <w:pPr>
              <w:ind w:left="12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65,220</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10,762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64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1,908,120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1,689,201</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1,514,303</w:t>
            </w:r>
          </w:p>
        </w:tc>
        <w:tc>
          <w:tcPr>
            <w:tcW w:w="0" w:type="dxa"/>
            <w:vAlign w:val="bottom"/>
          </w:tcPr>
          <w:p>
            <w:pPr>
              <w:spacing w:after="0"/>
              <w:rPr>
                <w:sz w:val="1"/>
                <w:szCs w:val="1"/>
                <w:color w:val="auto"/>
              </w:rPr>
            </w:pPr>
          </w:p>
        </w:tc>
      </w:tr>
      <w:tr>
        <w:trPr>
          <w:trHeight w:val="250"/>
        </w:trPr>
        <w:tc>
          <w:tcPr>
            <w:tcW w:w="66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183,243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196,307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296,163</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664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80,275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44,619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(248,568)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(217,240)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(123,481)</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Gains (losses) on investments, net</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(12,207)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53,453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Equity in earnings (losses) of unconsolidated affiliates, net</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10,802</w:t>
            </w:r>
          </w:p>
        </w:tc>
        <w:tc>
          <w:tcPr>
            <w:tcW w:w="0" w:type="dxa"/>
            <w:vAlign w:val="bottom"/>
          </w:tcPr>
          <w:p>
            <w:pPr>
              <w:spacing w:after="0"/>
              <w:rPr>
                <w:sz w:val="1"/>
                <w:szCs w:val="1"/>
                <w:color w:val="auto"/>
              </w:rPr>
            </w:pPr>
          </w:p>
        </w:tc>
      </w:tr>
      <w:tr>
        <w:trPr>
          <w:trHeight w:val="277"/>
        </w:trPr>
        <w:tc>
          <w:tcPr>
            <w:tcW w:w="664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6,582</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50"/>
        </w:trPr>
        <w:tc>
          <w:tcPr>
            <w:tcW w:w="6640" w:type="dxa"/>
            <w:vAlign w:val="bottom"/>
          </w:tcPr>
          <w:p>
            <w:pPr>
              <w:ind w:left="340"/>
              <w:spacing w:after="0"/>
              <w:rPr>
                <w:sz w:val="20"/>
                <w:szCs w:val="20"/>
                <w:color w:val="auto"/>
              </w:rPr>
            </w:pPr>
            <w:r>
              <w:rPr>
                <w:rFonts w:ascii="Arial" w:cs="Arial" w:eastAsia="Arial" w:hAnsi="Arial"/>
                <w:sz w:val="18"/>
                <w:szCs w:val="18"/>
                <w:color w:val="auto"/>
              </w:rPr>
              <w:t>Total other income (expense), net</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(191,203)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(95,613)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(79,537)</w:t>
            </w:r>
          </w:p>
        </w:tc>
        <w:tc>
          <w:tcPr>
            <w:tcW w:w="0" w:type="dxa"/>
            <w:vAlign w:val="bottom"/>
          </w:tcPr>
          <w:p>
            <w:pPr>
              <w:spacing w:after="0"/>
              <w:rPr>
                <w:sz w:val="1"/>
                <w:szCs w:val="1"/>
                <w:color w:val="auto"/>
              </w:rPr>
            </w:pPr>
          </w:p>
        </w:tc>
      </w:tr>
      <w:tr>
        <w:trPr>
          <w:trHeight w:val="243"/>
        </w:trPr>
        <w:tc>
          <w:tcPr>
            <w:tcW w:w="6640" w:type="dxa"/>
            <w:vAlign w:val="bottom"/>
          </w:tcPr>
          <w:p>
            <w:pPr>
              <w:ind w:left="120"/>
              <w:spacing w:after="0"/>
              <w:rPr>
                <w:sz w:val="20"/>
                <w:szCs w:val="20"/>
                <w:color w:val="auto"/>
              </w:rPr>
            </w:pPr>
            <w:r>
              <w:rPr>
                <w:rFonts w:ascii="Arial" w:cs="Arial" w:eastAsia="Arial" w:hAnsi="Arial"/>
                <w:sz w:val="18"/>
                <w:szCs w:val="18"/>
                <w:color w:val="auto"/>
              </w:rPr>
              <w:t>Income (loss) from continuing operations before income taxes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100,694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216,626</w:t>
            </w:r>
          </w:p>
        </w:tc>
        <w:tc>
          <w:tcPr>
            <w:tcW w:w="0" w:type="dxa"/>
            <w:vAlign w:val="bottom"/>
          </w:tcPr>
          <w:p>
            <w:pPr>
              <w:spacing w:after="0"/>
              <w:rPr>
                <w:sz w:val="1"/>
                <w:szCs w:val="1"/>
                <w:color w:val="auto"/>
              </w:rPr>
            </w:pPr>
          </w:p>
        </w:tc>
      </w:tr>
      <w:tr>
        <w:trPr>
          <w:trHeight w:val="277"/>
        </w:trPr>
        <w:tc>
          <w:tcPr>
            <w:tcW w:w="6640" w:type="dxa"/>
            <w:vAlign w:val="bottom"/>
          </w:tcPr>
          <w:p>
            <w:pPr>
              <w:ind w:left="120"/>
              <w:spacing w:after="0"/>
              <w:rPr>
                <w:sz w:val="20"/>
                <w:szCs w:val="20"/>
                <w:color w:val="auto"/>
              </w:rPr>
            </w:pPr>
            <w:r>
              <w:rPr>
                <w:rFonts w:ascii="Arial" w:cs="Arial" w:eastAsia="Arial" w:hAnsi="Arial"/>
                <w:sz w:val="18"/>
                <w:szCs w:val="18"/>
                <w:color w:val="auto"/>
              </w:rPr>
              <w:t>Income tax benefit (provision), net</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284,286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(80,254)</w:t>
            </w:r>
          </w:p>
        </w:tc>
        <w:tc>
          <w:tcPr>
            <w:tcW w:w="0" w:type="dxa"/>
            <w:vAlign w:val="bottom"/>
          </w:tcPr>
          <w:p>
            <w:pPr>
              <w:spacing w:after="0"/>
              <w:rPr>
                <w:sz w:val="1"/>
                <w:szCs w:val="1"/>
                <w:color w:val="auto"/>
              </w:rPr>
            </w:pPr>
          </w:p>
        </w:tc>
      </w:tr>
      <w:tr>
        <w:trPr>
          <w:trHeight w:val="243"/>
        </w:trPr>
        <w:tc>
          <w:tcPr>
            <w:tcW w:w="6640" w:type="dxa"/>
            <w:vAlign w:val="bottom"/>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384,980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136,372</w:t>
            </w:r>
          </w:p>
        </w:tc>
        <w:tc>
          <w:tcPr>
            <w:tcW w:w="0" w:type="dxa"/>
            <w:vAlign w:val="bottom"/>
          </w:tcPr>
          <w:p>
            <w:pPr>
              <w:spacing w:after="0"/>
              <w:rPr>
                <w:sz w:val="1"/>
                <w:szCs w:val="1"/>
                <w:color w:val="auto"/>
              </w:rPr>
            </w:pPr>
          </w:p>
        </w:tc>
      </w:tr>
      <w:tr>
        <w:trPr>
          <w:trHeight w:val="277"/>
        </w:trPr>
        <w:tc>
          <w:tcPr>
            <w:tcW w:w="6640" w:type="dxa"/>
            <w:vAlign w:val="bottom"/>
          </w:tcPr>
          <w:p>
            <w:pPr>
              <w:ind w:left="340"/>
              <w:spacing w:after="0"/>
              <w:rPr>
                <w:sz w:val="20"/>
                <w:szCs w:val="20"/>
                <w:color w:val="auto"/>
              </w:rPr>
            </w:pPr>
            <w:r>
              <w:rPr>
                <w:rFonts w:ascii="Arial" w:cs="Arial" w:eastAsia="Arial" w:hAnsi="Arial"/>
                <w:sz w:val="18"/>
                <w:szCs w:val="18"/>
                <w:color w:val="auto"/>
              </w:rPr>
              <w:t>Net income from discontinued operations</w:t>
            </w:r>
          </w:p>
        </w:tc>
        <w:tc>
          <w:tcPr>
            <w:tcW w:w="26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8,509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44,320</w:t>
            </w:r>
          </w:p>
        </w:tc>
        <w:tc>
          <w:tcPr>
            <w:tcW w:w="0" w:type="dxa"/>
            <w:vAlign w:val="bottom"/>
          </w:tcPr>
          <w:p>
            <w:pPr>
              <w:spacing w:after="0"/>
              <w:rPr>
                <w:sz w:val="1"/>
                <w:szCs w:val="1"/>
                <w:color w:val="auto"/>
              </w:rPr>
            </w:pPr>
          </w:p>
        </w:tc>
      </w:tr>
      <w:tr>
        <w:trPr>
          <w:trHeight w:val="243"/>
        </w:trPr>
        <w:tc>
          <w:tcPr>
            <w:tcW w:w="6640" w:type="dxa"/>
            <w:vAlign w:val="bottom"/>
          </w:tcPr>
          <w:p>
            <w:pPr>
              <w:ind w:left="66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(38,633)</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393,489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180,692</w:t>
            </w:r>
          </w:p>
        </w:tc>
        <w:tc>
          <w:tcPr>
            <w:tcW w:w="0" w:type="dxa"/>
            <w:vAlign w:val="bottom"/>
          </w:tcPr>
          <w:p>
            <w:pPr>
              <w:spacing w:after="0"/>
              <w:rPr>
                <w:sz w:val="1"/>
                <w:szCs w:val="1"/>
                <w:color w:val="auto"/>
              </w:rPr>
            </w:pPr>
          </w:p>
        </w:tc>
      </w:tr>
      <w:tr>
        <w:trPr>
          <w:trHeight w:val="277"/>
        </w:trPr>
        <w:tc>
          <w:tcPr>
            <w:tcW w:w="6640" w:type="dxa"/>
            <w:vAlign w:val="bottom"/>
          </w:tcPr>
          <w:p>
            <w:pPr>
              <w:ind w:left="66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43"/>
        </w:trPr>
        <w:tc>
          <w:tcPr>
            <w:tcW w:w="6640" w:type="dxa"/>
            <w:vAlign w:val="bottom"/>
          </w:tcPr>
          <w:p>
            <w:pPr>
              <w:ind w:left="880"/>
              <w:spacing w:after="0"/>
              <w:rPr>
                <w:sz w:val="20"/>
                <w:szCs w:val="20"/>
                <w:color w:val="auto"/>
              </w:rPr>
            </w:pPr>
            <w:r>
              <w:rPr>
                <w:rFonts w:ascii="Arial" w:cs="Arial" w:eastAsia="Arial" w:hAnsi="Arial"/>
                <w:sz w:val="18"/>
                <w:szCs w:val="18"/>
                <w:color w:val="auto"/>
              </w:rPr>
              <w:t>Net income (loss) attributable to EchoStar Corporation</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392,561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179,930</w:t>
            </w:r>
          </w:p>
        </w:tc>
        <w:tc>
          <w:tcPr>
            <w:tcW w:w="0" w:type="dxa"/>
            <w:vAlign w:val="bottom"/>
          </w:tcPr>
          <w:p>
            <w:pPr>
              <w:spacing w:after="0"/>
              <w:rPr>
                <w:sz w:val="1"/>
                <w:szCs w:val="1"/>
                <w:color w:val="auto"/>
              </w:rPr>
            </w:pPr>
          </w:p>
        </w:tc>
      </w:tr>
      <w:tr>
        <w:trPr>
          <w:trHeight w:val="277"/>
        </w:trPr>
        <w:tc>
          <w:tcPr>
            <w:tcW w:w="6640" w:type="dxa"/>
            <w:vAlign w:val="bottom"/>
          </w:tcPr>
          <w:p>
            <w:pPr>
              <w:ind w:left="880"/>
              <w:spacing w:after="0"/>
              <w:rPr>
                <w:sz w:val="20"/>
                <w:szCs w:val="20"/>
                <w:color w:val="auto"/>
              </w:rPr>
            </w:pPr>
            <w:r>
              <w:rPr>
                <w:rFonts w:ascii="Arial" w:cs="Arial" w:eastAsia="Arial" w:hAnsi="Arial"/>
                <w:sz w:val="18"/>
                <w:szCs w:val="18"/>
                <w:color w:val="auto"/>
              </w:rPr>
              <w:t>Less: Net loss attributable to Hughes Retail Preferred Tracking Stock</w:t>
            </w:r>
          </w:p>
        </w:tc>
        <w:tc>
          <w:tcPr>
            <w:tcW w:w="26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15"/>
        </w:trPr>
        <w:tc>
          <w:tcPr>
            <w:tcW w:w="6640" w:type="dxa"/>
            <w:vAlign w:val="bottom"/>
          </w:tcPr>
          <w:p>
            <w:pPr>
              <w:ind w:left="1100"/>
              <w:spacing w:after="0"/>
              <w:rPr>
                <w:sz w:val="20"/>
                <w:szCs w:val="20"/>
                <w:color w:val="auto"/>
              </w:rPr>
            </w:pPr>
            <w:r>
              <w:rPr>
                <w:rFonts w:ascii="Arial" w:cs="Arial" w:eastAsia="Arial" w:hAnsi="Arial"/>
                <w:sz w:val="18"/>
                <w:szCs w:val="18"/>
                <w:color w:val="auto"/>
              </w:rPr>
              <w:t>Net income (loss) attributable to EchoStar Corporation common</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(40,475)</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393,770</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181,673</w:t>
            </w:r>
          </w:p>
        </w:tc>
        <w:tc>
          <w:tcPr>
            <w:tcW w:w="0" w:type="dxa"/>
            <w:vAlign w:val="bottom"/>
          </w:tcPr>
          <w:p>
            <w:pPr>
              <w:spacing w:after="0"/>
              <w:rPr>
                <w:sz w:val="1"/>
                <w:szCs w:val="1"/>
                <w:color w:val="auto"/>
              </w:rPr>
            </w:pPr>
          </w:p>
        </w:tc>
      </w:tr>
      <w:tr>
        <w:trPr>
          <w:trHeight w:val="222"/>
        </w:trPr>
        <w:tc>
          <w:tcPr>
            <w:tcW w:w="6640" w:type="dxa"/>
            <w:vAlign w:val="bottom"/>
          </w:tcPr>
          <w:p>
            <w:pPr>
              <w:ind w:left="1100"/>
              <w:spacing w:after="0"/>
              <w:rPr>
                <w:sz w:val="20"/>
                <w:szCs w:val="20"/>
                <w:color w:val="auto"/>
              </w:rPr>
            </w:pPr>
            <w:r>
              <w:rPr>
                <w:rFonts w:ascii="Arial" w:cs="Arial" w:eastAsia="Arial" w:hAnsi="Arial"/>
                <w:sz w:val="18"/>
                <w:szCs w:val="18"/>
                <w:color w:val="auto"/>
              </w:rPr>
              <w:t>stock</w:t>
            </w:r>
          </w:p>
        </w:tc>
        <w:tc>
          <w:tcPr>
            <w:tcW w:w="2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 - Class A and B common stock:</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640" w:type="dxa"/>
            <w:vAlign w:val="bottom"/>
          </w:tcPr>
          <w:p>
            <w:pPr>
              <w:ind w:left="120"/>
              <w:spacing w:after="0"/>
              <w:rPr>
                <w:sz w:val="20"/>
                <w:szCs w:val="20"/>
                <w:color w:val="auto"/>
              </w:rPr>
            </w:pPr>
            <w:r>
              <w:rPr>
                <w:rFonts w:ascii="Arial" w:cs="Arial" w:eastAsia="Arial" w:hAnsi="Arial"/>
                <w:sz w:val="18"/>
                <w:szCs w:val="18"/>
                <w:color w:val="auto"/>
              </w:rPr>
              <w:t>Basic earnings (loss) from continuing operations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Total basic earnings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Diluted earnings (loss) from continuing operations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0"/>
        </w:trPr>
        <w:tc>
          <w:tcPr>
            <w:tcW w:w="6640" w:type="dxa"/>
            <w:vAlign w:val="bottom"/>
          </w:tcPr>
          <w:p>
            <w:pPr>
              <w:ind w:left="120"/>
              <w:spacing w:after="0"/>
              <w:rPr>
                <w:sz w:val="20"/>
                <w:szCs w:val="20"/>
                <w:color w:val="auto"/>
              </w:rPr>
            </w:pPr>
            <w:r>
              <w:rPr>
                <w:rFonts w:ascii="Arial" w:cs="Arial" w:eastAsia="Arial" w:hAnsi="Arial"/>
                <w:sz w:val="18"/>
                <w:szCs w:val="18"/>
                <w:color w:val="auto"/>
              </w:rPr>
              <w:t>Total diluted earnings (loss)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473"/>
        </w:trPr>
        <w:tc>
          <w:tcPr>
            <w:tcW w:w="6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40"/>
          </w:cols>
          <w:pgMar w:left="600" w:top="589" w:right="559" w:bottom="1440"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18"/>
          <w:szCs w:val="18"/>
          <w:b w:val="1"/>
          <w:bCs w:val="1"/>
          <w:color w:val="auto"/>
        </w:rPr>
        <w:t>ECHOSTAR CORPORATION</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20" w:type="dxa"/>
            <w:vAlign w:val="bottom"/>
            <w:gridSpan w:val="6"/>
          </w:tcPr>
          <w:p>
            <w:pPr>
              <w:jc w:val="right"/>
              <w:ind w:right="206"/>
              <w:spacing w:after="0"/>
              <w:rPr>
                <w:sz w:val="20"/>
                <w:szCs w:val="20"/>
                <w:color w:val="auto"/>
              </w:rPr>
            </w:pPr>
            <w:r>
              <w:rPr>
                <w:rFonts w:ascii="Arial" w:cs="Arial" w:eastAsia="Arial" w:hAnsi="Arial"/>
                <w:sz w:val="11"/>
                <w:szCs w:val="11"/>
                <w:b w:val="1"/>
                <w:bCs w:val="1"/>
                <w:color w:val="auto"/>
                <w:w w:val="97"/>
              </w:rPr>
              <w:t>For the years ended December 31,</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ind w:right="466"/>
              <w:spacing w:after="0"/>
              <w:rPr>
                <w:sz w:val="20"/>
                <w:szCs w:val="20"/>
                <w:color w:val="auto"/>
              </w:rPr>
            </w:pPr>
            <w:r>
              <w:rPr>
                <w:rFonts w:ascii="Arial" w:cs="Arial" w:eastAsia="Arial" w:hAnsi="Arial"/>
                <w:sz w:val="11"/>
                <w:szCs w:val="11"/>
                <w:b w:val="1"/>
                <w:bCs w:val="1"/>
                <w:color w:val="auto"/>
              </w:rPr>
              <w:t>2018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546"/>
              <w:spacing w:after="0"/>
              <w:rPr>
                <w:sz w:val="20"/>
                <w:szCs w:val="20"/>
                <w:color w:val="auto"/>
              </w:rPr>
            </w:pPr>
            <w:r>
              <w:rPr>
                <w:rFonts w:ascii="Arial" w:cs="Arial" w:eastAsia="Arial" w:hAnsi="Arial"/>
                <w:sz w:val="11"/>
                <w:szCs w:val="11"/>
                <w:b w:val="1"/>
                <w:bCs w:val="1"/>
                <w:color w:val="auto"/>
              </w:rPr>
              <w:t>2017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06"/>
              <w:spacing w:after="0"/>
              <w:rPr>
                <w:sz w:val="20"/>
                <w:szCs w:val="20"/>
                <w:color w:val="auto"/>
              </w:rPr>
            </w:pPr>
            <w:r>
              <w:rPr>
                <w:rFonts w:ascii="Arial" w:cs="Arial" w:eastAsia="Arial" w:hAnsi="Arial"/>
                <w:sz w:val="11"/>
                <w:szCs w:val="11"/>
                <w:b w:val="1"/>
                <w:bCs w:val="1"/>
                <w:color w:val="auto"/>
              </w:rPr>
              <w:t>2016</w:t>
            </w:r>
          </w:p>
        </w:tc>
        <w:tc>
          <w:tcPr>
            <w:tcW w:w="0" w:type="dxa"/>
            <w:vAlign w:val="bottom"/>
          </w:tcPr>
          <w:p>
            <w:pPr>
              <w:spacing w:after="0"/>
              <w:rPr>
                <w:sz w:val="1"/>
                <w:szCs w:val="1"/>
                <w:color w:val="auto"/>
              </w:rPr>
            </w:pPr>
          </w:p>
        </w:tc>
      </w:tr>
      <w:tr>
        <w:trPr>
          <w:trHeight w:val="22"/>
        </w:trPr>
        <w:tc>
          <w:tcPr>
            <w:tcW w:w="6340" w:type="dxa"/>
            <w:vAlign w:val="bottom"/>
            <w:vMerge w:val="restart"/>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3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Net income (loss)</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(38,633)</w:t>
            </w:r>
          </w:p>
        </w:tc>
        <w:tc>
          <w:tcPr>
            <w:tcW w:w="5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393,489</w:t>
            </w:r>
          </w:p>
        </w:tc>
        <w:tc>
          <w:tcPr>
            <w:tcW w:w="100" w:type="dxa"/>
            <w:vAlign w:val="bottom"/>
          </w:tcPr>
          <w:p>
            <w:pPr>
              <w:spacing w:after="0"/>
              <w:rPr>
                <w:sz w:val="23"/>
                <w:szCs w:val="23"/>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180,692</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Adjustments to reconcile net income (loss) to net cash flows from operating activities:</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Depreciation and amortization</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598,178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533,849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495,068</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Impairment of long-lived assets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65,220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10,762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Equity in earnings of unconsolidated affiliates, net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6,037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(15,814)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(13,310)</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Amortization of debt issuance costs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7,923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7,378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6,551</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Gains and losses on investments, net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12,109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(53,453)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(9,767)</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Stock-based compensation</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9,990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10,103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15,234</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Deferred tax provision (benefit)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26,327</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(288,577)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98,148</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Dividends received from unconsolidated entities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10,000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19,000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15,000</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Proceeds from sale of trading securities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8,922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7,140</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Changes in current assets and current liabilities, net:</w:t>
            </w:r>
          </w:p>
        </w:tc>
        <w:tc>
          <w:tcPr>
            <w:tcW w:w="3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560"/>
              <w:spacing w:after="0"/>
              <w:rPr>
                <w:sz w:val="20"/>
                <w:szCs w:val="20"/>
                <w:color w:val="auto"/>
              </w:rPr>
            </w:pPr>
            <w:r>
              <w:rPr>
                <w:rFonts w:ascii="Arial" w:cs="Arial" w:eastAsia="Arial" w:hAnsi="Arial"/>
                <w:sz w:val="11"/>
                <w:szCs w:val="11"/>
                <w:color w:val="auto"/>
              </w:rPr>
              <w:t>Trade accounts receivable, net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(17,842)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421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(26,942)</w:t>
            </w:r>
          </w:p>
        </w:tc>
        <w:tc>
          <w:tcPr>
            <w:tcW w:w="0" w:type="dxa"/>
            <w:vAlign w:val="bottom"/>
          </w:tcPr>
          <w:p>
            <w:pPr>
              <w:spacing w:after="0"/>
              <w:rPr>
                <w:sz w:val="1"/>
                <w:szCs w:val="1"/>
                <w:color w:val="auto"/>
              </w:rPr>
            </w:pPr>
          </w:p>
        </w:tc>
      </w:tr>
      <w:tr>
        <w:trPr>
          <w:trHeight w:val="270"/>
        </w:trPr>
        <w:tc>
          <w:tcPr>
            <w:tcW w:w="6340" w:type="dxa"/>
            <w:vAlign w:val="bottom"/>
          </w:tcPr>
          <w:p>
            <w:pPr>
              <w:ind w:left="560"/>
              <w:spacing w:after="0"/>
              <w:rPr>
                <w:sz w:val="20"/>
                <w:szCs w:val="20"/>
                <w:color w:val="auto"/>
              </w:rPr>
            </w:pPr>
            <w:r>
              <w:rPr>
                <w:rFonts w:ascii="Arial" w:cs="Arial" w:eastAsia="Arial" w:hAnsi="Arial"/>
                <w:sz w:val="11"/>
                <w:szCs w:val="11"/>
                <w:color w:val="auto"/>
              </w:rPr>
              <w:t>Trade accounts receivable - DISH Network</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29,188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235,227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(1,456)</w:t>
            </w:r>
          </w:p>
        </w:tc>
        <w:tc>
          <w:tcPr>
            <w:tcW w:w="0" w:type="dxa"/>
            <w:vAlign w:val="bottom"/>
          </w:tcPr>
          <w:p>
            <w:pPr>
              <w:spacing w:after="0"/>
              <w:rPr>
                <w:sz w:val="1"/>
                <w:szCs w:val="1"/>
                <w:color w:val="auto"/>
              </w:rPr>
            </w:pPr>
          </w:p>
        </w:tc>
      </w:tr>
      <w:tr>
        <w:trPr>
          <w:trHeight w:val="270"/>
        </w:trPr>
        <w:tc>
          <w:tcPr>
            <w:tcW w:w="6340" w:type="dxa"/>
            <w:vAlign w:val="bottom"/>
          </w:tcPr>
          <w:p>
            <w:pPr>
              <w:ind w:left="560"/>
              <w:spacing w:after="0"/>
              <w:rPr>
                <w:sz w:val="20"/>
                <w:szCs w:val="20"/>
                <w:color w:val="auto"/>
              </w:rPr>
            </w:pPr>
            <w:r>
              <w:rPr>
                <w:rFonts w:ascii="Arial" w:cs="Arial" w:eastAsia="Arial" w:hAnsi="Arial"/>
                <w:sz w:val="11"/>
                <w:szCs w:val="11"/>
                <w:color w:val="auto"/>
              </w:rPr>
              <w:t>Inventory</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5,650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(19,291)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(4,814)</w:t>
            </w:r>
          </w:p>
        </w:tc>
        <w:tc>
          <w:tcPr>
            <w:tcW w:w="0" w:type="dxa"/>
            <w:vAlign w:val="bottom"/>
          </w:tcPr>
          <w:p>
            <w:pPr>
              <w:spacing w:after="0"/>
              <w:rPr>
                <w:sz w:val="1"/>
                <w:szCs w:val="1"/>
                <w:color w:val="auto"/>
              </w:rPr>
            </w:pPr>
          </w:p>
        </w:tc>
      </w:tr>
      <w:tr>
        <w:trPr>
          <w:trHeight w:val="270"/>
        </w:trPr>
        <w:tc>
          <w:tcPr>
            <w:tcW w:w="6340" w:type="dxa"/>
            <w:vAlign w:val="bottom"/>
          </w:tcPr>
          <w:p>
            <w:pPr>
              <w:ind w:left="560"/>
              <w:spacing w:after="0"/>
              <w:rPr>
                <w:sz w:val="20"/>
                <w:szCs w:val="20"/>
                <w:color w:val="auto"/>
              </w:rPr>
            </w:pPr>
            <w:r>
              <w:rPr>
                <w:rFonts w:ascii="Arial" w:cs="Arial" w:eastAsia="Arial" w:hAnsi="Arial"/>
                <w:sz w:val="11"/>
                <w:szCs w:val="11"/>
                <w:color w:val="auto"/>
              </w:rPr>
              <w:t>Other current assets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(16,261)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(15,352)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2,263</w:t>
            </w:r>
          </w:p>
        </w:tc>
        <w:tc>
          <w:tcPr>
            <w:tcW w:w="0" w:type="dxa"/>
            <w:vAlign w:val="bottom"/>
          </w:tcPr>
          <w:p>
            <w:pPr>
              <w:spacing w:after="0"/>
              <w:rPr>
                <w:sz w:val="1"/>
                <w:szCs w:val="1"/>
                <w:color w:val="auto"/>
              </w:rPr>
            </w:pPr>
          </w:p>
        </w:tc>
      </w:tr>
      <w:tr>
        <w:trPr>
          <w:trHeight w:val="270"/>
        </w:trPr>
        <w:tc>
          <w:tcPr>
            <w:tcW w:w="6340" w:type="dxa"/>
            <w:vAlign w:val="bottom"/>
          </w:tcPr>
          <w:p>
            <w:pPr>
              <w:ind w:left="560"/>
              <w:spacing w:after="0"/>
              <w:rPr>
                <w:sz w:val="20"/>
                <w:szCs w:val="20"/>
                <w:color w:val="auto"/>
              </w:rPr>
            </w:pPr>
            <w:r>
              <w:rPr>
                <w:rFonts w:ascii="Arial" w:cs="Arial" w:eastAsia="Arial" w:hAnsi="Arial"/>
                <w:sz w:val="11"/>
                <w:szCs w:val="11"/>
                <w:color w:val="auto"/>
              </w:rPr>
              <w:t>Trade accounts payable</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9,562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(78,419)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(24,571)</w:t>
            </w:r>
          </w:p>
        </w:tc>
        <w:tc>
          <w:tcPr>
            <w:tcW w:w="0" w:type="dxa"/>
            <w:vAlign w:val="bottom"/>
          </w:tcPr>
          <w:p>
            <w:pPr>
              <w:spacing w:after="0"/>
              <w:rPr>
                <w:sz w:val="1"/>
                <w:szCs w:val="1"/>
                <w:color w:val="auto"/>
              </w:rPr>
            </w:pPr>
          </w:p>
        </w:tc>
      </w:tr>
      <w:tr>
        <w:trPr>
          <w:trHeight w:val="270"/>
        </w:trPr>
        <w:tc>
          <w:tcPr>
            <w:tcW w:w="6340" w:type="dxa"/>
            <w:vAlign w:val="bottom"/>
          </w:tcPr>
          <w:p>
            <w:pPr>
              <w:ind w:left="560"/>
              <w:spacing w:after="0"/>
              <w:rPr>
                <w:sz w:val="20"/>
                <w:szCs w:val="20"/>
                <w:color w:val="auto"/>
              </w:rPr>
            </w:pPr>
            <w:r>
              <w:rPr>
                <w:rFonts w:ascii="Arial" w:cs="Arial" w:eastAsia="Arial" w:hAnsi="Arial"/>
                <w:sz w:val="11"/>
                <w:szCs w:val="11"/>
                <w:color w:val="auto"/>
              </w:rPr>
              <w:t>Trade accounts payable - DISH Network</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(3,055)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731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(19,650)</w:t>
            </w:r>
          </w:p>
        </w:tc>
        <w:tc>
          <w:tcPr>
            <w:tcW w:w="0" w:type="dxa"/>
            <w:vAlign w:val="bottom"/>
          </w:tcPr>
          <w:p>
            <w:pPr>
              <w:spacing w:after="0"/>
              <w:rPr>
                <w:sz w:val="1"/>
                <w:szCs w:val="1"/>
                <w:color w:val="auto"/>
              </w:rPr>
            </w:pPr>
          </w:p>
        </w:tc>
      </w:tr>
      <w:tr>
        <w:trPr>
          <w:trHeight w:val="270"/>
        </w:trPr>
        <w:tc>
          <w:tcPr>
            <w:tcW w:w="6340" w:type="dxa"/>
            <w:vAlign w:val="bottom"/>
          </w:tcPr>
          <w:p>
            <w:pPr>
              <w:ind w:left="560"/>
              <w:spacing w:after="0"/>
              <w:rPr>
                <w:sz w:val="20"/>
                <w:szCs w:val="20"/>
                <w:color w:val="auto"/>
              </w:rPr>
            </w:pPr>
            <w:r>
              <w:rPr>
                <w:rFonts w:ascii="Arial" w:cs="Arial" w:eastAsia="Arial" w:hAnsi="Arial"/>
                <w:sz w:val="11"/>
                <w:szCs w:val="11"/>
                <w:color w:val="auto"/>
              </w:rPr>
              <w:t>Accrued expenses and other</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23,105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11,993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55,998</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Changes in noncurrent assets and noncurrent liabilities, net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(5,070)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(36,975)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9,459</w:t>
            </w:r>
          </w:p>
        </w:tc>
        <w:tc>
          <w:tcPr>
            <w:tcW w:w="0" w:type="dxa"/>
            <w:vAlign w:val="bottom"/>
          </w:tcPr>
          <w:p>
            <w:pPr>
              <w:spacing w:after="0"/>
              <w:rPr>
                <w:sz w:val="1"/>
                <w:szCs w:val="1"/>
                <w:color w:val="auto"/>
              </w:rPr>
            </w:pPr>
          </w:p>
        </w:tc>
      </w:tr>
      <w:tr>
        <w:trPr>
          <w:trHeight w:val="270"/>
        </w:trPr>
        <w:tc>
          <w:tcPr>
            <w:tcW w:w="6340" w:type="dxa"/>
            <w:vAlign w:val="bottom"/>
          </w:tcPr>
          <w:p>
            <w:pPr>
              <w:ind w:left="340"/>
              <w:spacing w:after="0"/>
              <w:rPr>
                <w:sz w:val="20"/>
                <w:szCs w:val="20"/>
                <w:color w:val="auto"/>
              </w:rPr>
            </w:pPr>
            <w:r>
              <w:rPr>
                <w:rFonts w:ascii="Arial" w:cs="Arial" w:eastAsia="Arial" w:hAnsi="Arial"/>
                <w:sz w:val="11"/>
                <w:szCs w:val="11"/>
                <w:color w:val="auto"/>
              </w:rPr>
              <w:t>Other, net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12,094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2,898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18,300</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560"/>
              <w:spacing w:after="0"/>
              <w:rPr>
                <w:sz w:val="20"/>
                <w:szCs w:val="20"/>
                <w:color w:val="auto"/>
              </w:rPr>
            </w:pPr>
            <w:r>
              <w:rPr>
                <w:rFonts w:ascii="Arial" w:cs="Arial" w:eastAsia="Arial" w:hAnsi="Arial"/>
                <w:sz w:val="11"/>
                <w:szCs w:val="11"/>
                <w:color w:val="auto"/>
              </w:rPr>
              <w:t>Net cash flows from operating activities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734,522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726,892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803,343</w:t>
            </w:r>
          </w:p>
        </w:tc>
        <w:tc>
          <w:tcPr>
            <w:tcW w:w="0" w:type="dxa"/>
            <w:vAlign w:val="bottom"/>
          </w:tcPr>
          <w:p>
            <w:pPr>
              <w:spacing w:after="0"/>
              <w:rPr>
                <w:sz w:val="1"/>
                <w:szCs w:val="1"/>
                <w:color w:val="auto"/>
              </w:rPr>
            </w:pPr>
          </w:p>
        </w:tc>
      </w:tr>
      <w:tr>
        <w:trPr>
          <w:trHeight w:val="22"/>
        </w:trPr>
        <w:tc>
          <w:tcPr>
            <w:tcW w:w="6340" w:type="dxa"/>
            <w:vAlign w:val="bottom"/>
            <w:vMerge w:val="restart"/>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3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Purchases of marketable investment securities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(2,973,254)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(855,717)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(921,247)</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Sales and maturities of marketable investment securities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1,498,463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580,235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1,009,310</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Expenditures for property and equipment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(555,141)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(583,211)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(722,341)</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Refunds and other receipts related to property and equipment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77,524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4,311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24,087</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Sale of investment in unconsolidated entity</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1,558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17,781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Expenditures for externally marketed software</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(31,639)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(31,331)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(23,252)</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Investments in unconsolidated entities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(115,991)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(1,636)</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Other, net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2,880</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560"/>
              <w:spacing w:after="0"/>
              <w:rPr>
                <w:sz w:val="20"/>
                <w:szCs w:val="20"/>
                <w:color w:val="auto"/>
              </w:rPr>
            </w:pPr>
            <w:r>
              <w:rPr>
                <w:rFonts w:ascii="Arial" w:cs="Arial" w:eastAsia="Arial" w:hAnsi="Arial"/>
                <w:sz w:val="11"/>
                <w:szCs w:val="11"/>
                <w:color w:val="auto"/>
              </w:rPr>
              <w:t>Net cash flows from investing activities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(2,098,480)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(867,932)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(632,199)</w:t>
            </w:r>
          </w:p>
        </w:tc>
        <w:tc>
          <w:tcPr>
            <w:tcW w:w="0" w:type="dxa"/>
            <w:vAlign w:val="bottom"/>
          </w:tcPr>
          <w:p>
            <w:pPr>
              <w:spacing w:after="0"/>
              <w:rPr>
                <w:sz w:val="1"/>
                <w:szCs w:val="1"/>
                <w:color w:val="auto"/>
              </w:rPr>
            </w:pPr>
          </w:p>
        </w:tc>
      </w:tr>
      <w:tr>
        <w:trPr>
          <w:trHeight w:val="22"/>
        </w:trPr>
        <w:tc>
          <w:tcPr>
            <w:tcW w:w="6340" w:type="dxa"/>
            <w:vAlign w:val="bottom"/>
            <w:vMerge w:val="restart"/>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3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Proceeds from issuance of long-term debt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1,500,000</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Payments of debt issuance costs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(414)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(7,097)</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Repurchase of the 2019 Senior Secured Notes (Note 12)</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(70,173)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Purchase of treasury shares (Note 14)</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(33,292)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Repayment of debt and capital lease obligations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(41,019)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(37,670)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(40,364)</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Net proceeds from Class A common stock options exercised</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4,424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35,536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13,065</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Net proceeds from Class A common stock issued under the Employee Stock Purchase Plan</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9,368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8,758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14,367</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Repayment of in-orbit incentive obligations</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(5,350)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(5,487)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(5,499)</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Cash exchanged for Tracking Stock (Note 1)</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(651)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Other, net</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(521)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1,217</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560"/>
              <w:spacing w:after="0"/>
              <w:rPr>
                <w:sz w:val="20"/>
                <w:szCs w:val="20"/>
                <w:color w:val="auto"/>
              </w:rPr>
            </w:pPr>
            <w:r>
              <w:rPr>
                <w:rFonts w:ascii="Arial" w:cs="Arial" w:eastAsia="Arial" w:hAnsi="Arial"/>
                <w:sz w:val="11"/>
                <w:szCs w:val="11"/>
                <w:color w:val="auto"/>
              </w:rPr>
              <w:t>Net cash flows from financing activities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(136,563)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1,475,689</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560"/>
              <w:spacing w:after="0"/>
              <w:rPr>
                <w:sz w:val="20"/>
                <w:szCs w:val="20"/>
                <w:color w:val="auto"/>
              </w:rPr>
            </w:pPr>
            <w:r>
              <w:rPr>
                <w:rFonts w:ascii="Arial" w:cs="Arial" w:eastAsia="Arial" w:hAnsi="Arial"/>
                <w:sz w:val="11"/>
                <w:szCs w:val="11"/>
                <w:color w:val="auto"/>
              </w:rPr>
              <w:t>Effect of exchange rates on cash and cash equivalents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(2,233)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1,351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560"/>
              <w:spacing w:after="0"/>
              <w:rPr>
                <w:sz w:val="20"/>
                <w:szCs w:val="20"/>
                <w:color w:val="auto"/>
              </w:rPr>
            </w:pPr>
            <w:r>
              <w:rPr>
                <w:rFonts w:ascii="Arial" w:cs="Arial" w:eastAsia="Arial" w:hAnsi="Arial"/>
                <w:sz w:val="11"/>
                <w:szCs w:val="11"/>
                <w:color w:val="auto"/>
              </w:rPr>
              <w:t>Net increase (decrease) in cash and cash equivalents</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(1,502,754)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(139,617)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1,646,971</w:t>
            </w:r>
          </w:p>
        </w:tc>
        <w:tc>
          <w:tcPr>
            <w:tcW w:w="0" w:type="dxa"/>
            <w:vAlign w:val="bottom"/>
          </w:tcPr>
          <w:p>
            <w:pPr>
              <w:spacing w:after="0"/>
              <w:rPr>
                <w:sz w:val="1"/>
                <w:szCs w:val="1"/>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1"/>
                <w:szCs w:val="11"/>
                <w:color w:val="auto"/>
              </w:rPr>
              <w:t>Cash and cash equivalents, including restricted amounts, beginning of period</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2,432,249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2,571,866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924,895</w:t>
            </w:r>
          </w:p>
        </w:tc>
        <w:tc>
          <w:tcPr>
            <w:tcW w:w="0" w:type="dxa"/>
            <w:vAlign w:val="bottom"/>
          </w:tcPr>
          <w:p>
            <w:pPr>
              <w:spacing w:after="0"/>
              <w:rPr>
                <w:sz w:val="1"/>
                <w:szCs w:val="1"/>
                <w:color w:val="auto"/>
              </w:rPr>
            </w:pPr>
          </w:p>
        </w:tc>
      </w:tr>
      <w:tr>
        <w:trPr>
          <w:trHeight w:val="22"/>
        </w:trPr>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1"/>
                <w:szCs w:val="11"/>
                <w:color w:val="auto"/>
              </w:rPr>
              <w:t>Cash and cash equivalents, including restricted amounts, end of period</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929,495</w:t>
            </w:r>
          </w:p>
        </w:tc>
        <w:tc>
          <w:tcPr>
            <w:tcW w:w="5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2,432,249</w:t>
            </w:r>
          </w:p>
        </w:tc>
        <w:tc>
          <w:tcPr>
            <w:tcW w:w="100" w:type="dxa"/>
            <w:vAlign w:val="bottom"/>
          </w:tcPr>
          <w:p>
            <w:pPr>
              <w:spacing w:after="0"/>
              <w:rPr>
                <w:sz w:val="20"/>
                <w:szCs w:val="20"/>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2,571,866</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6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Cash paid for interest, net of amounts capitalized</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240,596</w:t>
            </w:r>
          </w:p>
        </w:tc>
        <w:tc>
          <w:tcPr>
            <w:tcW w:w="5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207,617</w:t>
            </w:r>
          </w:p>
        </w:tc>
        <w:tc>
          <w:tcPr>
            <w:tcW w:w="100" w:type="dxa"/>
            <w:vAlign w:val="bottom"/>
          </w:tcPr>
          <w:p>
            <w:pPr>
              <w:spacing w:after="0"/>
              <w:rPr>
                <w:sz w:val="23"/>
                <w:szCs w:val="23"/>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78,312</w:t>
            </w:r>
          </w:p>
        </w:tc>
        <w:tc>
          <w:tcPr>
            <w:tcW w:w="0" w:type="dxa"/>
            <w:vAlign w:val="bottom"/>
          </w:tcPr>
          <w:p>
            <w:pPr>
              <w:spacing w:after="0"/>
              <w:rPr>
                <w:sz w:val="1"/>
                <w:szCs w:val="1"/>
                <w:color w:val="auto"/>
              </w:rPr>
            </w:pPr>
          </w:p>
        </w:tc>
      </w:tr>
      <w:tr>
        <w:trPr>
          <w:trHeight w:val="270"/>
        </w:trPr>
        <w:tc>
          <w:tcPr>
            <w:tcW w:w="6340" w:type="dxa"/>
            <w:vAlign w:val="bottom"/>
          </w:tcPr>
          <w:p>
            <w:pPr>
              <w:ind w:left="120"/>
              <w:spacing w:after="0"/>
              <w:rPr>
                <w:sz w:val="20"/>
                <w:szCs w:val="20"/>
                <w:color w:val="auto"/>
              </w:rPr>
            </w:pPr>
            <w:r>
              <w:rPr>
                <w:rFonts w:ascii="Arial" w:cs="Arial" w:eastAsia="Arial" w:hAnsi="Arial"/>
                <w:sz w:val="11"/>
                <w:szCs w:val="11"/>
                <w:color w:val="auto"/>
              </w:rPr>
              <w:t>Cash paid for income taxes</w:t>
            </w:r>
          </w:p>
        </w:tc>
        <w:tc>
          <w:tcPr>
            <w:tcW w:w="340" w:type="dxa"/>
            <w:vAlign w:val="bottom"/>
          </w:tcPr>
          <w:p>
            <w:pPr>
              <w:jc w:val="right"/>
              <w:ind w:right="20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5,209</w:t>
            </w:r>
          </w:p>
        </w:tc>
        <w:tc>
          <w:tcPr>
            <w:tcW w:w="52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11,033</w:t>
            </w:r>
          </w:p>
        </w:tc>
        <w:tc>
          <w:tcPr>
            <w:tcW w:w="100" w:type="dxa"/>
            <w:vAlign w:val="bottom"/>
          </w:tcPr>
          <w:p>
            <w:pPr>
              <w:spacing w:after="0"/>
              <w:rPr>
                <w:sz w:val="23"/>
                <w:szCs w:val="23"/>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11,700</w:t>
            </w:r>
          </w:p>
        </w:tc>
        <w:tc>
          <w:tcPr>
            <w:tcW w:w="0" w:type="dxa"/>
            <w:vAlign w:val="bottom"/>
          </w:tcPr>
          <w:p>
            <w:pPr>
              <w:spacing w:after="0"/>
              <w:rPr>
                <w:sz w:val="1"/>
                <w:szCs w:val="1"/>
                <w:color w:val="auto"/>
              </w:rPr>
            </w:pPr>
          </w:p>
        </w:tc>
      </w:tr>
    </w:tbl>
    <w:p>
      <w:pPr>
        <w:sectPr>
          <w:pgSz w:w="11900" w:h="16838" w:orient="portrait"/>
          <w:cols w:equalWidth="0" w:num="1">
            <w:col w:w="10740"/>
          </w:cols>
          <w:pgMar w:left="600" w:top="589" w:right="559" w:bottom="4" w:gutter="0" w:footer="0" w:header="0"/>
        </w:sectPr>
      </w:pPr>
    </w:p>
    <w:bookmarkStart w:id="130" w:name="page131"/>
    <w:bookmarkEnd w:id="130"/>
    <w:p>
      <w:pPr>
        <w:ind w:left="6580"/>
        <w:spacing w:after="0"/>
        <w:rPr>
          <w:sz w:val="20"/>
          <w:szCs w:val="20"/>
          <w:color w:val="auto"/>
        </w:rPr>
      </w:pPr>
      <w:r>
        <w:rPr>
          <w:rFonts w:ascii="Arial" w:cs="Arial" w:eastAsia="Arial" w:hAnsi="Arial"/>
          <w:sz w:val="17"/>
          <w:szCs w:val="17"/>
          <w:color w:val="auto"/>
        </w:rPr>
        <w:t>6</w:t>
      </w:r>
    </w:p>
    <w:sectPr>
      <w:pgSz w:w="11900" w:h="16838" w:orient="portrait"/>
      <w:cols w:equalWidth="0" w:num="1">
        <w:col w:w="9019"/>
      </w:cols>
      <w:pgMar w:left="1440" w:top="3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o"/>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1)"/>
      <w:numFmt w:val="decimal"/>
      <w:start w:val="303"/>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1)"/>
      <w:numFmt w:val="lowerRoman"/>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1)"/>
      <w:numFmt w:val="lowerLetter"/>
      <w:start w:val="1"/>
    </w:lvl>
  </w:abstractNum>
  <w:abstractNum w:abstractNumId="25">
    <w:nsid w:val="6DE91B18"/>
    <w:multiLevelType w:val="hybridMultilevel"/>
    <w:lvl w:ilvl="0">
      <w:lvlJc w:val="left"/>
      <w:lvlText w:val="(%1)"/>
      <w:numFmt w:val="upperLetter"/>
      <w:start w:val="8"/>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lowerRoman"/>
      <w:start w:val="1"/>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1)"/>
      <w:numFmt w:val="lowerLetter"/>
      <w:start w:val="1"/>
    </w:lvl>
  </w:abstractNum>
  <w:abstractNum w:abstractNumId="45">
    <w:nsid w:val="1CF10FD8"/>
    <w:multiLevelType w:val="hybridMultilevel"/>
    <w:lvl w:ilvl="0">
      <w:lvlJc w:val="left"/>
      <w:lvlText w:val="(%1)"/>
      <w:numFmt w:val="lowerLetter"/>
      <w:start w:val="1"/>
    </w:lvl>
    <w:lvl w:ilvl="1">
      <w:lvlJc w:val="left"/>
      <w:lvlText w:val="(%2)"/>
      <w:numFmt w:val="decimal"/>
      <w:start w:val="1"/>
    </w:lvl>
  </w:abstractNum>
  <w:abstractNum w:abstractNumId="46">
    <w:nsid w:val="180115BE"/>
    <w:multiLevelType w:val="hybridMultilevel"/>
    <w:lvl w:ilvl="0">
      <w:lvlJc w:val="left"/>
      <w:lvlText w:val="(%1)"/>
      <w:numFmt w:val="decimal"/>
      <w:start w:val="2"/>
    </w:lvl>
  </w:abstractNum>
  <w:abstractNum w:abstractNumId="47">
    <w:nsid w:val="235BA861"/>
    <w:multiLevelType w:val="hybridMultilevel"/>
    <w:lvl w:ilvl="0">
      <w:lvlJc w:val="left"/>
      <w:lvlText w:val="©"/>
      <w:numFmt w:val="bullet"/>
      <w:start w:val="1"/>
    </w:lvl>
  </w:abstractNum>
  <w:abstractNum w:abstractNumId="48">
    <w:nsid w:val="47398C89"/>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upperLetter"/>
      <w:start w:val="1"/>
    </w:lvl>
    <w:lvl w:ilvl="4">
      <w:lvlJc w:val="left"/>
      <w:lvlText w:val="(%5)"/>
      <w:numFmt w:val="upperLetter"/>
      <w:start w:val="1"/>
    </w:lvl>
    <w:lvl w:ilvl="5">
      <w:lvlJc w:val="left"/>
      <w:lvlText w:val="·"/>
      <w:numFmt w:val="bullet"/>
      <w:start w:val="1"/>
    </w:lvl>
  </w:abstractNum>
  <w:abstractNum w:abstractNumId="49">
    <w:nsid w:val="354FE9F9"/>
    <w:multiLevelType w:val="hybridMultilevel"/>
    <w:lvl w:ilvl="0">
      <w:lvlJc w:val="left"/>
      <w:lvlText w:val="(%1)"/>
      <w:numFmt w:val="decimal"/>
      <w:start w:val="3"/>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2">
    <w:nsid w:val="D34B6A8"/>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2"/>
    </w:lvl>
  </w:abstractNum>
  <w:abstractNum w:abstractNumId="59">
    <w:nsid w:val="310C50B3"/>
    <w:multiLevelType w:val="hybridMultilevel"/>
    <w:lvl w:ilvl="0">
      <w:lvlJc w:val="left"/>
      <w:lvlText w:val="%1)"/>
      <w:numFmt w:val="lowerLetter"/>
      <w:start w:val="3"/>
    </w:lvl>
  </w:abstractNum>
  <w:abstractNum w:abstractNumId="60">
    <w:nsid w:val="5FF87E05"/>
    <w:multiLevelType w:val="hybridMultilevel"/>
    <w:lvl w:ilvl="0">
      <w:lvlJc w:val="left"/>
      <w:lvlText w:val="%1."/>
      <w:numFmt w:val="decimal"/>
      <w:start w:val="5"/>
    </w:lvl>
    <w:lvl w:ilvl="1">
      <w:lvlJc w:val="left"/>
      <w:lvlText w:val="%2)"/>
      <w:numFmt w:val="lowerLetter"/>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lowerLetter"/>
      <w:start w:val="3"/>
    </w:lvl>
  </w:abstractNum>
  <w:abstractNum w:abstractNumId="63">
    <w:nsid w:val="1DBABF00"/>
    <w:multiLevelType w:val="hybridMultilevel"/>
    <w:lvl w:ilvl="0">
      <w:lvlJc w:val="left"/>
      <w:lvlText w:val="%1."/>
      <w:numFmt w:val="decimal"/>
      <w:start w:val="5"/>
    </w:lvl>
    <w:lvl w:ilvl="1">
      <w:lvlJc w:val="left"/>
      <w:lvlText w:val="%2)"/>
      <w:numFmt w:val="lowerLetter"/>
      <w:start w:val="1"/>
    </w:lvl>
  </w:abstractNum>
  <w:abstractNum w:abstractNumId="64">
    <w:nsid w:val="4AD084E9"/>
    <w:multiLevelType w:val="hybridMultilevel"/>
    <w:lvl w:ilvl="0">
      <w:lvlJc w:val="left"/>
      <w:lvlText w:val="(%1)"/>
      <w:numFmt w:val="lowerRoman"/>
      <w:start w:val="1"/>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74" Type="http://schemas.openxmlformats.org/officeDocument/2006/relationships/image" Target="media/image8.png"/><Relationship Id="rId75" Type="http://schemas.openxmlformats.org/officeDocument/2006/relationships/image" Target="media/image9.png"/><Relationship Id="rId76" Type="http://schemas.openxmlformats.org/officeDocument/2006/relationships/image" Target="media/image10.png"/><Relationship Id="rId77" Type="http://schemas.openxmlformats.org/officeDocument/2006/relationships/image" Target="media/image11.png"/><Relationship Id="rId78" Type="http://schemas.openxmlformats.org/officeDocument/2006/relationships/image" Target="media/image12.png"/><Relationship Id="rId79" Type="http://schemas.openxmlformats.org/officeDocument/2006/relationships/image" Target="media/image13.png"/><Relationship Id="rId80" Type="http://schemas.openxmlformats.org/officeDocument/2006/relationships/image" Target="media/image14.png"/><Relationship Id="rId81" Type="http://schemas.openxmlformats.org/officeDocument/2006/relationships/image" Target="media/image15.png"/><Relationship Id="rId82" Type="http://schemas.openxmlformats.org/officeDocument/2006/relationships/image" Target="media/image16.png"/><Relationship Id="rId83" Type="http://schemas.openxmlformats.org/officeDocument/2006/relationships/image" Target="media/image17.png"/><Relationship Id="rId84" Type="http://schemas.openxmlformats.org/officeDocument/2006/relationships/image" Target="media/image18.png"/><Relationship Id="rId85" Type="http://schemas.openxmlformats.org/officeDocument/2006/relationships/image" Target="media/image19.png"/><Relationship Id="rId86" Type="http://schemas.openxmlformats.org/officeDocument/2006/relationships/image" Target="media/image20.png"/><Relationship Id="rId87" Type="http://schemas.openxmlformats.org/officeDocument/2006/relationships/image" Target="media/image21.png"/><Relationship Id="rId88" Type="http://schemas.openxmlformats.org/officeDocument/2006/relationships/image" Target="media/image22.png"/><Relationship Id="rId89" Type="http://schemas.openxmlformats.org/officeDocument/2006/relationships/image" Target="media/image23.png"/><Relationship Id="rId90" Type="http://schemas.openxmlformats.org/officeDocument/2006/relationships/image" Target="media/image24.png"/><Relationship Id="rId91" Type="http://schemas.openxmlformats.org/officeDocument/2006/relationships/image" Target="media/image25.png"/><Relationship Id="rId92" Type="http://schemas.openxmlformats.org/officeDocument/2006/relationships/image" Target="media/image26.png"/><Relationship Id="rId93" Type="http://schemas.openxmlformats.org/officeDocument/2006/relationships/image" Target="media/image27.png"/><Relationship Id="rId94" Type="http://schemas.openxmlformats.org/officeDocument/2006/relationships/image" Target="media/image28.png"/><Relationship Id="rId95" Type="http://schemas.openxmlformats.org/officeDocument/2006/relationships/image" Target="media/image29.png"/><Relationship Id="rId96" Type="http://schemas.openxmlformats.org/officeDocument/2006/relationships/image" Target="media/image30.png"/><Relationship Id="rId97" Type="http://schemas.openxmlformats.org/officeDocument/2006/relationships/image" Target="media/image31.png"/><Relationship Id="rId98" Type="http://schemas.openxmlformats.org/officeDocument/2006/relationships/image" Target="media/image32.png"/><Relationship Id="rId99" Type="http://schemas.openxmlformats.org/officeDocument/2006/relationships/image" Target="media/image33.png"/><Relationship Id="rId100" Type="http://schemas.openxmlformats.org/officeDocument/2006/relationships/image" Target="media/image34.png"/><Relationship Id="rId101" Type="http://schemas.openxmlformats.org/officeDocument/2006/relationships/image" Target="media/image35.png"/><Relationship Id="rId102" Type="http://schemas.openxmlformats.org/officeDocument/2006/relationships/image" Target="media/image36.png"/><Relationship Id="rId103" Type="http://schemas.openxmlformats.org/officeDocument/2006/relationships/image" Target="media/image37.png"/><Relationship Id="rId104" Type="http://schemas.openxmlformats.org/officeDocument/2006/relationships/image" Target="media/image38.png"/><Relationship Id="rId105" Type="http://schemas.openxmlformats.org/officeDocument/2006/relationships/image" Target="media/image39.png"/><Relationship Id="rId106" Type="http://schemas.openxmlformats.org/officeDocument/2006/relationships/image" Target="media/image40.png"/><Relationship Id="rId107" Type="http://schemas.openxmlformats.org/officeDocument/2006/relationships/image" Target="media/image41.png"/><Relationship Id="rId108" Type="http://schemas.openxmlformats.org/officeDocument/2006/relationships/image" Target="media/image42.png"/><Relationship Id="rId109" Type="http://schemas.openxmlformats.org/officeDocument/2006/relationships/image" Target="media/image43.png"/><Relationship Id="rId110" Type="http://schemas.openxmlformats.org/officeDocument/2006/relationships/image" Target="media/image44.png"/><Relationship Id="rId111" Type="http://schemas.openxmlformats.org/officeDocument/2006/relationships/image" Target="media/image45.png"/><Relationship Id="rId112" Type="http://schemas.openxmlformats.org/officeDocument/2006/relationships/image" Target="media/image46.png"/><Relationship Id="rId113" Type="http://schemas.openxmlformats.org/officeDocument/2006/relationships/image" Target="media/image47.png"/><Relationship Id="rId114" Type="http://schemas.openxmlformats.org/officeDocument/2006/relationships/image" Target="media/image48.png"/><Relationship Id="rId115" Type="http://schemas.openxmlformats.org/officeDocument/2006/relationships/image" Target="media/image49.png"/><Relationship Id="rId116" Type="http://schemas.openxmlformats.org/officeDocument/2006/relationships/image" Target="media/image50.png"/><Relationship Id="rId117" Type="http://schemas.openxmlformats.org/officeDocument/2006/relationships/image" Target="media/image51.png"/><Relationship Id="rId118" Type="http://schemas.openxmlformats.org/officeDocument/2006/relationships/image" Target="media/image52.png"/><Relationship Id="rId119" Type="http://schemas.openxmlformats.org/officeDocument/2006/relationships/image" Target="media/image53.png"/><Relationship Id="rId120" Type="http://schemas.openxmlformats.org/officeDocument/2006/relationships/image" Target="media/image54.png"/><Relationship Id="rId121" Type="http://schemas.openxmlformats.org/officeDocument/2006/relationships/image" Target="media/image55.png"/><Relationship Id="rId122" Type="http://schemas.openxmlformats.org/officeDocument/2006/relationships/image" Target="media/image56.png"/><Relationship Id="rId123" Type="http://schemas.openxmlformats.org/officeDocument/2006/relationships/image" Target="media/image57.png"/><Relationship Id="rId124" Type="http://schemas.openxmlformats.org/officeDocument/2006/relationships/image" Target="media/image58.png"/><Relationship Id="rId125" Type="http://schemas.openxmlformats.org/officeDocument/2006/relationships/image" Target="media/image59.png"/><Relationship Id="rId126" Type="http://schemas.openxmlformats.org/officeDocument/2006/relationships/image" Target="media/image60.png"/><Relationship Id="rId127" Type="http://schemas.openxmlformats.org/officeDocument/2006/relationships/image" Target="media/image61.png"/><Relationship Id="rId128" Type="http://schemas.openxmlformats.org/officeDocument/2006/relationships/image" Target="media/image62.png"/><Relationship Id="rId129" Type="http://schemas.openxmlformats.org/officeDocument/2006/relationships/image" Target="media/image63.png"/><Relationship Id="rId130" Type="http://schemas.openxmlformats.org/officeDocument/2006/relationships/image" Target="media/image64.png"/><Relationship Id="rId131" Type="http://schemas.openxmlformats.org/officeDocument/2006/relationships/image" Target="media/image65.png"/><Relationship Id="rId132" Type="http://schemas.openxmlformats.org/officeDocument/2006/relationships/image" Target="media/image66.png"/><Relationship Id="rId133" Type="http://schemas.openxmlformats.org/officeDocument/2006/relationships/image" Target="media/image67.png"/><Relationship Id="rId15" Type="http://schemas.openxmlformats.org/officeDocument/2006/relationships/hyperlink" Target="http://www.sec.gov/Archives/edgar/data/1345840/000119312511036322/dex21.htm" TargetMode="External"/><Relationship Id="rId16" Type="http://schemas.openxmlformats.org/officeDocument/2006/relationships/hyperlink" Target="http://www.sec.gov/Archives/edgar/data/1345840/000110465912003165/a12-2227_1ex3d1a.htm" TargetMode="External"/><Relationship Id="rId17" Type="http://schemas.openxmlformats.org/officeDocument/2006/relationships/hyperlink" Target="http://www.sec.gov/Archives/edgar/data/1345840/000110465912003165/a12-2227_1ex3d1b.htm" TargetMode="External"/><Relationship Id="rId18" Type="http://schemas.openxmlformats.org/officeDocument/2006/relationships/hyperlink" Target="http://www.sec.gov/Archives/edgar/data/1533758/000104746914001114/a2218342zex-3_1c.htm" TargetMode="External"/><Relationship Id="rId19" Type="http://schemas.openxmlformats.org/officeDocument/2006/relationships/hyperlink" Target="http://www.sec.gov/Archives/edgar/data/1533758/000104746914001114/a2218342zex-3_1d.htm" TargetMode="External"/><Relationship Id="rId20" Type="http://schemas.openxmlformats.org/officeDocument/2006/relationships/hyperlink" Target="http://www.sec.gov/Archives/edgar/data/1533758/000110465914036643/a14-9519_1ex3d1a.htm" TargetMode="External"/><Relationship Id="rId21" Type="http://schemas.openxmlformats.org/officeDocument/2006/relationships/hyperlink" Target="http://www.sec.gov/Archives/edgar/data/1415404/000141540417000016/ex32carticlesofamendment.htm" TargetMode="External"/><Relationship Id="rId22" Type="http://schemas.openxmlformats.org/officeDocument/2006/relationships/hyperlink" Target="http://www.sec.gov/Archives/edgar/data/1345840/000110465912003165/a12-2227_1ex3d2.htm" TargetMode="External"/><Relationship Id="rId23" Type="http://schemas.openxmlformats.org/officeDocument/2006/relationships/hyperlink" Target="http://www.sec.gov/Archives/edgar/data/1415404/000110465911032702/a11-13614_1ex4d1.htm" TargetMode="External"/><Relationship Id="rId24" Type="http://schemas.openxmlformats.org/officeDocument/2006/relationships/hyperlink" Target="http://www.sec.gov/Archives/edgar/data/1415404/000110465911032702/a11-13614_1ex4d2.htm" TargetMode="External"/><Relationship Id="rId25" Type="http://schemas.openxmlformats.org/officeDocument/2006/relationships/hyperlink" Target="http://www.sec.gov/Archives/edgar/data/1415404/000110465911033872/a11-14479_1ex4d2.htm" TargetMode="External"/><Relationship Id="rId26" Type="http://schemas.openxmlformats.org/officeDocument/2006/relationships/hyperlink" Target="http://www.sec.gov/Archives/edgar/data/1415404/000110465911033872/a11-14479_1ex4d3.htm" TargetMode="External"/><Relationship Id="rId27" Type="http://schemas.openxmlformats.org/officeDocument/2006/relationships/hyperlink" Target="http://www.sec.gov/Archives/edgar/data/1415404/000110465911032702/a11-13614_1ex4d3.htm" TargetMode="External"/><Relationship Id="rId28" Type="http://schemas.openxmlformats.org/officeDocument/2006/relationships/hyperlink" Target="http://www.sec.gov/Archives/edgar/data/1415404/000110465911033872/a11-14479_1ex4d1.htm" TargetMode="External"/><Relationship Id="rId29" Type="http://schemas.openxmlformats.org/officeDocument/2006/relationships/hyperlink" Target="http://www.sec.gov/Archives/edgar/data/1415404/000110465914036637/a14-8954_1ex4d1.htm" TargetMode="External"/><Relationship Id="rId30" Type="http://schemas.openxmlformats.org/officeDocument/2006/relationships/hyperlink" Target="http://www.sec.gov/Archives/edgar/data/1415404/000110465914036637/a14-8954_1ex4d2.htm" TargetMode="External"/><Relationship Id="rId31" Type="http://schemas.openxmlformats.org/officeDocument/2006/relationships/hyperlink" Target="http://www.sec.gov/Archives/edgar/data/1415404/000110465914036637/a14-8954_1ex4d3.htm" TargetMode="External"/><Relationship Id="rId32" Type="http://schemas.openxmlformats.org/officeDocument/2006/relationships/hyperlink" Target="http://www.sec.gov/Archives/edgar/data/1415404/000110465916134602/a16-15573_1ex4d1.htm" TargetMode="External"/><Relationship Id="rId33" Type="http://schemas.openxmlformats.org/officeDocument/2006/relationships/hyperlink" Target="http://www.sec.gov/Archives/edgar/data/1415404/000110465916134602/a16-15573_1ex4d2.htm" TargetMode="External"/><Relationship Id="rId34" Type="http://schemas.openxmlformats.org/officeDocument/2006/relationships/hyperlink" Target="http://www.sec.gov/Archives/edgar/data/1415404/000110465916134602/a16-15573_1ex4d3.htm" TargetMode="External"/><Relationship Id="rId35" Type="http://schemas.openxmlformats.org/officeDocument/2006/relationships/hyperlink" Target="http://www.sec.gov/Archives/edgar/data/1415404/000110465916134602/a16-15573_1ex4d4.htm" TargetMode="External"/><Relationship Id="rId36" Type="http://schemas.openxmlformats.org/officeDocument/2006/relationships/hyperlink" Target="http://www.sec.gov/Archives/edgar/data/1345840/000153375817000023/hssc_2017exchexhibit4d18.htm" TargetMode="External"/><Relationship Id="rId37" Type="http://schemas.openxmlformats.org/officeDocument/2006/relationships/hyperlink" Target="http://www.sec.gov/Archives/edgar/data/1345840/000153375817000023/hssc_2017exchexhibit4d19.htm" TargetMode="External"/><Relationship Id="rId38" Type="http://schemas.openxmlformats.org/officeDocument/2006/relationships/hyperlink" Target="http://www.sec.gov/Archives/edgar/data/1345840/000153375817000023/hssc_2017exchexhibitx4d20.htm" TargetMode="External"/><Relationship Id="rId39" Type="http://schemas.openxmlformats.org/officeDocument/2006/relationships/hyperlink" Target="http://www.sec.gov/Archives/edgar/data/1345840/000153375817000023/hssc_2017exchexhibit4d21.htm" TargetMode="External"/><Relationship Id="rId40" Type="http://schemas.openxmlformats.org/officeDocument/2006/relationships/hyperlink" Target="http://www.sec.gov/Archives/edgar/data/1345840/000153375817000023/hssc_exchangex2017x-xexhib.htm" TargetMode="External"/><Relationship Id="rId41" Type="http://schemas.openxmlformats.org/officeDocument/2006/relationships/hyperlink" Target="http://www.sec.gov/Archives/edgar/data/1533758/000153375818000004/exhibit423-xjoinderagr.htm" TargetMode="External"/><Relationship Id="rId42" Type="http://schemas.openxmlformats.org/officeDocument/2006/relationships/hyperlink" Target="http://www.sec.gov/Archives/edgar/data/1533758/000153375818000004/exhibit424-xhsscxsecon.htm" TargetMode="External"/><Relationship Id="rId43" Type="http://schemas.openxmlformats.org/officeDocument/2006/relationships/hyperlink" Target="http://www.sec.gov/Archives/edgar/data/1533758/000153375818000004/exhibit425-xhsscxsecon.htm" TargetMode="External"/><Relationship Id="rId44" Type="http://schemas.openxmlformats.org/officeDocument/2006/relationships/hyperlink" Target="http://www.sec.gov/Archives/edgar/data/1533758/000153375818000004/exhibit426-xhsscxfourt.htm" TargetMode="External"/><Relationship Id="rId45" Type="http://schemas.openxmlformats.org/officeDocument/2006/relationships/hyperlink" Target="http://www.sec.gov/Archives/edgar/data/1533758/000153375818000004/exhibit427-xhsscxfourt.htm" TargetMode="External"/><Relationship Id="rId46" Type="http://schemas.openxmlformats.org/officeDocument/2006/relationships/hyperlink" Target="http://www.sec.gov/Archives/edgar/data/1415404/000103570407000816/d50150a1exv10w2.htm" TargetMode="External"/><Relationship Id="rId47" Type="http://schemas.openxmlformats.org/officeDocument/2006/relationships/hyperlink" Target="http://www.sec.gov/Archives/edgar/data/1415404/000103570407000816/d50150a1exv10w25.htm" TargetMode="External"/><Relationship Id="rId48" Type="http://schemas.openxmlformats.org/officeDocument/2006/relationships/hyperlink" Target="http://www.sec.gov/Archives/edgar/data/1415404/000104746910001594/a2196943zex-10_24.htm" TargetMode="External"/><Relationship Id="rId49" Type="http://schemas.openxmlformats.org/officeDocument/2006/relationships/hyperlink" Target="http://www.sec.gov/Archives/edgar/data/1415404/000104746910001594/a2196943zex-10_25.htm" TargetMode="External"/><Relationship Id="rId50" Type="http://schemas.openxmlformats.org/officeDocument/2006/relationships/hyperlink" Target="http://www.sec.gov/Archives/edgar/data/1415404/000110465914067061/a14-20006_2def14a.htm" TargetMode="External"/><Relationship Id="rId51" Type="http://schemas.openxmlformats.org/officeDocument/2006/relationships/hyperlink" Target="http://www.sec.gov/Archives/edgar/data/1415404/000104746910001594/a2196943zex-10_30.htm" TargetMode="External"/><Relationship Id="rId52" Type="http://schemas.openxmlformats.org/officeDocument/2006/relationships/hyperlink" Target="http://www.sec.gov/Archives/edgar/data/1415404/000104746910001594/a2196943zex-10_31.htm" TargetMode="External"/><Relationship Id="rId53" Type="http://schemas.openxmlformats.org/officeDocument/2006/relationships/hyperlink" Target="http://www.sec.gov/Archives/edgar/data/1415404/000104746910001594/a2196943zex-10_36.htm" TargetMode="External"/><Relationship Id="rId54" Type="http://schemas.openxmlformats.org/officeDocument/2006/relationships/hyperlink" Target="http://www.sec.gov/Archives/edgar/data/1345840/000092153006000278/hughes_exh1001-062206.txt" TargetMode="External"/><Relationship Id="rId55" Type="http://schemas.openxmlformats.org/officeDocument/2006/relationships/hyperlink" Target="http://www.sec.gov/Archives/edgar/data/1345840/000119312505236811/dex103.htm" TargetMode="External"/><Relationship Id="rId56" Type="http://schemas.openxmlformats.org/officeDocument/2006/relationships/hyperlink" Target="http://www.sec.gov/Archives/edgar/data/1345840/000119312511057893/dex1029.htm" TargetMode="External"/><Relationship Id="rId57" Type="http://schemas.openxmlformats.org/officeDocument/2006/relationships/hyperlink" Target="http://www.sec.gov/Archives/edgar/data/1415404/000141540416000003/exhibit10_1pradman8-k.htm" TargetMode="External"/><Relationship Id="rId58" Type="http://schemas.openxmlformats.org/officeDocument/2006/relationships/hyperlink" Target="http://www.sec.gov/Archives/edgar/data/1533758/000110465913011989/a12-28613_1ex10d37.htm" TargetMode="External"/><Relationship Id="rId59" Type="http://schemas.openxmlformats.org/officeDocument/2006/relationships/hyperlink" Target="http://www.sec.gov/Archives/edgar/data/1415404/000110465914036637/a14-8954_1ex10d3.htm" TargetMode="External"/><Relationship Id="rId60" Type="http://schemas.openxmlformats.org/officeDocument/2006/relationships/hyperlink" Target="http://www.sec.gov/Archives/edgar/data/1415404/000110465915076360/a15-17922_1ex10d1.htm" TargetMode="External"/><Relationship Id="rId61" Type="http://schemas.openxmlformats.org/officeDocument/2006/relationships/hyperlink" Target="http://www.sec.gov/Archives/edgar/data/1533758/000110465916099382/a15-23245_1ex10d31.htm" TargetMode="External"/><Relationship Id="rId62" Type="http://schemas.openxmlformats.org/officeDocument/2006/relationships/hyperlink" Target="http://www.sec.gov/Archives/edgar/data/1533758/000110465916099382/a15-23245_1ex10d32.htm" TargetMode="External"/><Relationship Id="rId63" Type="http://schemas.openxmlformats.org/officeDocument/2006/relationships/hyperlink" Target="http://www.sec.gov/Archives/edgar/data/1533758/000110465916099382/a15-23245_1ex10d33.htm" TargetMode="External"/><Relationship Id="rId64" Type="http://schemas.openxmlformats.org/officeDocument/2006/relationships/hyperlink" Target="http://www.sec.gov/Archives/edgar/data/1533758/000110465916099382/a15-23245_1ex10d34.htm" TargetMode="External"/><Relationship Id="rId65" Type="http://schemas.openxmlformats.org/officeDocument/2006/relationships/hyperlink" Target="http://www.sec.gov/Archives/edgar/data/1533758/000110465916099382/a15-23245_1ex10d35.htm" TargetMode="External"/><Relationship Id="rId66" Type="http://schemas.openxmlformats.org/officeDocument/2006/relationships/hyperlink" Target="http://www.sec.gov/Archives/edgar/data/1533758/000110465916099382/a15-23245_1ex10d36.htm" TargetMode="External"/><Relationship Id="rId67" Type="http://schemas.openxmlformats.org/officeDocument/2006/relationships/hyperlink" Target="http://www.sec.gov/Archives/edgar/data/1415404/000141540416000008/executiveofficerbonuscompe.htm" TargetMode="External"/><Relationship Id="rId68" Type="http://schemas.openxmlformats.org/officeDocument/2006/relationships/hyperlink" Target="http://www.sec.gov/Archives/edgar/data/1415404/000141540417000022/sats2017proxystatement.htm" TargetMode="External"/><Relationship Id="rId69" Type="http://schemas.openxmlformats.org/officeDocument/2006/relationships/hyperlink" Target="http://www.sec.gov/Archives/edgar/data/1415404/000141540417000045/a101echostarnon-qualifiedp.htm" TargetMode="External"/><Relationship Id="rId70" Type="http://schemas.openxmlformats.org/officeDocument/2006/relationships/hyperlink" Target="http://www.sec.gov/Archives/edgar/data/1415404/000141540417000045/ex102-formofstockoptionagr.htm" TargetMode="External"/><Relationship Id="rId71" Type="http://schemas.openxmlformats.org/officeDocument/2006/relationships/hyperlink" Target="http://www.sec.gov/Archives/edgar/data/1415404/000141540417000045/ex103-formofstockoptionagr.htm" TargetMode="External"/><Relationship Id="rId72" Type="http://schemas.openxmlformats.org/officeDocument/2006/relationships/hyperlink" Target="http://www.sec.gov/Archives/edgar/data/1415404/000141540417000045/ex105formofrsuagreementfor.htm" TargetMode="External"/><Relationship Id="rId73" Type="http://schemas.openxmlformats.org/officeDocument/2006/relationships/hyperlink" Target="http://www.sec.gov/Archives/edgar/data/1533758/000153375818000021/hsscex-101taxsharing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2019-12-28T16:31:16Z</dcterms:created>
  <dcterms:modified xsi:type="dcterms:W3CDTF">2019-12-28T16:31:16Z</dcterms:modified>
</cp:coreProperties>
</file>