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340" w:right="2500" w:hanging="3008"/>
        <w:spacing w:after="0" w:line="292" w:lineRule="auto"/>
        <w:tabs>
          <w:tab w:leader="none" w:pos="674"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2017.</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 w:lineRule="exact"/>
        <w:rPr>
          <w:sz w:val="24"/>
          <w:szCs w:val="24"/>
          <w:color w:val="auto"/>
        </w:rPr>
      </w:pPr>
    </w:p>
    <w:p>
      <w:pPr>
        <w:ind w:left="3460"/>
        <w:spacing w:after="0"/>
        <w:tabs>
          <w:tab w:leader="none" w:pos="7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4121150</wp:posOffset>
            </wp:positionH>
            <wp:positionV relativeFrom="paragraph">
              <wp:posOffset>-13335</wp:posOffset>
            </wp:positionV>
            <wp:extent cx="944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001-33807</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546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Nevada</w:t>
            </w:r>
          </w:p>
        </w:tc>
        <w:tc>
          <w:tcPr>
            <w:tcW w:w="368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26-1232727</w:t>
            </w:r>
          </w:p>
        </w:tc>
      </w:tr>
      <w:tr>
        <w:trPr>
          <w:trHeight w:val="270"/>
        </w:trPr>
        <w:tc>
          <w:tcPr>
            <w:tcW w:w="546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5460" w:type="dxa"/>
            <w:vAlign w:val="bottom"/>
          </w:tcPr>
          <w:p>
            <w:pPr>
              <w:jc w:val="center"/>
              <w:ind w:right="950"/>
              <w:spacing w:after="0"/>
              <w:rPr>
                <w:sz w:val="20"/>
                <w:szCs w:val="20"/>
                <w:color w:val="auto"/>
              </w:rPr>
            </w:pPr>
            <w:r>
              <w:rPr>
                <w:rFonts w:ascii="Arial" w:cs="Arial" w:eastAsia="Arial" w:hAnsi="Arial"/>
                <w:sz w:val="18"/>
                <w:szCs w:val="18"/>
                <w:b w:val="1"/>
                <w:bCs w:val="1"/>
                <w:color w:val="auto"/>
                <w:w w:val="89"/>
              </w:rPr>
              <w:t>100 Inverness Terrace East, Englewood, Colorado</w:t>
            </w:r>
          </w:p>
        </w:tc>
        <w:tc>
          <w:tcPr>
            <w:tcW w:w="368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80112-5308</w:t>
            </w:r>
          </w:p>
        </w:tc>
      </w:tr>
      <w:tr>
        <w:trPr>
          <w:trHeight w:val="270"/>
        </w:trPr>
        <w:tc>
          <w:tcPr>
            <w:tcW w:w="546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7" w:lineRule="exact"/>
        <w:rPr>
          <w:sz w:val="24"/>
          <w:szCs w:val="24"/>
          <w:color w:val="auto"/>
        </w:rPr>
      </w:pPr>
    </w:p>
    <w:p>
      <w:pPr>
        <w:jc w:val="both"/>
        <w:ind w:right="20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ind w:right="14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spacing w:after="0" w:line="24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325" w:lineRule="exact"/>
        <w:rPr>
          <w:sz w:val="24"/>
          <w:szCs w:val="24"/>
          <w:color w:val="auto"/>
        </w:rPr>
      </w:pPr>
    </w:p>
    <w:p>
      <w:pPr>
        <w:ind w:left="12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920" w:space="720"/>
            <w:col w:w="3780"/>
          </w:cols>
          <w:pgMar w:left="240" w:top="233" w:right="239" w:bottom="1440" w:gutter="0" w:footer="0" w:header="0"/>
          <w:type w:val="continuous"/>
        </w:sectPr>
      </w:pPr>
    </w:p>
    <w:p>
      <w:pPr>
        <w:ind w:left="124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is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3">
            <w:col w:w="2840" w:space="660"/>
            <w:col w:w="3420" w:space="720"/>
            <w:col w:w="3780"/>
          </w:cols>
          <w:pgMar w:left="240" w:top="233" w:right="239" w:bottom="1440" w:gutter="0" w:footer="0" w:header="0"/>
          <w:type w:val="continuous"/>
        </w:sectPr>
      </w:pPr>
    </w:p>
    <w:p>
      <w:pPr>
        <w:ind w:left="76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275" w:lineRule="exact"/>
        <w:rPr>
          <w:sz w:val="24"/>
          <w:szCs w:val="24"/>
          <w:color w:val="auto"/>
        </w:rPr>
      </w:pPr>
    </w:p>
    <w:p>
      <w:pPr>
        <w:ind w:right="420"/>
        <w:spacing w:after="0" w:line="25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38"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As of October 31, 2017, the registrant’s outstanding common stock consisted of 48,039,777 shares of Class A common stock and 47,687,039 shares of Class B common stock, each $0.001 par value.</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11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gridSpan w:val="13"/>
          </w:tcPr>
          <w:p>
            <w:pPr>
              <w:jc w:val="center"/>
              <w:ind w:right="39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20" w:type="dxa"/>
            <w:vAlign w:val="bottom"/>
            <w:tcBorders>
              <w:top w:val="single" w:sz="8" w:color="0000EE"/>
            </w:tcBorders>
            <w:gridSpan w:val="6"/>
          </w:tcPr>
          <w:p>
            <w:pPr>
              <w:spacing w:after="0"/>
              <w:rPr>
                <w:sz w:val="24"/>
                <w:szCs w:val="24"/>
                <w:color w:val="auto"/>
              </w:rPr>
            </w:pPr>
          </w:p>
        </w:tc>
        <w:tc>
          <w:tcPr>
            <w:tcW w:w="3940" w:type="dxa"/>
            <w:vAlign w:val="bottom"/>
            <w:gridSpan w:val="7"/>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2017 and December 31,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and Nine Months Ended September 30, 2017 and 2016</w:t>
              </w:r>
            </w:hyperlink>
          </w:p>
        </w:tc>
        <w:tc>
          <w:tcPr>
            <w:tcW w:w="12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Comprehensive Income for the Three and Nine Months Ended September 30, 2017</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and 2016 (Unaudited)</w:t>
              </w:r>
            </w:hyperlink>
          </w:p>
        </w:tc>
        <w:tc>
          <w:tcPr>
            <w:tcW w:w="818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Changes in Stockholders’ Equity for the Nine Months Ended September 30, 2017</w:t>
              </w:r>
            </w:hyperlink>
          </w:p>
        </w:tc>
        <w:tc>
          <w:tcPr>
            <w:tcW w:w="1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and 2016 (Unaudited)</w:t>
              </w:r>
            </w:hyperlink>
          </w:p>
        </w:tc>
        <w:tc>
          <w:tcPr>
            <w:tcW w:w="818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Nine Months Ended September 30, 2017 and 2016 (Unaudited)</w:t>
              </w:r>
            </w:hyperlink>
          </w:p>
        </w:tc>
        <w:tc>
          <w:tcPr>
            <w:tcW w:w="10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5</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9920" w:type="dxa"/>
            <w:vAlign w:val="bottom"/>
            <w:gridSpan w:val="2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w:t>
              </w:r>
            </w:hyperlink>
          </w:p>
        </w:tc>
        <w:tc>
          <w:tcPr>
            <w:tcW w:w="9920" w:type="dxa"/>
            <w:vAlign w:val="bottom"/>
            <w:gridSpan w:val="2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w:t>
              </w:r>
            </w:hyperlink>
          </w:p>
        </w:tc>
        <w:tc>
          <w:tcPr>
            <w:tcW w:w="992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64</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 OTHER INFORMATION</w:t>
              </w:r>
            </w:hyperlink>
          </w:p>
        </w:tc>
        <w:tc>
          <w:tcPr>
            <w:tcW w:w="4080" w:type="dxa"/>
            <w:vAlign w:val="bottom"/>
            <w:gridSpan w:val="8"/>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w:t>
              </w:r>
            </w:hyperlink>
          </w:p>
        </w:tc>
        <w:tc>
          <w:tcPr>
            <w:tcW w:w="9920" w:type="dxa"/>
            <w:vAlign w:val="bottom"/>
            <w:gridSpan w:val="2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1A.</w:t>
              </w:r>
            </w:hyperlink>
          </w:p>
        </w:tc>
        <w:tc>
          <w:tcPr>
            <w:tcW w:w="620" w:type="dxa"/>
            <w:vAlign w:val="bottom"/>
            <w:gridSpan w:val="2"/>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Risk Factors</w:t>
              </w:r>
            </w:hyperlink>
          </w:p>
        </w:tc>
        <w:tc>
          <w:tcPr>
            <w:tcW w:w="9020" w:type="dxa"/>
            <w:vAlign w:val="bottom"/>
            <w:gridSpan w:val="2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65</w:t>
              </w:r>
            </w:hyperlink>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2.</w:t>
              </w:r>
            </w:hyperlink>
          </w:p>
        </w:tc>
        <w:tc>
          <w:tcPr>
            <w:tcW w:w="9920" w:type="dxa"/>
            <w:vAlign w:val="bottom"/>
            <w:gridSpan w:val="2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w:t>
              </w:r>
            </w:hyperlink>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Defaults Upon Senior Securities</w:t>
              </w:r>
            </w:hyperlink>
          </w:p>
        </w:tc>
        <w:tc>
          <w:tcPr>
            <w:tcW w:w="760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w:t>
              </w:r>
            </w:hyperlink>
          </w:p>
        </w:tc>
        <w:tc>
          <w:tcPr>
            <w:tcW w:w="9920" w:type="dxa"/>
            <w:vAlign w:val="bottom"/>
            <w:gridSpan w:val="2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16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5.</w:t>
              </w:r>
            </w:hyperlink>
          </w:p>
        </w:tc>
        <w:tc>
          <w:tcPr>
            <w:tcW w:w="9920" w:type="dxa"/>
            <w:vAlign w:val="bottom"/>
            <w:gridSpan w:val="2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620" w:type="dxa"/>
            <w:vAlign w:val="bottom"/>
            <w:gridSpan w:val="1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6.</w:t>
              </w:r>
            </w:hyperlink>
          </w:p>
        </w:tc>
        <w:tc>
          <w:tcPr>
            <w:tcW w:w="9920" w:type="dxa"/>
            <w:vAlign w:val="bottom"/>
            <w:gridSpan w:val="2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60" w:type="dxa"/>
            <w:vAlign w:val="bottom"/>
            <w:gridSpan w:val="2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73">
              <w:r>
                <w:rPr>
                  <w:rFonts w:ascii="Arial" w:cs="Arial" w:eastAsia="Arial" w:hAnsi="Arial"/>
                  <w:sz w:val="18"/>
                  <w:szCs w:val="18"/>
                  <w:color w:val="0000EE"/>
                  <w:w w:val="85"/>
                </w:rPr>
                <w:t>Signatures</w:t>
              </w:r>
            </w:hyperlink>
          </w:p>
        </w:tc>
        <w:tc>
          <w:tcPr>
            <w:tcW w:w="9160" w:type="dxa"/>
            <w:vAlign w:val="bottom"/>
            <w:gridSpan w:val="2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68</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(“DISH Network”) for a significant portion of our revenue;</w:t>
      </w:r>
    </w:p>
    <w:p>
      <w:pPr>
        <w:spacing w:after="0" w:line="9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risks related to the construction, launch and operation of our satellites, such as the risk of material malfunction on one or more of our satellites, risks resulting from delays or failures of launches of our satellites and potentially missing our regulatory milestones, changes in the space weather environment that could interfere with the operation of our satellites, and our general lack of commercial insurance coverage on our satellites;</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19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herein and in our Form 10-K, and those discussed in other documents we file with the SEC.</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assume no responsibility for updating forward</w:t>
      </w:r>
      <w:r>
        <w:rPr>
          <w:rFonts w:ascii="MS PGothic" w:cs="MS PGothic" w:eastAsia="MS PGothic" w:hAnsi="MS PGothic"/>
          <w:sz w:val="18"/>
          <w:szCs w:val="18"/>
          <w:color w:val="auto"/>
        </w:rPr>
        <w:t>‑</w:t>
      </w:r>
      <w:r>
        <w:rPr>
          <w:rFonts w:ascii="Arial" w:cs="Arial" w:eastAsia="Arial" w:hAnsi="Arial"/>
          <w:sz w:val="18"/>
          <w:szCs w:val="18"/>
          <w:color w:val="auto"/>
        </w:rPr>
        <w:t>looking information contained or incorporated by reference herein or in any documents we file with the SEC, except as required by law.</w:t>
      </w: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6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b w:val="1"/>
                <w:bCs w:val="1"/>
                <w:color w:val="auto"/>
                <w:w w:val="99"/>
              </w:rPr>
              <w:t>ECHOSTAR CORPORATION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40" w:type="dxa"/>
            <w:vAlign w:val="bottom"/>
          </w:tcPr>
          <w:p>
            <w:pPr>
              <w:jc w:val="center"/>
              <w:ind w:left="124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color w:val="auto"/>
                <w:w w:val="88"/>
              </w:rPr>
              <w:t>(In thousands, except share amounts)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jc w:val="center"/>
              <w:ind w:left="124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7"/>
              </w:rPr>
              <w:t>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b w:val="1"/>
                <w:bCs w:val="1"/>
                <w:color w:val="auto"/>
                <w:w w:val="91"/>
              </w:rPr>
              <w:t>September 30, 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6"/>
              <w:spacing w:after="0"/>
              <w:rPr>
                <w:sz w:val="20"/>
                <w:szCs w:val="20"/>
                <w:color w:val="auto"/>
              </w:rPr>
            </w:pPr>
            <w:r>
              <w:rPr>
                <w:rFonts w:ascii="Arial" w:cs="Arial" w:eastAsia="Arial" w:hAnsi="Arial"/>
                <w:sz w:val="11"/>
                <w:szCs w:val="11"/>
                <w:b w:val="1"/>
                <w:bCs w:val="1"/>
                <w:color w:val="auto"/>
                <w:w w:val="90"/>
              </w:rPr>
              <w:t>December 31, 2016</w:t>
            </w:r>
          </w:p>
        </w:tc>
        <w:tc>
          <w:tcPr>
            <w:tcW w:w="0" w:type="dxa"/>
            <w:vAlign w:val="bottom"/>
          </w:tcPr>
          <w:p>
            <w:pPr>
              <w:spacing w:after="0"/>
              <w:rPr>
                <w:sz w:val="1"/>
                <w:szCs w:val="1"/>
                <w:color w:val="auto"/>
              </w:rPr>
            </w:pPr>
          </w:p>
        </w:tc>
      </w:tr>
      <w:tr>
        <w:trPr>
          <w:trHeight w:val="22"/>
        </w:trPr>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shd w:val="clear" w:color="auto" w:fill="CCEEFF"/>
          </w:tcPr>
          <w:p>
            <w:pPr>
              <w:jc w:val="center"/>
              <w:ind w:right="1320"/>
              <w:spacing w:after="0"/>
              <w:rPr>
                <w:sz w:val="20"/>
                <w:szCs w:val="20"/>
                <w:color w:val="auto"/>
              </w:rPr>
            </w:pPr>
            <w:r>
              <w:rPr>
                <w:rFonts w:ascii="Arial" w:cs="Arial" w:eastAsia="Arial" w:hAnsi="Arial"/>
                <w:sz w:val="11"/>
                <w:szCs w:val="11"/>
                <w:b w:val="1"/>
                <w:bCs w:val="1"/>
                <w:color w:val="auto"/>
                <w:w w:val="83"/>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Current Assets: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2,798,359</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2,570,365</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Marketable investment securities, at fair value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485,035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522,516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Trade accounts receivable, net of allowance for doubtful accounts of $13,211 and $12,956,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192,387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182,527</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Trade accounts receivable - DISH Network, net of allowance for doubtful accounts of zero</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52,512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19,417</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88"/>
              </w:rPr>
              <w:t>Inventory</w:t>
            </w:r>
          </w:p>
        </w:tc>
        <w:tc>
          <w:tcPr>
            <w:tcW w:w="68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91,232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62,620</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Prepaids and deposits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53,536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43,456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10,862</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Current assets of discontinued operations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311,524</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3,685,952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3,723,287</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Noncurrent Assets: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Restricted cash and marketable investment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12,926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Property and equipment, net of accumulated depreciation of $2,551,678 and $2,598,492, respectively</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3,530,459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3,398,195</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Regulatory authorizations,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545,557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544,633</w:t>
            </w:r>
          </w:p>
        </w:tc>
        <w:tc>
          <w:tcPr>
            <w:tcW w:w="0" w:type="dxa"/>
            <w:vAlign w:val="bottom"/>
          </w:tcPr>
          <w:p>
            <w:pPr>
              <w:spacing w:after="0"/>
              <w:rPr>
                <w:sz w:val="1"/>
                <w:szCs w:val="1"/>
                <w:color w:val="auto"/>
              </w:rPr>
            </w:pPr>
          </w:p>
        </w:tc>
      </w:tr>
      <w:tr>
        <w:trPr>
          <w:trHeight w:val="248"/>
        </w:trPr>
        <w:tc>
          <w:tcPr>
            <w:tcW w:w="600" w:type="dxa"/>
            <w:vAlign w:val="bottom"/>
          </w:tcPr>
          <w:p>
            <w:pPr>
              <w:ind w:left="180"/>
              <w:spacing w:after="0"/>
              <w:rPr>
                <w:sz w:val="20"/>
                <w:szCs w:val="20"/>
                <w:color w:val="auto"/>
              </w:rPr>
            </w:pPr>
            <w:r>
              <w:rPr>
                <w:rFonts w:ascii="Arial" w:cs="Arial" w:eastAsia="Arial" w:hAnsi="Arial"/>
                <w:sz w:val="11"/>
                <w:szCs w:val="11"/>
                <w:color w:val="auto"/>
                <w:w w:val="94"/>
              </w:rPr>
              <w:t>Goodwill</w:t>
            </w:r>
          </w:p>
        </w:tc>
        <w:tc>
          <w:tcPr>
            <w:tcW w:w="6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504,173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504,173</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62,635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80,734</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Investments in unconsolidated entities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165,290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171,016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Other receivable - DISH Network</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92,133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90,586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noncurrent assets, net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207,221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166,385</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Noncurrent assets of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316,924</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color w:val="auto"/>
              </w:rPr>
              <w:t>Total noncurrent assets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5,121,204</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5,285,572</w:t>
            </w:r>
          </w:p>
        </w:tc>
        <w:tc>
          <w:tcPr>
            <w:tcW w:w="0" w:type="dxa"/>
            <w:vAlign w:val="bottom"/>
          </w:tcPr>
          <w:p>
            <w:pPr>
              <w:spacing w:after="0"/>
              <w:rPr>
                <w:sz w:val="1"/>
                <w:szCs w:val="1"/>
                <w:color w:val="auto"/>
              </w:rPr>
            </w:pPr>
          </w:p>
        </w:tc>
      </w:tr>
      <w:tr>
        <w:trPr>
          <w:trHeight w:val="22"/>
        </w:trPr>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60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8,807,156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9,008,859</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bottom w:val="single" w:sz="8" w:color="CCEEFF"/>
            </w:tcBorders>
            <w:vMerge w:val="restart"/>
          </w:tcPr>
          <w:p>
            <w:pPr>
              <w:jc w:val="center"/>
              <w:ind w:right="1320"/>
              <w:spacing w:after="0"/>
              <w:rPr>
                <w:sz w:val="20"/>
                <w:szCs w:val="20"/>
                <w:color w:val="auto"/>
              </w:rPr>
            </w:pPr>
            <w:r>
              <w:rPr>
                <w:rFonts w:ascii="Arial" w:cs="Arial" w:eastAsia="Arial" w:hAnsi="Arial"/>
                <w:sz w:val="11"/>
                <w:szCs w:val="11"/>
                <w:b w:val="1"/>
                <w:bCs w:val="1"/>
                <w:color w:val="auto"/>
                <w:w w:val="89"/>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120,436</w:t>
            </w:r>
          </w:p>
        </w:tc>
        <w:tc>
          <w:tcPr>
            <w:tcW w:w="3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170,297</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Trade accounts payable - DISH Network</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1,072</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Current portion of long-term debt and capital lease obligations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38,407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32,984</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Deferred revenue and prepayments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56,285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59,989</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Accrued interest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57,837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46,487</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Accrued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37,096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53,454</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Accrued expenses and other</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110,872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95,726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Current liabilities of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71,429</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color w:val="auto"/>
              </w:rPr>
              <w:t>Total current liabilities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428,031</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531,438</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Long-term debt and capital lease obligations, net of unamortized debt issuance costs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3,605,715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3,622,463</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Deferred tax liabilities,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745,965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746,667</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noncurrent liabilities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131,626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90,785</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Noncurrent liabilities of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10,701</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color w:val="auto"/>
              </w:rPr>
              <w:t>Total noncurrent liabilities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4,483,306</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4,470,616</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4,911,337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5,002,054</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color w:val="auto"/>
              </w:rPr>
              <w:t>Commitments and Contingencies (Note 14)</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Preferred stock, $.001 par value, 20,000,000 shares authorized:</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820" w:type="dxa"/>
            <w:vAlign w:val="bottom"/>
            <w:gridSpan w:val="3"/>
            <w:shd w:val="clear" w:color="auto" w:fill="CCEEFF"/>
          </w:tcPr>
          <w:p>
            <w:pPr>
              <w:ind w:left="380"/>
              <w:spacing w:after="0"/>
              <w:rPr>
                <w:sz w:val="20"/>
                <w:szCs w:val="20"/>
                <w:color w:val="auto"/>
              </w:rPr>
            </w:pPr>
            <w:r>
              <w:rPr>
                <w:rFonts w:ascii="Arial" w:cs="Arial" w:eastAsia="Arial" w:hAnsi="Arial"/>
                <w:sz w:val="11"/>
                <w:szCs w:val="11"/>
                <w:color w:val="auto"/>
                <w:w w:val="94"/>
              </w:rPr>
              <w:t>Hughes Retail Preferred Tracking Stock, $.001 par value, zero authorized, issued and outstanding at September 30, 2017 and 13,000,000 shares authorized and 6,290,499 issued and</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1"/>
                <w:szCs w:val="11"/>
                <w:color w:val="auto"/>
              </w:rPr>
              <w:t>outstanding at December 31, 2016</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Common stock, $.001 par value, 4,000,000,000 shares authorized:</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820" w:type="dxa"/>
            <w:vAlign w:val="bottom"/>
            <w:gridSpan w:val="3"/>
            <w:shd w:val="clear" w:color="auto" w:fill="CCEEFF"/>
          </w:tcPr>
          <w:p>
            <w:pPr>
              <w:ind w:left="380"/>
              <w:spacing w:after="0"/>
              <w:rPr>
                <w:sz w:val="20"/>
                <w:szCs w:val="20"/>
                <w:color w:val="auto"/>
              </w:rPr>
            </w:pPr>
            <w:r>
              <w:rPr>
                <w:rFonts w:ascii="Arial" w:cs="Arial" w:eastAsia="Arial" w:hAnsi="Arial"/>
                <w:sz w:val="11"/>
                <w:szCs w:val="11"/>
                <w:color w:val="auto"/>
                <w:w w:val="90"/>
              </w:rPr>
              <w:t>Class A common stock, $.001 par value, 1,600,000,000 shares authorized, 53,564,095 shares issued and 48,031,777 shares outstanding at September 30, 2017 and 52,243,465 shares issued</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8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1"/>
                <w:szCs w:val="11"/>
                <w:color w:val="auto"/>
              </w:rPr>
              <w:t>and 46,711,147 shares outstanding at December 31, 2016</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248"/>
        </w:trPr>
        <w:tc>
          <w:tcPr>
            <w:tcW w:w="8820" w:type="dxa"/>
            <w:vAlign w:val="bottom"/>
            <w:gridSpan w:val="3"/>
          </w:tcPr>
          <w:p>
            <w:pPr>
              <w:ind w:left="380"/>
              <w:spacing w:after="0"/>
              <w:rPr>
                <w:sz w:val="20"/>
                <w:szCs w:val="20"/>
                <w:color w:val="auto"/>
              </w:rPr>
            </w:pPr>
            <w:r>
              <w:rPr>
                <w:rFonts w:ascii="Arial" w:cs="Arial" w:eastAsia="Arial" w:hAnsi="Arial"/>
                <w:sz w:val="11"/>
                <w:szCs w:val="11"/>
                <w:color w:val="auto"/>
              </w:rPr>
              <w:t>Class B common stock, $.001 par value, 800,000,000 shares authorized, 47,687,039 shares issued and outstanding at each of September 30, 2017 and December 31, 2016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1"/>
                <w:szCs w:val="11"/>
                <w:color w:val="auto"/>
              </w:rPr>
              <w:t>Class C common stock, $.001 par value, 800,000,000 shares authorized, none issued and outstanding at each of September 30, 2017 and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8820" w:type="dxa"/>
            <w:vAlign w:val="bottom"/>
            <w:gridSpan w:val="3"/>
          </w:tcPr>
          <w:p>
            <w:pPr>
              <w:ind w:left="380"/>
              <w:spacing w:after="0"/>
              <w:rPr>
                <w:sz w:val="20"/>
                <w:szCs w:val="20"/>
                <w:color w:val="auto"/>
              </w:rPr>
            </w:pPr>
            <w:r>
              <w:rPr>
                <w:rFonts w:ascii="Arial" w:cs="Arial" w:eastAsia="Arial" w:hAnsi="Arial"/>
                <w:sz w:val="11"/>
                <w:szCs w:val="11"/>
                <w:color w:val="auto"/>
              </w:rPr>
              <w:t>Class D common stock, $.001 par value, 800,000,000 shares authorized, none issued and outstanding at each of September 30, 2017 and December 31, 2016</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ectPr>
          <w:pgSz w:w="11900" w:h="16875" w:orient="portrait"/>
          <w:cols w:equalWidth="0" w:num="1">
            <w:col w:w="11420"/>
          </w:cols>
          <w:pgMar w:left="240" w:top="10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3,660,696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3,828,677</w:t>
            </w:r>
          </w:p>
        </w:tc>
      </w:tr>
      <w:tr>
        <w:trPr>
          <w:trHeight w:val="248"/>
        </w:trPr>
        <w:tc>
          <w:tcPr>
            <w:tcW w:w="8820" w:type="dxa"/>
            <w:vAlign w:val="bottom"/>
          </w:tcPr>
          <w:p>
            <w:pPr>
              <w:ind w:left="180"/>
              <w:spacing w:after="0"/>
              <w:rPr>
                <w:sz w:val="20"/>
                <w:szCs w:val="20"/>
                <w:color w:val="auto"/>
              </w:rPr>
            </w:pPr>
            <w:r>
              <w:rPr>
                <w:rFonts w:ascii="Arial" w:cs="Arial" w:eastAsia="Arial" w:hAnsi="Arial"/>
                <w:sz w:val="11"/>
                <w:szCs w:val="11"/>
                <w:color w:val="auto"/>
              </w:rPr>
              <w:t>Accumulated other comprehensive loss</w:t>
            </w:r>
          </w:p>
        </w:tc>
        <w:tc>
          <w:tcPr>
            <w:tcW w:w="40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(88,732)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(124,803)</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Accumulated earnings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408,079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314,247</w:t>
            </w:r>
          </w:p>
        </w:tc>
      </w:tr>
      <w:tr>
        <w:trPr>
          <w:trHeight w:val="248"/>
        </w:trPr>
        <w:tc>
          <w:tcPr>
            <w:tcW w:w="8820" w:type="dxa"/>
            <w:vAlign w:val="bottom"/>
          </w:tcPr>
          <w:p>
            <w:pPr>
              <w:ind w:left="180"/>
              <w:spacing w:after="0"/>
              <w:rPr>
                <w:sz w:val="20"/>
                <w:szCs w:val="20"/>
                <w:color w:val="auto"/>
              </w:rPr>
            </w:pPr>
            <w:r>
              <w:rPr>
                <w:rFonts w:ascii="Arial" w:cs="Arial" w:eastAsia="Arial" w:hAnsi="Arial"/>
                <w:sz w:val="11"/>
                <w:szCs w:val="11"/>
                <w:color w:val="auto"/>
              </w:rPr>
              <w:t>Treasury stock, at cost</w:t>
            </w:r>
          </w:p>
        </w:tc>
        <w:tc>
          <w:tcPr>
            <w:tcW w:w="40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(98,162)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(98,162)</w:t>
            </w:r>
          </w:p>
        </w:tc>
      </w:tr>
      <w:tr>
        <w:trPr>
          <w:trHeight w:val="22"/>
        </w:trPr>
        <w:tc>
          <w:tcPr>
            <w:tcW w:w="8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Total EchoStar stockholders’ equity</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3,881,983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3,920,065</w:t>
            </w:r>
          </w:p>
        </w:tc>
      </w:tr>
      <w:tr>
        <w:trPr>
          <w:trHeight w:val="248"/>
        </w:trPr>
        <w:tc>
          <w:tcPr>
            <w:tcW w:w="8820" w:type="dxa"/>
            <w:vAlign w:val="bottom"/>
          </w:tcPr>
          <w:p>
            <w:pPr>
              <w:ind w:left="40"/>
              <w:spacing w:after="0"/>
              <w:rPr>
                <w:sz w:val="20"/>
                <w:szCs w:val="20"/>
                <w:color w:val="auto"/>
              </w:rPr>
            </w:pPr>
            <w:r>
              <w:rPr>
                <w:rFonts w:ascii="Arial" w:cs="Arial" w:eastAsia="Arial" w:hAnsi="Arial"/>
                <w:sz w:val="11"/>
                <w:szCs w:val="11"/>
                <w:color w:val="auto"/>
              </w:rPr>
              <w:t>Noncontrolling interest in HSS Tracking Stock</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73,910</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12,830</w:t>
            </w:r>
          </w:p>
        </w:tc>
      </w:tr>
      <w:tr>
        <w:trPr>
          <w:trHeight w:val="228"/>
        </w:trPr>
        <w:tc>
          <w:tcPr>
            <w:tcW w:w="8820" w:type="dxa"/>
            <w:vAlign w:val="bottom"/>
          </w:tcPr>
          <w:p>
            <w:pPr>
              <w:ind w:left="380"/>
              <w:spacing w:after="0"/>
              <w:rPr>
                <w:sz w:val="20"/>
                <w:szCs w:val="20"/>
                <w:color w:val="auto"/>
              </w:rPr>
            </w:pPr>
            <w:r>
              <w:rPr>
                <w:rFonts w:ascii="Arial" w:cs="Arial" w:eastAsia="Arial" w:hAnsi="Arial"/>
                <w:sz w:val="11"/>
                <w:szCs w:val="11"/>
                <w:color w:val="auto"/>
              </w:rPr>
              <w:t>Total stockholders’ equity</w:t>
            </w: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3,895,819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4,006,805</w:t>
            </w:r>
          </w:p>
        </w:tc>
      </w:tr>
      <w:tr>
        <w:trPr>
          <w:trHeight w:val="22"/>
        </w:trPr>
        <w:tc>
          <w:tcPr>
            <w:tcW w:w="8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2"/>
        </w:trPr>
        <w:tc>
          <w:tcPr>
            <w:tcW w:w="8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1"/>
                <w:szCs w:val="11"/>
                <w:color w:val="auto"/>
              </w:rPr>
              <w:t>Total liabilities and stockholders’ equity</w:t>
            </w: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8,807,156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9,008,859</w:t>
            </w: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8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3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Services and other revenue - DISH Network</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111,135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115,127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339,824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347,440</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 and other revenue - other</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310,973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276,280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865,817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820,149</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Equipment revenue - DISH Network</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7,008</w:t>
            </w:r>
          </w:p>
        </w:tc>
      </w:tr>
      <w:tr>
        <w:trPr>
          <w:trHeight w:val="27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revenue - other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58,999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173,644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160,081</w:t>
            </w:r>
          </w:p>
        </w:tc>
      </w:tr>
      <w:tr>
        <w:trPr>
          <w:trHeight w:val="250"/>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481,233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460,046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1,379,460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1,334,678</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138,641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131,594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404,448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384,942</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153,854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143,252</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91,003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80,672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263,820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240,454</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23,524</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134,822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108,549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379,939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324,743</w:t>
            </w:r>
          </w:p>
        </w:tc>
      </w:tr>
      <w:tr>
        <w:trPr>
          <w:trHeight w:val="25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424,819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383,444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1,225,505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1,116,915</w:t>
            </w:r>
          </w:p>
        </w:tc>
      </w:tr>
      <w:tr>
        <w:trPr>
          <w:trHeight w:val="250"/>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56,414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76,602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153,955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217,763</w:t>
            </w:r>
          </w:p>
        </w:tc>
      </w:tr>
      <w:tr>
        <w:trPr>
          <w:trHeight w:val="243"/>
        </w:trPr>
        <w:tc>
          <w:tcPr>
            <w:tcW w:w="6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13,726</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Interest expense, net of amounts capitalized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(55,646)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(37,316)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(156,498)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(80,376)</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on investments,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8,179</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 earnings of unconsolidated affiliates,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8,984</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5,531</w:t>
            </w:r>
          </w:p>
        </w:tc>
      </w:tr>
      <w:tr>
        <w:trPr>
          <w:trHeight w:val="25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expense, net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(14,477)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(26,297)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(71,661)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(43,956)</w:t>
            </w:r>
          </w:p>
        </w:tc>
      </w:tr>
      <w:tr>
        <w:trPr>
          <w:trHeight w:val="250"/>
        </w:trPr>
        <w:tc>
          <w:tcPr>
            <w:tcW w:w="6080" w:type="dxa"/>
            <w:vAlign w:val="bottom"/>
          </w:tcPr>
          <w:p>
            <w:pPr>
              <w:ind w:left="18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41,937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82,294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173,807</w:t>
            </w:r>
          </w:p>
        </w:tc>
      </w:tr>
      <w:tr>
        <w:trPr>
          <w:trHeight w:val="27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provision</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(6,082)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(61,258)</w:t>
            </w:r>
          </w:p>
        </w:tc>
      </w:tr>
      <w:tr>
        <w:trPr>
          <w:trHeight w:val="250"/>
        </w:trPr>
        <w:tc>
          <w:tcPr>
            <w:tcW w:w="6080" w:type="dxa"/>
            <w:vAlign w:val="bottom"/>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35,855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73,221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112,549</w:t>
            </w: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29,213</w:t>
            </w:r>
          </w:p>
        </w:tc>
      </w:tr>
      <w:tr>
        <w:trPr>
          <w:trHeight w:val="250"/>
        </w:trPr>
        <w:tc>
          <w:tcPr>
            <w:tcW w:w="60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35,201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79,675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141,762</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Net income (loss) attributable to noncontrolling interest in HSS Tracking Stock</w:t>
            </w:r>
          </w:p>
        </w:tc>
        <w:tc>
          <w:tcPr>
            <w:tcW w:w="3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Net income attributable to other noncontrolling interests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EchoStar</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34,669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79,324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141,742</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Less: Net income (loss) attributable to Hughes Retail Preferred Tracking Stock</w:t>
            </w: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(1,709)</w:t>
            </w:r>
          </w:p>
        </w:tc>
      </w:tr>
      <w:tr>
        <w:trPr>
          <w:trHeight w:val="243"/>
        </w:trPr>
        <w:tc>
          <w:tcPr>
            <w:tcW w:w="60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143,451</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attributable to EchoStar common stock:</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35,323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32,145</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74,079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114,238</w:t>
            </w:r>
          </w:p>
        </w:tc>
      </w:tr>
      <w:tr>
        <w:trPr>
          <w:trHeight w:val="27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29,213</w:t>
            </w:r>
          </w:p>
        </w:tc>
      </w:tr>
      <w:tr>
        <w:trPr>
          <w:trHeight w:val="283"/>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34,669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36,644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80,533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143,451</w:t>
            </w:r>
          </w:p>
        </w:tc>
      </w:tr>
      <w:tr>
        <w:trPr>
          <w:trHeight w:val="224"/>
        </w:trPr>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Weighted-average common shares outstanding - Class A and B 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95,656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93,898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95,316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93,661</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96,890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96,626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94,189</w:t>
            </w:r>
          </w:p>
        </w:tc>
      </w:tr>
      <w:tr>
        <w:trPr>
          <w:trHeight w:val="224"/>
        </w:trPr>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Earnings (loss) per share - Class A and B 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608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0"/>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r>
      <w:tr>
        <w:trPr>
          <w:trHeight w:val="283"/>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basic earnings per share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w:t>
            </w:r>
          </w:p>
        </w:tc>
      </w:tr>
      <w:tr>
        <w:trPr>
          <w:trHeight w:val="251"/>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608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1.21</w:t>
            </w:r>
          </w:p>
        </w:tc>
      </w:tr>
      <w:tr>
        <w:trPr>
          <w:trHeight w:val="270"/>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r>
      <w:tr>
        <w:trPr>
          <w:trHeight w:val="243"/>
        </w:trPr>
        <w:tc>
          <w:tcPr>
            <w:tcW w:w="6080" w:type="dxa"/>
            <w:vAlign w:val="bottom"/>
          </w:tcPr>
          <w:p>
            <w:pPr>
              <w:ind w:left="180"/>
              <w:spacing w:after="0"/>
              <w:rPr>
                <w:sz w:val="20"/>
                <w:szCs w:val="20"/>
                <w:color w:val="auto"/>
              </w:rPr>
            </w:pPr>
            <w:r>
              <w:rPr>
                <w:rFonts w:ascii="Arial" w:cs="Arial" w:eastAsia="Arial" w:hAnsi="Arial"/>
                <w:sz w:val="14"/>
                <w:szCs w:val="14"/>
                <w:color w:val="auto"/>
              </w:rPr>
              <w:t>Total diluted earnings per share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55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820" w:type="dxa"/>
            <w:vAlign w:val="bottom"/>
            <w:gridSpan w:val="5"/>
          </w:tcPr>
          <w:p>
            <w:pPr>
              <w:jc w:val="center"/>
              <w:ind w:left="2970"/>
              <w:spacing w:after="0"/>
              <w:rPr>
                <w:sz w:val="20"/>
                <w:szCs w:val="20"/>
                <w:color w:val="auto"/>
              </w:rPr>
            </w:pPr>
            <w:r>
              <w:rPr>
                <w:rFonts w:ascii="Arial" w:cs="Arial" w:eastAsia="Arial" w:hAnsi="Arial"/>
                <w:sz w:val="18"/>
                <w:szCs w:val="18"/>
                <w:b w:val="1"/>
                <w:bCs w:val="1"/>
                <w:color w:val="auto"/>
                <w:w w:val="99"/>
              </w:rPr>
              <w:t>ECHOSTAR CORPORATION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760" w:type="dxa"/>
            <w:vAlign w:val="bottom"/>
            <w:gridSpan w:val="9"/>
          </w:tcPr>
          <w:p>
            <w:pPr>
              <w:jc w:val="center"/>
              <w:ind w:left="10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20" w:type="dxa"/>
            <w:vAlign w:val="bottom"/>
            <w:gridSpan w:val="6"/>
          </w:tcPr>
          <w:p>
            <w:pPr>
              <w:jc w:val="center"/>
              <w:ind w:left="2650"/>
              <w:spacing w:after="0"/>
              <w:rPr>
                <w:sz w:val="20"/>
                <w:szCs w:val="20"/>
                <w:color w:val="auto"/>
              </w:rPr>
            </w:pPr>
            <w:r>
              <w:rPr>
                <w:rFonts w:ascii="Arial" w:cs="Arial" w:eastAsia="Arial" w:hAnsi="Arial"/>
                <w:sz w:val="18"/>
                <w:szCs w:val="18"/>
                <w:color w:val="auto"/>
                <w:w w:val="88"/>
              </w:rPr>
              <w:t>(In thousands, except per share amounts)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960" w:type="dxa"/>
            <w:vAlign w:val="bottom"/>
            <w:gridSpan w:val="4"/>
          </w:tcPr>
          <w:p>
            <w:pPr>
              <w:jc w:val="center"/>
              <w:ind w:right="82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Three Months</w:t>
            </w:r>
          </w:p>
        </w:tc>
        <w:tc>
          <w:tcPr>
            <w:tcW w:w="460" w:type="dxa"/>
            <w:vAlign w:val="bottom"/>
          </w:tcPr>
          <w:p>
            <w:pPr>
              <w:spacing w:after="0"/>
              <w:rPr>
                <w:sz w:val="24"/>
                <w:szCs w:val="24"/>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9"/>
              </w:rPr>
              <w:t>For the Nine Months</w:t>
            </w: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Ended September 30,</w:t>
            </w:r>
          </w:p>
        </w:tc>
        <w:tc>
          <w:tcPr>
            <w:tcW w:w="460" w:type="dxa"/>
            <w:vAlign w:val="bottom"/>
          </w:tcPr>
          <w:p>
            <w:pPr>
              <w:spacing w:after="0"/>
              <w:rPr>
                <w:sz w:val="20"/>
                <w:szCs w:val="20"/>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Ended September 30,</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35,201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37,410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79,675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141,762</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13,769</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2"/>
              </w:rPr>
              <w:t>Unrealized gains (losses) on available-for-sale securities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9,695</w:t>
            </w:r>
          </w:p>
        </w:tc>
      </w:tr>
      <w:tr>
        <w:trPr>
          <w:trHeight w:val="229"/>
        </w:trPr>
        <w:tc>
          <w:tcPr>
            <w:tcW w:w="20" w:type="dxa"/>
            <w:vAlign w:val="bottom"/>
          </w:tcPr>
          <w:p>
            <w:pPr>
              <w:spacing w:after="0"/>
              <w:rPr>
                <w:sz w:val="19"/>
                <w:szCs w:val="19"/>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w w:val="93"/>
              </w:rPr>
              <w:t>Recognition of realized gains on available-for-sale securities in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320"/>
              <w:spacing w:after="0"/>
              <w:rPr>
                <w:sz w:val="20"/>
                <w:szCs w:val="20"/>
                <w:color w:val="auto"/>
              </w:rPr>
            </w:pPr>
            <w:r>
              <w:rPr>
                <w:rFonts w:ascii="Arial" w:cs="Arial" w:eastAsia="Arial" w:hAnsi="Arial"/>
                <w:sz w:val="18"/>
                <w:szCs w:val="18"/>
                <w:color w:val="auto"/>
              </w:rPr>
              <w:t>income</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(5,584)</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9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Recognition of other-than-temporary impairment loss on available-for-</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sale securities in net income</w:t>
            </w: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12,653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17,880</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159,642</w:t>
            </w:r>
          </w:p>
        </w:tc>
      </w:tr>
      <w:tr>
        <w:trPr>
          <w:trHeight w:val="229"/>
        </w:trPr>
        <w:tc>
          <w:tcPr>
            <w:tcW w:w="20" w:type="dxa"/>
            <w:vAlign w:val="bottom"/>
          </w:tcPr>
          <w:p>
            <w:pPr>
              <w:spacing w:after="0"/>
              <w:rPr>
                <w:sz w:val="19"/>
                <w:szCs w:val="19"/>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w w:val="95"/>
              </w:rPr>
              <w:t>Less: Comprehensive income (loss) attributable to noncontrolling</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320"/>
              <w:spacing w:after="0"/>
              <w:rPr>
                <w:sz w:val="20"/>
                <w:szCs w:val="20"/>
                <w:color w:val="auto"/>
              </w:rPr>
            </w:pPr>
            <w:r>
              <w:rPr>
                <w:rFonts w:ascii="Arial" w:cs="Arial" w:eastAsia="Arial" w:hAnsi="Arial"/>
                <w:sz w:val="18"/>
                <w:szCs w:val="18"/>
                <w:color w:val="auto"/>
              </w:rPr>
              <w:t>interest in HSS Tracking Stock</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Less: Comprehensive income attributable to other noncontrolling</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interests</w:t>
            </w: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57"/>
        </w:trPr>
        <w:tc>
          <w:tcPr>
            <w:tcW w:w="20" w:type="dxa"/>
            <w:vAlign w:val="bottom"/>
          </w:tcPr>
          <w:p>
            <w:pPr>
              <w:spacing w:after="0"/>
              <w:rPr>
                <w:sz w:val="22"/>
                <w:szCs w:val="22"/>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Comprehensive income attributable to EchoStar</w:t>
            </w:r>
          </w:p>
        </w:tc>
        <w:tc>
          <w:tcPr>
            <w:tcW w:w="4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32,005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49,454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115,395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159,808</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0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08"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Class</w:t>
            </w:r>
          </w:p>
        </w:tc>
        <w:tc>
          <w:tcPr>
            <w:tcW w:w="11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Hughes Retail</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Noncontrolling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A and B</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Preferred</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Interest in</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Other</w:t>
            </w:r>
          </w:p>
        </w:tc>
        <w:tc>
          <w:tcPr>
            <w:tcW w:w="9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Common</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Tracking</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Paid-In</w:t>
            </w:r>
          </w:p>
        </w:tc>
        <w:tc>
          <w:tcPr>
            <w:tcW w:w="124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00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Accumulated</w:t>
            </w:r>
          </w:p>
        </w:tc>
        <w:tc>
          <w:tcPr>
            <w:tcW w:w="8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Treasury</w:t>
            </w:r>
          </w:p>
        </w:tc>
        <w:tc>
          <w:tcPr>
            <w:tcW w:w="112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HSS Tracking</w:t>
            </w:r>
          </w:p>
        </w:tc>
        <w:tc>
          <w:tcPr>
            <w:tcW w:w="112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Noncontrolling</w:t>
            </w:r>
          </w:p>
        </w:tc>
        <w:tc>
          <w:tcPr>
            <w:tcW w:w="900" w:type="dxa"/>
            <w:vAlign w:val="bottom"/>
          </w:tcPr>
          <w:p>
            <w:pPr>
              <w:spacing w:after="0"/>
              <w:rPr>
                <w:sz w:val="14"/>
                <w:szCs w:val="14"/>
                <w:color w:val="auto"/>
              </w:rPr>
            </w:pPr>
          </w:p>
        </w:tc>
      </w:tr>
      <w:tr>
        <w:trPr>
          <w:trHeight w:val="202"/>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Stock</w:t>
            </w: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Capital</w:t>
            </w:r>
          </w:p>
        </w:tc>
        <w:tc>
          <w:tcPr>
            <w:tcW w:w="12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Income (Loss)</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8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Stock</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Interests</w:t>
            </w:r>
          </w:p>
        </w:tc>
        <w:tc>
          <w:tcPr>
            <w:tcW w:w="900" w:type="dxa"/>
            <w:vAlign w:val="bottom"/>
          </w:tcPr>
          <w:p>
            <w:pPr>
              <w:jc w:val="right"/>
              <w:ind w:right="203"/>
              <w:spacing w:after="0"/>
              <w:rPr>
                <w:sz w:val="20"/>
                <w:szCs w:val="20"/>
                <w:color w:val="auto"/>
              </w:rPr>
            </w:pPr>
            <w:r>
              <w:rPr>
                <w:rFonts w:ascii="Arial" w:cs="Arial" w:eastAsia="Arial" w:hAnsi="Arial"/>
                <w:sz w:val="15"/>
                <w:szCs w:val="15"/>
                <w:b w:val="1"/>
                <w:bCs w:val="1"/>
                <w:color w:val="auto"/>
              </w:rPr>
              <w:t>Total</w:t>
            </w:r>
          </w:p>
        </w:tc>
      </w:tr>
      <w:tr>
        <w:trPr>
          <w:trHeight w:val="254"/>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3,776,451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(117,233)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134,317</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$(98,162)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74,854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11,310</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8"/>
              </w:rPr>
              <w:t>$ 3,781,642</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Issuances of Class A common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40"/>
              <w:spacing w:after="0"/>
              <w:rPr>
                <w:sz w:val="20"/>
                <w:szCs w:val="20"/>
                <w:color w:val="auto"/>
              </w:rPr>
            </w:pPr>
            <w:r>
              <w:rPr>
                <w:rFonts w:ascii="Arial" w:cs="Arial" w:eastAsia="Arial" w:hAnsi="Arial"/>
                <w:sz w:val="15"/>
                <w:szCs w:val="15"/>
                <w:color w:val="auto"/>
              </w:rPr>
              <w:t>stock:</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4"/>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Exercise of stock options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4,679</w:t>
            </w:r>
          </w:p>
        </w:tc>
      </w:tr>
      <w:tr>
        <w:trPr>
          <w:trHeight w:val="266"/>
        </w:trPr>
        <w:tc>
          <w:tcPr>
            <w:tcW w:w="2080" w:type="dxa"/>
            <w:vAlign w:val="bottom"/>
          </w:tcPr>
          <w:p>
            <w:pPr>
              <w:ind w:left="180"/>
              <w:spacing w:after="0"/>
              <w:rPr>
                <w:sz w:val="20"/>
                <w:szCs w:val="20"/>
                <w:color w:val="auto"/>
              </w:rPr>
            </w:pPr>
            <w:r>
              <w:rPr>
                <w:rFonts w:ascii="Arial" w:cs="Arial" w:eastAsia="Arial" w:hAnsi="Arial"/>
                <w:sz w:val="15"/>
                <w:szCs w:val="15"/>
                <w:color w:val="auto"/>
              </w:rPr>
              <w:t>Employee benefits</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11,126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11,126</w:t>
            </w:r>
          </w:p>
        </w:tc>
      </w:tr>
      <w:tr>
        <w:trPr>
          <w:trHeight w:val="180"/>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Employee Stock Purchase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Plan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11,478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11,478</w:t>
            </w: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11,953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11,953</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R&amp;D tax credits utilized by</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DISH Network</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(1,511)</w:t>
            </w: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color w:val="auto"/>
              </w:rPr>
              <w:t>Other, net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(334)</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141,742</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946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141,762</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adjustment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13,769</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Unrealized losses 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available-for-sale securities,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and other</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4,111</w:t>
            </w:r>
          </w:p>
        </w:tc>
      </w:tr>
      <w:tr>
        <w:trPr>
          <w:trHeight w:val="281"/>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w w:val="98"/>
              </w:rPr>
              <w:t>Balance, September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3,813,841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(99,167)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276,059</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(98,162)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73,928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12,070</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8"/>
              </w:rPr>
              <w:t>$ 3,978,675</w:t>
            </w:r>
          </w:p>
        </w:tc>
      </w:tr>
      <w:tr>
        <w:trPr>
          <w:trHeight w:val="251"/>
        </w:trPr>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b w:val="1"/>
                <w:bCs w:val="1"/>
                <w:color w:val="auto"/>
              </w:rPr>
              <w:t>Balance, 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3,828,677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(124,803)</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314,247</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6"/>
              </w:rPr>
              <w:t>$(98,162)</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73,910</w:t>
            </w:r>
          </w:p>
        </w:tc>
        <w:tc>
          <w:tcPr>
            <w:tcW w:w="1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12,830</w:t>
            </w:r>
          </w:p>
        </w:tc>
        <w:tc>
          <w:tcPr>
            <w:tcW w:w="10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w w:val="98"/>
              </w:rPr>
              <w:t>$ 4,006,805</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Issuances of Class A common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66"/>
        </w:trPr>
        <w:tc>
          <w:tcPr>
            <w:tcW w:w="2080" w:type="dxa"/>
            <w:vAlign w:val="bottom"/>
          </w:tcPr>
          <w:p>
            <w:pPr>
              <w:ind w:left="180"/>
              <w:spacing w:after="0"/>
              <w:rPr>
                <w:sz w:val="20"/>
                <w:szCs w:val="20"/>
                <w:color w:val="auto"/>
              </w:rPr>
            </w:pPr>
            <w:r>
              <w:rPr>
                <w:rFonts w:ascii="Arial" w:cs="Arial" w:eastAsia="Arial" w:hAnsi="Arial"/>
                <w:sz w:val="15"/>
                <w:szCs w:val="15"/>
                <w:color w:val="auto"/>
              </w:rPr>
              <w:t>Exercise of stock options</w:t>
            </w:r>
          </w:p>
        </w:tc>
        <w:tc>
          <w:tcPr>
            <w:tcW w:w="1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34,104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34,106</w:t>
            </w:r>
          </w:p>
        </w:tc>
      </w:tr>
      <w:tr>
        <w:trPr>
          <w:trHeight w:val="274"/>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Employee benefits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11,200</w:t>
            </w:r>
          </w:p>
        </w:tc>
      </w:tr>
      <w:tr>
        <w:trPr>
          <w:trHeight w:val="176"/>
        </w:trPr>
        <w:tc>
          <w:tcPr>
            <w:tcW w:w="2080" w:type="dxa"/>
            <w:vAlign w:val="bottom"/>
          </w:tcPr>
          <w:p>
            <w:pPr>
              <w:ind w:left="180"/>
              <w:spacing w:after="0"/>
              <w:rPr>
                <w:sz w:val="20"/>
                <w:szCs w:val="20"/>
                <w:color w:val="auto"/>
              </w:rPr>
            </w:pPr>
            <w:r>
              <w:rPr>
                <w:rFonts w:ascii="Arial" w:cs="Arial" w:eastAsia="Arial" w:hAnsi="Arial"/>
                <w:sz w:val="15"/>
                <w:szCs w:val="15"/>
                <w:color w:val="auto"/>
              </w:rPr>
              <w:t>Employee Stock Purchase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180"/>
              <w:spacing w:after="0"/>
              <w:rPr>
                <w:sz w:val="20"/>
                <w:szCs w:val="20"/>
                <w:color w:val="auto"/>
              </w:rPr>
            </w:pPr>
            <w:r>
              <w:rPr>
                <w:rFonts w:ascii="Arial" w:cs="Arial" w:eastAsia="Arial" w:hAnsi="Arial"/>
                <w:sz w:val="15"/>
                <w:szCs w:val="15"/>
                <w:color w:val="auto"/>
              </w:rPr>
              <w:t>Plan</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6,938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6,938</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7,169</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Cumulative effect of adoption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2080" w:type="dxa"/>
            <w:vAlign w:val="bottom"/>
          </w:tcPr>
          <w:p>
            <w:pPr>
              <w:ind w:left="200"/>
              <w:spacing w:after="0" w:line="162" w:lineRule="exact"/>
              <w:rPr>
                <w:sz w:val="20"/>
                <w:szCs w:val="20"/>
                <w:color w:val="auto"/>
              </w:rPr>
            </w:pPr>
            <w:r>
              <w:rPr>
                <w:rFonts w:ascii="Arial" w:cs="Arial" w:eastAsia="Arial" w:hAnsi="Arial"/>
                <w:sz w:val="15"/>
                <w:szCs w:val="15"/>
                <w:color w:val="auto"/>
              </w:rPr>
              <w:t>of ASU 2016-09 as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January 1, 2017</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14,508</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14,508</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Reacquisition and retirement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of Tracking Stock pursuant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to Share Exchange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2"/>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Agreement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(300,076)</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R&amp;D tax credits utilized by</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DISH Network</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(577)</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79,324</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79,675</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adjustment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33,162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33,162</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Unrealized gains and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impairment on available-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for-sale securities, net and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2,909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2,909</w:t>
            </w:r>
          </w:p>
        </w:tc>
      </w:tr>
      <w:tr>
        <w:trPr>
          <w:trHeight w:val="241"/>
        </w:trPr>
        <w:tc>
          <w:tcPr>
            <w:tcW w:w="2080" w:type="dxa"/>
            <w:vAlign w:val="bottom"/>
          </w:tcPr>
          <w:p>
            <w:pPr>
              <w:ind w:left="40"/>
              <w:spacing w:after="0"/>
              <w:rPr>
                <w:sz w:val="20"/>
                <w:szCs w:val="20"/>
                <w:color w:val="auto"/>
              </w:rPr>
            </w:pPr>
            <w:r>
              <w:rPr>
                <w:rFonts w:ascii="Arial" w:cs="Arial" w:eastAsia="Arial" w:hAnsi="Arial"/>
                <w:sz w:val="15"/>
                <w:szCs w:val="15"/>
                <w:b w:val="1"/>
                <w:bCs w:val="1"/>
                <w:color w:val="auto"/>
                <w:w w:val="98"/>
              </w:rPr>
              <w:t>Balance, September 30, 2017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3,660,696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(88,732)</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408,079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(98,162)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13,836</w:t>
            </w:r>
          </w:p>
        </w:tc>
        <w:tc>
          <w:tcPr>
            <w:tcW w:w="100" w:type="dxa"/>
            <w:vAlign w:val="bottom"/>
          </w:tcPr>
          <w:p>
            <w:pPr>
              <w:spacing w:after="0"/>
              <w:rPr>
                <w:sz w:val="20"/>
                <w:szCs w:val="20"/>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w w:val="98"/>
              </w:rPr>
              <w:t>$ 3,895,819</w:t>
            </w: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line="2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33"/>
        </w:trPr>
        <w:tc>
          <w:tcPr>
            <w:tcW w:w="7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79,675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141,762</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391,598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370,872</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earnings of unconsolidated affiliates, net</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Gain and impairment on investments, net</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(30,664)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11,953</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Deferred tax provision</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71,422</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received from unconsolidated entities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Proceeds from sale of trading securities</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7,140</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current assets and current liabilities, net</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(47,013)</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Changes in noncurrent assets and noncurrent liabilities, net</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8,097</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14,836</w:t>
            </w:r>
          </w:p>
        </w:tc>
      </w:tr>
      <w:tr>
        <w:trPr>
          <w:trHeight w:val="217"/>
        </w:trPr>
        <w:tc>
          <w:tcPr>
            <w:tcW w:w="7660" w:type="dxa"/>
            <w:vAlign w:val="bottom"/>
          </w:tcPr>
          <w:p>
            <w:pPr>
              <w:ind w:left="600"/>
              <w:spacing w:after="0"/>
              <w:rPr>
                <w:sz w:val="20"/>
                <w:szCs w:val="20"/>
                <w:color w:val="auto"/>
              </w:rPr>
            </w:pPr>
            <w:r>
              <w:rPr>
                <w:rFonts w:ascii="Arial" w:cs="Arial" w:eastAsia="Arial" w:hAnsi="Arial"/>
                <w:sz w:val="16"/>
                <w:szCs w:val="16"/>
                <w:color w:val="auto"/>
              </w:rPr>
              <w:t>Net cash flows from operating activities</w:t>
            </w:r>
          </w:p>
        </w:tc>
        <w:tc>
          <w:tcPr>
            <w:tcW w:w="10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591,936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574,709</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Purchases of marketable investment securities</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(319,912)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(883,288)</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maturities of marketable investment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376,648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643,865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Expenditures for property and equipment</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(422,661)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(533,669)</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Refunds and other receipts related to capital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24,087</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Changes in restricted cash and marketable investment securities</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7,351</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1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Sale of investment in unconsolidated entity</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17,781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Expenditures for externally marketed software</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(17,991)</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1,462</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flows from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(374,401)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(759,819)</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1,500,000</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Payments of debt issuance costs</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 and capital lease obligations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Net proceeds from Class A common stock options exercised</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33,156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4,679</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proceeds from Class A common stock issued under the Employee Stock Purchase Plan</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11,478</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Cash exchanged for Tracking Stock</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r>
      <w:tr>
        <w:trPr>
          <w:trHeight w:val="217"/>
        </w:trPr>
        <w:tc>
          <w:tcPr>
            <w:tcW w:w="7660" w:type="dxa"/>
            <w:vAlign w:val="bottom"/>
          </w:tcPr>
          <w:p>
            <w:pPr>
              <w:ind w:left="600"/>
              <w:spacing w:after="0"/>
              <w:rPr>
                <w:sz w:val="20"/>
                <w:szCs w:val="20"/>
                <w:color w:val="auto"/>
              </w:rPr>
            </w:pPr>
            <w:r>
              <w:rPr>
                <w:rFonts w:ascii="Arial" w:cs="Arial" w:eastAsia="Arial" w:hAnsi="Arial"/>
                <w:sz w:val="16"/>
                <w:szCs w:val="16"/>
                <w:color w:val="auto"/>
              </w:rPr>
              <w:t>Net cash flows from financing activities</w:t>
            </w:r>
          </w:p>
        </w:tc>
        <w:tc>
          <w:tcPr>
            <w:tcW w:w="10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8,667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1,475,894</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Effect of exchange rates on cash and 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0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227,216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1,291,468</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2,571,143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924,240</w:t>
            </w:r>
          </w:p>
        </w:tc>
      </w:tr>
      <w:tr>
        <w:trPr>
          <w:trHeight w:val="28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Cash and cash equivalents, end of period</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2,798,359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2,215,708</w:t>
            </w:r>
          </w:p>
        </w:tc>
      </w:tr>
      <w:tr>
        <w:trPr>
          <w:trHeight w:val="257"/>
        </w:trPr>
        <w:tc>
          <w:tcPr>
            <w:tcW w:w="76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 (including capitalized interest)</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183,451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97,044</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Capitalized interest</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45,496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70,386</w:t>
            </w: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income taxes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10,071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9,187</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Employee benefits paid in Class A common stock</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11,200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11,126</w:t>
            </w: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financed under capital lease obligations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7,172</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Increase (decrease) in capital expenditures included in accounts payable, net</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21,951</w:t>
            </w: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in-orbit incentive obligations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43,890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Noncash net assets exchanged for Tracking Stock</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299,425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62"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62" w:orient="portrait"/>
          <w:cols w:equalWidth="0" w:num="1">
            <w:col w:w="11420"/>
          </w:cols>
          <w:pgMar w:left="240" w:top="125" w:right="23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 Our Class A common stock is publicly traded on the Nasdaq Global Select Market (“Nasdaq”) under the symbol “SATS.”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2014, EchoStar Corporation entered into agreements with certain subsidiaries of DISH Network Corporation (“DISH”) pursuant to which, effective March 1, 2014, (i) EchoStar Corporation and our subsidiary Hughes Satellite Systems Corporation (“HSS”) issued the Tracking Stock (as defined below) to subsidiaries of DISH in exchange for five satellites (EchoStar I, EchoStar VII, EchoStar X, EchoStar XI, and EchoStar XIV), including the assumption of related in-orbit incentive obligations, and $11.4 million in cash and (ii) DISH and certain of its subsidiaries began receiving certain satellite services on these five satellites from us (the “Satellite and Tracking Stock Transaction”). The Tracking Stock tracked the economic performance of the residential retail satellite broadband business of our Hughes segment, including certain operations, assets and liabilities attributed to such business (collectively, the “Hughes Retail Group” or “HRG”), and represented an aggregate 80.0% economic interest in HRG (the Hughes Retail Preferred Tracking Stock issued by EchoStar Corporation (the “EchoStar Tracking Stock”) represented a 51.89% economic interest in HRG and the Hughes Retail Preferred Tracking Stock issued by HSS (the “HSS Tracking Stock”, together with the EchoStar Tracking Stock, the “Tracking Stock”) represented a 28.11% economic interest in the Hughes Retail Group). In addition to the remaining 20.0% economic interest in HRG, EchoStar retained all economic interest in the wholesale satellite broadband business and other businesses of EchoStar.</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January 31, 2017, EchoStar Corporation and certain of its subsidiaries entered into a Share Exchange Agreement (the “Share Exchange Agreement”) with DISH and certain of its subsidiaries. Pursuant to the Share Exchange Agreement, on February 28, 2017, among other things, EchoStar Corporation and certain of its subsidiaries received all of the shares of the Tracking Stock in exchange for 100% of the equity interests of certain EchoStar subsidiaries that held substantially all of our EchoStar Technologies businesses and certain other assets (collectively, the “Share Exchange”). Following consummation of the Share Exchange, we no longer operate the EchoStar Technologies business segment and the EchoStar Tracking Stock and HSS Tracking Stock were retired and are no longer outstanding and all agreements, arrangements and policy statements with respect to such tracking stock terminated and are of no further effect. As a result of the Share Exchange, the condensed consolidated financial statements of the EchoStar Technologies businesses have been presented as discontinued operations and, as such, have been excluded from continuing operations and segment results for all periods presented. See Note 3 for further discussion of our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306" w:lineRule="exact"/>
        <w:rPr>
          <w:sz w:val="20"/>
          <w:szCs w:val="20"/>
          <w:color w:val="auto"/>
        </w:rPr>
      </w:pPr>
    </w:p>
    <w:p>
      <w:pPr>
        <w:ind w:left="660" w:right="120" w:hanging="328"/>
        <w:spacing w:after="0" w:line="302"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Hughes </w:t>
      </w:r>
      <w:r>
        <w:rPr>
          <w:rFonts w:ascii="Arial" w:cs="Arial" w:eastAsia="Arial" w:hAnsi="Arial"/>
          <w:sz w:val="16"/>
          <w:szCs w:val="16"/>
          <w:color w:val="auto"/>
        </w:rPr>
        <w:t>— which provides broadband satellite technologies and broadband services to home and small office customers and network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provides satellite ground segment systems and terminals to mobile system operators.</w:t>
      </w:r>
    </w:p>
    <w:p>
      <w:pPr>
        <w:spacing w:after="0" w:line="19" w:lineRule="exact"/>
        <w:rPr>
          <w:rFonts w:ascii="Arial" w:cs="Arial" w:eastAsia="Arial" w:hAnsi="Arial"/>
          <w:sz w:val="16"/>
          <w:szCs w:val="16"/>
          <w:b w:val="1"/>
          <w:bCs w:val="1"/>
          <w:i w:val="1"/>
          <w:iCs w:val="1"/>
          <w:color w:val="auto"/>
        </w:rPr>
      </w:pPr>
    </w:p>
    <w:p>
      <w:pPr>
        <w:ind w:left="660" w:hanging="328"/>
        <w:spacing w:after="0" w:line="25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video delivery solutions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We also manage satellite operations for certain satellites owned by DISH Network.</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costs and income are accounted for in “Corporate and Other.”</w:t>
      </w:r>
    </w:p>
    <w:p>
      <w:pPr>
        <w:spacing w:after="0" w:line="18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have operated as separate publicly-traded companies. Prior to the consummation of the Share Exchange on February 28, 2017, DISH Network held the Tracking Stock discussed above. A substantial majority of the voting power of the shares of each of EchoStar and DISH is owned beneficially by Charles W. Ergen, our Chairman, and by certain trusts established by Mr. Ergen for the benefit of his family.</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conformity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December 31, 2016, noncontrolling interests consisted primarily of HSS Tracking Stock previously owned by DISH Network. As a result of the Share Exchange, the noncontrolling interest in HSS Tracking Stock was extinguished as of February 28, 2017. All significant intercompany balances and transactions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condensed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9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4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2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nine months ended September 30, 2017 or 2016.</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As of September 30, 2017 and December 31, 2016,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our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Fair values for HSS’ 6 1/2% Senior Secured Notes due 2019 (the “2019 Senior Secured Notes”), 7 5/8% Senior Unsecured Notes due 2021 (the “2021 Senior Unsecured Notes”), 5.250% Senior Secured Notes due 2026 (the “2026 Senior Secured Notes”) and 6.625% Senior Unsecured Notes due 2026 (the “2026 Senior Unsecured Notes” and together with the 2026 Senior Secured Notes, the “2026 Notes”) (see Note 11) are based on quoted market prices in less active markets and are categorized as Level 2 measurements. The fair values of our other debt are Level 2 measurements and are estimated to approximate their carrying amounts based on the proximity of their interest rates to current market rates. As of September 30, 2017 and December 31, 2016, the fair values of our in-orbit incentive obligations, based on measurements categorized within Level 2 of the fair value hierarchy, approximated their carrying amounts of $113.5 million and $74.1 million, respectively.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Cost of sales includes research and development costs incurred in connection with customers’ orders of approximately $7.0 million and $11.1 million for the three months ended September 30, 2017 and 2016, respectively, and $20.7 million and $17.2 million for the nine months ended September 30, 2017 and 2016, respectively. In addition, we incurred other research and development expenses of approximately $8.3 million and $9.0 million for the three months ended September 30, 2017 and 2016, respectively, and $23.4 million and $23.5 million for the nine months ended September 30, 2017 and 2016,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condensed consolidated balance sheets. Externally marketed software generally is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September 30, 2017 and December 31, 2016, the net carrying amount of externally marketed software was $87.7 million and $76.3 million, respectively, of which $16.7 million and $50.1 million, respectively, was under development and not yet placed in service. We capitalized costs related to the development of externally marketed software of $8.3 million and $6.2 million for the three months ended September 30, 2017 and 2016, respectively, and $25.4 million and</w:t>
      </w:r>
    </w:p>
    <w:p>
      <w:pPr>
        <w:spacing w:after="0" w:line="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$18.5 million for the nine months ended September 30, 2017 and 2016, respectively. We recorded amortization expense relating to the development of externally marketed software of $5.5 million and $2.5 million for the three months ended September 30, 2017 and 2016, respectively, and $14.1 million and $7.2 million for the nine months ended September 30, 2017 and 2016, respectively. The weighted average useful life of our externally marketed software was approximately four years as of September 30,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(“ASU 2014-09”) and has modified the standard thereafter. It outlines a single comprehensive model, codified in Topic 606 of the FASB Accounting Standards Codification,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Public entities are required to adopt the new revenue standard in fiscal years beginning after December 15, 2017 and in interim periods within those fiscal years. The standard may be applied either retrospectively to prior periods or as a cumulative-effect adjustment as of the date of adoption. Early adoption is permitted, but not before fiscal years beginning after December 15, 2016. We plan to adopt the new revenue standard as of January 1, 2018 using the “modified retrospective method.” Under this method, we will apply the rules only to contracts that are not substantially completed as of January 1, 2018, recognizing in retained earnings an adjustment for the cumulative effect of the change and providing additional disclosures comparing results to previous accounting standards.</w:t>
      </w:r>
    </w:p>
    <w:p>
      <w:pPr>
        <w:spacing w:after="0" w:line="1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Upon initial evaluation, we do not expect the adoption of ASU 2014-09 to have a material impact on the timing or amount of revenue recognition. However, we do believe the new standard will impact our financial statements as it relates to the deferral of sales commissions. We generally expense sales commissions as incurred under the current standard with the exception of the consumer business in our Hughes segment. The requirement to defer incremental contract acquisition costs and recognize them over the contract period or expected customer life will result in the recognition of a deferred charge on our consolidated balance sheets and corresponding impact to the consolidated statement of operations and comprehensive income (loss). In addition, we currently amortize our sales acquisition costs related to our consumer business in our Hughes segment over the contract term. We believe, under the new guidance, the amortization period for these contract acquisition costs will be over the estimated customer life which is a longer period of time.</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continue to evaluate the impact of the new standard on our consolidated financial statements and related disclosures. We are not able to reasonably estimate the impact of the new standard on our consolidated financial statements at this time.</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net income. The update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equity investments and the fair value of financial instruments. ASU 2016-01 is effective for fiscal years beginning after December 15, 2017, including interim periods within those fiscal years, with early adoption permitted for certain requirements. We plan to adopt all applicable requirements of this update as of January 1, 2018. Upon adoption, we will adjust accumulated earnings to include unrealized gains or losses on any marketable equity securities then designated as available for sale, which historically have been recorded in accumulated other comprehensive loss except when an other-than-temporary impairment has occurred. Following adoption, all periodic changes in fair value of such securities will be recognized in net income or loss. As of September 30, 2017, we had recognized $13.6 million in net unrealized gains on such securities in accumulated other comprehensive loss. For our equity investments without a readily determinable fair value that we now account for using the cost method, we expect to elect to measure such securities at cost, adjusted for impairments and observable price changes. We expect our future net income or loss to be more volatile as a result of these changes in accounting for our investments in available-for-sale and cost method equity securities. We continue to assess the impact on our consolidated financial statements of certain requirements of ASU 2016-01 related to measurement of fair value of financial instruments, deferred tax assets related to available-for-sale debt securities, and financial statement presentation and disclosure.</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fiscal years beginning after December 15, 2018 and interim periods within those fiscal years. Early adoption is permitted. We are assessing the impact of adopting this new accounting standard on our consolidated financial statements and related disclosures.</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March 2016, the FASB issued Accounting Standards Update No. 2016-09, Improvements to Employee Share-Based Payment Accounting (“ASU 2016-09”), which simplifies the accounting for share-based payment awards. This update requires all excess tax benefits and deficiencies to be recognized as income tax expense or benefit and permits an entity to make an entity-wide policy election to either estimate forfeitures or recognize forfeitures as they occur. ASU 2016-09 is effective for fiscal years beginning after December 15, 2016 and interim periods within those fiscal years. The update specifies requirements for retrospective, modified retrospective or prospective application for the various amendments contained in the update. Upon adoption of this standard as of January 1, 2017, we recorded a $14.5 million deferred tax asset and a corresponding credit to accumulated earnings for excess tax benefits that had not previously been recognized because the related tax deductions had not reduced taxes payable. We did not change our accounting policy to estimate forfeitures in determining compensation cost. We prospectively adopted amendments requiring presentation of excess tax benefits in operating activities in the statement of cash flows and dealing with the treatment of excess tax benefits in the calculation of diluted earnings per share. The inclusion of excess tax benefits in our income tax provision for the three and nine months ended September 30, 2017 resulted in increases in net income from continuing operations of $0.2 million and $1.6 million, respectively and increases in net income of $0.2 million and $4.8 million, respectively.</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Accounting Standards Update No. 2016-13, Measurement of Credit Losses on Financial Instruments (“ASU 2016-13”), which introduces an approach based on expected losses to estimate credit losses on certain types of financial instruments rather than incurred losses. It also modifies the impairment model for available-for-sale debt securities and provides for a simplified accounting model for purchased financial assets with credit deterioration since their origination. ASU 2016-13 is effective for fiscal years beginning after December 15, 2019 and interim periods within those fiscal years. Early adoption is permitted. We are assessing the impact of adopting this new accounting standard on our consolidated financial statements and related disclosures.</w:t>
      </w:r>
    </w:p>
    <w:p>
      <w:pPr>
        <w:spacing w:after="0" w:line="1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October 2016, the FASB issued Accounting Standards Update No. 2016-16, Intra-Entity Transfers of Assets Other Than Inventory (“ASU 2016-16”), which improves the accounting for the income tax consequences of intra-entity transfers of assets other than inventory. ASU 2016-16 is effective for fiscal years beginning after December 15, 2017 and interim periods within those fiscal years. We early adopted ASU 2016-16 as of January 1, 2017. Our adoption of this update did not have a material impact on our condensed consolidated financial statements and related disclosures.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November 2016, the FASB issued Accounting Standards Update No. 2016-18, Statement of Cash Flows (Topic 230): Restricted Cash (“ASU 2016-18”). This standard requires restricted cash and restricted cash equivalents to be included with cash and cash equivalents in the statement of cash flows. ASU 2016-18 is effective for fiscal years beginning after December 15, 2017 and interim periods within those fiscal years. Early adoption is permitted and the standard must be applied retrospectively to all periods presented. We expect to adopt ASU 2016-18 as of January 1, 2018. Following our adoption of this standard, the beginning and ending balances of cash and cash equivalents presented in our consolidated statements of cash</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flows will include amounts for restricted cash and cash equivalents, which currently are not included in such balances. Changes in restricted cash and cash equivalents, which we have historically reported in cash flows from investing activities, will not be reported in our consolidated statements of cash flows.</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January 2017, the FASB issued Accounting Standards Update No. 2017-04, Intangibles - Goodwill and Other (Topic 350): Simplifying the Test for Goodwill Impairment (“ASU 2017-04”). This standard simplifies the accounting for goodwill impairment by removing Step 2 of the goodwill impairment test, which requires a hypothetical purchase price allocation. A goodwill impairment will now be the amount by which a reporting unit’s carrying amount, including goodwill, exceeds its fair value, not to exceed the carrying amount of goodwill. ASU 2017-04 is effective for annual or any interim goodwill impairment tests in fiscal years beginning after December 15, 2019 and is to be applied on a prospective basis. We early adopted ASU 2017-04 as of January 1, 2017. Our adoption of this update did not have a material impact on our condensed consolidated financial statements and related disclosures, but it may impact the recognition and measurement of a goodwill impairment loss in future periods if we determine that the carrying amount of any reporting units including goodwill exceeds fair value of the reporting unit.</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2017, the FASB issued Accounting Standards Update No. 2017-08, Receivables - Nonrefundable Fees and Other Costs (Subtopic 310-20): Premium Amortization on Purchased Callable Debt Securities (“ASU 2017-08”). This update shortens the amortization period of premiums on certain purchased callable debt securities to the earliest call date, effectively reducing interest income on such securities prior to the earliest call date. ASU 2017-08 is effective for fiscal years, and interim periods within those fiscal years, beginning after December 15, 2018. Early adoption is permitted. We are assessing the impact of adopting this new accounting standard on our consolidated financial statements and related disclosures.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Discontinued Operations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January 31, 2017, EchoStar Corporation and certain of its subsidiaries entered into the Share Exchange Agreement. Pursuant to the Share Exchange Agreement, on February 28, 2017, among other things, EchoStar Corporation and certain of its subsidiaries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EchoStar Technologies business segment and the EchoStar Tracking Stock and HSS Tracking Stock were retired and are no longer outstanding and all agreements, arrangements and policy statements with respect to such tracking stock terminated and are of no further effect.</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the Share Exchange, the historical financial results of our EchoStar Technologies segment prior to the closing of the Share Exchange are reflected in our condensed consolidated financial statements as discontinued operations and, as such, have been excluded from continuing operations and segment results for all periods presented. The noncontrolling interest in HSS Tracking Stock, as reflected in our stockholders equity, was extinguished as of February 28, 2017 as a result of the Share Exchange.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results of our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Three Months</w:t>
            </w:r>
          </w:p>
        </w:tc>
        <w:tc>
          <w:tcPr>
            <w:tcW w:w="480" w:type="dxa"/>
            <w:vAlign w:val="bottom"/>
          </w:tcPr>
          <w:p>
            <w:pPr>
              <w:spacing w:after="0"/>
              <w:rPr>
                <w:sz w:val="18"/>
                <w:szCs w:val="18"/>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9"/>
              </w:rPr>
              <w:t>For the Nine Months</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Ended September 30,</w:t>
            </w:r>
          </w:p>
        </w:tc>
        <w:tc>
          <w:tcPr>
            <w:tcW w:w="480" w:type="dxa"/>
            <w:vAlign w:val="bottom"/>
          </w:tcPr>
          <w:p>
            <w:pPr>
              <w:spacing w:after="0"/>
              <w:rPr>
                <w:sz w:val="20"/>
                <w:szCs w:val="20"/>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Ended September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Equipment, services and other revenue - DISH Network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260,829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143,063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892,333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services and other revenue -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89,326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282,303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981,659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 of equipment, services and other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229,414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121,973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800,801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38,237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46,129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276,924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143,769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941,090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income (expense), net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(13,806)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Expenditures for property and equipment of our discontinued operations totaled zero and $17.2 million for the three months ended September 30, 2017 and 2016, respectively, and $12.5 million and $31.8 million for the nine months ended September 30, 2017 and 2016,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amounts of assets and liabilities of our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259,198</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Prepaids and deposits</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14,463</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311,524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271,108</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7,720</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5,436</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316,924</w:t>
            </w:r>
          </w:p>
        </w:tc>
      </w:tr>
      <w:tr>
        <w:trPr>
          <w:trHeight w:val="297"/>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 of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628,448</w:t>
            </w:r>
          </w:p>
        </w:tc>
      </w:tr>
      <w:tr>
        <w:trPr>
          <w:trHeight w:val="284"/>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accounts payable - DISH Network</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3,960</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revenue and prepayments</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2,967</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royalties</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23,199</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12,810</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71,429</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7,353</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Noncurrent liabilities of discontinued operations</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10,701</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82,130</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present basic earnings per share (“EPS”) and diluted EPS for our Class A and Class B common stock. Basic EPS for our Class A and Class B common stock excludes potential dilution and is computed by dividing “Net income attributable to EchoStar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1.0 million shares for the three and nine months ended September 30, 2017 and 3.6 million shares for the three and nine months ended September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Prior to the Share Exchange, the EchoStar Tracking Stock was a participating security that shared in our consolidated earnings and therefore, we applied the two-class method to calculate EPS for periods prior to March 1, 2017. Under the two-class method, we allocated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represented by the EchoStar Tracking Stock, we allocated undistributed earnings to the EchoStar Tracking Stock based on 51.89% of the attributed net income or loss of the Hughes Retail Group. Moreover, because the reported amount of “Net income attributable to EchoStar” in our condensed consolidated statements of operations excluded DISH Network’s 28.11% economic interest (represented by the HSS Tracking Stock) in the net loss of the Hughes Retail Group (reported as a noncontrolling interest), the amount of consolidated net income or loss allocated to holders of Class A and Class B common stock effectively excluded an aggregate 80.0% of the attributed net loss of the Hughes Retail Group.</w:t>
      </w:r>
    </w:p>
    <w:p>
      <w:pPr>
        <w:spacing w:after="0" w:line="18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340" w:type="dxa"/>
            <w:vAlign w:val="bottom"/>
            <w:gridSpan w:val="4"/>
          </w:tcPr>
          <w:p>
            <w:pPr>
              <w:ind w:left="22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6"/>
          </w:tcPr>
          <w:p>
            <w:pPr>
              <w:ind w:left="220"/>
              <w:spacing w:after="0"/>
              <w:rPr>
                <w:sz w:val="20"/>
                <w:szCs w:val="20"/>
                <w:color w:val="auto"/>
              </w:rPr>
            </w:pPr>
            <w:r>
              <w:rPr>
                <w:rFonts w:ascii="Arial" w:cs="Arial" w:eastAsia="Arial" w:hAnsi="Arial"/>
                <w:sz w:val="18"/>
                <w:szCs w:val="18"/>
                <w:b w:val="1"/>
                <w:bCs w:val="1"/>
                <w:color w:val="auto"/>
              </w:rPr>
              <w:t>Ended September 30,</w:t>
            </w:r>
          </w:p>
        </w:tc>
        <w:tc>
          <w:tcPr>
            <w:tcW w:w="280" w:type="dxa"/>
            <w:vAlign w:val="bottom"/>
          </w:tcPr>
          <w:p>
            <w:pPr>
              <w:spacing w:after="0"/>
              <w:rPr>
                <w:sz w:val="20"/>
                <w:szCs w:val="20"/>
                <w:color w:val="auto"/>
              </w:rPr>
            </w:pPr>
          </w:p>
        </w:tc>
        <w:tc>
          <w:tcPr>
            <w:tcW w:w="2340" w:type="dxa"/>
            <w:vAlign w:val="bottom"/>
            <w:gridSpan w:val="4"/>
          </w:tcPr>
          <w:p>
            <w:pPr>
              <w:ind w:left="22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9"/>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60" w:type="dxa"/>
            <w:vAlign w:val="bottom"/>
            <w:gridSpan w:val="9"/>
          </w:tcPr>
          <w:p>
            <w:pPr>
              <w:jc w:val="right"/>
              <w:ind w:right="110"/>
              <w:spacing w:after="0"/>
              <w:rPr>
                <w:sz w:val="20"/>
                <w:szCs w:val="20"/>
                <w:color w:val="auto"/>
              </w:rPr>
            </w:pPr>
            <w:r>
              <w:rPr>
                <w:rFonts w:ascii="Arial" w:cs="Arial" w:eastAsia="Arial" w:hAnsi="Arial"/>
                <w:sz w:val="18"/>
                <w:szCs w:val="18"/>
                <w:color w:val="auto"/>
                <w:w w:val="88"/>
              </w:rPr>
              <w:t>(In thousands, except per share amounts)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attributable to EchoStar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attributable to EchoStar</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34,669</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36,801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79,324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141,742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EchoStar Tracking Stock</w:t>
            </w: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9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143,451</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35,323</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32,145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74,079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114,238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9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143,451</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 :</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95,656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93,898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95,316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93,661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96,890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94,401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96,626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94,189</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basic earnings per share</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0.36</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Total diluted earnings per share</w:t>
            </w:r>
          </w:p>
        </w:tc>
        <w:tc>
          <w:tcPr>
            <w:tcW w:w="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vMerge w:val="restart"/>
          </w:tcPr>
          <w:p>
            <w:pPr>
              <w:jc w:val="right"/>
              <w:ind w:right="19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Except in unusual circumstances, we do not recognize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unrealized capital losses for which the related deferred tax asset has been fully offset by a valuation allowance.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Accumulated other comprehensive loss includes net cumulative foreign currency translation losses of $102.3 million and $135.4 million as of September 30, 2017 and December 31, 2016, respectively. Other comprehensive income includes deferred tax benefits for foreign currency translation losses related to assets that were transferred from a foreign subsidiary to a domestic subsidiary of zero and $7.3 million for the three and nine months ended September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out of accumulated other comprehensive loss for the three and nine months ended September 30, 2017 and 2016 were as follows:</w:t>
      </w:r>
    </w:p>
    <w:p>
      <w:pPr>
        <w:sectPr>
          <w:pgSz w:w="11900" w:h="16838" w:orient="portrait"/>
          <w:cols w:equalWidth="0" w:num="1">
            <w:col w:w="11420"/>
          </w:cols>
          <w:pgMar w:left="240" w:top="125" w:right="239" w:bottom="1440" w:gutter="0" w:footer="0" w:header="0"/>
        </w:sect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 Other Comprehensive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Affected Line Item in our</w:t>
            </w:r>
          </w:p>
        </w:tc>
        <w:tc>
          <w:tcPr>
            <w:tcW w:w="0" w:type="dxa"/>
            <w:vAlign w:val="bottom"/>
          </w:tcPr>
          <w:p>
            <w:pPr>
              <w:spacing w:after="0"/>
              <w:rPr>
                <w:sz w:val="1"/>
                <w:szCs w:val="1"/>
                <w:color w:val="auto"/>
              </w:rPr>
            </w:pPr>
          </w:p>
        </w:tc>
      </w:tr>
      <w:tr>
        <w:trPr>
          <w:trHeight w:val="212"/>
        </w:trPr>
        <w:tc>
          <w:tcPr>
            <w:tcW w:w="3460" w:type="dxa"/>
            <w:vAlign w:val="bottom"/>
            <w:gridSpan w:val="2"/>
            <w:vMerge w:val="continue"/>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5"/>
              </w:rPr>
              <w:t>Condensed Consolidated</w:t>
            </w:r>
          </w:p>
        </w:tc>
        <w:tc>
          <w:tcPr>
            <w:tcW w:w="0" w:type="dxa"/>
            <w:vAlign w:val="bottom"/>
          </w:tcPr>
          <w:p>
            <w:pPr>
              <w:spacing w:after="0"/>
              <w:rPr>
                <w:sz w:val="1"/>
                <w:szCs w:val="1"/>
                <w:color w:val="auto"/>
              </w:rPr>
            </w:pPr>
          </w:p>
        </w:tc>
      </w:tr>
      <w:tr>
        <w:trPr>
          <w:trHeight w:val="234"/>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Components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6"/>
              </w:rPr>
              <w:t>Statements of Operations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For the Three Months</w:t>
            </w:r>
          </w:p>
        </w:tc>
        <w:tc>
          <w:tcPr>
            <w:tcW w:w="2380" w:type="dxa"/>
            <w:vAlign w:val="bottom"/>
            <w:gridSpan w:val="2"/>
          </w:tcPr>
          <w:p>
            <w:pPr>
              <w:ind w:left="40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25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Ended September 30,</w:t>
            </w:r>
          </w:p>
        </w:tc>
        <w:tc>
          <w:tcPr>
            <w:tcW w:w="2380" w:type="dxa"/>
            <w:vAlign w:val="bottom"/>
            <w:gridSpan w:val="2"/>
          </w:tcPr>
          <w:p>
            <w:pPr>
              <w:ind w:left="380"/>
              <w:spacing w:after="0"/>
              <w:rPr>
                <w:sz w:val="20"/>
                <w:szCs w:val="20"/>
                <w:color w:val="auto"/>
              </w:rPr>
            </w:pPr>
            <w:r>
              <w:rPr>
                <w:rFonts w:ascii="Arial" w:cs="Arial" w:eastAsia="Arial" w:hAnsi="Arial"/>
                <w:sz w:val="18"/>
                <w:szCs w:val="18"/>
                <w:b w:val="1"/>
                <w:bCs w:val="1"/>
                <w:color w:val="auto"/>
              </w:rPr>
              <w:t>Ended September 30,</w:t>
            </w:r>
          </w:p>
        </w:tc>
      </w:tr>
      <w:tr>
        <w:trPr>
          <w:trHeight w:val="27"/>
        </w:trPr>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spacing w:after="0"/>
              <w:rPr>
                <w:sz w:val="20"/>
                <w:szCs w:val="20"/>
                <w:color w:val="auto"/>
              </w:rPr>
            </w:pPr>
          </w:p>
        </w:tc>
        <w:tc>
          <w:tcPr>
            <w:tcW w:w="2500" w:type="dxa"/>
            <w:vAlign w:val="bottom"/>
            <w:gridSpan w:val="3"/>
          </w:tcPr>
          <w:p>
            <w:pPr>
              <w:ind w:left="74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6420" w:space="120"/>
            <w:col w:w="4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Recognition of realized gains on available-</w:t>
            </w: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 on investments, net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for-sale securities in net income (1)</w:t>
            </w:r>
          </w:p>
        </w:tc>
        <w:tc>
          <w:tcPr>
            <w:tcW w:w="374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Recognition of other-than-temporary</w:t>
            </w: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impairment loss on available-for-sale</w:t>
            </w: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rPr>
              <w:t>Other-than-temporary impairment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color w:val="auto"/>
              </w:rPr>
              <w:t>securities in net income (2)</w:t>
            </w:r>
          </w:p>
        </w:tc>
        <w:tc>
          <w:tcPr>
            <w:tcW w:w="3740" w:type="dxa"/>
            <w:vAlign w:val="bottom"/>
            <w:gridSpan w:val="2"/>
          </w:tcPr>
          <w:p>
            <w:pPr>
              <w:ind w:left="260"/>
              <w:spacing w:after="0"/>
              <w:rPr>
                <w:sz w:val="20"/>
                <w:szCs w:val="20"/>
                <w:color w:val="auto"/>
              </w:rPr>
            </w:pPr>
            <w:r>
              <w:rPr>
                <w:rFonts w:ascii="Arial" w:cs="Arial" w:eastAsia="Arial" w:hAnsi="Arial"/>
                <w:sz w:val="18"/>
                <w:szCs w:val="18"/>
                <w:color w:val="auto"/>
              </w:rPr>
              <w:t>on available-for-sale securities</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 and</w:t>
            </w:r>
          </w:p>
        </w:tc>
        <w:tc>
          <w:tcPr>
            <w:tcW w:w="3240" w:type="dxa"/>
            <w:vAlign w:val="bottom"/>
            <w:vMerge w:val="restart"/>
            <w:shd w:val="clear" w:color="auto" w:fill="CCEEFF"/>
          </w:tcPr>
          <w:p>
            <w:pPr>
              <w:spacing w:after="0"/>
              <w:rPr>
                <w:sz w:val="18"/>
                <w:szCs w:val="18"/>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3240" w:type="dxa"/>
            <w:vAlign w:val="bottom"/>
            <w:tcBorders>
              <w:bottom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right="320" w:hanging="332"/>
        <w:spacing w:after="0" w:line="25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on investments, net” in our condensed consolidated statements of operations.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recorded an other-than-temporary impairment loss on shares of certain common stock included in our strategic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-311785</wp:posOffset>
            </wp:positionV>
            <wp:extent cx="3095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and restricted cash and cash equivalents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245,419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402,670</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100,243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25,030</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522,516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marketable investment securities (1)</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12,203</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534,719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0"/>
        </w:trPr>
        <w:tc>
          <w:tcPr>
            <w:tcW w:w="74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340" w:right="36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Restricted marketable investment securities and restricted cash and cash equivalents are included in “Restricted cash and marketable investment securities”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strategic investment portfolio consists of investments in shares of common stock of public companies, which are highly speculative and have experienced and continue to experience volatility. We received dividend income of $2.3 million and $5.8 million for the three and nine months ended September 30, 2017, respectively, and de minimis dividend income for the three and nine months ended September 30, 2016. We recognized a $3.3 million other-than-temporary impairment for the nine months ended September 30, 2017 on one of our investments. This investment had been in a continuous loss position for more than 12 months and experienced a decline in market value as a result of adverse developments during the three months ended March 31, 2017.</w:t>
      </w:r>
    </w:p>
    <w:p>
      <w:pPr>
        <w:spacing w:after="0" w:line="15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Prior to September 2017, we had an investment in the preferred stock of a privately-held company which had a carrying amount of $4.1 million and was accounted for using the cost method. In connection with the company’s initial public offering of its Class A common stock in September 2017, our shares of preferred stock were converted into the company’s Class B common stock. We have the right to convert such shares of Class B common stock to shares of Class A common stock and to sell such shares following the expiration of a lock-up period. For periods following the initial public offering, we account for this investment as a trading security at fair value in our strategic equity security portfolio.</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three months ended September 30, 2017 and 2016, “Gains on investments, net” included gains of $19.9 million and zero, respectively, related to trading securities that we held as of September 30, 2017 and 2016, respectively. For the nine months ended September 30, 2017 and 2016, “Gains on investments, net” included gains of $19.9 million and losses of $1.0 million, respectively, related to trading securities that we held as of September 30, 2017 and 2016, respectively. The fair values of our trading securities were $23.9 million and $7.2 million as of September 30, 2017 and December 31,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commercial paper and mutual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September 30, 2017 and December 31, 2016, our restricted marketable investment securities, together with our restricted cash, included amounts required as collateral for our letters of credit or surety bonds.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securities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20"/>
                <w:szCs w:val="20"/>
                <w:color w:val="auto"/>
              </w:rPr>
            </w:pPr>
          </w:p>
        </w:tc>
        <w:tc>
          <w:tcPr>
            <w:tcW w:w="16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2"/>
              </w:rPr>
              <w:t>Unrealized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Estimated</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245,419</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107,794</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115,445</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455,057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468,658</w:t>
            </w:r>
          </w:p>
        </w:tc>
      </w:tr>
      <w:tr>
        <w:trPr>
          <w:trHeight w:val="67"/>
        </w:trPr>
        <w:tc>
          <w:tcPr>
            <w:tcW w:w="48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402,670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32,468</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87,617</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522,755</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2017, restricted and non-restricted available-for-sale securities included debt securities of $350.6 million with contractual maturities of one year or less and $2.6 million with contractual maturities greater than one year. We may realize proceeds from certain investments prior to their contractual maturity as a result of our ability to sell these securities prior to their contractual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2017</w:t>
            </w:r>
          </w:p>
        </w:tc>
        <w:tc>
          <w:tcPr>
            <w:tcW w:w="540" w:type="dxa"/>
            <w:vAlign w:val="bottom"/>
          </w:tcPr>
          <w:p>
            <w:pPr>
              <w:spacing w:after="0"/>
              <w:rPr>
                <w:sz w:val="20"/>
                <w:szCs w:val="20"/>
                <w:color w:val="auto"/>
              </w:rPr>
            </w:pPr>
          </w:p>
        </w:tc>
        <w:tc>
          <w:tcPr>
            <w:tcW w:w="27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Unrealized</w:t>
            </w:r>
          </w:p>
        </w:tc>
        <w:tc>
          <w:tcPr>
            <w:tcW w:w="540" w:type="dxa"/>
            <w:vAlign w:val="bottom"/>
          </w:tcPr>
          <w:p>
            <w:pPr>
              <w:spacing w:after="0"/>
              <w:rPr>
                <w:sz w:val="18"/>
                <w:szCs w:val="18"/>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540" w:type="dxa"/>
            <w:vAlign w:val="bottom"/>
          </w:tcPr>
          <w:p>
            <w:pPr>
              <w:spacing w:after="0"/>
              <w:rPr>
                <w:sz w:val="20"/>
                <w:szCs w:val="20"/>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Losses</w:t>
            </w: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recognized de minimis gains from the sales of our available-for-sale securities for each of the three months ended September 30, 2017 and 2016. We recognized gains from the sales of our available-for-sale securities of $2.8 million and $5.6 million for the nine months ended September 30, 2017 and 2016, respectively. We recognized de minimis losses from the sales of our available-for-sale securities for each of the three and nine months ended September 30, 2017 and 2016.</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Proceeds from sales of our available-for-sale securities totaled zero and $4.0 million for the three months ended September 30, 2017 and 2016, respectively, and $31.0 million and $35.8 million for the nine months ended September 30, 2017 and 2016, respectively.</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September 30, 2017 and December 31, 2016, we did not have investments that were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9"/>
              </w:rPr>
              <w:t>September 30, 2017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Level 1</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(including restricted)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2,736,932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2,719,577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2,490,168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2,427,836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245,419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402,670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402,670</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23,716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94,816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2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497,996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152,671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345,325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534,719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108,333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426,386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Unconsolidated Entities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Noncurrent</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Our investments in unconsolidated entities consisted of the following:</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2017</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4"/>
          </w:tcPr>
          <w:p>
            <w:pPr>
              <w:jc w:val="right"/>
              <w:ind w:right="1350"/>
              <w:spacing w:after="0"/>
              <w:rPr>
                <w:sz w:val="20"/>
                <w:szCs w:val="20"/>
                <w:color w:val="auto"/>
              </w:rPr>
            </w:pPr>
            <w:r>
              <w:rPr>
                <w:rFonts w:ascii="Arial" w:cs="Arial" w:eastAsia="Arial" w:hAnsi="Arial"/>
                <w:sz w:val="18"/>
                <w:szCs w:val="18"/>
                <w:color w:val="auto"/>
              </w:rPr>
              <w:t>(In thousands)</w:t>
            </w: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Cost method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65,438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80,052</w:t>
            </w: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90,964</w:t>
            </w:r>
          </w:p>
        </w:tc>
      </w:tr>
      <w:tr>
        <w:trPr>
          <w:trHeight w:val="257"/>
        </w:trPr>
        <w:tc>
          <w:tcPr>
            <w:tcW w:w="60" w:type="dxa"/>
            <w:vAlign w:val="bottom"/>
          </w:tcPr>
          <w:p>
            <w:pPr>
              <w:spacing w:after="0"/>
              <w:rPr>
                <w:sz w:val="22"/>
                <w:szCs w:val="22"/>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Total investments in unconsolidated entities—noncurrent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165,290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171,016</w:t>
            </w:r>
          </w:p>
        </w:tc>
      </w:tr>
      <w:tr>
        <w:trPr>
          <w:trHeight w:val="20"/>
        </w:trPr>
        <w:tc>
          <w:tcPr>
            <w:tcW w:w="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recorded cash distributions from our investments accounted for using the equity method of $7.5 million and $5.0 million for the three months ended September 30, 2017 and 2016, respectively. For each of the nine months ended September 30, 2017 and 2016, we recorded cash distributions from one of these investments accounted for using the equity method of $15.0 million. These cash distributions were determined to be a return on investment and reported in cash flows from operating activities in our condensed consolidated statements of cash flows.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2017, we sold our investment in Invidi Technologies Corporation to an entity owned in part by DISH Network. Our investment was accounted for using the cost method and had a carrying amount of $10.5 million on the date of sale. We recognized a gain of $8.9 million and received cash proceeds of $17.8 million in connection with this transaction for the nine months ended September 30, 2017. See Note 16 for additional information about this transaction.</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Share Exchange, our equity interests in NagraStar L.L.C. and SmarDTV SA, which we accounted for using the equity method, and our equity interest in Sling TV Holding L.L.C., which we accounted for using the cost method, were transferred to DISH Network as of February 28, 2017. See Notes 3 and 16 for additional information about the Share Exchange and related party transactions with these companies in which we held equity interests.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7.  Trade Accounts Receivable</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Contracts in process, net</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36,170</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(12,956)</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244,899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201,944</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September 30, 2017 and December 31, 2016, progress billings offset against contracts in process amounted to $17.4 million and $14.6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Note 8.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88"/>
              </w:rPr>
              <w:t>As of</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7"/>
          </w:tcPr>
          <w:p>
            <w:pPr>
              <w:jc w:val="center"/>
              <w:ind w:right="12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74,693</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91,232</w:t>
            </w:r>
          </w:p>
        </w:tc>
        <w:tc>
          <w:tcPr>
            <w:tcW w:w="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62,620</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Note 9.  Property and Equipment</w:t>
            </w: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80" w:type="dxa"/>
            <w:vAlign w:val="bottom"/>
          </w:tcPr>
          <w:p>
            <w:pPr>
              <w:spacing w:after="0"/>
              <w:rPr>
                <w:sz w:val="24"/>
                <w:szCs w:val="2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Depreciable Life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left="1470"/>
              <w:spacing w:after="0"/>
              <w:rPr>
                <w:sz w:val="20"/>
                <w:szCs w:val="20"/>
                <w:color w:val="auto"/>
              </w:rPr>
            </w:pPr>
            <w:r>
              <w:rPr>
                <w:rFonts w:ascii="Arial" w:cs="Arial" w:eastAsia="Arial" w:hAnsi="Arial"/>
                <w:sz w:val="18"/>
                <w:szCs w:val="18"/>
                <w:b w:val="1"/>
                <w:bCs w:val="1"/>
                <w:color w:val="auto"/>
                <w:w w:val="88"/>
              </w:rPr>
              <w:t>As of</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6"/>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7"/>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33,682</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1-40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184,511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175,593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680,428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859,596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689,579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2,764,153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794,705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781,761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765,062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1,418,763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6,082,137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5,996,687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(2,551,678)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(2,598,492)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3,530,459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3,398,195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Construction in progress consisted of the following:</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Progress amounts for satellite construction, including prepayments under capital leases and launch</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1,235,577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83,907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152,737</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765,062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1,418,763</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included the following owned and leased satellites under construction or undergoing in-orbit testing as of September 30, 2017.</w:t>
      </w:r>
    </w:p>
    <w:p>
      <w:pPr>
        <w:spacing w:after="0" w:line="39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Satellites</w:t>
            </w:r>
          </w:p>
        </w:tc>
        <w:tc>
          <w:tcPr>
            <w:tcW w:w="2740" w:type="dxa"/>
            <w:vAlign w:val="bottom"/>
            <w:gridSpan w:val="2"/>
          </w:tcPr>
          <w:p>
            <w:pPr>
              <w:ind w:left="980"/>
              <w:spacing w:after="0"/>
              <w:rPr>
                <w:sz w:val="20"/>
                <w:szCs w:val="20"/>
                <w:color w:val="auto"/>
              </w:rPr>
            </w:pPr>
            <w:r>
              <w:rPr>
                <w:rFonts w:ascii="Arial" w:cs="Arial" w:eastAsia="Arial" w:hAnsi="Arial"/>
                <w:sz w:val="18"/>
                <w:szCs w:val="18"/>
                <w:b w:val="1"/>
                <w:bCs w:val="1"/>
                <w:color w:val="auto"/>
              </w:rPr>
              <w:t>Segment</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XXI</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June 2017 (1)</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EchoStar 105/SES-11</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ESS</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October 2017 (2)</w:t>
            </w: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Telesat T19V (“63 West”) (3)</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Hughes</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Second quarter of 2018</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EchoStar XXIV</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2021</w:t>
            </w:r>
          </w:p>
        </w:tc>
      </w:tr>
    </w:tbl>
    <w:p>
      <w:pPr>
        <w:spacing w:after="0" w:line="8"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satellite was launched in June 2017 and is expected to be placed in service during the fourth quarter of 2017.</w:t>
      </w:r>
    </w:p>
    <w:p>
      <w:pPr>
        <w:spacing w:after="0" w:line="13" w:lineRule="exact"/>
        <w:rPr>
          <w:rFonts w:ascii="Arial" w:cs="Arial" w:eastAsia="Arial" w:hAnsi="Arial"/>
          <w:sz w:val="14"/>
          <w:szCs w:val="14"/>
          <w:color w:val="auto"/>
        </w:rPr>
      </w:pPr>
    </w:p>
    <w:p>
      <w:pPr>
        <w:ind w:left="1140" w:hanging="322"/>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satellite was launched in October 2017 and is expected to be placed in service during the fourth quarter of 2017.</w:t>
      </w:r>
    </w:p>
    <w:p>
      <w:pPr>
        <w:spacing w:after="0" w:line="1" w:lineRule="exact"/>
        <w:rPr>
          <w:rFonts w:ascii="Arial" w:cs="Arial" w:eastAsia="Arial" w:hAnsi="Arial"/>
          <w:sz w:val="14"/>
          <w:szCs w:val="14"/>
          <w:color w:val="auto"/>
        </w:rPr>
      </w:pPr>
    </w:p>
    <w:p>
      <w:pPr>
        <w:ind w:left="1140" w:hanging="322"/>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entered into a satellite services agreement for certain capacity on this satellite once launched, but are not party to the construction contract.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383"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Three Months</w:t>
            </w:r>
          </w:p>
        </w:tc>
        <w:tc>
          <w:tcPr>
            <w:tcW w:w="300" w:type="dxa"/>
            <w:vAlign w:val="bottom"/>
          </w:tcPr>
          <w:p>
            <w:pPr>
              <w:spacing w:after="0"/>
              <w:rPr>
                <w:sz w:val="18"/>
                <w:szCs w:val="18"/>
                <w:color w:val="auto"/>
              </w:rPr>
            </w:pPr>
          </w:p>
        </w:tc>
        <w:tc>
          <w:tcPr>
            <w:tcW w:w="24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300" w:type="dxa"/>
            <w:vAlign w:val="bottom"/>
          </w:tcPr>
          <w:p>
            <w:pPr>
              <w:spacing w:after="0"/>
              <w:rPr>
                <w:sz w:val="20"/>
                <w:szCs w:val="20"/>
                <w:color w:val="auto"/>
              </w:rPr>
            </w:pPr>
          </w:p>
        </w:tc>
        <w:tc>
          <w:tcPr>
            <w:tcW w:w="24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Ended September 30,</w:t>
            </w:r>
          </w:p>
        </w:tc>
      </w:tr>
      <w:tr>
        <w:trPr>
          <w:trHeight w:val="27"/>
        </w:trPr>
        <w:tc>
          <w:tcPr>
            <w:tcW w:w="3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3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ind w:left="58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Satellites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140,895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Furniture, fixtures, equipment and 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50,198</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86,789</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5,198</w:t>
            </w:r>
          </w:p>
        </w:tc>
      </w:tr>
      <w:tr>
        <w:trPr>
          <w:trHeight w:val="27"/>
        </w:trPr>
        <w:tc>
          <w:tcPr>
            <w:tcW w:w="3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depreciation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283,080</w:t>
            </w: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September 30, 2017, our satellite fleet consisted of 18 of our owned and leased satellites in geosynchronous orbit, approximately 22,300 miles above the equator. We have not included the EchoStar XXI and EchoStar 105/SES-11 satellites in our satellite fleet as of September 30, 2017 since they had not been placed into service as of this date. We depreciate our owned satellites on a straight-line basis over the estimated useful life of each satellite. As of September 30, 2017, three of our satellites are accounted for as capital leases and are depreciated on a straight-line basis over their respective lease terms. We accounted for one satellite as an operating lease that is not included in property and equipment as of September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EchoStar III. </w:t>
      </w:r>
      <w:r>
        <w:rPr>
          <w:rFonts w:ascii="Arial" w:cs="Arial" w:eastAsia="Arial" w:hAnsi="Arial"/>
          <w:sz w:val="18"/>
          <w:szCs w:val="18"/>
          <w:color w:val="auto"/>
        </w:rPr>
        <w:t>In July 2017, the EchoStar III satellite experienced an anomaly that caused communications with the satellite to be interrupted resulting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control. We regained communications with and control of the EchoStar III satellite and retired it in August 2017. The EchoStar III satellite was a fully depreciated, non-revenue generating asset.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EchoStar VIII. </w:t>
      </w:r>
      <w:r>
        <w:rPr>
          <w:rFonts w:ascii="Arial" w:cs="Arial" w:eastAsia="Arial" w:hAnsi="Arial"/>
          <w:sz w:val="17"/>
          <w:szCs w:val="17"/>
          <w:color w:val="auto"/>
        </w:rPr>
        <w:t>During the second quarter of 2017, the EchoStar VIII satellite was removed from its orbital location and retired from commercial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retirement has not had, and is not expected to have, a material impact on our results of operations or financial position.</w:t>
      </w:r>
    </w:p>
    <w:p>
      <w:pPr>
        <w:spacing w:after="0" w:line="22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EchoStar XIX</w:t>
      </w:r>
      <w:r>
        <w:rPr>
          <w:rFonts w:ascii="Arial" w:cs="Arial" w:eastAsia="Arial" w:hAnsi="Arial"/>
          <w:sz w:val="18"/>
          <w:szCs w:val="18"/>
          <w:color w:val="auto"/>
        </w:rPr>
        <w:t>. The EchoStar XIX satellite was launched in December 2016 and was placed into service in March 2017 at the 97.1 degree west longitude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orbital location. The EchoStar XIX satellite provides additional capacity for the Hughes broadband services to our customers in North America and added capacity in certain Central and South American countries and has added capability for aeronautical, enterprise and international broadband services. We contributed the EchoStar XIX satellite to our Hughes segment in February 2017.</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EchoStar XXI</w:t>
      </w:r>
      <w:r>
        <w:rPr>
          <w:rFonts w:ascii="Arial" w:cs="Arial" w:eastAsia="Arial" w:hAnsi="Arial"/>
          <w:sz w:val="16"/>
          <w:szCs w:val="16"/>
          <w:color w:val="auto"/>
        </w:rPr>
        <w:t>. The EchoStar XXI satellite was launched in June 2017 and is anticipated to be placed into service in the fourth quarter of 2017 at the 10.25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degree east longitude orbital location. The EchoStar XXI satellite is expected to provide space segment capacity to EchoStar Mobile Limited in Europe.</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EchoStar 105/SES-11. </w:t>
      </w:r>
      <w:r>
        <w:rPr>
          <w:rFonts w:ascii="Arial" w:cs="Arial" w:eastAsia="Arial" w:hAnsi="Arial"/>
          <w:sz w:val="18"/>
          <w:szCs w:val="18"/>
          <w:color w:val="auto"/>
        </w:rPr>
        <w:t>The EchoStar 105/SES-11 satellite was launched in October 2017 and is anticipated to be placed into service in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at the 105 degree west longitude orbital location. Our Ku-band payload on the EchoStar 105/SES-11 satellite will replace our current capacity on the AMC-15 satellite.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EchoStar XXIII. </w:t>
      </w:r>
      <w:r>
        <w:rPr>
          <w:rFonts w:ascii="Arial" w:cs="Arial" w:eastAsia="Arial" w:hAnsi="Arial"/>
          <w:sz w:val="18"/>
          <w:szCs w:val="18"/>
          <w:color w:val="auto"/>
        </w:rPr>
        <w:t>The EchoStar XXIII satellite, a Ku-band broadcast satellite services satellite, was launched in March 2017 and placed into service at the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west longitude orbital location in the second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impact on their remaining useful lives, the commercial operation of the satellites or our operating results or financial position. We are not aware of any anomalies with respect to our owned or leased satellites that have had any such material adverse effect during the nine months ended September 30, 2017.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XIX, EchoStar XXI and EchoStar XXIII satellites. Additionally, we obtained certain launch and in-orbit insurance for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September 30, 2017 and December 31, 2016, all goodwill related to our continuing operations was assigned to reporting units of our Hughes segment. We test this goodwill for impairment annually in the second quarter. Based on our qualitative assessment of impairment in the second quarter of 2017, we determined that it was not more likely than not that the fair values of the Hughes segment reporting units were less than the corresponding carrying amounts.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Currency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As of December 31,</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Adjustment</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2017</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860"/>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 useful lives: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87,959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6,086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94,045</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72,976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73,900</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471,657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regulatory authorizations,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544,633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545,557</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Regulatory authorizations with finite lives include our Brazilian license, which had a carrying amount of $38.4 million and $38.6 million as of September 30, 2017 and December 31, 2016, respectively. We had regulatory obligations to meet certain in-service milestones by the second quarter of 2017 for our Brazilian license at the 45 degree west longitude orbital location for the Ka-, Ku- and S-band frequency bands. We have met our regulatory milestone for the Ku-band. On October 5, 2017, ANATEL, the Brazilian regulatory authority, declined our request to extend our milestone deadlines for the S-band and Ka-band and, as a result, we no longer have the right to use such frequency bands. We may be subject to penalties as a result of our failure to meet these milestones. The loss of our right to use the S- and Ka-bands in October 2017 is an event that may affect the recoverability of the carrying value of our Brazilian license and related assets. Accordingly, we expect to test our Brazilian license and related assets for recoverability in the fourth quarter of 2017. We may be required to record an impairment loss if we determine that the carrying value of such license or its related assets are not recoverable and their fair values are lower than such carrying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6"/>
              </w:rPr>
              <w:t>September 30, 2017</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December 31, 2016</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1280" w:type="dxa"/>
            <w:vAlign w:val="bottom"/>
            <w:gridSpan w:val="2"/>
            <w:vMerge w:val="restart"/>
          </w:tcPr>
          <w:p>
            <w:pPr>
              <w:jc w:val="center"/>
              <w:ind w:right="120"/>
              <w:spacing w:after="0" w:line="190" w:lineRule="exact"/>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28"/>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Years)</w:t>
            </w:r>
          </w:p>
        </w:tc>
        <w:tc>
          <w:tcPr>
            <w:tcW w:w="22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55,756</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(60,905)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57"/>
        </w:trPr>
        <w:tc>
          <w:tcPr>
            <w:tcW w:w="276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361,300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(298,665)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62,635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360,835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80,734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regulatory authorizations with finite lives and externally marketed capitalized software, was $10.5 million and $12.8 million for the three months ended September 30, 2017 and 2016, respectively, and $36.4 million and $41.7 million for the nine months ended September 30, 2017 and 2016,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2017</w:t>
            </w:r>
          </w:p>
        </w:tc>
        <w:tc>
          <w:tcPr>
            <w:tcW w:w="18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6.959%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1,056,825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1,084,050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5</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739,688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7</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1,023,408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990,189</w:t>
            </w: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806,910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760,245</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Subtotal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3,363,244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3,670,181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3,358,179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3,574,172</w:t>
            </w: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Capital lease obligations</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3,644,122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3,655,447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ind w:left="180"/>
              <w:spacing w:after="0"/>
              <w:rPr>
                <w:sz w:val="20"/>
                <w:szCs w:val="20"/>
                <w:color w:val="auto"/>
              </w:rPr>
            </w:pPr>
            <w:r>
              <w:rPr>
                <w:rFonts w:ascii="Arial" w:cs="Arial" w:eastAsia="Arial" w:hAnsi="Arial"/>
                <w:sz w:val="18"/>
                <w:szCs w:val="18"/>
                <w:color w:val="auto"/>
                <w:w w:val="96"/>
              </w:rPr>
              <w:t>Long-term debt and capital lease obligations, net of unamortized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3,605,715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3,622,463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debt issuance costs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terms of a registration rights agreement, HSS registered notes having substantially identical terms as the 2026 Notes with the SEC as part of an offer to exchange registered notes for the 2026 Notes. This exchange offer expired May 11, 2017 with 99.98% of the 2026 Notes being tendered for exchange.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Our quarterly tax provision, and our quarterly estimate of our annual effective tax rate, is subject to significant volatility due to several factors, including income and losses from investments for which we have a full valuation allowance, changes in tax laws and relative changes in unrecognized tax benefits. Additionally, our effective tax rate can be more or less volatile based on the amount of pre-tax income. For example, the impact of discrete items and non-deductible expenses on our effective tax rate is greater when our pre-tax income is lower.</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Income tax expense was $6.1 million for the three months ended September 30, 2017 compared to an income tax expense of approximately $17.4 million for the three months ended September 30, 2016. Our estimated effective income tax rate was 14.5% and 34.6% for the three months ended September 30, 2017 and 2016, respectively. The variations in our current year effective tax rate from the U.S. federal statutory rate for the three months ended September 30, 2017 was primarily due to various permanent tax differences, the increase in our valuation allowance associated with unrealized gains that are capital in nature, and a change in the amount of unrecognized tax benefit from uncertain tax positions. The variations in our effective tax rate from the U.S. federal statutory rate for the three months ended September 30, 2016 was primarily due to research and experimentation credits, partially offset by state and local taxes.</w:t>
      </w:r>
    </w:p>
    <w:p>
      <w:pPr>
        <w:spacing w:after="0" w:line="18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Income tax expense was approximately $9.1 million for the nine months ended September 30, 2017 compared to an income tax expense of approximately $61.3 million for the nine months ended September 30, 2016. Our estimated effective income tax rate was 11.0% and 35.2% for the nine months ended September 30, 2017 and 2016, respectively. The variations in our</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5"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effective tax rate from the U.S. federal statutory rate for the nine months ended September 30, 2017 was primarily due to the recognition of a one-time tax benefit for the revaluation of our deferred tax assets and liabilities due to a change in our state effective tax rate as a result of the Share Exchange, the increase in our valuation allowance associated with unrealized gains that are capital in nature, and change in the amount of unrecognized tax benefit from uncertain tax positions. The tax benefit recognized from the change in our effective tax rate was partially offset by the increase in our valuation allowance associated with certain state and foreign losses. The variations in our effective tax rate from the U.S. federal statutory rate for the nine months ended September 30, 2016 were primarily due to research and experimentation credits, partially offset by state and local taxes.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maintain stock incentive plans to attract and retain officers, directors and key employees. Stock awards under these plans include both performance based and non-performance based stock incentives. We granted stock options and other incentive awards to our employees and nonemployee directors to acquire 62,600 shares and 137,470 shares of our Class A common stock during the three months ended September 30, 2017 and 2016, respectively, and</w:t>
      </w:r>
    </w:p>
    <w:p>
      <w:pPr>
        <w:ind w:right="60"/>
        <w:spacing w:after="0" w:line="255" w:lineRule="auto"/>
        <w:rPr>
          <w:sz w:val="20"/>
          <w:szCs w:val="20"/>
          <w:color w:val="auto"/>
        </w:rPr>
      </w:pPr>
      <w:r>
        <w:rPr>
          <w:rFonts w:ascii="Arial" w:cs="Arial" w:eastAsia="Arial" w:hAnsi="Arial"/>
          <w:sz w:val="18"/>
          <w:szCs w:val="18"/>
          <w:color w:val="auto"/>
        </w:rPr>
        <w:t>1,263,350 shares and 722,350 shares of our Class A common stock for the nine months ended September 30, 2017 and 2016, respectively. On April 24, 2017, Mr. Ergen, our Chairman, voluntarily forfeited options to purchase 600,000 shares of Class A common stock that were granted to him on April 1, 2017, and we canceled such forfeited options.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non-cash, stock-based compensation expense is shown in the following table for the three and nine months ended September 30, 2017 and 2016 and was assigned to the same expense categories as the base compensation for such employees: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For the Three Months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5160" w:type="dxa"/>
            <w:vAlign w:val="bottom"/>
          </w:tcPr>
          <w:p>
            <w:pPr>
              <w:spacing w:after="0"/>
              <w:rPr>
                <w:sz w:val="20"/>
                <w:szCs w:val="20"/>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Ended 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w w:val="99"/>
              </w:rPr>
              <w:t>Ended September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3"/>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2,965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2,311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7,627</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3,262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2,608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September 30, 2017, total unrecognized stock-based compensation cost, net of estimated forfeitures, related to our unvested stock awards was $22.8 million.</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of September 30, 2017, our satellite-related obligations were approximately $1.01 billion. Our satellite-related obligations primarily include payments pursuant to agreements for the construction of the EchoStar XXIV satellite;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persons do not own the rights they claim, that these rights are not valid or that our products and services do not infringe on these rights. Further, we cannot be certain that we would be able to obtain licenses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these persons on commercially reasonable terms or, if we were unable to obtain such licenses, that we would be able to redesign our products and services to avoid infringement.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Share Exchange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firstLine="8"/>
        <w:spacing w:after="0" w:line="290" w:lineRule="auto"/>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for these cases,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6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allegations against a new defendant, Country Home Investments, Inc. On November 3 and 4, 2015, and January 22, 2016, the defendants filed petitions before the United States Patent and Trademark Office challenging the validity of the patents in suit, which the Patent and Trademark Office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approximately $21.1 million. As a result of interest, costs and unit sales through the 073 patent’s expiration in November 2017, we estimate the jury verdict could result in a judgment of approximately $27 million if not overturned or modified by post-trial motions or appeals. The jury also found that such infringement of the 073 patent was not willful and that the 874 patent was not infringed. HNS intends to vigorously pursue its post-trial rights, including appeals. We cannot predict with certainty the outcome of any post-trial motions or appeals. For the nine months ended September 30, 2017, we have recorded a charge of $2.5 million with respect to this matter. Any eventual payments made with respect to the ultimate outcome of this matter may be different from our accruals and such differences could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Heskiaoff, Marc Langenohl, and Rafael Mann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10, 2015, Messrs. Michael Heskiaoff and Marc Langenohl, purportedly on behalf of themselves and all others similarly situated, filed suit against our now former subsidiary Sling Media, Inc. in the United States District Court for the Southern District of New York. The complaint alleges that Sling Media Inc.’s display of advertising to its customers violates a number of state statutes dealing with consumer deception. On September 25, 2015, the plaintiffs filed an amended complaint, and Mr. Rafael Mann, purportedly on behalf of himself and all others similarly situated, filed an additional complaint alleging similar causes of action. On November 16, 2015, the cases were consolidated. On August 12, 2016, the Court dismissed the consolidated case due to plaintiffs’ failure to state a claim. On September 12, 2016, the plaintiffs moved the Court for leave to file an amended complaint, which the Court denied on March 22, 2017. On April 17, 2017, the plaintiffs filed a notice of appeal to the United States Court of Appeals for the Second Circuit.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May 8, 2015, Realtime Data LLC (“Realtime”) filed suit against EchoStar Corporation and our subsidiary HNS in the United States District Court for the Eastern District of Texas alleging infringement of United States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United States Patent No. 9,116,908 (the “908 patent”),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(“USPTO”) challenging the validity of the asserted patents. The USPTO instituted proceedings on each of those petitions. The USPTO invalidated the asserted claims of the 513 patent, but Realtime is still asserting this patent against us and may appeal this ruling. Realtime is no longer asserting the 992 patent against us and additionally the USPTO invalidated the claims of the 992 patent that had been asserted against us. The USPTO is still reviewing the 530 patent; however, two of the four claims asserted against us were invalidated in a separate litigation between Realtime and a third party, which Realtime may appeal. The USPTO did not invalidate the asserted claims of the 908 patent, but a third party has challenged these claims in a separate proceeding before the USPTO. On February 14, 2017, Realtime filed a second suit against EchoStar Corporation and our subsidiary HNS in the same District Court, alleging infringement of four additional United States Patents, Nos. 7,358,867, entitled “Content Independent Data Compression Method and System;” 8,502,707, entitled “Data Compression Systems and Methods;” 8,717,204, entitled “Methods for Encoding and Decoding Data;” and 9,054,728, entitled “Data Compression System and Methods.” On June 6, 2017, Realtime filed an amended complaint, adding claims of infringement against EchoStar Technologies, L.L.C., a wholly-owned subsidiary of DISH, DISH, DISH Network L.L.C., Sling TV L.L.C., Sling Media L.L.C., and Arris Group, Inc., as well as additionally alleging infringement of United States Patent No. 8,553,759 (the “759 patent”), entitled “Bandwidth Sensitive Data Compression and Decompression.” The cases were consolidated and no trial date has been set. On July 20, 2017, the claims against the newly added parties, with the exception of EchoStar Technologies, L.L.C., were severed into a separate case. On September 1, 2017, EchoStar Technologies, L.L.C. was dismissed from the case. On October 10, 2017, Realtime informed us that it is not pursuing the 759 patent against us. Trial is scheduled for January 21, 2019. Realtime is an entity that seeks to license an acquired patent portfolio without itself practicing any of the claims recited therein.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December 5, 2012, Greg Jacobi, purporting to sue derivatively on behalf of EchoStar Corporation, filed suit (the “Jacobi Litigation”) against Charles W. Ergen, Michael T. Dugan, R. Stanton Dodge, Tom A. Ortolf, C. Michael Schroeder, Joseph P. Clayton, David K. Moskowitz, and EchoStar Corporation in the United States District Court for the District of Nevada. The complaint alleges that a March 2011 attempted grant of 1.5 million stock options to Charles Ergen breached defendants’ fiduciary duties, resulted in unjust enrichment, and constituted a waste of corporate assets.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December 18, 2012, Chester County Employees’ Retirement Fund, derivatively on behalf of EchoStar Corporation, filed a suit (the “Chester County Litigation”) against Charles W. Ergen, Michael T. Dugan, R. Stanton Dodge, Tom A. Ortolf, C. Michael Schroeder, Anthony M. Federico, Pradman P. Kaul, Joseph P. Clayton, and EchoStar Corporation in the United States District Court for the District of Colorado. The complaint similarly alleges that the March 2011 attempted grant of 1.5 million stock options to Charles Ergen breached defendants’ fiduciary duties, resulted in unjust enrichment, and constituted a waste of corporate assets.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22, 2013, the Chester County Litigation was transferred to the District of Nevada, and on April 3, 2013, the Chester County Litigation was consolidated into the Jacobi Litigation. Oral argument on a motion to dismiss the Jacobi Litigation was held February 21, 2014. On March 30, 2015, the Court dismissed the Jacobi Litigation, with leave for Jacobi to amend his complaint by April 20, 2015. On April 20, 2015, Jacobi filed an amended complaint, which on June 12, 2015, we moved to dismiss. On March 17, 2016, the Court dismissed the amended complaint. On July 31, 2017, a motion from the Chester County Employee’s Retirement Fund seeking attorneys’ fees and expenses was denied. Jacobi appealed the amended complaint’s dismissal to the United States Court of Appeals for the Ninth Circuit. On October 9, 2017, Jacobi agreed to dismiss its appeal, with each party bearing its own costs. Accordingly, on October 10, 2017 the Court of Appeals granted a stipulated motion to voluntarily dismiss Jacobi’s appeal, and on October 17, 2017, the District Court entered the Court of Appeal’s mandate. The Chester County and Jacobi matters are now concluded.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Operating segments are business components of an enterprise for which separate financial information is available and regularly evaluated by the chief operating decision maker (“CODM”), who for EchoStar is the Company’s Chief Executive Officer. Prior to March 2017, we operated in three primary business segments, Hughes, EchoStar Technologies and ESS. Following consummation of the Share Exchange described in Note 3 of these condensed consolidated financial statements, we no longer operate the EchoStar Technologies business segment. The primary measure of segment profitability that is reported regularly to our CODM is earnings before interest, taxes, depreciation and amortization, or EBITDA. Effective in March 2017, we also changed our overhead allocation methodology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of March 2017, our two primary business segments are Hughes and ESS, as described in Note 1 of these condensed consolidated financial statements.</w:t>
      </w:r>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Costs and income associated with these departments and activities are accounted for in the “Corporate and Other” column in the table below or in the reconciliation of EBITDA below.</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Transactions between segments were not significant for the three and nine months ended September 30, 2017 or 2016, respectively. Total assets by segment have not been reported herein because the information is not provided to our CODM on a regular basis.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71"/>
              <w:spacing w:after="0"/>
              <w:rPr>
                <w:sz w:val="20"/>
                <w:szCs w:val="20"/>
                <w:color w:val="auto"/>
              </w:rPr>
            </w:pPr>
            <w:r>
              <w:rPr>
                <w:rFonts w:ascii="Arial" w:cs="Arial" w:eastAsia="Arial" w:hAnsi="Arial"/>
                <w:sz w:val="17"/>
                <w:szCs w:val="17"/>
                <w:b w:val="1"/>
                <w:bCs w:val="1"/>
                <w:color w:val="auto"/>
              </w:rPr>
              <w:t>EchoStar</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11"/>
              <w:spacing w:after="0"/>
              <w:rPr>
                <w:sz w:val="20"/>
                <w:szCs w:val="20"/>
                <w:color w:val="auto"/>
              </w:rPr>
            </w:pPr>
            <w:r>
              <w:rPr>
                <w:rFonts w:ascii="Arial" w:cs="Arial" w:eastAsia="Arial" w:hAnsi="Arial"/>
                <w:sz w:val="17"/>
                <w:szCs w:val="17"/>
                <w:b w:val="1"/>
                <w:bCs w:val="1"/>
                <w:color w:val="auto"/>
              </w:rPr>
              <w:t>Satellite</w:t>
            </w:r>
          </w:p>
        </w:tc>
        <w:tc>
          <w:tcPr>
            <w:tcW w:w="240" w:type="dxa"/>
            <w:vAlign w:val="bottom"/>
          </w:tcPr>
          <w:p>
            <w:pPr>
              <w:spacing w:after="0"/>
              <w:rPr>
                <w:sz w:val="17"/>
                <w:szCs w:val="17"/>
                <w:color w:val="auto"/>
              </w:rPr>
            </w:pPr>
          </w:p>
        </w:tc>
        <w:tc>
          <w:tcPr>
            <w:tcW w:w="1280" w:type="dxa"/>
            <w:vAlign w:val="bottom"/>
          </w:tcPr>
          <w:p>
            <w:pPr>
              <w:jc w:val="right"/>
              <w:ind w:right="111"/>
              <w:spacing w:after="0"/>
              <w:rPr>
                <w:sz w:val="20"/>
                <w:szCs w:val="20"/>
                <w:color w:val="auto"/>
              </w:rPr>
            </w:pPr>
            <w:r>
              <w:rPr>
                <w:rFonts w:ascii="Arial" w:cs="Arial" w:eastAsia="Arial" w:hAnsi="Arial"/>
                <w:sz w:val="17"/>
                <w:szCs w:val="17"/>
                <w:b w:val="1"/>
                <w:bCs w:val="1"/>
                <w:color w:val="auto"/>
                <w:w w:val="91"/>
              </w:rPr>
              <w:t>Corporate and</w:t>
            </w:r>
          </w:p>
        </w:tc>
        <w:tc>
          <w:tcPr>
            <w:tcW w:w="22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7"/>
                <w:szCs w:val="17"/>
                <w:b w:val="1"/>
                <w:bCs w:val="1"/>
                <w:color w:val="auto"/>
                <w:w w:val="89"/>
              </w:rPr>
              <w:t>Consolidated</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7"/>
                <w:szCs w:val="17"/>
                <w:b w:val="1"/>
                <w:bCs w:val="1"/>
                <w:color w:val="auto"/>
              </w:rPr>
              <w:t>Hughes</w:t>
            </w:r>
          </w:p>
        </w:tc>
        <w:tc>
          <w:tcPr>
            <w:tcW w:w="32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Arial" w:cs="Arial" w:eastAsia="Arial" w:hAnsi="Arial"/>
                <w:sz w:val="17"/>
                <w:szCs w:val="17"/>
                <w:b w:val="1"/>
                <w:bCs w:val="1"/>
                <w:color w:val="auto"/>
              </w:rPr>
              <w:t>Services</w:t>
            </w:r>
          </w:p>
        </w:tc>
        <w:tc>
          <w:tcPr>
            <w:tcW w:w="24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7"/>
                <w:szCs w:val="17"/>
                <w:b w:val="1"/>
                <w:bCs w:val="1"/>
                <w:color w:val="auto"/>
              </w:rPr>
              <w:t>Total</w:t>
            </w:r>
          </w:p>
        </w:tc>
      </w:tr>
      <w:tr>
        <w:trPr>
          <w:trHeight w:val="31"/>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3"/>
          </w:tcPr>
          <w:p>
            <w:pPr>
              <w:jc w:val="right"/>
              <w:ind w:right="911"/>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1"/>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Three Months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379,702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96,743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4,788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481,233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380,061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97,093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481,233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131,817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219,861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108,428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75,500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192,131</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For the Three Months Ended September 30, 2016</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355,090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355,876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125,522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84,257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(20,477)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189,302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75,682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48,162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139,574</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Nine Months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1,070,715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294,839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13,906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1,379,460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1,072,143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295,785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11,532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1,379,460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342,693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241,873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588,038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270,624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21,351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118,170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410,145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For the Nine Months Ended September 30, 2016</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1,019,203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305,401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1,334,678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2,248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1,021,451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1,334,678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353,505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257,181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(45,506)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565,180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261,241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50,762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165,815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477,818</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from continuing operations before income taxes” in our condensed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Three Months</w:t>
            </w:r>
          </w:p>
        </w:tc>
        <w:tc>
          <w:tcPr>
            <w:tcW w:w="480" w:type="dxa"/>
            <w:vAlign w:val="bottom"/>
          </w:tcPr>
          <w:p>
            <w:pPr>
              <w:spacing w:after="0"/>
              <w:rPr>
                <w:sz w:val="18"/>
                <w:szCs w:val="18"/>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9"/>
              </w:rPr>
              <w:t>For the Nine Months</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Ended September 30,</w:t>
            </w:r>
          </w:p>
        </w:tc>
        <w:tc>
          <w:tcPr>
            <w:tcW w:w="480" w:type="dxa"/>
            <w:vAlign w:val="bottom"/>
          </w:tcPr>
          <w:p>
            <w:pPr>
              <w:spacing w:after="0"/>
              <w:rPr>
                <w:sz w:val="20"/>
                <w:szCs w:val="20"/>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Ended September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588,038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565,180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(66,650)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(324,743)</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7"/>
              </w:rPr>
              <w:t>Net income attributable to noncontrolling interest in HSS Tracking Stock</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and other noncontrolling interests</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Following the Spin-off, we and DISH have operated as separate publicly-traded companies. However, prior to the consummation of the Share Exchange on February 28, 2017, DISH Network owned the Tracking Stock representing an aggregate 80.0% economic interest in the residential retail satellite broadband business of our Hughes segment. Following the consummation of the Share Exchange, the Tracking Stock was retired. In addition, a substantial majority of the voting power of the shares of each of EchoStar and DISH is owned beneficially by Charles W. Ergen, our Chairman, and by certain trusts established by Mr. Ergen for the benefit of his family.</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or in our most recent Annual Report on Form 10-K), which varies depending on the nature of the products and services provided.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revenue — DISH Network</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Receiver Agreement</w:t>
      </w:r>
      <w:r>
        <w:rPr>
          <w:rFonts w:ascii="Arial" w:cs="Arial" w:eastAsia="Arial" w:hAnsi="Arial"/>
          <w:sz w:val="16"/>
          <w:szCs w:val="16"/>
          <w:color w:val="auto"/>
        </w:rPr>
        <w:t>. Effective January 2012, one of our subsidiaries and DISH Network entered into a receiver agreement (the “2012 Receiver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which DISH Network had the right, but not the obligation, to purchase digital set-top boxes, related accessories, and other equipment from us for the period from January 2012 through December 2014. The 2012 Receiver Agreement replaced the receiver agreement one of our subsidiaries entered into with DISH Network in connection with the Spin-off. The 2012 Receiver Agreement allowed DISH Network to purchase digital set-top boxes, related accessories, and other equipment from us either: (i) at cost (decreasing as we reduced costs and increasing as costs increased) plus a dollar mark-up which depended upon the cost of the product subject to a collar on our mark-up; or (ii) at cost plus a fixed margin, which depended on the nature of the equipment purchased. Under the 2012 Receiver Agreement, our margins would have increased if we were able to reduce the costs of our digital set-top boxes and our margins would have reduced if these costs increased. One of our subsidiaries provided DISH Network with standard manufacturer warranties for the goods sold under the 2012 Receiver Agreement. Additionally, the 2012 Receiver Agreement included an indemnification provision, whereby the parties agreed to indemnify each other for certain intellectual property matters. In November 2016, one of our subsidiaries and DISH Network amended this agreement to extend its term for one year through December 2017.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Broadcast Agreement</w:t>
      </w:r>
      <w:r>
        <w:rPr>
          <w:rFonts w:ascii="Arial" w:cs="Arial" w:eastAsia="Arial" w:hAnsi="Arial"/>
          <w:sz w:val="17"/>
          <w:szCs w:val="17"/>
          <w:color w:val="auto"/>
        </w:rPr>
        <w:t>. Effective January 2012, one of our subsidiaries and DISH Network entered into a broadcast agreement (the “2012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provided certain broadcast services to DISH Network, including teleport services such as transmission and downlinking, channel origination services, and channel management services, for the period from January 2012 through December 2016. In November 2016, one of our subsidiaries and DISH Network amended the 2012 Broadcast Agreement to extend the term for one year through December 2017. The fees for the services provided under the 2012 Broadcast Agreement were calculated at either: (a) our cost of providing the relevant service plus a fixed dollar fee, which was subject to certain adjustments; or (b) our cost of providing the relevant service plus a fixed margin, depending on the nature of the services provided.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Broadcast Agreement for Certain Sports Related Programming</w:t>
      </w:r>
      <w:r>
        <w:rPr>
          <w:rFonts w:ascii="Arial" w:cs="Arial" w:eastAsia="Arial" w:hAnsi="Arial"/>
          <w:sz w:val="17"/>
          <w:szCs w:val="17"/>
          <w:color w:val="auto"/>
        </w:rPr>
        <w:t>. In May 2010, one of our subsidiaries and DISH Network entered into a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provided certain broadcast services to DISH Network in connection with its carriage of certain sports related programming. The term of this agreement was ten years. The fees for the broadcast services provided under this agreement depended, among other things, upon the cost to develop and provide such services.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RUS Implementation Agreement</w:t>
      </w:r>
      <w:r>
        <w:rPr>
          <w:rFonts w:ascii="Arial" w:cs="Arial" w:eastAsia="Arial" w:hAnsi="Arial"/>
          <w:sz w:val="16"/>
          <w:szCs w:val="16"/>
          <w:color w:val="auto"/>
        </w:rPr>
        <w:t>. In September 2010, DISH Broadband L.L.C. (“DISH Broadband”), DISH’s indirect, wholly-owned subsidiary,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Satellite Services Provided to DISH Network</w:t>
      </w:r>
      <w:r>
        <w:rPr>
          <w:rFonts w:ascii="Arial" w:cs="Arial" w:eastAsia="Arial" w:hAnsi="Arial"/>
          <w:sz w:val="17"/>
          <w:szCs w:val="17"/>
          <w:color w:val="auto"/>
        </w:rPr>
        <w:t>. 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i w:val="1"/>
          <w:iCs w:val="1"/>
          <w:color w:val="auto"/>
        </w:rPr>
        <w:t xml:space="preserve">EchoStar VII, EchoStar X, EchoStar XI and EchoStar XIV. </w:t>
      </w:r>
      <w:r>
        <w:rPr>
          <w:rFonts w:ascii="Arial" w:cs="Arial" w:eastAsia="Arial" w:hAnsi="Arial"/>
          <w:sz w:val="18"/>
          <w:szCs w:val="18"/>
          <w:color w:val="auto"/>
        </w:rPr>
        <w:t>As part of the Satellite and Tracking Stock Transaction, described below, in March 2014, we</w:t>
      </w:r>
      <w:r>
        <w:rPr>
          <w:rFonts w:ascii="Arial" w:cs="Arial" w:eastAsia="Arial" w:hAnsi="Arial"/>
          <w:sz w:val="18"/>
          <w:szCs w:val="18"/>
          <w:i w:val="1"/>
          <w:iCs w:val="1"/>
          <w:color w:val="auto"/>
        </w:rPr>
        <w:t xml:space="preserve"> </w:t>
      </w:r>
      <w:r>
        <w:rPr>
          <w:rFonts w:ascii="Arial" w:cs="Arial" w:eastAsia="Arial" w:hAnsi="Arial"/>
          <w:sz w:val="18"/>
          <w:szCs w:val="18"/>
          <w:color w:val="auto"/>
        </w:rPr>
        <w:t>began providing certain satellite services to DISH Network on the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In December 2016, DISH Network renewed the satellite services agreement relative to the EchoStar VII satellite for one year to June 2018.</w:t>
      </w:r>
    </w:p>
    <w:p>
      <w:pPr>
        <w:spacing w:after="0" w:line="189"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EchoStar IX</w:t>
      </w:r>
      <w:r>
        <w:rPr>
          <w:rFonts w:ascii="Arial" w:cs="Arial" w:eastAsia="Arial" w:hAnsi="Arial"/>
          <w:sz w:val="17"/>
          <w:szCs w:val="17"/>
          <w:color w:val="auto"/>
        </w:rPr>
        <w:t>. Effective January 2008, DISH Network began receiving satellite services from us on the EchoStar IX satellite. Subject to availability,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generally has the right to continue to receive satellite services from us on the EchoStar IX satellite on a month-to-month basis.</w:t>
      </w:r>
    </w:p>
    <w:p>
      <w:pPr>
        <w:spacing w:after="0" w:line="147"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received satellite services from us on the EchoStar XII satellite. The term of the satellite services agreement terminated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September 2017.</w:t>
      </w:r>
    </w:p>
    <w:p>
      <w:pPr>
        <w:spacing w:after="0" w:line="170"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i w:val="1"/>
          <w:iCs w:val="1"/>
          <w:color w:val="auto"/>
        </w:rPr>
        <w:t>EchoStar XVI</w:t>
      </w:r>
      <w:r>
        <w:rPr>
          <w:rFonts w:ascii="Arial" w:cs="Arial" w:eastAsia="Arial" w:hAnsi="Arial"/>
          <w:sz w:val="17"/>
          <w:szCs w:val="17"/>
          <w:color w:val="auto"/>
        </w:rPr>
        <w:t>. In December 2009, we entered into an initial ten-year transponder service agreement with DISH Network, pursuant to which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transponder service agreement to, among other things, extend the initial term by one additional year through January 2018 and to reduce the term of the first renewal option by one year. In May 2017, DISH Network renewed the satellite services agreement relative to the EchoStar XVI satellite for five-years to January 2023. DISH Network has the option to renew for an additional five-year period prior to expiration of the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right="80"/>
        <w:spacing w:after="0" w:line="302" w:lineRule="auto"/>
        <w:rPr>
          <w:sz w:val="20"/>
          <w:szCs w:val="20"/>
          <w:color w:val="auto"/>
        </w:rPr>
      </w:pPr>
      <w:r>
        <w:rPr>
          <w:rFonts w:ascii="Arial" w:cs="Arial" w:eastAsia="Arial" w:hAnsi="Arial"/>
          <w:sz w:val="16"/>
          <w:szCs w:val="16"/>
          <w:b w:val="1"/>
          <w:bCs w:val="1"/>
          <w:i w:val="1"/>
          <w:iCs w:val="1"/>
          <w:color w:val="auto"/>
        </w:rPr>
        <w:t>Nimiq 5 Agreement</w:t>
      </w:r>
      <w:r>
        <w:rPr>
          <w:rFonts w:ascii="Arial" w:cs="Arial" w:eastAsia="Arial" w:hAnsi="Arial"/>
          <w:sz w:val="16"/>
          <w:szCs w:val="16"/>
          <w:color w:val="auto"/>
        </w:rPr>
        <w:t>. In September 2009, we entered into a fifteen-year satellite service agreement with Telesat Canada (“Telesat”) to receive service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54"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89" w:lineRule="exact"/>
        <w:rPr>
          <w:sz w:val="20"/>
          <w:szCs w:val="20"/>
          <w:color w:val="auto"/>
        </w:rPr>
      </w:pPr>
    </w:p>
    <w:p>
      <w:pPr>
        <w:ind w:left="340" w:right="40"/>
        <w:spacing w:after="0" w:line="291" w:lineRule="auto"/>
        <w:rPr>
          <w:sz w:val="20"/>
          <w:szCs w:val="20"/>
          <w:color w:val="auto"/>
        </w:rPr>
      </w:pPr>
      <w:r>
        <w:rPr>
          <w:rFonts w:ascii="Arial" w:cs="Arial" w:eastAsia="Arial" w:hAnsi="Arial"/>
          <w:sz w:val="16"/>
          <w:szCs w:val="16"/>
          <w:b w:val="1"/>
          <w:bCs w:val="1"/>
          <w:i w:val="1"/>
          <w:iCs w:val="1"/>
          <w:color w:val="auto"/>
        </w:rPr>
        <w:t>QuetzSat-1 Agreement</w:t>
      </w:r>
      <w:r>
        <w:rPr>
          <w:rFonts w:ascii="Arial" w:cs="Arial" w:eastAsia="Arial" w:hAnsi="Arial"/>
          <w:sz w:val="16"/>
          <w:szCs w:val="16"/>
          <w:color w:val="auto"/>
        </w:rPr>
        <w:t>. 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In May 2012, we entered into a spectrum development agreement (the “103 Spectrum Development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58"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telemetry, tracking and control (“TT&amp;C”) agreement pursuant to which we provide TT&amp;C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DISH Network for a period ending in December 2016 (the “2012 TT&amp;C Agreement”). In November 2016, we and DISH Network amended the 2012 TT&amp;C Agreement to extend the term for one year through December 2017.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 from us. The rent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7"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i w:val="1"/>
          <w:iCs w:val="1"/>
          <w:color w:val="auto"/>
        </w:rPr>
        <w:t>100 Inverness Lease Agreement</w:t>
      </w:r>
      <w:r>
        <w:rPr>
          <w:rFonts w:ascii="Arial" w:cs="Arial" w:eastAsia="Arial" w:hAnsi="Arial"/>
          <w:sz w:val="17"/>
          <w:szCs w:val="17"/>
          <w:color w:val="auto"/>
        </w:rPr>
        <w:t>. In connection with the Share Exchange, effective March 2017, DISH Network leases from us certain space at 100</w:t>
      </w:r>
      <w:r>
        <w:rPr>
          <w:rFonts w:ascii="Arial" w:cs="Arial" w:eastAsia="Arial" w:hAnsi="Arial"/>
          <w:sz w:val="17"/>
          <w:szCs w:val="17"/>
          <w:i w:val="1"/>
          <w:iCs w:val="1"/>
          <w:color w:val="auto"/>
        </w:rPr>
        <w:t xml:space="preserve"> </w:t>
      </w:r>
      <w:r>
        <w:rPr>
          <w:rFonts w:ascii="Arial" w:cs="Arial" w:eastAsia="Arial" w:hAnsi="Arial"/>
          <w:sz w:val="17"/>
          <w:szCs w:val="17"/>
          <w:color w:val="auto"/>
        </w:rPr>
        <w:t>Inverness Circle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90 Inverness Lease Agreement</w:t>
      </w:r>
      <w:r>
        <w:rPr>
          <w:rFonts w:ascii="Arial" w:cs="Arial" w:eastAsia="Arial" w:hAnsi="Arial"/>
          <w:sz w:val="16"/>
          <w:szCs w:val="16"/>
          <w:color w:val="auto"/>
        </w:rPr>
        <w:t>. The lease for certain space at 90 Inverness Circle East, Englewood, Colorado was for a period ending in December 2016.</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2016, DISH Network terminated this lease effective in August 2016.</w:t>
      </w:r>
    </w:p>
    <w:p>
      <w:pPr>
        <w:spacing w:after="0" w:line="21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Englewood, Colorado was for a period ending in December 2016.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2016, we and DISH Network amended this lease to, among other things, extend the term for one year through December 2017. This agreement may be extended by mutual consent, in which case this agreement will be converted to a month-to-month lease agreement. Upon extension, either party has the right to terminate this agreement upon 30 days’ notice.</w:t>
      </w:r>
    </w:p>
    <w:p>
      <w:pPr>
        <w:spacing w:after="0" w:line="187"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 Effective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and DISH Network amended this lease to, among other things, extend the term for one year through December 2017. This agreement may be extended by mutual consent, in which case this agreement will be converted to a month-to-month lease agreement. Upon extension, either party has the right to terminate this agreement upon 30 days’ notice.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Atlanta Sublease Agreement</w:t>
      </w:r>
      <w:r>
        <w:rPr>
          <w:rFonts w:ascii="Arial" w:cs="Arial" w:eastAsia="Arial" w:hAnsi="Arial"/>
          <w:sz w:val="18"/>
          <w:szCs w:val="18"/>
          <w:color w:val="auto"/>
        </w:rPr>
        <w:t>. The sublease for certain space at 211 Perimeter Center, Atlanta, Georgia terminated in October 2016.</w:t>
      </w:r>
    </w:p>
    <w:p>
      <w:pPr>
        <w:spacing w:after="0" w:line="225"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The lease for certain space at 801 N. DISH Drive, Gilbert, Arizona was for a period ending July 2016. Effective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and DISH Network amended this lease to extend the term for one year through July 2017.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88" w:lineRule="exact"/>
        <w:rPr>
          <w:sz w:val="20"/>
          <w:szCs w:val="20"/>
          <w:color w:val="auto"/>
        </w:rPr>
      </w:pPr>
    </w:p>
    <w:p>
      <w:pPr>
        <w:ind w:left="340" w:right="180"/>
        <w:spacing w:after="0" w:line="302"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Prior to the Share Exchange, we leased to DISH Network certain space at 530 EchoStar Drive, Cheyenne, Wyoming.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This agreement may be extended by mutual consent, in which case this agreement will be converted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month-to-month lease agreement. Upon extension, either party has the right to terminate this agreement upon 30 days’ notice.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Product Support Agreement</w:t>
      </w:r>
      <w:r>
        <w:rPr>
          <w:rFonts w:ascii="Arial" w:cs="Arial" w:eastAsia="Arial" w:hAnsi="Arial"/>
          <w:sz w:val="16"/>
          <w:szCs w:val="16"/>
          <w:color w:val="auto"/>
        </w:rPr>
        <w:t>. In connection with the Spin-off, one of our subsidiaries entered into a product support agreement pursuant to which DISH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had the right, but not the obligation, to receive product support from us (including certain engineering and technical support services) for all set-top boxes and related accessories that we had previously sold to DISH Network. The fees for the services provided under the product support agreement were calculated at cost plus a fixed margin, which varied depending on the nature of the services provided. The term of the product support agreement was the economic life of such set-top boxes and related accessories, unless terminated earlier.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DISHOnline.com Services Agreement</w:t>
      </w:r>
      <w:r>
        <w:rPr>
          <w:rFonts w:ascii="Arial" w:cs="Arial" w:eastAsia="Arial" w:hAnsi="Arial"/>
          <w:sz w:val="16"/>
          <w:szCs w:val="16"/>
          <w:color w:val="auto"/>
        </w:rPr>
        <w:t>. Effective January 2010, DISH Network entered into a two-year agreement with one of our subsidiaries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DISH Network received certain services associated with an online video portal. The fees for the services provided under this services agreement depended, among other things, upon the cost to develop and operate such services. In November 2016, one of our subsidiaries and DISH Network amended this agreement to, among other things, extend the term for one year through December 2017.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6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DISH Remote Access Services Agreement</w:t>
      </w:r>
      <w:r>
        <w:rPr>
          <w:rFonts w:ascii="Arial" w:cs="Arial" w:eastAsia="Arial" w:hAnsi="Arial"/>
          <w:sz w:val="16"/>
          <w:szCs w:val="16"/>
          <w:color w:val="auto"/>
        </w:rPr>
        <w:t>. Effective February 2010, one of our subsidiaries entered into an agreement with DISH Network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DISH Network received, among other things, certain remote digital video recorder (“DVR”) management services. The fees for the services provided under this services agreement depended, among other things, upon the cost to develop and operate such services. This agreement automatically renewed in February 2017 for an additional one-year period until February 2018.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SlingService Services Agreement</w:t>
      </w:r>
      <w:r>
        <w:rPr>
          <w:rFonts w:ascii="Arial" w:cs="Arial" w:eastAsia="Arial" w:hAnsi="Arial"/>
          <w:sz w:val="17"/>
          <w:szCs w:val="17"/>
          <w:color w:val="auto"/>
        </w:rPr>
        <w:t>. Effective February 2010, one of our subsidiaries entered into an agreement with DISH Network pursuant to which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received certain services related to placeshifting. The fees for the services provided under this services agreement depended, among other things, upon the cost to develop and operate such services. This agreement automatically renewed in February 2017 for an additional one-year period until February 2018.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warranty, operations and maintenance and hosting services for TerreStar’s ground-based communications equipment. TerreStar generally has the right to continue to receive warranty services from us for one of our products on a month-to-month basis. The provision of warranty services for our other product will continue until March 2018 and will automatically renew in March 2018 for an additional one-year period, unless terminated by TerreStar upon at least 60 days’ written notice to us prior to the end of the term. The provision of operations and maintenance services will continue until April 2018 and will automatically renew in April 2018 for an additional one-year period, unless terminated by TerreStar or us upon at least 90 days’ written notice prior to the end of the term. The provision of hosting services will continue until May 2022 and will not renew beyond May 2022 unless the parties enter into a new agreement or amend the existing agreement. In addition, TerreStar generally may terminate such services for convenience subject to providing us with prior notice and/or payment of termination charges.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Hughes Broadband Distribution Agreement</w:t>
      </w:r>
      <w:r>
        <w:rPr>
          <w:rFonts w:ascii="Arial" w:cs="Arial" w:eastAsia="Arial" w:hAnsi="Arial"/>
          <w:sz w:val="17"/>
          <w:szCs w:val="17"/>
          <w:color w:val="auto"/>
        </w:rPr>
        <w:t>. 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Set-Top Box Application Development Agreement. </w:t>
      </w:r>
      <w:r>
        <w:rPr>
          <w:rFonts w:ascii="Arial" w:cs="Arial" w:eastAsia="Arial" w:hAnsi="Arial"/>
          <w:sz w:val="18"/>
          <w:szCs w:val="18"/>
          <w:color w:val="auto"/>
        </w:rPr>
        <w:t>In November 2012, one of our subsidiaries and DISH Network entered into a set-top box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agreement (the “Application Development Agreement”) pursuant to which we provided DISH Network with certain services relating to the development of web-based applications for set-top boxes. The fees for services provided under the Application Development Agreement were calculated at our cost of providing the relevant service plus a fixed margin, which depended on the nature of the services provided. The Application Development Agreement automatically renewed in February 2017 for a one-year period ending in February 2018.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XiP Encryption Agreement</w:t>
      </w:r>
      <w:r>
        <w:rPr>
          <w:rFonts w:ascii="Arial" w:cs="Arial" w:eastAsia="Arial" w:hAnsi="Arial"/>
          <w:sz w:val="17"/>
          <w:szCs w:val="17"/>
          <w:color w:val="auto"/>
        </w:rPr>
        <w:t>. In July 2012, we entered into an encryption agreement with DISH Network for our whole-home HD DVR line of set-top boxes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“XiP Encryption Agreement”) pursuant to which we provided certain security measures on our whole-home HD DVR line of set-top boxes to encrypt the content delivered to the set-top box via a smart card and secure the content between set-top boxes. The XiP Encryption Agreement’s term ended on the same day as the 2012 Receiver Agreement and therefore was automatically extended through December 2017 when we and DISH Network extended the 2012 Receiver Agreement. The fees for the services provided under the XiP Encryption Agreement were calculated on a monthly basis based on the number of receivers utilizing such security measures each month. Effective March 2017 in connection with the Share Exchange, we and DISH Network terminated the XiP Encryption Agreement and EchoStar has no further obligations and will earn no additional revenue under these agreements after February 2017. Historical transactions under this agreement are reported in “Net income (loss) from discontinued operations” in our condensed consolidated statements of operations (see Note 3).</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DBSD North America Agreement</w:t>
      </w:r>
      <w:r>
        <w:rPr>
          <w:rFonts w:ascii="Arial" w:cs="Arial" w:eastAsia="Arial" w:hAnsi="Arial"/>
          <w:sz w:val="17"/>
          <w:szCs w:val="17"/>
          <w:color w:val="auto"/>
        </w:rPr>
        <w:t>. In March 2012, DISH Network completed its acquisition of 100% of the equity of reorganized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DBSD North America generally has the right to continue to receive warranty services from us on a month-to-month basis until February 2019. The provision of operations and maintenance services will continue until April 2018 and will automatically renew in April 2018 for an additional one-year period, unless terminated by DBSD North America upon at least 120 days’ written notice to us prior to the end of the term. The provision of hosting services will continue until February 2022 and will automatically renew for an additional five-year period until February 2027 unless terminated by DBSD North America upon at least 180 days’ written notice to us prior to the end of the term. In addition, DBSD North America generally may terminate such services for convenience, subject to providing us with prior notice and/or payment of termination charges.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Sling TV Holding L.L.C. (“Sling TV Holding”). </w:t>
      </w:r>
      <w:r>
        <w:rPr>
          <w:rFonts w:ascii="Arial" w:cs="Arial" w:eastAsia="Arial" w:hAnsi="Arial"/>
          <w:sz w:val="18"/>
          <w:szCs w:val="18"/>
          <w:color w:val="auto"/>
        </w:rPr>
        <w:t>Effective July 2012, we and DISH Network formed Sling TV Holding, which was owned two-thirds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and one-third by us. Sling TV Holding was formed to develop and commercialize 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provided for the governance of Sling TV Holding; and (iii) a commercial agreement (“Commercial Agreement”) pursuant to which, among other things, Sling TV Holding had: (a) certain rights and corresponding obligations with respect to its business; and (b) the right, but not the obligation, to receive certain services from</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us and DISH Network, respectively. Additionally, the spouse of Mr. Vivek Khemka, who was the President - EchoStar Technologies L.L.C. during portions of 2016 and through February 2017, was employed during 2016 as Vice President of Business Development and Operations of Sling TV Holding.</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Effective August 2014, we and Sling TV Holding entered into an exchange agreement (“Exchange Agreement”) pursuant to which, among other things, Sling TV Holding distributed certain assets to us and we reduced our interest in Sling TV Holding to a 10.0% non-voting interest. As a result, DISH Network had a 90.0% equity interest and a 100% voting interest in Sling TV 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(1) had certain rights and corresponding obligations with respect to its business; (2) had the right, but not the obligation, to receive certain services from us and DISH Network; and (3) had a license from us to use certain of the assets distributed to us as part of the Exchange Agreement. Effective March 2017 following the consummation of the Share Exchange, we no longer hold our investment in Sling TV Holding. Effective March 2017 in connection with the Share Exchange, we and DISH Network terminated the Exchange Agreement and the Commercial Agreement and EchoStar has no further obligations and will earn no additional revenue under these agreements after February 2017. Historical transactions under these agreements are reported in “Net income (loss) from discontinued operations” in our condensed consolidated statements of operations (see Note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equipment and services and other — DISH Network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Remanufactured Receiver and Services Agreement</w:t>
      </w:r>
      <w:r>
        <w:rPr>
          <w:rFonts w:ascii="Arial" w:cs="Arial" w:eastAsia="Arial" w:hAnsi="Arial"/>
          <w:sz w:val="18"/>
          <w:szCs w:val="18"/>
          <w:color w:val="auto"/>
        </w:rPr>
        <w:t>. In connection with the Spin-off, one of our subsidiaries entered into a remanufactured receiver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agreement with DISH Network pursuant to which we had the right, but not the obligation, to purchase remanufactured receivers and related components from DISH Network at cost plus a fixed margin, which varied depending on the nature of the equipment purchased. In November 2016, one of our subsidiaries and DISH Network amended this agreement to extend its term for one year through December 2017. This agreement was transferred to DISH Network as part of the Share Exchange and EchoStar has no further obligations and will incur no additional expenses under this agreement after February 2017. Historical transactions under this agreement are reported in “Net income (loss) from discontinued operations” in our condensed consolidated statements of operations (see Note 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Amended and Restated Professional Services Agreement</w:t>
      </w:r>
      <w:r>
        <w:rPr>
          <w:rFonts w:ascii="Arial" w:cs="Arial" w:eastAsia="Arial" w:hAnsi="Arial"/>
          <w:sz w:val="16"/>
          <w:szCs w:val="16"/>
          <w:color w:val="auto"/>
        </w:rPr>
        <w:t>. In connection with the Spin-off, we entered into various agreements with DISH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Transition Services Agreement, Satellite Procurement Agreement and Services Agreement, which all expired in January 2010 and were replaced by a Professional Services Agreement. In January 2010, we and DISH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Mr. Vivek Khemka, who remained employed as DISH Network’s Executive Vice President and Chief Technology Officer, provided services to us during portions of 2016 and through February 2017 pursuant to the Professional Services Agreement as President -- EchoStar Technologies L.L.C. Additionally, we and DISH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In connection with the consummation of the Share Exchange, we and DISH amended and restated the Professional Services Agreement to provide that we and DISH Network shall have the right to receive additional services that either we or DISH Network may require as a result of the Share Exchange. The term of the Amended and Restated Professional Services Agreement is through January 2019 and renews automatically for successive one-year periods thereafter, unless the agreement is terminated earlier by either party upon at least 60 days’ notice. However, either party may generally terminate the Amended and Restated Professional Services Agreement in part with respect to any particular service it receives for any reason upon at least 30 days’ notice.</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Real Estate Leases from DISH Network</w:t>
      </w:r>
      <w:r>
        <w:rPr>
          <w:rFonts w:ascii="Arial" w:cs="Arial" w:eastAsia="Arial" w:hAnsi="Arial"/>
          <w:sz w:val="17"/>
          <w:szCs w:val="17"/>
          <w:color w:val="auto"/>
        </w:rPr>
        <w:t>. We have entered into lease agreements pursuant to which we lease certain real estate from DISH Network. The 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i w:val="1"/>
          <w:iCs w:val="1"/>
          <w:color w:val="auto"/>
        </w:rPr>
        <w:t>El Paso Lease Agreement</w:t>
      </w:r>
      <w:r>
        <w:rPr>
          <w:rFonts w:ascii="Arial" w:cs="Arial" w:eastAsia="Arial" w:hAnsi="Arial"/>
          <w:sz w:val="18"/>
          <w:szCs w:val="18"/>
          <w:color w:val="auto"/>
        </w:rPr>
        <w:t>. The lease for certain space at 1285 Joe Battle Blvd., El Paso, Texas, was for an initial period ending in August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us with renewal options for four consecutive three-year terms. Effective August 2015, we exercised our first renewal option for a period ending in August 2018.</w:t>
      </w:r>
    </w:p>
    <w:p>
      <w:pPr>
        <w:spacing w:after="0" w:line="181"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In connection with the Share Exchange, effective March 2017 we lease from DISH Network certain space at 90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Circle East in Englewood, Colorado for a period ending in December 2022. EchoStar has the option to renew this lease for four three-year periods.</w:t>
      </w:r>
    </w:p>
    <w:p>
      <w:pPr>
        <w:spacing w:after="0" w:line="181"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In connection with the Share Exchange, effective March 2017 we lease from DISH Network certain space at 530</w:t>
      </w:r>
      <w:r>
        <w:rPr>
          <w:rFonts w:ascii="Arial" w:cs="Arial" w:eastAsia="Arial" w:hAnsi="Arial"/>
          <w:sz w:val="16"/>
          <w:szCs w:val="16"/>
          <w:i w:val="1"/>
          <w:iCs w:val="1"/>
          <w:color w:val="auto"/>
        </w:rPr>
        <w:t xml:space="preserve"> </w:t>
      </w:r>
      <w:r>
        <w:rPr>
          <w:rFonts w:ascii="Arial" w:cs="Arial" w:eastAsia="Arial" w:hAnsi="Arial"/>
          <w:sz w:val="16"/>
          <w:szCs w:val="16"/>
          <w:color w:val="auto"/>
        </w:rPr>
        <w:t>EchoStar Drive in Cheyenne, Wyoming for a period ending in March 2019. EchoStar has the option to renew this lease for thirteen one-year periods.</w:t>
      </w:r>
    </w:p>
    <w:p>
      <w:pPr>
        <w:spacing w:after="0" w:line="124"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i w:val="1"/>
          <w:iCs w:val="1"/>
          <w:color w:val="auto"/>
        </w:rPr>
        <w:t>Gilbert Lease Agreement</w:t>
      </w:r>
      <w:r>
        <w:rPr>
          <w:rFonts w:ascii="Arial" w:cs="Arial" w:eastAsia="Arial" w:hAnsi="Arial"/>
          <w:sz w:val="17"/>
          <w:szCs w:val="17"/>
          <w:color w:val="auto"/>
        </w:rPr>
        <w:t>. In connection with the Share Exchange, effective March 2017 we lease from DISH Network certain space at 801 N. DISH</w:t>
      </w:r>
      <w:r>
        <w:rPr>
          <w:rFonts w:ascii="Arial" w:cs="Arial" w:eastAsia="Arial" w:hAnsi="Arial"/>
          <w:sz w:val="17"/>
          <w:szCs w:val="17"/>
          <w:i w:val="1"/>
          <w:iCs w:val="1"/>
          <w:color w:val="auto"/>
        </w:rPr>
        <w:t xml:space="preserve"> </w:t>
      </w:r>
      <w:r>
        <w:rPr>
          <w:rFonts w:ascii="Arial" w:cs="Arial" w:eastAsia="Arial" w:hAnsi="Arial"/>
          <w:sz w:val="17"/>
          <w:szCs w:val="17"/>
          <w:color w:val="auto"/>
        </w:rPr>
        <w:t>Dr. in Gilbert, Arizona for a period ending in March 2019. EchoStar has the option to renew this lease for thirteen one-year periods.</w:t>
      </w:r>
    </w:p>
    <w:p>
      <w:pPr>
        <w:spacing w:after="0" w:line="147"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In connection with the Share Exchange, effective March 2017, we sublease from DISH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have exercised our option to renew this sublease for a five-year period ending in August 2022.</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 Employee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addresses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Collocation and Antenna Space Agreements</w:t>
      </w:r>
      <w:r>
        <w:rPr>
          <w:rFonts w:ascii="Arial" w:cs="Arial" w:eastAsia="Arial" w:hAnsi="Arial"/>
          <w:sz w:val="16"/>
          <w:szCs w:val="16"/>
          <w:color w:val="auto"/>
        </w:rPr>
        <w:t>. In connection with the Share Exchange, effective March 2017, we entered into certain agreements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DISH Network will provide collocation and antenna space to EchoStar through March 2022 at the following locations: Cheyenne, Wyoming; Gilbert, Arizona; New Braunfels, Texas; Monee, Illinois; Spokane, Washington; and Englewood, Colorado. In August 2017, we and DISH Network entered into certain other agreements pursuant to which DISH Network will provide additional collocation and antenna space to EchoStar in Monee, Illinois and Spokane, Washington through August 2022. EchoStar may renew each of these agreements for four three-year periods by providing DISH Network with prior written notice no more than 120 days but no less than 90 days prior to the end of the then-current term. EchoStar may terminate certain of these agreements with 180 days’ prior written notice. The fees for the services provided under these agreements depend on the number of racks leased at the location.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Satellite and Tracking Stock Transaction</w:t>
      </w:r>
      <w:r>
        <w:rPr>
          <w:rFonts w:ascii="Arial" w:cs="Arial" w:eastAsia="Arial" w:hAnsi="Arial"/>
          <w:sz w:val="18"/>
          <w:szCs w:val="18"/>
          <w:color w:val="auto"/>
        </w:rPr>
        <w:t>. In February 2014, we entered into agreements with DISH Network to implement a transaction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as discussed above on these five satellites from us (collectively, the “Satellite and Tracking Stock Transaction.”) The Tracking Stock was retired in March 2017 and is no longer outstanding and all agreements, arrangements and policy statements with respect to such Tracking Stock terminated and are of no further effect. See Note 3 for further information.</w:t>
      </w:r>
    </w:p>
    <w:p>
      <w:pPr>
        <w:spacing w:after="0" w:line="18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Share Exchange Agreement</w:t>
      </w:r>
      <w:r>
        <w:rPr>
          <w:rFonts w:ascii="Arial" w:cs="Arial" w:eastAsia="Arial" w:hAnsi="Arial"/>
          <w:sz w:val="16"/>
          <w:szCs w:val="16"/>
          <w:color w:val="auto"/>
        </w:rPr>
        <w:t>. On January 31, 2017, EchoStar Corporation and certain of its subsidiaries entered into the Share Exchange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and certain of its subsidiaries, pursuant to which on February 28, 2017, EchoStar Corporation and its subsidiaries received all of the shares of the Tracking Stock in exchange for 100% of the equity interests of certain EchoStar subsidiaries that held substantially all of our EchoStar Technologies businesses and certain other assets. Following consummation of the Share Exchange on February 28, 2017, EchoStar no longer operates the transferred EchoStar Technologies businesses and the Tracking Stock was retired and is no longer outstanding and all agreements, arrangements and policy statements with respect to such Tracking Stock terminated and are of no further effect. Pursuant to the Share Exchange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Agreement, EchoStar transferred certain assets, investments in joint ventures, spectrum licenses and real estate properties and DISH Network assumed certain liabilities relating to the transferred assets and businesses. The Share Exchange Agreement contains customary representations and warranties by the parties, including representations by EchoStar related to the transferred assets, assumed liabilities and the financial condition of the transferred businesses. EchoStar and DISH Network have also agreed to customary indemnification provisions whereby each party indemnifies the other against certain losses with respect to breaches of representations, warranties or covenants and certain liabilities and if certain actions undertaken by it causes the transaction to be taxable to the other party after closing. See Note 3 for further information.</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HNS and DISH Network L.L.C. (“DNLLC”), a wholly-owned subsidiary of DISH, entered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master service agreement (the “MSA”) pursuant to which DNLLC, among other things: (i) has the right, but not the obligation, to market, promote and solicit orders and upgrades for the Hughes service and related equipment and other telecommunication services and (ii) installs Hughes service equipment with respect to activations generated by DNLLC. Under the MSA, HNS and DNLLC will make certain payments to each other relating to sales, upgrades, purchases and installation services. The MSA has an initial term of five years until March 2022 with automatic renewal for successive one-year terms. After the first anniversary,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w:t>
      </w:r>
    </w:p>
    <w:p>
      <w:pPr>
        <w:spacing w:after="0" w:line="19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i w:val="1"/>
          <w:iCs w:val="1"/>
          <w:color w:val="auto"/>
        </w:rPr>
        <w:t>Intellectual Property Matters Agreement</w:t>
      </w:r>
      <w:r>
        <w:rPr>
          <w:rFonts w:ascii="Arial" w:cs="Arial" w:eastAsia="Arial" w:hAnsi="Arial"/>
          <w:sz w:val="16"/>
          <w:szCs w:val="16"/>
          <w:color w:val="auto"/>
        </w:rPr>
        <w:t>. We entered into an Intellectual Property Matters Agreement with DISH Network in connection with the Spin-off.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Intellectual Property Matters Agreement governed our relationship with DISH Network with respect to patents, trademarks and other intellectual property. Pursuant to the Intellectual Property Matters Agreement, DISH Network irrevocably assigned to us all right, title and interest in certain patents, trademarks and other intellectual property necessary for the operation of our set-top box business. In addition, the agreement permitted us to use, in the operation of our set-top box business, certain other intellectual property currently owned or licensed by DISH Network. In addition, DISH Network was prohibited from using the “EchoStar” name as a trademark, except in certain limited circumstances. Similarly, the Intellectual Property Matters Agreement provided that we would not make any use of the name or trademark “DISH Network” or any other trademark owned by DISH Network, except in certain circumstances. Effective March 2017 in connection with the Share Exchange, we and DISH Network terminated this agreement and EchoStar has no further obligations and will earn no additional revenue nor incur additional expenses under this agreement after February 2017.</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Intellectual Property and Technology License Agreement</w:t>
      </w:r>
      <w:r>
        <w:rPr>
          <w:rFonts w:ascii="Arial" w:cs="Arial" w:eastAsia="Arial" w:hAnsi="Arial"/>
          <w:sz w:val="17"/>
          <w:szCs w:val="17"/>
          <w:color w:val="auto"/>
        </w:rPr>
        <w:t>. Effective March 2017 in connection with the Share Exchange, we and DISH Network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Intellectual Property and Technology License Agreement (“IPTLA”) pursuant to which we and DISH and their respective subsidiaries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Tax Sharing Agreement</w:t>
      </w:r>
      <w:r>
        <w:rPr>
          <w:rFonts w:ascii="Arial" w:cs="Arial" w:eastAsia="Arial" w:hAnsi="Arial"/>
          <w:sz w:val="16"/>
          <w:szCs w:val="16"/>
          <w:color w:val="auto"/>
        </w:rPr>
        <w:t>. Effective December 2007, we and DISH Network entered into a tax sharing agreement (the “Tax Sharing Agreement”)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Spin-off. This agreement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 —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DISH Network file combined income tax returns in certain states. In 2016, we earned and recognized a tax benefit for certain state income tax credits that we would be unable to utilize currently if we had filed separately from DISH Network. DISH Network expects to utilize these tax credits to reduce its state income tax payable. We expect to increase additional paid-in capital upon receipt of any consideration paid to us by DISH Network in exchange for these tax credits.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Tax Matters Agreement</w:t>
      </w:r>
      <w:r>
        <w:rPr>
          <w:rFonts w:ascii="Arial" w:cs="Arial" w:eastAsia="Arial" w:hAnsi="Arial"/>
          <w:sz w:val="17"/>
          <w:szCs w:val="17"/>
          <w:color w:val="auto"/>
        </w:rPr>
        <w:t>. Effective March 2017, in connection with the Share Exchange, we and DISH entered into a tax matters agreement.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have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TiVo</w:t>
      </w:r>
      <w:r>
        <w:rPr>
          <w:rFonts w:ascii="Arial" w:cs="Arial" w:eastAsia="Arial" w:hAnsi="Arial"/>
          <w:sz w:val="16"/>
          <w:szCs w:val="16"/>
          <w:color w:val="auto"/>
        </w:rPr>
        <w:t>. In April 2011, we and DISH Network entered into a settlement agreement with TiVo, Inc. (“TiVo”). The settlement resolved all pending litigation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us and DISH Network, on the one hand, and TiVo, on the 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were jointly responsible for making payments to TiVo in the aggregate amount of $500.0 million, including an initial payment of $300.0 million and the remaining $200.0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$10.0 million, representing an allocation of liability relating to our sales of DVR-enabled receivers to an international customer. Subsequent payments were allocated between us and DISH Network based on historical sales of certain licensed products, with EchoStar being responsible for 5% of each annual payment. Effective March 2017, in connection with the Share Exchange, EchoStar has no further obligations and will incur no additional costs under this settlement agreement after February 2017. Historical transactions under this agreement are reported in “Net income (loss) from discontinued operations” in our condensed consolidated statements of operations (see Note 3).</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Sling Trademark License Agreement</w:t>
      </w:r>
      <w:r>
        <w:rPr>
          <w:rFonts w:ascii="Arial" w:cs="Arial" w:eastAsia="Arial" w:hAnsi="Arial"/>
          <w:sz w:val="18"/>
          <w:szCs w:val="18"/>
          <w:color w:val="auto"/>
        </w:rPr>
        <w:t>. In December 2014, Sling TV Holding entered into an agreement with Sling Media, Inc., our subsidiary,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Sling TV Holding had the right, for a fixed fee, to use certain trademarks, domain names and other intellectual property related to the “Sling” trademark. In December 2016, Sling TV Holding and Sling Media, Inc. amended this agreement to extend the term thereof on a month-to-month basis. This agreement was transferred to DISH Network as part of the Share Exchange and EchoStar has no further obligations and will earn no additional revenue under this agreement after February 2017. Historical transactions under this agreement are reported in “Net income (loss) from discontinued operations” in our condensed consolidated statements of operations (see Note 3).</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gTLD Bidding Agreement</w:t>
      </w:r>
      <w:r>
        <w:rPr>
          <w:rFonts w:ascii="Arial" w:cs="Arial" w:eastAsia="Arial" w:hAnsi="Arial"/>
          <w:sz w:val="17"/>
          <w:szCs w:val="17"/>
          <w:color w:val="auto"/>
        </w:rPr>
        <w:t>. In April 2015, we and DISH Network entered into a gTLD Bidding Agreement whereby, among other things: (i)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rights from us to participate in a generic top level domain (“gTLD”) auction, assuming all rights and obligations from us related to our application with the Internet Corporation for Assigned Names and Numbers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Patent Cross-License Agreements</w:t>
      </w:r>
      <w:r>
        <w:rPr>
          <w:rFonts w:ascii="Arial" w:cs="Arial" w:eastAsia="Arial" w:hAnsi="Arial"/>
          <w:sz w:val="18"/>
          <w:szCs w:val="18"/>
          <w:color w:val="auto"/>
        </w:rPr>
        <w:t>. In December 2011, we and DISH Network entered into separate patent cross-license agreements with the same third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 $10.0 million. Each Cross-License Agreement contained an option to extend each Cross-License Agreement to include patents acquired by the respective party prior to January 2022. In December 2016, both we and DISH Network exercised our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Caltech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October 1, 2013, Caltech Institute of Technology (“Caltech”) filed complaints against two of our subsidiaries, Hughes Communications, Inc.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HNS, as well as against DISH and certain of its subsidiaries,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Hughes segment’s satellite broadband products and services, infringed the asserted patents by implementing the DVB-S2 standard. Pursuant to a settlement agreement among us, DISH and Caltech, in May 2016, Caltech dismissed with prejudice all of its claims in these actions.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Orange, NJ</w:t>
      </w:r>
      <w:r>
        <w:rPr>
          <w:rFonts w:ascii="Arial" w:cs="Arial" w:eastAsia="Arial" w:hAnsi="Arial"/>
          <w:sz w:val="16"/>
          <w:szCs w:val="16"/>
          <w:color w:val="auto"/>
        </w:rPr>
        <w:t>. In October 2016, we and DISH Network sold two parcels of real estate owned separately by us and DISH Network in Orange, NJ to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purchase and sale agreement. Pursuant to the agreement, we and DISH Network separately received our respective payments from the buyer.</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Invidi</w:t>
      </w:r>
      <w:r>
        <w:rPr>
          <w:rFonts w:ascii="Arial" w:cs="Arial" w:eastAsia="Arial" w:hAnsi="Arial"/>
          <w:sz w:val="18"/>
          <w:szCs w:val="18"/>
          <w:color w:val="auto"/>
        </w:rPr>
        <w:t>. In November 2010 and April 2011, we made investments in Invidi Technologies Corporation (“Invidi”) in exchange for shares of Invidi’s Series 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In November 2016, DIRECTV, LLC, a wholly owned indirect subsidiary of AT&amp;T Inc., DISH Network 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contract with Hughes Systique for software development services. In 2008, Hughes Communications, Inc. loaned $1.5 million to Hughes Systique pursuant to a term loan facility. The initial interest rate on the outstanding loans was 6%, payable annually, and the accrued and unpaid interest was added to the principal amount outstanding under the loan facility in certain circumstances. The loans were convertible into shares of Hughes Systique upon non-payment or an event of default. In May 2014, we amended the term loan facility to increase the interest rate from 6% to 8%, payable annually, to reflect then-current market conditions and extend the maturity date of the loans to May 1, 2015, and in April 2015, we extended the maturity date of the loans to May 1, 2016 on the same terms. In 2015, Hughes Systique repaid $1.5 million of the outstanding principal of the loan facility. In 2016, Hughes Systique repaid $0.6 million of the outstanding principal of the loan facility. As of September 30, 2017, the principal amount outstanding of the loan facility was zero. In addition to our 43.7% ownership in Hughes Systique, Mr. Pradman Kaul, the President of Hughes Communications, Inc. and a member of our board of directors, and his brother, who is the CEO and President of Hughes Systique, in the aggregate, own approximately 25.7%, on an undiluted basis, of Hughes Systique’s outstanding shares as of September 30, 2017. Furthermore, Mr. Pradman Kaul serves on the board of directors of Hughes Systique. Hughes Systique is a variable interest entity and we are considered the primary beneficiary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Hughes Systique due to, among other factors, our ability to direct the activities that most significantly impact the economic performance of Hughes Systique.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consolidate Hughes Systique’s financial statements in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NagraStar L.L.C.</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Prior to March 2017, we owned 50.0% of NagraStar L.L.C. (“NagraStar”), a joint venture that was the primary provider of encryption and related security technology used in the set-top boxes produced by our former EchoStar Technologies segment. We accounted for our investment in NagraStar using the equity method. Following the consummation of the Share Exchange, we no longer hold this investment in NagraStar.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own 49.0% of an entity that provides direct-to-home satellite services in Mexico known as Dish Mexico. We provide certain satellite services to Dish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Mexico and prior to the Share Exchange we also provided certain broadcast services and sold hardware such as digital set-top boxes and related equipment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Dish Mexico. We recognized revenue from sales of services we provided to Dish Mexico in continuing operations of approximately $5.8 million for each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September 30, 2017 and 2016 and $17.5 million for each of the nine months ended September 30, 2017 and 2016.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and December 31, 2016, we had trade accounts receivable from continuing operations from Dish Mexico of approximately $7.6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$10.7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$1.3 million and $0.7 million for the three months ended September 30, 2017 and 2016, respectively, and $3.6 million and $2.1 million for the nine months ended September 30, 2017 and 2016, respectively. As of September 30, 2017 and December 31, 2016, we had trade accounts receivable from Deluxe of approximately $1.3 million and $0.7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SmarDTV</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2015, we acquired a 22.5% interest in SmarDTV, which we accounted for using the equity method. Pursuant to our agreements with SmarDTV and its subsidiaries, our former EchoStar Technologies segment purchased engineering services from and paid royalties to SmarDTV and its subsidiaries. Following the consummation of the Share Exchange, we no longer own our interest in the equity and subordinated debt of SmarDTV and no longer purchase engineering services from SmarDTV.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AsiaSat</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contract with AsiaSat Telecommunications Inc. (“AsiaSat”) for the use of transponder capacity on one of AsiaSat's satellites. Mr. William David Wade, a member of our board of directors, served as the Chief Executive Officer of AsiaSat in 2016 and as a senior advisor to the CEO of AsiaSat through March 2017. We incurred expenses payable to AsiaSat under this agreement of approximately zero and $0.4 million for the three months ended September 30, 2017 and 2016, respectively, and $0.1 million and $1.1 million for the nine months ended September 30, 2017 and 2016,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“EchoStar,” the “Company” and “our” refer to EchoStar Corporation and its subsidiaries. References to “$” are to United States dollars. The following management’s discussion and analysis of our financial condition and results of operations should be read in conjunction with the condensed consolidated financial statements and notes to our financial statements included elsewhere in this Quarterly Report on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Part I, Item 1A of our Annual Report on Form 10-K for the year ended December 31, 2016. Further, such forward-looking statements speak only as of the date of this Quarterly Report on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EchoStar is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Prior to March 2017, we operated in three primary business segments, Hughes, EchoStar Technologies and EchoStar Satellite Services (“ESS”). On January 31, 2017, EchoStar Corporation and certain of its subsidiaries entered into a Share Exchange Agreement (the “Share Exchange Agreement”) with DISH Network Corporation (“DISH”) and certain of its subsidiaries. Pursuant to the Share Exchange Agreement, on February 28, 2017, among other things, EchoStar Corporation and certain of its subsidiaries received all of the shares of the Hughes Retail Preferred Tracking Stock issued by EchoStar Corporation (the “EchoStar Tracking Stock”) and the Hughes Retail Preferred Tracking Stock issued by Hughes Satellite Systems Corporation (“HSS”) (the “HSS Tracking Stock”, together with the EchoStar Tracking Stock, the “Tracking Stock”) in exchange for 100% of the equity interests of certain EchoStar subsidiaries that held substantially all of our EchoStar Technologies businesses and certain other assets (collectively, the “Share Exchange”). Following consummation of the Share Exchange, we no longer operate the EchoStar Technologies business segment and the EchoStar Tracking Stock and HSS Tracking Stock were retired and are no longer outstanding and all agreements, arrangements and policy statements with respect to such tracking stock terminated and are of no further effect. As a result of the Share Exchange, the condensed consolidated financial statements of the EchoStar Technologies businesses have been presented as discontinued operations and, as such, have been excluded from continuing operations and segment results for all periods presented. See Note 3 in the notes to condensed consolidated financial statements in Item 1 of this report for further discussion of our discontinued operations.</w:t>
      </w:r>
    </w:p>
    <w:p>
      <w:pPr>
        <w:spacing w:after="0" w:line="16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a consequence, we currently operate in two business segments, which are differentiated primarily by their operational focus: Hughes and ESS. These segments are consistent with the way decisions regarding the allocation of resources are made, as well as how operating results are reviewed by our chief operating decision maker (“CODM”), who for EchoStar is the Company’s Chief Executive Officer.</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as of March 2017, we also changed our overhead allocation methodology used in our segment disclosures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are accounted for in “Corporate and Other.”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Third Quarter Consolidated Results of Operations</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of $481.2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of $56.4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from continuing operations of $35.9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$34.7 million and basic earnings per share of common stock of $0.36</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of $219.9 million (see reconciliation of this non-GAAP measure on page 51)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September 30, 2017</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assets of $8.81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liabilities of $4.91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stockholders’ equity of $3.90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$3.28 billion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Hughes segment is a global provider of broadband satellite technologies and broadband services for home and small office customers. We deliver network technologies, managed services, equipment, hardware, satellite services and communications solutions to domestic and international consumers and aeronautical, enterprise and government customers. In addition, our Hughes segment designs, provides and installs gateway and terminal equipment to customers for other satellite systems and provides satellite ground segment systems and terminals for other satellite systems, including mobile system operators.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continue to focus our efforts on growing our Hughes segment consumer revenue by maximizing utilization of our existing satellites while planning for new satellites to be launched. Our consumer revenue growth depends on our success in adding new subscribers and driving higher average revenue per subscriber across our wholesale and retail channels.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Hughes segment currently uses three satellites, the SPACEWAY 3 satellite, the EchoStar XVII satellite, and the EchoStar XIX satellite, and additional satellite capacity acquired from multiple third-party providers, to provide satellite broadband internet access and communications services to our customers. In December 2016, we launched our EchoStar XIX satellite, a next-generation, high throughput geostationary satellite, which provides significant capacity for continued subscriber growth. The EchoStar XIX satellite employs a multi-spot beam, bent pipe Ka-band architecture and provides additional capacity for the Hughes broadband services to our customers in North America and added capacity in certain Central and South American countries and has added capability for aeronautical, enterprise and international broadband services.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2017, we entered into a contract for the design and construction of a new, next-generation, high throughput geostationary satellite, with a planned 2021 launch, that is primarily intended to provide additional capacity for our HughesNet service in North, Central and South America as well as aeronautical and enterprise services. Capital expenditures associated with the construction and launch of this satellite will be included in “Corporate and Other” in our segment reporting.</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wholly-owned subsidiary, Hughes Network Systems, L.L.C. and DISH Network L.L.C. (“DNLLC”), a wholly-owned subsidiary of DISH, have entered into a master service agreement (the “MSA”) pursuant to which DNLLC, among other things: (i) has the right, but not the obligation, to market, promote and solicit orders and upgrades for the Hughes satellite internet service and related equipment and other telecommunication services and (ii) will install Hughes service equipment with respect to activations generated by DNLLC. As a result of the MSA we do not expect to earn significant equipment revenue from our Distribution Agreement with dishNET Satellite Broadband L.L.C. (“dishNET”) in the future and we expect our subscriber acquisition costs to increase in future periods.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our broadband consumer service offerings, our Hughes segment also provides network technologies, managed services, hardware, equipment and satellite services to large enterprise and government customers globally. Examples of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customers include lottery agencies, gas station operators and companies with multi-branch networks that rely on satellite or terrestrial networks for critical communication across wide geographies. Most of our enterprise customers have contracts with us for the services they purchase.</w:t>
      </w:r>
    </w:p>
    <w:p>
      <w:pPr>
        <w:spacing w:after="0" w:line="1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Developments toward the launch of next-generation satellite systems including low-earth orbit (“LEO”) and geostationary systems could provide additional opportunities to drive the demand for our network equipment and services. The growth of our enterprise and equipment businesses relies heavily on global economic conditions and the competitive landscape for pricing relative to competitors and alternative technologies. We have an agreement with WorldVu Satellites Limited (“OneWeb”), a global LEO satellite service company, to provide certain equipment and services in connection with the ground network system for OneWeb’s LEO satellites. In November 2017, we began the production of OneWeb’s ground network system equipment and expect to begin delivering this equipment in mid-2018.</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continue to expand our efforts to grow our consumer satellite services business outside of the U.S. In April 2014, we entered into a satellite services agreement pursuant to which Eutelsat do Brasil provides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(“Telesat”) will provide to us the Ka-band capacity on a satellite to be located at the 63 degree west longitude orbital location (“63 West”) for a 15-year term. We expect the satellite to be launched in the second quarter of 2018 and to augment the capacity being provided by the EUTELSAT 65 West A and EchoStar XIX satellites. We launched our consumer satellite broadband service in Colombia in the third quarter of 2017 and we expect to launch similar services in various other Central and South American countries in 2018.</w:t>
      </w:r>
    </w:p>
    <w:p>
      <w:pPr>
        <w:spacing w:after="0" w:line="16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of September 30, 2017 and December 31, 2016, our Hughes segment had approximately 1,140,000 and 1,036,000 broadband subscribers, respectively. These broadband subscribers include customers that subscribe to our HughesNet broadband services through retail, wholesale and small/medium enterprise service channels. Gross subscriber additions increased by approximately 9,000 in the third quarter of 2017 compared to the second quarter of 2017 primarily due to an increase in new additions in our domestic retail channel as a result of the launch of the EchoStar XIX satellite, which was placed into service in March 2017. The increase was partially offset by a decrease in new subscribers additions in our international retail channel. Our average monthly subscriber churn percentage for the third quarter of 2017 decreased compared to the second quarter of 2017. As a result of higher gross subscriber additions and lower churn, total net subscriber additions were approximately 53,000 for the quarter ended September 30, 2017 compared to approximately 41,000 for the second quarter of 2017. Subscriber additions and churn include only subscribers through our retail and wholesale channels.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September 30, 2017 and December 31, 2016, our Hughes segment had approximately $1.74 billion and $1.52 billion, respectively, of contracted revenue backlog. We define Hughes contracted revenue backlog as our expected future revenue under customer contracts that are non-cancelable, excluding agreements with customers in our consumer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ESS segment is a global provider of satellite service operations and video delivery solutions. We operate our business using our owned and leased in-orbit satellites and related licenses. Revenue growth in our ESS segment depends largely on our ability to continuously make satellite capacity available for sale. We provide satellite services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We also manage satellite operations for certain satellites owned by DISH Network.</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 While we expect to continue to provide satellite services to DISH Network, its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entered into: (i) a construction contract with Airbus Defence and Space SAS for the construction of the EchoStar 105/SES-11 satellite with C-band, Ku-band and Ka-band payloads; (ii) an agreement with SES Satellite Leasing Limited for the procurement of the related launch services; and (iii) an agreement with SES Americom Inc. (“SES”) pursuant to which we will transfer the title to the Ku-band payload to an affiliate of SES following in-orbit testing of the satellite and the title to the C-band and Ka-band payloads to an affiliate of SES and SES, respectively, by early 2018. SES will provide to us satellite service on the entire Ku-band payload on the EchoStar 105/SES-11 satellite for an initial ten-year term, with an option for us to renew the agreement on a year-to-year basis. The EchoStar 105/SES-11 satellite was launched in October 2017 and is expected to be placed into service in the fourth quarter of 2017. Our Ku-band payload on the EchoStar 105/SES-11 satellite will replace and augment our current capacity on the AMC-15 satellite, resulting in additional sales capacity. We expect to transfer activities from the AMC-15 satellite to the EchoStar 105/SES-11 satellite in the fourth quarter of 2017, which we expect will result in reduced operating costs associated with the lease of the AMC-15 satellite.</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continue to pursue expanding our business offerings by providing value added services such as telemetry, tracking, and control services to third parties, which leverages the ground monitoring networks and personnel currently within our ESS segment.</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of September 30, 2017 and December 31, 2016, our ESS segment had contracted revenue backlog attributable to satellites currently in orbit of approximately $1.26 billion and $1.16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industry is evolving with the increase in worldwide demand for broadband internet access for information, entertainment and commerce. In addition to fiber and wireless systems, other technologies such as geostationary high throughput satellites, LEO networks, balloons, and High Altitude Platform Systems have begun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entertainment and commerce in North America and internationally for consumers, enterprises and governments.</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continue to selectively explore opportunities to pursue partnerships, joint ventures and strategic acquisitions,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2012, we acquired the right to use various frequencies at the 45 degree west longitude orbital location (“Brazilian Authorization”) from ANATEL, the Brazilian communications regulatory agency. The Brazilian Authorization currently provides us the rights to utilize Ku-band spectrum. In April 2014, we entered into an agreement with Space Systems Loral, LLC for the construction of the EchoStar XXIII satellite, a high powered broadcast satellite service satellite. The EchoStar XXIII satellite was launched in March 2017 and placed into service at the 45 degree west longitude orbital location in the second quarter of 2017. We had regulatory obligations to meet certain in-service milestones by the second quarter of 2017 for our Brazilian license at the 45 degree west longitude orbital location for the Ka-, Ku- and S-band frequency bands. We have met our regulatory milestone for the Ku-band. On October 5, 2017, ANATEL declined our request to extend our milestone deadlines for the S- band and Ka- band frequencies and, as a result, we no longer have the right to use such frequency bands. We may be subject to penalties as a result of our failure to meet these milestones.</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2013, we acquired 100% of Solaris Mobile, which is based in Dublin, Ireland and licensed by the European Union and its member states (“EU”) to provide mobile satellite services (“MSS”) and complementary ground component (“CGC”) services covering the entire EU using S-band spectrum. Solaris Mobile changed its name to EchoStar Mobile Limited (“EchoStar Mobile”) in the first quarter of 2015. We are in the process of developing commercial services utilizing the operable payload we own on the EUTELSAT 10A satellite, along with our EchoStar XXI S-band satellite. The EchoStar XXI satellite will provide space segment capacity to EchoStar Mobile in the EU. We believe we are in a unique position to deploy a European wide MSS/CGC network and maximize the long-term value of our S-band spectrum in Europe and other regions within the scope of our licenses. The EchoStar XXI satellite launched in June 2017 and is anticipated to be placed in service in the fourth quarter of 2017. We intend to launch commercial service in the fourth quarter of 2017.</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tracking closely the developments in next-generation satellite businesses, and we are seeking to utilize our services, technologies and expertise to find new commercial opportunities for our business. In June 2015, we made an equity investment in OneWeb.</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XXIII, EchoStar XXI and EchoStar XXIV satellites are included in “Corporate and Other” in our segment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125" w:right="3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2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September 30, 2017 Compared to the Three Months Ended September 30, 2016</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111,135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115,127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(3,992)</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310,973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34,693</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58,999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66,501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481,233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460,046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21,187</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138,641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131,594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7,047</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52,051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53,599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(1,548)</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91,003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80,672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10,331</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134,822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108,549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26,273</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424,819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383,444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41,375</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56,414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76,602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(20,188)</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5,753</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(55,646)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(18,330)</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and impairment on investment,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19,860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 net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4,322</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(14,477)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(26,297)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11,820</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11,312</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35,855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2,944</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(5,153)</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Less: Net income attributable to noncontrolling interest in HSS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340"/>
              <w:spacing w:after="0"/>
              <w:rPr>
                <w:sz w:val="20"/>
                <w:szCs w:val="20"/>
                <w:color w:val="auto"/>
              </w:rPr>
            </w:pPr>
            <w:r>
              <w:rPr>
                <w:rFonts w:ascii="Arial" w:cs="Arial" w:eastAsia="Arial" w:hAnsi="Arial"/>
                <w:sz w:val="18"/>
                <w:szCs w:val="18"/>
                <w:color w:val="auto"/>
              </w:rPr>
              <w:t>Tracking Stock</w:t>
            </w: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Net income attributable to EchoStar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34,669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36,801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219,861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189,302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30,559</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1,140,000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1,018,000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122,000</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8890</wp:posOffset>
            </wp:positionV>
            <wp:extent cx="284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-98425</wp:posOffset>
            </wp:positionV>
            <wp:extent cx="284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61 and 62 under the heading “Explanation of Key Metrics and Other Items.”</w:t>
      </w:r>
    </w:p>
    <w:p>
      <w:pPr>
        <w:spacing w:after="0" w:line="1" w:lineRule="exact"/>
        <w:rPr>
          <w:rFonts w:ascii="Arial" w:cs="Arial" w:eastAsia="Arial" w:hAnsi="Arial"/>
          <w:sz w:val="14"/>
          <w:szCs w:val="14"/>
          <w:color w:val="auto"/>
        </w:rPr>
      </w:pPr>
    </w:p>
    <w:p>
      <w:pPr>
        <w:ind w:left="340" w:right="180" w:hanging="332"/>
        <w:spacing w:after="0" w:line="255" w:lineRule="auto"/>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51. For further information on our use of EBITDA see “Explanation of Key Metrics and Other Items” on page 62.</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$111.1 million for the three months ended</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September 30, 2017, a decrease of $4.0 million or 3.5%, compared to the same period in 2016 primarily from our Hughes segment. The decrease in revenue was primarily attributable to a decrease in wholesale subscribers.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$311.0 million for the three months ended September 30, 2017,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$34.7 million or 12.6%, compared to the same period in 2016.</w:t>
      </w:r>
    </w:p>
    <w:p>
      <w:pPr>
        <w:spacing w:after="0" w:line="170"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Services and other revenue - other from our Hughes segment for the three months ended September 30, 2017 increased by $38.2 million, or 14.5%, to $301.1 million compared to the same period in 2016. The increase was primarily attributable to increases in sales of broadband services of $31.5 million to our domestic and international consumers, $5.8 million to our domestic enterprise customers and $1.7 million to our telecom systems customers, partially offset by a decrease of $1.0 million to our international enterprise customers.</w:t>
      </w:r>
    </w:p>
    <w:p>
      <w:pPr>
        <w:spacing w:after="0" w:line="171" w:lineRule="exact"/>
        <w:rPr>
          <w:sz w:val="20"/>
          <w:szCs w:val="20"/>
          <w:color w:val="auto"/>
        </w:rPr>
      </w:pPr>
    </w:p>
    <w:p>
      <w:pPr>
        <w:jc w:val="both"/>
        <w:ind w:left="660" w:right="260"/>
        <w:spacing w:after="0" w:line="264" w:lineRule="auto"/>
        <w:rPr>
          <w:sz w:val="20"/>
          <w:szCs w:val="20"/>
          <w:color w:val="auto"/>
        </w:rPr>
      </w:pPr>
      <w:r>
        <w:rPr>
          <w:rFonts w:ascii="Arial" w:cs="Arial" w:eastAsia="Arial" w:hAnsi="Arial"/>
          <w:sz w:val="18"/>
          <w:szCs w:val="18"/>
          <w:color w:val="auto"/>
        </w:rPr>
        <w:t>Services and other revenue - other from our ESS segment for the three months ended September 30, 2017 decreased by $3.9 million, or 26.8%, to $10.6 million compared to the same period in 2016. The decrease was primarily attributable to a decrease in sales of transponder services due to expired service contracts.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$0.1 million for the three months ended September 30, 2017,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$2.0 million or 94.1%, compared to the same period in 2016 primarily from our Hughes segment. The decrease in revenue was primarily due to the decrease in unit sales of broadband equipment to dishNET as a result of the MSA. See Note 16 in the notes to condensed consolidated financial statements in Item 1 of this report for additional information about the MSA.</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Equipment revenue - other. </w:t>
      </w:r>
      <w:r>
        <w:rPr>
          <w:rFonts w:ascii="Arial" w:cs="Arial" w:eastAsia="Arial" w:hAnsi="Arial"/>
          <w:sz w:val="16"/>
          <w:szCs w:val="16"/>
          <w:color w:val="auto"/>
        </w:rPr>
        <w:t>“Equipment revenue - other” totaled $59.0 million for the three months ended September 30, 2017, a decrease of $7.5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11.3%, compared to the same period in 2016 primarily from our Hughes segment. The decrease was primarily due to a decrease in sales of broadband equipment to telecom systems customers of $6.1 million, our international enterprise customers of $3.3 million, and our government customers of $1.2 million, partially offset by an increase in sales of broadband equipment to our domestic consumers and enterprise customers of $2.8 million.</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$138.6 million for the three months ended September 30,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 million or 5.4%, compared to the same period in 2016 primarily from our Hughes segment. The increase was primarily attributable to an increase in the costs of broadband services provided to our domestic and international consumers and domestic enterprise customers as a result of the increase in sales of broadband services.</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b w:val="1"/>
          <w:bCs w:val="1"/>
          <w:i w:val="1"/>
          <w:iCs w:val="1"/>
          <w:color w:val="auto"/>
        </w:rPr>
        <w:t xml:space="preserve">Cost of sales - equipment. </w:t>
      </w:r>
      <w:r>
        <w:rPr>
          <w:rFonts w:ascii="Arial" w:cs="Arial" w:eastAsia="Arial" w:hAnsi="Arial"/>
          <w:sz w:val="16"/>
          <w:szCs w:val="16"/>
          <w:color w:val="auto"/>
        </w:rPr>
        <w:t>“Cost of sales - equipment” totaled $52.1 million for the three months ended September 30, 2017, a decrease of $1.5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2.9%, compared to the same period in 2016 primarily from our Hughes segment. The decrease was primarily attributable to a decrease of $3.9 million in equipment costs related to the decrease in sales to dishNET, telecom systems customers, and international enterprise customers. The decrease was partially offset by an increase of $2.6 million in equipment costs related to the increase in sales to our domestic consumers and domestic enterprise customers.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i w:val="1"/>
          <w:iCs w:val="1"/>
          <w:color w:val="auto"/>
        </w:rPr>
        <w:t>. “</w:t>
      </w:r>
      <w:r>
        <w:rPr>
          <w:rFonts w:ascii="Arial" w:cs="Arial" w:eastAsia="Arial" w:hAnsi="Arial"/>
          <w:sz w:val="18"/>
          <w:szCs w:val="18"/>
          <w:color w:val="auto"/>
        </w:rPr>
        <w:t>Selling, general and administrative expenses” totaled $91.0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 increase of $10.3 million or 12.8%, compared to the same period in 2016. The increase was primarily due to an increase of $15.2 million in marketing and promotional costs primarily attributable to our domestic and international consumer broadband sales in our Hughes segment, partially offset by a decrease of $4.9 million in general and administrative expenses.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totaled $8.3 million for the three months ended September 30, 2017,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$0.7 million or 8.1%, compared to the same period in 2016. Our research and development activities vary based on the activity level and scope of other engineering and customer related development contracts.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expenses totaled $134.8 million for the three months ended September 30, 2017,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$26.3 million or 24.2%, compared to the same period in 2016. The increase was primarily related to an increase of $15.3 million in depreciation expense of the EchoStar XIX and EchoStar XXIII satellites that were placed into service in the first and second quarters of 2017, respectively, an increase of $10.5 million in depreciation expense of domestic and international customer rental equipment, an increase of $4.0 million in depreciation expense relating to machinery and equipment, and an increase of $2.9 million in amortization expense relating to the development of externally marketed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software, partially offset by a decrease of $5.0 million in amortization expense from certain fully amortized other intangible assets in our Hughes segment.</w:t>
      </w: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$12.0 million for the three months ended September 30, 2017, an increase of $5.8 million or 91.9%,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2016. The increase was primarily attributable to the increase in our marketable investments and an increase in yield percentage for the three months ended September 30, 2017 when compared to the same period in 2016.</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$55.6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 increase of $18.3 million or 49.1%, compared to the same period in 2016. The increase was primarily due to a decrease of $11.6 million in capitalized interest relating to the EchoStar XIX and EchoStar XXIII satellites that were placed into service in the first and second quarters of 2017, respectively, and an increase of $6.4 million in interest expense relating to the issuance of 5.250% Senior Secured Notes due 2026 (the “2026 Senior Secured Notes”) and 6.625% Senior Unsecured Notes due 2026 (the “2026 Senior Unsecured Notes” and together with 2026 Senior Secured Notes, the “2026 Notes”) in the third quarter of 2016.</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Gains and impairment on investments, net. </w:t>
      </w:r>
      <w:r>
        <w:rPr>
          <w:rFonts w:ascii="Arial" w:cs="Arial" w:eastAsia="Arial" w:hAnsi="Arial"/>
          <w:sz w:val="18"/>
          <w:szCs w:val="18"/>
          <w:color w:val="auto"/>
        </w:rPr>
        <w:t>“Gains and impairment on investments, net” totaled $20.1 million in gains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an increase of $19.9 million, compared to the same period in 2016. The increase in gains was primarily a result of gains on our trading securities in the third quarter of 2017.</w:t>
      </w:r>
    </w:p>
    <w:p>
      <w:pPr>
        <w:spacing w:after="0" w:line="181"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b w:val="1"/>
          <w:bCs w:val="1"/>
          <w:i w:val="1"/>
          <w:iCs w:val="1"/>
          <w:color w:val="auto"/>
        </w:rPr>
        <w:t>Equity in earnings of unconsolidated affiliates, net</w:t>
      </w:r>
      <w:r>
        <w:rPr>
          <w:rFonts w:ascii="Arial" w:cs="Arial" w:eastAsia="Arial" w:hAnsi="Arial"/>
          <w:sz w:val="16"/>
          <w:szCs w:val="16"/>
          <w:color w:val="auto"/>
        </w:rPr>
        <w:t>. “Equity in earnings of unconsolidated affiliates, net” totaled $4.4 million in earnings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an increase of $0.2 million or 5.2%, compared to the same period in 2016. The increase was primarily related to an increase in earnings from our investment in Dish Mexico, partially offset by a decrease in earnings from our investment in Deluxe/EchoStar LLC.</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$4.7 million in income for the three months ended September 30, 2017, an increase of $4.3 million,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2016. The increase was primarily related to a favorable foreign exchange impact of $2.5 million in the third quarter of 2017 and dividends of $2.3 million received from certain strategic equity investments in the third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provision</w:t>
      </w:r>
      <w:r>
        <w:rPr>
          <w:rFonts w:ascii="Arial" w:cs="Arial" w:eastAsia="Arial" w:hAnsi="Arial"/>
          <w:sz w:val="16"/>
          <w:szCs w:val="16"/>
          <w:color w:val="auto"/>
        </w:rPr>
        <w:t>. Income tax expense was $6.1 million for the three months ended September 30, 2017, a decrease in expense of $11.3 million or</w:t>
      </w:r>
    </w:p>
    <w:p>
      <w:pPr>
        <w:spacing w:after="0" w:line="4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65.0%, compared to the same period in 2016. Our effective income tax rate was 14.5% and 34.6% for the three months ended September 30, 2017 and 2016, respectively. The variations in our current year effective tax rate from the U.S. federal statutory rate for the three months ended September 30, 2017 was primarily due to various permanent tax differences, the increase in our valuation allowance associated with unrealized gains that are capital in nature, and a change in the amount of unrecognized tax benefit from uncertain tax positions. The variations in our effective tax rate from the U.S. federal statutory rate for the three months ended September 30, 2016 was primarily due to research and experimentation credits, partially offset by state and local taxes.</w:t>
      </w:r>
    </w:p>
    <w:p>
      <w:pPr>
        <w:spacing w:after="0" w:line="163"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Net income attributable to EchoStar</w:t>
      </w:r>
      <w:r>
        <w:rPr>
          <w:rFonts w:ascii="Arial" w:cs="Arial" w:eastAsia="Arial" w:hAnsi="Arial"/>
          <w:sz w:val="16"/>
          <w:szCs w:val="16"/>
          <w:color w:val="auto"/>
        </w:rPr>
        <w:t>. “Net income attributable to EchoStar” was $34.7 million for the three months ended September 30, 2017, a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 million or 5.8%, compared to the same period in 2016. The decrease was primarily due to (i) a decrease in operating income, including depreciation and amortization, of $20.2 million, (ii) an increase of $18.3 million in interest expense and (iii) a decrease of $5.2 million in net income from discontinuing operations in 2017. The decrease was partially offset by (i) an increase of $19.9 million in gains on our trading securities, (ii) a decrease in income tax expense of $11.3 million, (iii) an increase of $5.8 million in interest income, and (iv) an increase in other income of $4.3 million.</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was $219.9 million for the three months ended September 30,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 of $30.6 million or 16.1%, compared to the same period in 2016. The increase was primarily due to (i) an increase of $19.9 million in gains on our trading securities, (ii) an increase in operating income, excluding depreciation and amortization, of $6.1 million and (iii) an increase in other income of $4.3 million.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12,577</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(11,312)</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26,273</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5,153</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219,861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189,302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30,559</w:t>
            </w:r>
          </w:p>
        </w:tc>
        <w:tc>
          <w:tcPr>
            <w:tcW w:w="5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to the Three Months Ended September 30, 2016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EchoStar</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Satellite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380,061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97,093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481,233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108,428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131,817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78,345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9,699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219,861</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September 30, 2016</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355,876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101,480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460,046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75,682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15,730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48,162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139,574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125,522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84,257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189,302</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6"/>
        </w:trPr>
        <w:tc>
          <w:tcPr>
            <w:tcW w:w="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ind w:left="10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20" w:type="dxa"/>
            <w:vAlign w:val="bottom"/>
            <w:gridSpan w:val="4"/>
          </w:tcPr>
          <w:p>
            <w:pPr>
              <w:jc w:val="right"/>
              <w:ind w:right="1110"/>
              <w:spacing w:after="0"/>
              <w:rPr>
                <w:sz w:val="20"/>
                <w:szCs w:val="20"/>
                <w:color w:val="auto"/>
              </w:rPr>
            </w:pPr>
            <w:r>
              <w:rPr>
                <w:rFonts w:ascii="Arial" w:cs="Arial" w:eastAsia="Arial" w:hAnsi="Arial"/>
                <w:sz w:val="18"/>
                <w:szCs w:val="18"/>
                <w:color w:val="auto"/>
                <w:w w:val="97"/>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380,061</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355,876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24,185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8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108,428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75,682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32,746</w:t>
            </w:r>
          </w:p>
        </w:tc>
        <w:tc>
          <w:tcPr>
            <w:tcW w:w="92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131,817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6,295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Hughes segment total revenue for the three months ended September 30, 2017 increased by $24.2 million, or 6.8%, compared to the same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an increase in sales of broadband equipment and services to our domestic and international consumers and domestic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enterprise customers of $40.5 million. The increase was partially offset by a decrease in sales of broadband equipment and services to DISH Network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million, a decrease in sales of broadband equipment to telecom systems customers of $6.1 million, and a decrease in sales of broadband equipment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of $4.3 million to our international enterprise customers.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Hughes segment capital expenditures for the three months ended September 30, 2017 increased by $32.7 million, or 43.3%, compared to the same period in 2016, primarily as a result of an increase of $56.2 million in expenditures in our domestic and international businesses. The increase was mainly associated with customer rental equipment for consumer services provided on the EUTELSAT 65 West A and EchoStar XIX satellites that were placed into service in the third quarter of 2016 and the first quarter of 2017, respectively. The increase was partially offset by a decrease of $23.5 million in expenditures on satellites and related ground infrastructure, primarily resulted from the launch of service on EUTELSAT 65 West A and EchoStar XIX satellites.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Hughes segment EBITDA for the three months ended September 30, 2017 was $131.8 million, an increase of $6.3 million, or 5.0%, compared to the same period in 2016. The increase was due to an increase of $18.9 million in gross margin which we define as revenue less cost of sales, a favorable foreign exchange impact of $1.9 million in the third quarter 2017 and a decrease of $0.7 million in research and development expenses, partially offset by an increase of $15.2 million in marketing and promotional costs primarily attributable to our domestic and international consumer broadband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38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10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w w:val="7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20" w:type="dxa"/>
            <w:vAlign w:val="bottom"/>
            <w:gridSpan w:val="4"/>
          </w:tcPr>
          <w:p>
            <w:pPr>
              <w:jc w:val="right"/>
              <w:ind w:right="1110"/>
              <w:spacing w:after="0"/>
              <w:rPr>
                <w:sz w:val="20"/>
                <w:szCs w:val="20"/>
                <w:color w:val="auto"/>
              </w:rPr>
            </w:pPr>
            <w:r>
              <w:rPr>
                <w:rFonts w:ascii="Arial" w:cs="Arial" w:eastAsia="Arial" w:hAnsi="Arial"/>
                <w:sz w:val="18"/>
                <w:szCs w:val="18"/>
                <w:color w:val="auto"/>
                <w:w w:val="97"/>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97,093</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(4,387)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8,203</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(7,527)</w:t>
            </w: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78,345</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(5,912)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ESS segment total revenue for the three months ended September 30, 2017 decreased by $4.4 million, or 4.3%, compared to the same period in 2016, primarily due to a decrease in sales of transponder services due to expired service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ESS segment capital expenditures for the three months ended September 30, 2017 decreased by $7.5 million, or 47.9%, compared to the same period in 2016,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ESS segment EBITDA for the three months ended September 30, 2017 was $78.3 million, a decrease of $5.9 million, or 7.0%, compared to the same period in 2016. The decrease in EBITDA for our ESS segment was due to the decrease of $4.4 million in revenues and an increase of $1.3 million in general and administrative expenses.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and Other is comprised of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activities and gains (losses) from certain of our investments.</w:t>
      </w:r>
    </w:p>
    <w:p>
      <w:pPr>
        <w:spacing w:after="0" w:line="324"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10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w w:val="7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20" w:type="dxa"/>
            <w:vAlign w:val="bottom"/>
            <w:gridSpan w:val="4"/>
          </w:tcPr>
          <w:p>
            <w:pPr>
              <w:jc w:val="right"/>
              <w:ind w:right="1110"/>
              <w:spacing w:after="0"/>
              <w:rPr>
                <w:sz w:val="20"/>
                <w:szCs w:val="20"/>
                <w:color w:val="auto"/>
              </w:rPr>
            </w:pPr>
            <w:r>
              <w:rPr>
                <w:rFonts w:ascii="Arial" w:cs="Arial" w:eastAsia="Arial" w:hAnsi="Arial"/>
                <w:sz w:val="18"/>
                <w:szCs w:val="18"/>
                <w:color w:val="auto"/>
                <w:w w:val="97"/>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1,389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75,500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48,162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27,338</w:t>
            </w: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9,699</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30,176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three months ended September 30, 2017, Corporate and Other capital expenditures increased by $27.3 million, or 56.8%, compared to the same period in 2016, primarily related to an increase in satellite expenditures of $61.9 million on the EchoStar XXIV satellite and an increase in satellite expenditures of $6.8 million on the EchoStar XXI satellite, partially offset by a decrease in satellite expenditures of $33.6 million on the EchoStar XIX satellite and a decrease in satellite expenditures of $8.9 million on the EchoStar XXIII satellite. The EchoStar XIX satellite was launched in December 2016 and placed into service in the first quarter of 2017. The EchoStar XXIII satellite was launched in March 2017 and was placed into service in the second quarter of 2017. The EchoStar XXI satellite is intended to be used by EchoStar Mobile in providing mobile satellite services in the EU. It was launched in June 2017 and is anticipated to be placed into service in the fourth quarter of 2017. The EchoStar XXIV satellite is intended to provide additional capacity for the Hughes broadband services in North America and certain Latin American countries.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September 30, 2017, Corporate and Other EBITDA was a gain of $9.7 million compared to a loss of $20.5 million for the three months ended September 30, 2016. The change of $30.2 million was primarily related to (i) an increase of $19.9 million in gains on our trading securities in the third quarter of 2017 , (ii) a decrease of $6.2 million in general and administrative expenses, (iii) dividends of $2.3 million received from certain strategic equity investments in the third quarter of 2017, (iv) an increase of $1.0 million in revenue from DISH Network primarily attributable to rental income relating to our lease agreements pursuant to which DISH Network leases certain real estate from us, and (v) a favorable foreign exchange impact of $0.4 million in 2017.</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 2017 Compared to the Nine Months Ended September 30, 2016</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ind w:left="360"/>
              <w:spacing w:after="0"/>
              <w:rPr>
                <w:sz w:val="20"/>
                <w:szCs w:val="20"/>
                <w:color w:val="auto"/>
              </w:rPr>
            </w:pPr>
            <w:r>
              <w:rPr>
                <w:rFonts w:ascii="Arial" w:cs="Arial" w:eastAsia="Arial" w:hAnsi="Arial"/>
                <w:sz w:val="18"/>
                <w:szCs w:val="18"/>
                <w:b w:val="1"/>
                <w:bCs w:val="1"/>
                <w:color w:val="auto"/>
              </w:rPr>
              <w:t>For the Nine Months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Ended September 30,</w:t>
            </w:r>
          </w:p>
        </w:tc>
        <w:tc>
          <w:tcPr>
            <w:tcW w:w="220" w:type="dxa"/>
            <w:vAlign w:val="bottom"/>
          </w:tcPr>
          <w:p>
            <w:pPr>
              <w:spacing w:after="0"/>
              <w:rPr>
                <w:sz w:val="20"/>
                <w:szCs w:val="20"/>
                <w:color w:val="auto"/>
              </w:rPr>
            </w:pPr>
          </w:p>
        </w:tc>
        <w:tc>
          <w:tcPr>
            <w:tcW w:w="1540" w:type="dxa"/>
            <w:vAlign w:val="bottom"/>
            <w:gridSpan w:val="2"/>
          </w:tcPr>
          <w:p>
            <w:pPr>
              <w:ind w:left="740"/>
              <w:spacing w:after="0"/>
              <w:rPr>
                <w:sz w:val="20"/>
                <w:szCs w:val="20"/>
                <w:color w:val="auto"/>
              </w:rPr>
            </w:pPr>
            <w:r>
              <w:rPr>
                <w:rFonts w:ascii="Arial" w:cs="Arial" w:eastAsia="Arial" w:hAnsi="Arial"/>
                <w:sz w:val="18"/>
                <w:szCs w:val="18"/>
                <w:b w:val="1"/>
                <w:bCs w:val="1"/>
                <w:color w:val="auto"/>
              </w:rPr>
              <w:t>Variance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color w:val="auto"/>
              </w:rPr>
              <w:t>(Dollars in thousands)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339,824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347,440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(7,616)</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865,817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820,149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45,668</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(6,833)</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173,644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160,081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13,563</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1,379,460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1,334,678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44,782</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404,448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384,942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19,506</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153,854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143,252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10,602</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263,820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240,454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23,366</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23,444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23,524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379,939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324,743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55,196</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1,225,505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1,116,915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108,590</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153,955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217,763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(63,808)</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16,616</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(156,498)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(80,376)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(76,122)</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and impairment on investments,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 net</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15,620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6,636</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(71,661)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(43,956)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(91,513)</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(61,258)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52,185</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112,549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(39,328)</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29,213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(22,759)</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141,762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(62,087)</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w w:val="96"/>
              </w:rPr>
              <w:t>Less: Net loss attributable to noncontrolling interest in HSS Tracking Stock</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97"/>
        </w:trPr>
        <w:tc>
          <w:tcPr>
            <w:tcW w:w="5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EchoStar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79,324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141,742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(62,418)</w:t>
            </w:r>
          </w:p>
        </w:tc>
        <w:tc>
          <w:tcPr>
            <w:tcW w:w="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1"/>
        </w:trPr>
        <w:tc>
          <w:tcPr>
            <w:tcW w:w="5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588,038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565,180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22,858</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9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1,140,000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1,018,000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122,000</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8890</wp:posOffset>
            </wp:positionV>
            <wp:extent cx="2649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-98425</wp:posOffset>
            </wp:positionV>
            <wp:extent cx="2649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61 and 62 under the heading “Explanation of Key Metrics and Other Items.”</w:t>
      </w:r>
    </w:p>
    <w:p>
      <w:pPr>
        <w:spacing w:after="0" w:line="1" w:lineRule="exact"/>
        <w:rPr>
          <w:rFonts w:ascii="Arial" w:cs="Arial" w:eastAsia="Arial" w:hAnsi="Arial"/>
          <w:sz w:val="14"/>
          <w:szCs w:val="14"/>
          <w:color w:val="auto"/>
        </w:rPr>
      </w:pPr>
    </w:p>
    <w:p>
      <w:pPr>
        <w:ind w:left="340" w:right="180" w:hanging="332"/>
        <w:spacing w:after="0" w:line="255"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56. For further information on our use of EBITDA see “Explanation of Key Metrics and Other Items” on page 62.</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$339.8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 decrease of $7.6 million or 2.2%, compared to the same period in 2016.</w:t>
      </w:r>
    </w:p>
    <w:p>
      <w:pPr>
        <w:spacing w:after="0" w:line="170"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Services and other revenue - DISH Network from our Hughes segment for the nine months ended September 30, 2017 decreased by $9.2 million, or 12.4%, to $65.4 million compared to the same period in 2016. The decrease was primarily attributable to a decrease in wholesale subscribers.</w:t>
      </w:r>
    </w:p>
    <w:p>
      <w:pPr>
        <w:spacing w:after="0" w:line="124"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Services and other revenue - DISH Network from Corporate and Other for the nine months ended September 30, 2017 increased by $2.6 million, or 23.5%, to $13.9 million compared to the same period in 2016. The increase was primarily attributable to an increase in rental income relating to certain lease agreements pursuant to which DISH Network leases certain real estate from us.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$865.8 million for the nine months ended September 30, 2017,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$45.7 million or 5.6%, compared to the same period in 2016.</w:t>
      </w:r>
    </w:p>
    <w:p>
      <w:pPr>
        <w:spacing w:after="0" w:line="170"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Services and other revenue - other from our Hughes segment for the nine months ended September 30, 2017 increased by $53.9 million, or 6.9%, to $833.1 million compared to the same period in 2016. The increase was primarily attributable to increases in sales of broadband services of $51.5 million to our domestic and international consumers, $8.2 million to our domestic enterprise customers and $3.8 million to our telecom systems customers, partially offset by a decrease of $9.8 million to our international enterprise customers.</w:t>
      </w:r>
    </w:p>
    <w:p>
      <w:pPr>
        <w:spacing w:after="0" w:line="17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Services and other revenue - other from our ESS segment for the nine months ended September 30, 2017 decreased by $9.1 million, or 20.6%, to $35.2 million compared to the same period in 2016. The decrease was primarily attributable to decreases in sales of transponder services due to expired service contracts.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$0.2 million for the nine months ended September 30, 2017,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$6.8 million or 97.5%, compared to the same period in 2016 primarily from our Hughes segment. The decrease in revenue was primarily due to the decrease in unit sales of broadband equipment to dishNET as a result of the MSA. See Note 16 in the notes to condensed consolidated financial statements in Item 1 of this report for additional information about the MSA.</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$173.6 million for the nine months ended September 30, 2017, an increase of $13.6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8.5%, compared to the same period in 2016 primarily from our Hughes segment. The increase was mainly due to an increase of $23.7 million in sales of broadband equipment to our domestic enterprise customers and an increase of $6.1 million to our domestic and international consumers. The increase was partially offset by a decrease in sales of broadband equipment to our telecom systems customers of $11.3 million, our international enterprise customers of $2.9 million, and our government customers of $2.8 million.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$404.4 million for the nine months ended September 30,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$19.5 million or 5.1%, compared to the same period in 2016.</w:t>
      </w:r>
    </w:p>
    <w:p>
      <w:pPr>
        <w:spacing w:after="0" w:line="170"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Cost of sales - services and other from our Hughes segment for the nine months ended September 30, 2017 increased by $18.5 million, or 5.5%, to $352.9 million compared to the same period in 2016. The increase was primarily attributable to an increase in the costs of broadband services provided to our domestic and international consumers, domestic enterprise customers, and telecom systems customers primarily due to the increase in sales of broadband services.</w:t>
      </w:r>
    </w:p>
    <w:p>
      <w:pPr>
        <w:spacing w:after="0" w:line="187" w:lineRule="exact"/>
        <w:rPr>
          <w:sz w:val="20"/>
          <w:szCs w:val="20"/>
          <w:color w:val="auto"/>
        </w:rPr>
      </w:pPr>
    </w:p>
    <w:p>
      <w:pPr>
        <w:jc w:val="both"/>
        <w:ind w:left="660" w:right="540"/>
        <w:spacing w:after="0" w:line="264" w:lineRule="auto"/>
        <w:rPr>
          <w:sz w:val="20"/>
          <w:szCs w:val="20"/>
          <w:color w:val="auto"/>
        </w:rPr>
      </w:pPr>
      <w:r>
        <w:rPr>
          <w:rFonts w:ascii="Arial" w:cs="Arial" w:eastAsia="Arial" w:hAnsi="Arial"/>
          <w:sz w:val="18"/>
          <w:szCs w:val="18"/>
          <w:color w:val="auto"/>
        </w:rPr>
        <w:t>Cost of sales - services and other from our ESS segment for the nine months ended September 30, 2017 increased by $0.8 million, or 1.7%, to $48.9 million compared to the same period in 2016. The increase was primarily due to rental expenses for the lease of certain real estate and collocation and antenna space from DISH Network in 2017.</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Cost of sales - equipment. </w:t>
      </w:r>
      <w:r>
        <w:rPr>
          <w:rFonts w:ascii="Arial" w:cs="Arial" w:eastAsia="Arial" w:hAnsi="Arial"/>
          <w:sz w:val="17"/>
          <w:szCs w:val="17"/>
          <w:color w:val="auto"/>
        </w:rPr>
        <w:t>“Cost of sales - equipment” totaled $153.9 million for the nine months ended September 30, 2017, an increase of $10.6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7.4%, compared to the same period in 2016 primarily from our Hughes segment. The increase was primarily attributable to an increase of $20.8 million in equipment costs related to the increase in sales to our domestic and international consumers and enterprise customers, partially offset by a decrease of $10.7 million in equipment costs related to the decrease in sales to dishNET and our telecom systems customers.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totaled $263.8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2017, an increase of $23.4 million or 9.7%, compared to the same period in 2016. The increase was primarily related to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$28.9 million in marketing and promotional costs primarily attributable to our domestic and international consumer broadband sales in our Hughes segment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 increase of $2.5 million in litigation expense in 2017, partially offset by a decrease of $8.1 million in general and administrative expenses.</w:t>
      </w:r>
    </w:p>
    <w:p>
      <w:pPr>
        <w:spacing w:after="0" w:line="22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totaled $23.4 million for the nine months ended September 30, 2017,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$0.1 million or 0.3%, compared to the same period in 2016. Our research and development activities vary based on the activity level and scope of other engineering and customer related development contracts.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expenses totaled $379.9 million for the nine months ended September 30, 2017, an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$55.2 million or 17.0%, compared to the same period in 2016. The increase was primarily related to an increase of $34.4 million in depreciation expense of the EUTELSAT 65 West A, EchoStar XIX and EchoStar XXIII satellites that were placed into service in the third quarter of 2016, and the first and second quarters of 2017, respectively, an increase of $17.0 million in depreciation expense relating to domestic and international customer rental equipment, an increase of $11.0 million in depreciation expense relating to machinery and equipment and an increase of $6.9 million in amortization expense relating to the development of externally marketed software, partially offset by a decrease of $11.4 million in amortization expense from certain fully amortized other intangible assets in our Hughes segment and Corporate and Other.</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$30.3 million for the nine months ended September 30, 2017, an increase of $16.6 million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2016. The increase was primarily attributable to the increase in our marketable investments and an increase in yield percentage in 2017 when compared to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$156.5 million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an increase of $76.1 million or 94.7%, compared to the same period in 2016. The increase was primarily due to an increase in interest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$51.0 million relating to the issuance of 2026 Notes in the third quarter of 2016 and a decrease of $24.9 million in capitalized interest relating to the EchoStar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XIX and EchoStar XXIII satellites that were placed into service in the first and second quarters of 2017, respectively.</w:t>
      </w:r>
    </w:p>
    <w:p>
      <w:pPr>
        <w:spacing w:after="0" w:line="21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i w:val="1"/>
          <w:iCs w:val="1"/>
          <w:color w:val="auto"/>
        </w:rPr>
        <w:t xml:space="preserve">Gains and impairment on investments, net. </w:t>
      </w:r>
      <w:r>
        <w:rPr>
          <w:rFonts w:ascii="Arial" w:cs="Arial" w:eastAsia="Arial" w:hAnsi="Arial"/>
          <w:sz w:val="18"/>
          <w:szCs w:val="18"/>
          <w:color w:val="auto"/>
        </w:rPr>
        <w:t>“Gains and impairment on investments, net” totaled $30.7 million in gains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an increase of $22.5 million, compared to the same period in 2016. The increase was primarily due to an increase of $19.9 million in gains on our trading securities in the third quarter of 2017, a gain of $8.9 million from the sale of our investment in Invidi Technologies Corporation to an entity owned in part by DISH Network in the first quarter of 2017, partially offset by an other than temporary impairment loss of $3.3 million on certain strategic equity securities in our marketable investment securities in 2017 and a decrease of $2.8 million in realized gains on our securities classified as available-for-sale in 2017.</w:t>
      </w:r>
    </w:p>
    <w:p>
      <w:pPr>
        <w:spacing w:after="0" w:line="193"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b w:val="1"/>
          <w:bCs w:val="1"/>
          <w:i w:val="1"/>
          <w:iCs w:val="1"/>
          <w:color w:val="auto"/>
        </w:rPr>
        <w:t>Equity in earnings of unconsolidated affiliates, net</w:t>
      </w:r>
      <w:r>
        <w:rPr>
          <w:rFonts w:ascii="Arial" w:cs="Arial" w:eastAsia="Arial" w:hAnsi="Arial"/>
          <w:sz w:val="16"/>
          <w:szCs w:val="16"/>
          <w:color w:val="auto"/>
        </w:rPr>
        <w:t>. “Equity in earnings of unconsolidated affiliates, net” totaled $15.6 million in earnings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an increase of $6.6 million or 73.9%, compared to the same period in 2016. The increase was primarily related to an increase in earnings from our investment in Dish Mexico, partially offset by a decrease in earnings from our investment in Deluxe/EchoStar LLC.</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totaled $8.2 million in income for the nine months ended September 30, 2017, an increase of $2.7 million or 48.5%, compared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2016. The increase was primarily related to dividends of $5.8 million received from certain strategic equity investments in 2017, a favorable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foreign exchange impact of $2.0 million in 2017, and $1.5 million in a protective put associated with our trading securities in 2016, partially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 million for a provision recorded in the first half of 2015 in connection with Federal Communications Commission (“FCC”) regulatory fees, which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reversed in the first quarter of 2016.</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Income tax provision</w:t>
      </w:r>
      <w:r>
        <w:rPr>
          <w:rFonts w:ascii="Arial" w:cs="Arial" w:eastAsia="Arial" w:hAnsi="Arial"/>
          <w:sz w:val="18"/>
          <w:szCs w:val="18"/>
          <w:color w:val="auto"/>
        </w:rPr>
        <w:t>. Income tax expense was $9.1 million for the nine months ended September 30, 2017, a decrease in expense of $52.2 million or 85.2%,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2016. Our effective income tax rate was 11.0% and 35.2% for the nine months ended September 30, 2017 and 2016, respectively. The variations in our current year effective tax rate from the U.S. federal statutory rate for the nine months ended September 30, 2017 were primarily due to the recognition of a one-time tax benefit for the revaluation of our deferred tax assets and liabilities due to a change in our state effective tax rate as 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result of the Share Exchange, the increase in our valuation allowance associated with unrealized gains that are capital in nature, and change in the amount of unrecognized tax benefit from uncertain tax positions. The tax benefit recognized from the change in our effective tax rate was partially offset by the increase in our valuation allowance associated with certain state and foreign losses. The variations in our effective tax rate from the U.S. federal statutory rate for the nine months ended September 30, 2016 were primarily due to research and experimentation credits, partially offset by state and local taxes.</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Net income attributable to EchoStar</w:t>
      </w:r>
      <w:r>
        <w:rPr>
          <w:rFonts w:ascii="Arial" w:cs="Arial" w:eastAsia="Arial" w:hAnsi="Arial"/>
          <w:sz w:val="17"/>
          <w:szCs w:val="17"/>
          <w:color w:val="auto"/>
        </w:rPr>
        <w:t>. “Net income attributable to EchoStar” was $79.3 million for the nine months ended September 30, 2017, a decrease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$62.4 million or 44.0%, compared to the same period in 2016. The decrease was primarily due to (i) an increase in interest expense of $76.1 million, (ii) a decrease in operating income, including depreciation and amortization, of $63.8 million and (iii) a decrease of $22.8 million in income from discontinued operations in 2017. The decrease was partially offset by (i) a decrease in income tax expense of $52.2 million, (ii) an increase of $22.5 million in gains on investments, net of losses and impairments, (iii) an increase of $16.6 million in interest income, (iv) an increase of $6.6 million in equity in earnings of unconsolidated affiliates, net, and (v) an increase in other income of $2.7 million.</w:t>
      </w:r>
    </w:p>
    <w:p>
      <w:pPr>
        <w:spacing w:after="0" w:line="178"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 (“EBITDA”)</w:t>
      </w:r>
      <w:r>
        <w:rPr>
          <w:rFonts w:ascii="Arial" w:cs="Arial" w:eastAsia="Arial" w:hAnsi="Arial"/>
          <w:sz w:val="16"/>
          <w:szCs w:val="16"/>
          <w:color w:val="auto"/>
        </w:rPr>
        <w:t>. EBITDA was $588.0 million for the nine months ended September 30,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increase of $22.9 million or 4.0%, compared to the same period in 2016. The increase was primarily due to (i) an increase of $19.3 million in gains on our trading securities, (ii) an increase of $6.6 million in equity in earnings of unconsolidated affiliates, net and (iii) an increase in other income of $2.7 million.</w:t>
      </w:r>
    </w:p>
    <w:p>
      <w:pPr>
        <w:ind w:right="340"/>
        <w:spacing w:after="0" w:line="255" w:lineRule="auto"/>
        <w:rPr>
          <w:sz w:val="20"/>
          <w:szCs w:val="20"/>
          <w:color w:val="auto"/>
        </w:rPr>
      </w:pPr>
      <w:r>
        <w:rPr>
          <w:rFonts w:ascii="Arial" w:cs="Arial" w:eastAsia="Arial" w:hAnsi="Arial"/>
          <w:sz w:val="18"/>
          <w:szCs w:val="18"/>
          <w:color w:val="auto"/>
        </w:rPr>
        <w:t>The increase was partially offset by a decrease in operating income, excluding depreciation and amortization, of $8.6 million.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(62,087)</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97"/>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59,506</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61,258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(52,185)</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379,939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55,196</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22,759</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588,038</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565,180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22,858</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276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Segment Operating Results and Capital Expenditures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48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 September 30, 2017 Compared to the Nine Months Ended September 30, 2016</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EchoStar</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Satellite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Hughes</w:t>
            </w:r>
          </w:p>
        </w:tc>
        <w:tc>
          <w:tcPr>
            <w:tcW w:w="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Nine Months Ended September 30, 2017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1,072,143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295,785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11,532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1,379,460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270,624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21,351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410,145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342,693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241,873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3,472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588,038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 2016</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1,021,451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305,919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1,334,678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261,241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50,762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165,815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477,818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353,505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257,181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565,180</w:t>
            </w:r>
          </w:p>
        </w:tc>
      </w:tr>
      <w:tr>
        <w:trPr>
          <w:trHeight w:val="459"/>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56</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1,072,143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50,692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8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270,624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261,241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9,383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342,693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353,505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(10,812)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Hughes segment total revenue for the nine months ended September 30, 2017 increased by $50.7 million, or 5.0%, compared to the same period in 2016. The increase was primarily due to an increase of $57.6 million in sales of broadband equipment and services to our domestic and international consumers, an increase of $31.9 million in sales of broadband equipment and services to our domestic enterprise customers, and an increase of $3.8 million in sales of services to our telecom systems customers. The increase was partially offset by a decrease of $16.1 million in sales of broadband equipment and services to DISH Network, a decrease of $14.1 million in sales of broadband equipment to our telecom systems customers and government customers, and a decrease of $12.7 million in sales of broadband equipment and services to our international enterprise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Hughes segment capital expenditures for the nine months ended September 30, 2017 increased by $9.4 million, or 3.6%, compared to the same period in 2016, primarily as a result of an increase of $95.4 million in expenditures in our domestic and international businesses. The increase was mainly associated with customer rental equipment for consumer services provided on the EUTELSAT 65 West A and EchoStar XIX satellites that were placed into service in the third quarter of 2016 and the first quarter of 2017, respectively. The increase was partially offset by a decrease of $84.6 million in expenditures on other satellites and related ground infrastructure, primarily resulted from the launch of service on EUTELSAT 65 West A and EchoStar XIX satellites.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Hughes segment EBITDA for the nine months ended September 30, 2017 was $342.7 million, a decrease of $10.8 million, or 3.1%, compared to the same period in 2016. The decrease was primarily due to an increase of $28.9 million in marketing and promotional costs mainly attributable our domestic and international consumer broadband sales and an other than temporary impairment loss of $3.3 million on certain strategic equity securities in our marketable investment securities in 2017. The decrease was partially offset by an increase of $22.1 million in 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EchoStar Satellite Services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295,785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(10,134)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21,351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50,762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(29,411)</w:t>
            </w:r>
          </w:p>
        </w:tc>
        <w:tc>
          <w:tcPr>
            <w:tcW w:w="92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241,873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257,181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(15,308)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ESS segment total revenue for the nine months ended September 30, 2017 decreased by $10.1 million, or 3.3%, compared to the same period in 2016, primarily attributable to decreases in sales of transponder services due to expired service contracts.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ESS segment capital expenditures for the nine months ended September 30, 2017 decreased by $29.4 million, or 57.9%, compared to the same period in 2016,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ESS segment EBITDA for the nine months ended September 30, 2017 was $241.9 million, a decrease of $15.3 million, or 6.0%, compared to the same period in 2016. The decrease in EBITDA for our ESS segment was primarily due to a decrease of $10.9 million in gross margin and a decrease of $3.8 million due to a provision recorded in the first half of 2015 in connection with FCC regulatory fees, which was reversed in the first quarter of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and Other is comprised of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activities and gains (losses) from certain of our investments.</w:t>
      </w:r>
    </w:p>
    <w:p>
      <w:pPr>
        <w:spacing w:after="0" w:line="10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4,224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118,170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165,815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(47,645)</w:t>
            </w: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3,472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(45,506)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48,978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the nine months ended September 30, 2017, Corporate and Other capital expenditures decreased by $47.6 million, or 28.7%, compared to the same period in 2016, primarily related to a decrease in satellite expenditures of $72.7 million on the EchoStar XIX satellite, a decrease in satellite expenditures of $26.2 million on the EchoStar XXIII satellite, and a decrease in satellite expenditures of $10.3 million on the EchoStar XXI satellite, partially offset by an increase in satellite expenditures of $61.9 million on the EchoStar XXIV satellite. The EchoStar XIX satellite was launched in December 2016 and placed into service in the first quarter of 2017. The EchoStar XXIII satellite was launched in March 2017 and was placed into service in the second quarter of 2017. The EchoStar XXI satellite is intended to be used by EchoStar Mobile in providing mobile satellite services in the EU. It was launched in June 2017 and is anticipated to be placed into service in the fourth quarter of 2017. The EchoStar XXIV satellite is intended to provide additional capacity for the Hughes broadband services in North America and certain Latin American countries.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the nine months ended September 30, 2017, Corporate and Other EBITDA was a gain of $3.5 million compared to a loss of $45.5 million for the nine months ended September 30, 2016. The change of $49.0 million was primarily related to (i) an increase of $19.9 million in gains on our trading securities in the third quarter of 2017, (ii) a gain of $8.9 million from the sale of our investment in Invidi Technologies Corporation to an entity owned in part by DISH Network in the first quarter of 2017, (iii) a decrease of $7.9 million in general and administrative expenses, (iv) an increase of $6.6 million in equity in earnings of unconsolidated affiliates, net in 2017, (v) dividends of $5.8 million received from certain strategic equity investments in 2017, (vi) an increase of $2.3 million in rental income relating to certain lease agreements pursuant to which DISH Network leases certain real estate from us, and (vii) a favorable foreign exchange impact of $1.7 million in 2017. The reduction in loss was partially offset by $3.0 million attributable to a provision recorded in the first half of 2015 in connection with FCC regulatory fees, which was reversed in the first quarter of 2016.</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consider all liquid investments purchased with an original maturity of 90 days or less to be cash equivalents. See “Quantitative and Qualitative Disclosures about Market Risk” for further discussion regarding our marketable investment securities. As of September 30, 2017 and December 31, 2016, our cash, cash equivalents and current marketable investment securities totaled $3.28 billion and $3.09 billion, respectively.</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of September 30, 2017 and December 31, 2016, we held $485.0 million and $522.5 million, respectively, of marketable investment securities, consisting of various debt and equity instruments including corporate bonds, corporate equity securities, government bonds and mutual funds.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nine months ended September 30, 2017.</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Cash flows from operating activities</w:t>
      </w:r>
      <w:r>
        <w:rPr>
          <w:rFonts w:ascii="Arial" w:cs="Arial" w:eastAsia="Arial" w:hAnsi="Arial"/>
          <w:sz w:val="17"/>
          <w:szCs w:val="17"/>
          <w:color w:val="auto"/>
        </w:rPr>
        <w:t>. We typically reinvest the cash flow from operating activities in our business.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we reported net cash inflows from operating activities of $591.9 million, an increase of $17.2 million, compared to the same period in 2016. The increase in cash inflows was primarily attributable to an increase of $160.1 million resulting from changes in operating assets and liabilities related to timing differences, partially offset by lower net income of $142.9 million adjusted to exclude: (i) “Depreciation and amortization;” (ii) “Equity in earnings of unconsolidated affiliates, net;” (iii) “Gain and impairment on investments, net;” (iv) “Stock-based compensation;” (v) “Deferred tax provision;” (vi) “Other, net;” (vii) “Dividends received from unconsolidated entities;” and (viii) “Proceeds from sale of trading securities”.</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Cash flows from investing activities</w:t>
      </w:r>
      <w:r>
        <w:rPr>
          <w:rFonts w:ascii="Arial" w:cs="Arial" w:eastAsia="Arial" w:hAnsi="Arial"/>
          <w:sz w:val="16"/>
          <w:szCs w:val="16"/>
          <w:color w:val="auto"/>
        </w:rPr>
        <w:t>. Our investing activities generally include purchases and sales of marketable investment securities,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and strategic investments. For the nine months ended September 30, 2017, we reported net cash outflows from investing activities of</w:t>
      </w:r>
    </w:p>
    <w:p>
      <w:pPr>
        <w:spacing w:after="0" w:line="271" w:lineRule="auto"/>
        <w:rPr>
          <w:sz w:val="20"/>
          <w:szCs w:val="20"/>
          <w:color w:val="auto"/>
        </w:rPr>
      </w:pPr>
      <w:r>
        <w:rPr>
          <w:rFonts w:ascii="Arial" w:cs="Arial" w:eastAsia="Arial" w:hAnsi="Arial"/>
          <w:sz w:val="17"/>
          <w:szCs w:val="17"/>
          <w:color w:val="auto"/>
        </w:rPr>
        <w:t>$374.4 million, a decrease of $385.4 million, compared to the same period in 2016. The decrease in cash outflows was primarily related to a decrease of $296.2 million in purchases of marketable investment securities, net of sales and maturities, and a decrease of $86.9 million in capital expenditures, net of related refunds, in 2017 when compared to the same period in 2016 and cash proceeds of $17.8 million from the sale of our investment in Invidi Technologies Corporation to an entity owned in part by DISH Network in the first quarter of 2017. The decrease was partially offset by a decrease of $8.2 million in restricted cash and marketable investment securities and an increase of $7.5 million in expenditures for externally marketed software.</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Cash flows from financing activities</w:t>
      </w:r>
      <w:r>
        <w:rPr>
          <w:rFonts w:ascii="Arial" w:cs="Arial" w:eastAsia="Arial" w:hAnsi="Arial"/>
          <w:sz w:val="17"/>
          <w:szCs w:val="17"/>
          <w:color w:val="auto"/>
        </w:rPr>
        <w:t>. Our financing activities generally include proceeds related to the issuance of debt and cash used for the repurchase,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payment of debt and capital lease obligations and the proceeds from Class A common stock options exercised and stock issued under our stock incentive plans and employee stock purchase plan. For the nine months ended September 30, 2017, we reported net cash inflows from financing activities of $8.7 million, a decrease in cash inflows of $1.47 billion, compared to the same period in 2016. The decrease in cash inflows was primarily due to proceeds of $1.5 billion from the issuance of the 2026 Notes in the third quarter of 2016 and a decrease of $4.5 million in net proceeds from Class A common stock issued under our employee stock purchase plan in 2017, partially offset by an increase of $28.5 million in net proceeds from Class A common stock options exercised issued under our stock incentive plans in 2017, a decrease of $6.6 million in capital lease obligation payments relating to our uplink equipment, and a decrease of $5.9 million in payments of debt issuance costs in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 of September 30, 2017, our satellite-related obligations were approximately $1.01 billion. Our satellite-related obligations primarily include payments pursuant to agreements for the construction of the EchoStar XXIV satellite;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than the transactions described below, we generally do not engage in off-balance sheet financing activities or use derivative financial instruments for hedge accounting or speculative purposes.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2017, we had $35.5 million of letters of credit and insurance bonds. Of this amount, $12.9 million was secured by restricted cash,</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$0.4 million was related to insurance bonds, and $22.1 million was issued under credit arrangements available to our foreign subsidiaries. Certain letters of credit are secured by assets of our foreign subsidiaries.</w:t>
      </w:r>
    </w:p>
    <w:p>
      <w:pPr>
        <w:spacing w:after="0" w:line="18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of September 30, 2017, we had foreign currency forward contracts with a notional value of $6.5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XIX, EchoStar XXI and EchoStar XXIII satellites. Additionally, we obtained certain launch and in-orbit insurance for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We currently depend on DISH Network for a significant portion of our revenue. The loss of, or a significant reduction in provision of satellite services would significantly reduce our revenue and materially adversely impact our results of operations. There can be no assurance that we will have positive cash flows from operations. Furthermore, if we experience negative cash flows, our existing cash and marketable investment securities balances may be reduced.</w:t>
      </w:r>
    </w:p>
    <w:p>
      <w:pPr>
        <w:spacing w:after="0" w:line="188"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We have a significant amount of outstanding indebtedness. As of September 30, 2017, our total indebtedness was $3.64 billion, of which $280.9 million related to capital lease obligations. See our most recent Form 10-K for a discussion of the terms of our indebtedness. Our liquidity requirements will be significant, primarily due to our debt service requirements. In addition, our future capital expenditures are likely to increase if we make acquisitions or additional investments in infrastructure or joint ventures necessary to support and expand our business, or if we decide to purchase or build one or more additional satellites. Furthermore, we expect to be a federal cash taxpayer for 2017 which will require additional liquidity.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Pursuant to a stock repurchase program approved by our board of directors, we are authorized to repurchase up to $500.0 million of our outstanding shares of Class A common stock through December 31, 2018. As of September 30, 2017, we have not repurchased any common stock under this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Services and other revenue - DISH Network</w:t>
      </w:r>
      <w:r>
        <w:rPr>
          <w:rFonts w:ascii="Arial" w:cs="Arial" w:eastAsia="Arial" w:hAnsi="Arial"/>
          <w:sz w:val="17"/>
          <w:szCs w:val="17"/>
          <w:color w:val="auto"/>
        </w:rPr>
        <w:t>. “Services and other revenue - DISH Network” primarily includes revenue associated with satellite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transponder services,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 - other” primarily includes the sales of enterprise and consumer broadband services,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maintenance and other contracted services. “Services and other revenue -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to DISH Network, as well as the cost of providing maintenance and other contracted services. “Cost of sales - services and other” also includes the costs associated with satellite and transponder services, telemetry, tracking and control, professional services, facilities rental costs, and other services provided to our customers, including DISH Network.</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 markets, and to DISH Network.</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Gains and impairment on investments, net</w:t>
      </w:r>
      <w:r>
        <w:rPr>
          <w:rFonts w:ascii="Arial" w:cs="Arial" w:eastAsia="Arial" w:hAnsi="Arial"/>
          <w:sz w:val="16"/>
          <w:szCs w:val="16"/>
          <w:color w:val="auto"/>
        </w:rPr>
        <w:t>. “Gains and impairment on investments, net” primarily includes gains, net of any losses, on the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investments, other-than-temporary impairment on certain of our marketable investment securities and unrealized gains on our trading securities.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Equity in earnings of unconsolidated affiliates, net</w:t>
      </w:r>
      <w:r>
        <w:rPr>
          <w:rFonts w:ascii="Arial" w:cs="Arial" w:eastAsia="Arial" w:hAnsi="Arial"/>
          <w:sz w:val="18"/>
          <w:szCs w:val="18"/>
          <w:color w:val="auto"/>
        </w:rPr>
        <w:t>. “Equity in earnings of unconsolidated affiliates, net” includes earnings or losses from our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under the equity method.</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Other, net</w:t>
      </w:r>
      <w:r>
        <w:rPr>
          <w:rFonts w:ascii="Arial" w:cs="Arial" w:eastAsia="Arial" w:hAnsi="Arial"/>
          <w:sz w:val="17"/>
          <w:szCs w:val="17"/>
          <w:color w:val="auto"/>
        </w:rPr>
        <w:t>. “Other, net” primarily includes foreign exchange gains and losses, dividends received from our marketable investment securities, and other non-operating income or expense items that are not appropriately classified elsewhere in our condensed consolidated statements of operations.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Income (loss) from discontinued operations. </w:t>
      </w:r>
      <w:r>
        <w:rPr>
          <w:rFonts w:ascii="Arial" w:cs="Arial" w:eastAsia="Arial" w:hAnsi="Arial"/>
          <w:sz w:val="18"/>
          <w:szCs w:val="18"/>
          <w:color w:val="auto"/>
        </w:rPr>
        <w:t>“Income (loss) from discontinued operations” includes the condensed consolidated financial statements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certain other assets exchanged as a result of the Share Exchange.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excluding “Interest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capitalized,” “Interest income,” “Income tax provision,” and “Depreciation and amortization.” EBITDA is not a measure determined in accordance with GAAP. This non-GAAP measure is reconciled to “Net income” in our discussion of “Results of Operations”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9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25"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September 30, 2017, our cash, cash equivalents and current marketable investment securities had a fair value of $3.28 billion. Of this amount, a total of $3.14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$3.14 billion as of September 30, 2017, a hypothetical 10% change in average interest rates during 2017 would not have had a material impact on the fair value of our cash, cash equivalents and debt securities portfolio due to the limited duration of our investments.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nine months ended September 30, 2017 of 1.9%. A change in interest rates would affect our future annual interest income from this portfolio, since funds would be re-invested at different rates as the instruments mature. A hypothetical 10% decrease in average interest rates during 2017 would have resulted in a decrease of approximately $5.6 million in annual interest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As of September 30, 2017, we held current strategic investments in the publicly traded common stock of several companies with a fair value of $139.4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have resulted in a decrease of approximately $13.9 million in the fair value of these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investment securities and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September 30, 2017, we had $13.7 million of restricted cash and marketable investment securities invested in: (a) cash; (b) debt instruments of the U.S. government and its agencies; (c) commercial paper and corporate notes with an overall average maturity of less than one year and rated in one of the four highest rating categories by at least two nationally recognized statistical rating organizations; (d) mutual funds; and (e) instruments with similar risk, duration and credit quality characteristics to the commercial paper described above. Based on our investment portfolio as of September 30, 2017, a hypothetical 10% increase in average interest rates would not have had a material impact on the fair value of our restricted cash and marketable investment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2017, we had $165.3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adverse change equal to 10% of the carrying amount of these equity instruments would have resulted in a decrease of approximately $16.5 million in the value of these investments.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September 30, 2017, we had $16.4 million of net foreign currency denominated receivables and payables outstanding, and foreign currency forward contracts with a notional value of $6.5 million in place to partially mitigate foreign currency exchange risk. The estimated fair values of the foreign exchange contracts were not material as of September 30, 2017. The impact of a hypothetical 10% adverse change in exchange rates on the carrying amount of the net assets and liabilities of our foreign subsidiaries would have been an estimated loss to the cumulative translation adjustment of $27.9 million as of September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Securities Exchange Act of 1934, as amended) that occurred during the third quarter of 2017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14 “Commitments and Contingencies — Litigation” in this Form 10-Q.</w:t>
      </w:r>
    </w:p>
    <w:p>
      <w:pPr>
        <w:spacing w:after="0" w:line="2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Item 1A, “Risk Factors,” of our Form 10-K for the year ended December 31, 2016 includes a detailed discussion of our risk factors. Except as provided below, for the nine months ended September 30, 2017, there were no material changes in our risk factors as previously disclosed.</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failure to adequately anticipate the need for satellite capacity or the inability to obtain satellite capacity for our Hughes segment could harm our results of operations.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to meet demand. We generally only purchase satellite capacity based on existing 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Our ability to provide capacity for subscriber growth in our North American consumer market could also be adversely affected by regulations and/or legislation in the U.S. that enable or propose to enable the use of a portion of the frequency bands we currently use or in the future intend to use for satellite services, 5G mobile terrestrial services or other uses. These bands include the Ka-band, where we operate our broadband gateway earth stations, and other bands in which we may operate in the future. Such regulation or legislation could limit our ability to use the Ka-band and/or other bands, limit our flexibility to change the way in which we use the Ka-band and/or adversely impact our ability to use additional bands in the future. Other countries in which we currently, or may in the future, operate are also considering regulations that could similarly limit access to the Ka-band or other frequency bands. In addition, the fixed satellite services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or interrupt the satellite capacity available to us. Our business and results of operations could be adversely affected if we are not able to renew our capacity leases at economically viable rates, if capacity is not available due to problems experienced by these FSS providers or if frequencies are not available to us.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of adverse government regulation.</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business is subject to varying degrees of regulation in the U.S. by the FCC, and other federal, state and local entities, and in foreign countries by similar entities, and internationally by the ITU. These regulations are subject to the administrative and political process and do change, for political and other reasons, from time to time. For example, the FCC recently adopted an order in its “Spectrum Frontiers” proceeding under which a portion of the Ka-band, in which we operate our broadband gateway earth stations, has been enabled for 5G mobile terrestrial services, which could limit our flexibility to change the way in which we use Ka-band in the future and/or limit our access to and ability to use the Ka-band and/or other bands in the future. Other countries in which we currently, or may in the future, operate are also considering regulations that could limit access to the Ka-band or other frequency bands. The FCC has also opened a proceeding on non-geostationary satellites, which may adversely impact our ability to use certain spectrum for user terminals. Moreover,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Generally all satellite, earth stations and other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In addition, we must obtain new licenses from the FCC and other countries’ regulators for the operation of new satellites that we may build and/or acquire. There can be no assurance that the FCC or other regulators will continue granting applications for new licenses or for the renewal of existing ones. If the FCC or other regulators were to cancel, revoke, suspend, or fail to renew any of our licenses or authorizations, or fail to grant our applications for FCC or other licenses, it could have a material adverse effect on our business, financial condition and results of operations. Specifically, loss of a frequency authorization or limitations on our ability to use the frequencies we currently use and/or intend to use in the future would reduce the amount of spectrum available to us, potentially reducing the amount of services we provide to our customers. The significance of such a loss of authorizations would vary based upon, among other things, the orbital location, the frequency band and the availability of replacement spectrum. In addition, the legislative and executive branches of the U.S. government and foreign governments often consider legislation and regulatory requirements that could affect us, as could the actions that the FCC and foreign regulatory bodies take. We cannot predict the outcomes of these legislative or regulatory proceedings or their effect on our business.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third parties have or may oppose some of our license applications and pending and future requests for extensions, modifications, waivers and approvals of our licenses. Even if we have fully complied with all of the required reporting, filing and other requirements in connection with our authorizations, it is possible a regulator could decline to grant certain of our applications or requests for authority, or could revoke, terminate, condition or decline to modify, extend or renew certain of our authorizations or licenses.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nine months ended September 30, 2017.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December 31, 2017. On November 1, 2017, our Board of Directors extended this authorization to repurchase up to $500.0 million of outstanding shares of our Class A common stock through open market repurchases including, without limitation, one or more trading plans in accordance with Rule 10b5-1 under the Securities Exchange Act of 1934, as amended, through and including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960" w:type="dxa"/>
            <w:vAlign w:val="bottom"/>
            <w:gridSpan w:val="9"/>
          </w:tcPr>
          <w:p>
            <w:pPr>
              <w:jc w:val="center"/>
              <w:ind w:right="68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696"/>
        </w:trPr>
        <w:tc>
          <w:tcPr>
            <w:tcW w:w="196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rPr>
              <w:t>Item 6.  EXHIBITS</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78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0" w:type="dxa"/>
            <w:vAlign w:val="bottom"/>
            <w:gridSpan w:val="2"/>
          </w:tcPr>
          <w:p>
            <w:pPr>
              <w:ind w:left="4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4"/>
          </w:tcPr>
          <w:p>
            <w:pPr>
              <w:jc w:val="center"/>
              <w:ind w:right="20"/>
              <w:spacing w:after="0" w:line="196" w:lineRule="exact"/>
              <w:rPr>
                <w:rFonts w:ascii="Arial" w:cs="Arial" w:eastAsia="Arial" w:hAnsi="Arial"/>
                <w:sz w:val="18"/>
                <w:szCs w:val="18"/>
                <w:color w:val="0000FF"/>
                <w:w w:val="96"/>
              </w:rPr>
            </w:pPr>
            <w:hyperlink w:anchor="page74">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1(H)</w:t>
              </w:r>
            </w:hyperlink>
          </w:p>
        </w:tc>
        <w:tc>
          <w:tcPr>
            <w:tcW w:w="8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rFonts w:ascii="Arial" w:cs="Arial" w:eastAsia="Arial" w:hAnsi="Arial"/>
                <w:sz w:val="18"/>
                <w:szCs w:val="18"/>
                <w:color w:val="0000FF"/>
                <w:w w:val="90"/>
              </w:rPr>
            </w:pPr>
            <w:hyperlink w:anchor="page74">
              <w:r>
                <w:rPr>
                  <w:rFonts w:ascii="Arial" w:cs="Arial" w:eastAsia="Arial" w:hAnsi="Arial"/>
                  <w:sz w:val="18"/>
                  <w:szCs w:val="18"/>
                  <w:color w:val="0000FF"/>
                  <w:w w:val="90"/>
                </w:rPr>
                <w:t>Section 302</w:t>
              </w:r>
            </w:hyperlink>
          </w:p>
        </w:tc>
        <w:tc>
          <w:tcPr>
            <w:tcW w:w="8520" w:type="dxa"/>
            <w:vAlign w:val="bottom"/>
            <w:gridSpan w:val="4"/>
          </w:tcPr>
          <w:p>
            <w:pPr>
              <w:ind w:left="20"/>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Certification of Chief Executive Officer.</w:t>
              </w:r>
            </w:hyperlink>
          </w:p>
        </w:tc>
      </w:tr>
      <w:tr>
        <w:trPr>
          <w:trHeight w:val="250"/>
        </w:trPr>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96"/>
              </w:rPr>
            </w:pPr>
            <w:hyperlink w:anchor="page75">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2(H)</w:t>
              </w:r>
            </w:hyperlink>
          </w:p>
        </w:tc>
        <w:tc>
          <w:tcPr>
            <w:tcW w:w="20" w:type="dxa"/>
            <w:vAlign w:val="bottom"/>
            <w:tcBorders>
              <w:top w:val="single" w:sz="8" w:color="0000FF"/>
            </w:tcBorders>
          </w:tcPr>
          <w:p>
            <w:pPr>
              <w:spacing w:after="0"/>
              <w:rPr>
                <w:sz w:val="21"/>
                <w:szCs w:val="21"/>
                <w:color w:val="auto"/>
              </w:rPr>
            </w:pPr>
          </w:p>
        </w:tc>
        <w:tc>
          <w:tcPr>
            <w:tcW w:w="86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Section 302</w:t>
              </w:r>
            </w:hyperlink>
          </w:p>
        </w:tc>
        <w:tc>
          <w:tcPr>
            <w:tcW w:w="2880" w:type="dxa"/>
            <w:vAlign w:val="bottom"/>
            <w:tcBorders>
              <w:top w:val="single" w:sz="8" w:color="0000FF"/>
              <w:bottom w:val="single" w:sz="8" w:color="0000FF"/>
            </w:tcBorders>
          </w:tcPr>
          <w:p>
            <w:pPr>
              <w:ind w:left="20"/>
              <w:spacing w:after="0"/>
              <w:rPr>
                <w:rFonts w:ascii="Arial" w:cs="Arial" w:eastAsia="Arial" w:hAnsi="Arial"/>
                <w:sz w:val="18"/>
                <w:szCs w:val="18"/>
                <w:color w:val="0000FF"/>
                <w:w w:val="93"/>
              </w:rPr>
            </w:pPr>
            <w:hyperlink w:anchor="page75">
              <w:r>
                <w:rPr>
                  <w:rFonts w:ascii="Arial" w:cs="Arial" w:eastAsia="Arial" w:hAnsi="Arial"/>
                  <w:sz w:val="18"/>
                  <w:szCs w:val="18"/>
                  <w:color w:val="0000FF"/>
                  <w:w w:val="93"/>
                </w:rPr>
                <w:t>Certification of Chief Financial Officer.</w:t>
              </w:r>
            </w:hyperlink>
          </w:p>
        </w:tc>
        <w:tc>
          <w:tcPr>
            <w:tcW w:w="40" w:type="dxa"/>
            <w:vAlign w:val="bottom"/>
            <w:tcBorders>
              <w:top w:val="single" w:sz="8" w:color="0000FF"/>
            </w:tcBorders>
          </w:tcPr>
          <w:p>
            <w:pPr>
              <w:spacing w:after="0"/>
              <w:rPr>
                <w:sz w:val="21"/>
                <w:szCs w:val="21"/>
                <w:color w:val="auto"/>
              </w:rPr>
            </w:pPr>
          </w:p>
        </w:tc>
        <w:tc>
          <w:tcPr>
            <w:tcW w:w="560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76">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1(I)</w:t>
              </w:r>
            </w:hyperlink>
          </w:p>
        </w:tc>
        <w:tc>
          <w:tcPr>
            <w:tcW w:w="920" w:type="dxa"/>
            <w:vAlign w:val="bottom"/>
            <w:gridSpan w:val="5"/>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Section 906</w:t>
              </w:r>
            </w:hyperlink>
          </w:p>
        </w:tc>
        <w:tc>
          <w:tcPr>
            <w:tcW w:w="5020" w:type="dxa"/>
            <w:vAlign w:val="bottom"/>
            <w:tcBorders>
              <w:bottom w:val="single" w:sz="8" w:color="0000FF"/>
            </w:tcBorders>
            <w:gridSpan w:val="3"/>
          </w:tcPr>
          <w:p>
            <w:pPr>
              <w:ind w:left="20"/>
              <w:spacing w:after="0"/>
              <w:rPr>
                <w:rFonts w:ascii="Arial" w:cs="Arial" w:eastAsia="Arial" w:hAnsi="Arial"/>
                <w:sz w:val="18"/>
                <w:szCs w:val="18"/>
                <w:color w:val="0000FF"/>
                <w:w w:val="93"/>
              </w:rPr>
            </w:pPr>
            <w:hyperlink w:anchor="page76">
              <w:r>
                <w:rPr>
                  <w:rFonts w:ascii="Arial" w:cs="Arial" w:eastAsia="Arial" w:hAnsi="Arial"/>
                  <w:sz w:val="18"/>
                  <w:szCs w:val="18"/>
                  <w:color w:val="0000FF"/>
                  <w:w w:val="93"/>
                </w:rPr>
                <w:t>Certifications of Chief Executive Officer and Chief Financial Officer.</w:t>
              </w:r>
            </w:hyperlink>
          </w:p>
        </w:tc>
        <w:tc>
          <w:tcPr>
            <w:tcW w:w="3500" w:type="dxa"/>
            <w:vAlign w:val="bottom"/>
          </w:tcPr>
          <w:p>
            <w:pPr>
              <w:spacing w:after="0"/>
              <w:rPr>
                <w:sz w:val="21"/>
                <w:szCs w:val="21"/>
                <w:color w:val="auto"/>
              </w:rPr>
            </w:pPr>
          </w:p>
        </w:tc>
      </w:tr>
      <w:tr>
        <w:trPr>
          <w:trHeight w:val="291"/>
        </w:trPr>
        <w:tc>
          <w:tcPr>
            <w:tcW w:w="180" w:type="dxa"/>
            <w:vAlign w:val="bottom"/>
          </w:tcPr>
          <w:p>
            <w:pPr>
              <w:spacing w:after="0"/>
              <w:rPr>
                <w:sz w:val="24"/>
                <w:szCs w:val="24"/>
                <w:color w:val="auto"/>
              </w:rPr>
            </w:pPr>
          </w:p>
        </w:tc>
        <w:tc>
          <w:tcPr>
            <w:tcW w:w="1780" w:type="dxa"/>
            <w:vAlign w:val="bottom"/>
            <w:gridSpan w:val="8"/>
          </w:tcPr>
          <w:p>
            <w:pPr>
              <w:jc w:val="center"/>
              <w:ind w:right="560"/>
              <w:spacing w:after="0"/>
              <w:rPr>
                <w:sz w:val="20"/>
                <w:szCs w:val="20"/>
                <w:color w:val="auto"/>
              </w:rPr>
            </w:pPr>
            <w:r>
              <w:rPr>
                <w:rFonts w:ascii="Arial" w:cs="Arial" w:eastAsia="Arial" w:hAnsi="Arial"/>
                <w:sz w:val="18"/>
                <w:szCs w:val="18"/>
                <w:color w:val="auto"/>
                <w:w w:val="95"/>
              </w:rPr>
              <w:t>101.INS</w:t>
            </w:r>
          </w:p>
        </w:tc>
        <w:tc>
          <w:tcPr>
            <w:tcW w:w="40" w:type="dxa"/>
            <w:vAlign w:val="bottom"/>
          </w:tcPr>
          <w:p>
            <w:pPr>
              <w:spacing w:after="0"/>
              <w:rPr>
                <w:sz w:val="24"/>
                <w:szCs w:val="24"/>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80" w:type="dxa"/>
            <w:vAlign w:val="bottom"/>
          </w:tcPr>
          <w:p>
            <w:pPr>
              <w:spacing w:after="0"/>
              <w:rPr>
                <w:sz w:val="23"/>
                <w:szCs w:val="23"/>
                <w:color w:val="auto"/>
              </w:rPr>
            </w:pPr>
          </w:p>
        </w:tc>
        <w:tc>
          <w:tcPr>
            <w:tcW w:w="1780" w:type="dxa"/>
            <w:vAlign w:val="bottom"/>
            <w:gridSpan w:val="8"/>
          </w:tcPr>
          <w:p>
            <w:pPr>
              <w:jc w:val="center"/>
              <w:ind w:right="56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3"/>
                <w:szCs w:val="23"/>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80" w:type="dxa"/>
            <w:vAlign w:val="bottom"/>
          </w:tcPr>
          <w:p>
            <w:pPr>
              <w:spacing w:after="0"/>
              <w:rPr>
                <w:sz w:val="23"/>
                <w:szCs w:val="23"/>
                <w:color w:val="auto"/>
              </w:rPr>
            </w:pPr>
          </w:p>
        </w:tc>
        <w:tc>
          <w:tcPr>
            <w:tcW w:w="1780" w:type="dxa"/>
            <w:vAlign w:val="bottom"/>
            <w:gridSpan w:val="8"/>
          </w:tcPr>
          <w:p>
            <w:pPr>
              <w:jc w:val="center"/>
              <w:ind w:right="560"/>
              <w:spacing w:after="0"/>
              <w:rPr>
                <w:sz w:val="20"/>
                <w:szCs w:val="20"/>
                <w:color w:val="auto"/>
              </w:rPr>
            </w:pPr>
            <w:r>
              <w:rPr>
                <w:rFonts w:ascii="Arial" w:cs="Arial" w:eastAsia="Arial" w:hAnsi="Arial"/>
                <w:sz w:val="18"/>
                <w:szCs w:val="18"/>
                <w:color w:val="auto"/>
                <w:w w:val="94"/>
              </w:rPr>
              <w:t>101.CAL</w:t>
            </w:r>
          </w:p>
        </w:tc>
        <w:tc>
          <w:tcPr>
            <w:tcW w:w="40" w:type="dxa"/>
            <w:vAlign w:val="bottom"/>
          </w:tcPr>
          <w:p>
            <w:pPr>
              <w:spacing w:after="0"/>
              <w:rPr>
                <w:sz w:val="23"/>
                <w:szCs w:val="23"/>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80" w:type="dxa"/>
            <w:vAlign w:val="bottom"/>
          </w:tcPr>
          <w:p>
            <w:pPr>
              <w:spacing w:after="0"/>
              <w:rPr>
                <w:sz w:val="23"/>
                <w:szCs w:val="23"/>
                <w:color w:val="auto"/>
              </w:rPr>
            </w:pPr>
          </w:p>
        </w:tc>
        <w:tc>
          <w:tcPr>
            <w:tcW w:w="1780" w:type="dxa"/>
            <w:vAlign w:val="bottom"/>
            <w:gridSpan w:val="8"/>
          </w:tcPr>
          <w:p>
            <w:pPr>
              <w:jc w:val="center"/>
              <w:ind w:right="56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80" w:type="dxa"/>
            <w:vAlign w:val="bottom"/>
          </w:tcPr>
          <w:p>
            <w:pPr>
              <w:spacing w:after="0"/>
              <w:rPr>
                <w:sz w:val="23"/>
                <w:szCs w:val="23"/>
                <w:color w:val="auto"/>
              </w:rPr>
            </w:pPr>
          </w:p>
        </w:tc>
        <w:tc>
          <w:tcPr>
            <w:tcW w:w="1780" w:type="dxa"/>
            <w:vAlign w:val="bottom"/>
            <w:gridSpan w:val="8"/>
          </w:tcPr>
          <w:p>
            <w:pPr>
              <w:jc w:val="center"/>
              <w:ind w:right="560"/>
              <w:spacing w:after="0"/>
              <w:rPr>
                <w:sz w:val="20"/>
                <w:szCs w:val="20"/>
                <w:color w:val="auto"/>
              </w:rPr>
            </w:pPr>
            <w:r>
              <w:rPr>
                <w:rFonts w:ascii="Arial" w:cs="Arial" w:eastAsia="Arial" w:hAnsi="Arial"/>
                <w:sz w:val="18"/>
                <w:szCs w:val="18"/>
                <w:color w:val="auto"/>
                <w:w w:val="95"/>
              </w:rPr>
              <w:t>101.LAB</w:t>
            </w:r>
          </w:p>
        </w:tc>
        <w:tc>
          <w:tcPr>
            <w:tcW w:w="40" w:type="dxa"/>
            <w:vAlign w:val="bottom"/>
          </w:tcPr>
          <w:p>
            <w:pPr>
              <w:spacing w:after="0"/>
              <w:rPr>
                <w:sz w:val="23"/>
                <w:szCs w:val="23"/>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80" w:type="dxa"/>
            <w:vAlign w:val="bottom"/>
          </w:tcPr>
          <w:p>
            <w:pPr>
              <w:spacing w:after="0"/>
              <w:rPr>
                <w:sz w:val="23"/>
                <w:szCs w:val="23"/>
                <w:color w:val="auto"/>
              </w:rPr>
            </w:pPr>
          </w:p>
        </w:tc>
        <w:tc>
          <w:tcPr>
            <w:tcW w:w="1780" w:type="dxa"/>
            <w:vAlign w:val="bottom"/>
            <w:gridSpan w:val="8"/>
          </w:tcPr>
          <w:p>
            <w:pPr>
              <w:jc w:val="center"/>
              <w:ind w:right="560"/>
              <w:spacing w:after="0"/>
              <w:rPr>
                <w:sz w:val="20"/>
                <w:szCs w:val="20"/>
                <w:color w:val="auto"/>
              </w:rPr>
            </w:pPr>
            <w:r>
              <w:rPr>
                <w:rFonts w:ascii="Arial" w:cs="Arial" w:eastAsia="Arial" w:hAnsi="Arial"/>
                <w:sz w:val="18"/>
                <w:szCs w:val="18"/>
                <w:color w:val="auto"/>
                <w:w w:val="91"/>
              </w:rPr>
              <w:t>101.PRE</w:t>
            </w:r>
          </w:p>
        </w:tc>
        <w:tc>
          <w:tcPr>
            <w:tcW w:w="40" w:type="dxa"/>
            <w:vAlign w:val="bottom"/>
          </w:tcPr>
          <w:p>
            <w:pPr>
              <w:spacing w:after="0"/>
              <w:rPr>
                <w:sz w:val="23"/>
                <w:szCs w:val="23"/>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-208915</wp:posOffset>
            </wp:positionV>
            <wp:extent cx="1140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08"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810"/>
        </w:trPr>
        <w:tc>
          <w:tcPr>
            <w:tcW w:w="3340" w:type="dxa"/>
            <w:vAlign w:val="bottom"/>
          </w:tcPr>
          <w:p>
            <w:pPr>
              <w:spacing w:after="0"/>
              <w:rPr>
                <w:sz w:val="20"/>
                <w:szCs w:val="20"/>
                <w:color w:val="auto"/>
              </w:rPr>
            </w:pPr>
            <w:r>
              <w:rPr>
                <w:rFonts w:ascii="Arial" w:cs="Arial" w:eastAsia="Arial" w:hAnsi="Arial"/>
                <w:sz w:val="18"/>
                <w:szCs w:val="18"/>
                <w:color w:val="auto"/>
              </w:rPr>
              <w:t>Date: November 8, 2017</w:t>
            </w:r>
          </w:p>
        </w:tc>
        <w:tc>
          <w:tcPr>
            <w:tcW w:w="2240" w:type="dxa"/>
            <w:vAlign w:val="bottom"/>
          </w:tcPr>
          <w:p>
            <w:pPr>
              <w:ind w:left="158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7"/>
        </w:trPr>
        <w:tc>
          <w:tcPr>
            <w:tcW w:w="3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70"/>
        </w:trPr>
        <w:tc>
          <w:tcPr>
            <w:tcW w:w="3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340" w:type="dxa"/>
            <w:vAlign w:val="bottom"/>
          </w:tcPr>
          <w:p>
            <w:pPr>
              <w:spacing w:after="0"/>
              <w:rPr>
                <w:sz w:val="20"/>
                <w:szCs w:val="20"/>
                <w:color w:val="auto"/>
              </w:rPr>
            </w:pPr>
            <w:r>
              <w:rPr>
                <w:rFonts w:ascii="Arial" w:cs="Arial" w:eastAsia="Arial" w:hAnsi="Arial"/>
                <w:sz w:val="18"/>
                <w:szCs w:val="18"/>
                <w:color w:val="auto"/>
              </w:rPr>
              <w:t>Date: November 8, 2017</w:t>
            </w:r>
          </w:p>
        </w:tc>
        <w:tc>
          <w:tcPr>
            <w:tcW w:w="2240" w:type="dxa"/>
            <w:vAlign w:val="bottom"/>
          </w:tcPr>
          <w:p>
            <w:pPr>
              <w:ind w:left="158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7"/>
        </w:trPr>
        <w:tc>
          <w:tcPr>
            <w:tcW w:w="3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56"/>
        </w:trPr>
        <w:tc>
          <w:tcPr>
            <w:tcW w:w="3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r>
      <w:tr>
        <w:trPr>
          <w:trHeight w:val="230"/>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Treasurer</w:t>
            </w:r>
          </w:p>
        </w:tc>
      </w:tr>
      <w:tr>
        <w:trPr>
          <w:trHeight w:val="270"/>
        </w:trPr>
        <w:tc>
          <w:tcPr>
            <w:tcW w:w="3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02"/>
        </w:trPr>
        <w:tc>
          <w:tcPr>
            <w:tcW w:w="3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95" w:lineRule="auto"/>
        <w:tabs>
          <w:tab w:leader="none" w:pos="3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324"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408"/>
        <w:spacing w:after="0" w:line="264"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408"/>
        <w:spacing w:after="0" w:line="264"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408"/>
        <w:spacing w:after="0" w:line="342" w:lineRule="auto"/>
        <w:tabs>
          <w:tab w:leader="none" w:pos="7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408"/>
        <w:spacing w:after="0" w:line="264"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57" w:lineRule="auto"/>
        <w:tabs>
          <w:tab w:leader="none" w:pos="32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740" w:right="380" w:hanging="408"/>
        <w:spacing w:after="0" w:line="277"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408"/>
        <w:spacing w:after="0" w:line="277"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for the quarter ended September 30, 2017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1060" w:right="220" w:hanging="40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1060" w:right="20" w:hanging="40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Roman"/>
      <w:start w:val="3"/>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upperLetter"/>
      <w:start w:val="8"/>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2019-12-29T03:17:15Z</dcterms:created>
  <dcterms:modified xsi:type="dcterms:W3CDTF">2019-12-29T03:17:15Z</dcterms:modified>
</cp:coreProperties>
</file>