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July 29, 2025</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280" w:type="dxa"/>
            <w:vAlign w:val="bottom"/>
            <w:gridSpan w:val="3"/>
          </w:tcPr>
          <w:p>
            <w:pPr>
              <w:jc w:val="center"/>
              <w:ind w:right="14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10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280" w:type="dxa"/>
            <w:vAlign w:val="bottom"/>
            <w:gridSpan w:val="3"/>
            <w:vMerge w:val="restart"/>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447"/>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22"/>
                <w:szCs w:val="22"/>
                <w:b w:val="1"/>
                <w:bCs w:val="1"/>
                <w:color w:val="auto"/>
              </w:rPr>
              <w:t>DISH NETWORK CORPORATION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001-39144</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88-0336997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920" w:type="dxa"/>
            <w:vAlign w:val="bottom"/>
            <w:gridSpan w:val="7"/>
          </w:tcPr>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333-179121</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gridSpan w:val="3"/>
            <w:vMerge w:val="restart"/>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DISH DBS CORPORATION</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333-31929</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84-1328967</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0"/>
          <w:szCs w:val="20"/>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104140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2" w:right="10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22222"/>
        </w:rPr>
        <w:t>On July 29, 2025, DISH DBS Corporation (“DDBS”), a subsidiary of EchoStar Corporation (“EchoStar” and, together with its subsidiaries, the “Company”), notified the trustee for its 7.75% senior notes due 2026 (the “2026 Notes”) and its 7.375% senior notes due 2028 (the “2028 Notes” and, together with the 2026 Notes, the “Senior Notes”) that, on July 30, 2025, DDBS would make the scheduled interest payments originally due on July 1, 2025 on the Senior Notes, in each case including interest on the defaulted interest. Such payments are being made on July 30, 2025, within the applicable 30-day grace periods to make such interest payments before such non-payments would constitute an Event of Default (as defined in the relevant indentures governing such notes).</w:t>
      </w:r>
    </w:p>
    <w:p>
      <w:pPr>
        <w:spacing w:after="0" w:line="18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22222"/>
        </w:rPr>
        <w:t>Since curing the previous non-payments of interest on June 27, 2025, the Company has remained focused on resolving the concerns raised by the Federal Communications Commission (“FCC”) in May 2025. The Company continues to work cooperatively with the FCC to facilitate its ongoing inquiries, including by providing responses and information at the FCC’s request. In parallel, the Company continues to progress wide-ranging efforts to explore alternative or complementary pathways that could, if successfully implemented, resolve the FCC’s stated concerns in a manner acceptable to the Company. Although no such resolution has been achieved, and it is possible that no such resolution will ultimately be achieved, DDBS has determined, based on these developments, that it should in good faith cure the non-payment defaults under the indentures by making the interest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1031240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646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16"/>
        </w:trPr>
        <w:tc>
          <w:tcPr>
            <w:tcW w:w="3460" w:type="dxa"/>
            <w:vAlign w:val="bottom"/>
          </w:tcPr>
          <w:p>
            <w:pPr>
              <w:spacing w:after="0"/>
              <w:rPr>
                <w:sz w:val="18"/>
                <w:szCs w:val="18"/>
                <w:color w:val="auto"/>
              </w:rPr>
            </w:pPr>
          </w:p>
        </w:tc>
        <w:tc>
          <w:tcPr>
            <w:tcW w:w="646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DISH NETWORK CORPORATION</w:t>
            </w:r>
          </w:p>
        </w:tc>
      </w:tr>
      <w:tr>
        <w:trPr>
          <w:trHeight w:val="216"/>
        </w:trPr>
        <w:tc>
          <w:tcPr>
            <w:tcW w:w="3460" w:type="dxa"/>
            <w:vAlign w:val="bottom"/>
          </w:tcPr>
          <w:p>
            <w:pPr>
              <w:spacing w:after="0"/>
              <w:rPr>
                <w:sz w:val="18"/>
                <w:szCs w:val="18"/>
                <w:color w:val="auto"/>
              </w:rPr>
            </w:pPr>
          </w:p>
        </w:tc>
        <w:tc>
          <w:tcPr>
            <w:tcW w:w="646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238"/>
        </w:trPr>
        <w:tc>
          <w:tcPr>
            <w:tcW w:w="3460" w:type="dxa"/>
            <w:vAlign w:val="bottom"/>
          </w:tcPr>
          <w:p>
            <w:pPr>
              <w:spacing w:after="0"/>
              <w:rPr>
                <w:sz w:val="20"/>
                <w:szCs w:val="20"/>
                <w:color w:val="auto"/>
              </w:rPr>
            </w:pPr>
          </w:p>
        </w:tc>
        <w:tc>
          <w:tcPr>
            <w:tcW w:w="646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DISH DBS CORPORATION</w:t>
            </w:r>
          </w:p>
        </w:tc>
      </w:tr>
      <w:tr>
        <w:trPr>
          <w:trHeight w:val="432"/>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July 30, 2025</w:t>
            </w:r>
          </w:p>
        </w:tc>
        <w:tc>
          <w:tcPr>
            <w:tcW w:w="646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4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15"/>
        </w:trPr>
        <w:tc>
          <w:tcPr>
            <w:tcW w:w="34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2025-07-30T07:05:25Z</dcterms:created>
  <dcterms:modified xsi:type="dcterms:W3CDTF">2025-07-30T07:05:25Z</dcterms:modified>
</cp:coreProperties>
</file>