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135255</wp:posOffset>
            </wp:positionV>
            <wp:extent cx="6506845"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6845" cy="311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197485</wp:posOffset>
            </wp:positionV>
            <wp:extent cx="65068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6845" cy="762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(Mark One)</w:t>
      </w:r>
    </w:p>
    <w:p>
      <w:pPr>
        <w:ind w:left="1380" w:hanging="583"/>
        <w:spacing w:after="0"/>
        <w:tabs>
          <w:tab w:leader="none" w:pos="13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2025.</w:t>
      </w:r>
    </w:p>
    <w:p>
      <w:pPr>
        <w:jc w:val="center"/>
        <w:spacing w:after="0" w:line="221" w:lineRule="auto"/>
        <w:rPr>
          <w:sz w:val="20"/>
          <w:szCs w:val="20"/>
          <w:color w:val="auto"/>
        </w:rPr>
      </w:pPr>
      <w:r>
        <w:rPr>
          <w:rFonts w:ascii="Arial" w:cs="Arial" w:eastAsia="Arial" w:hAnsi="Arial"/>
          <w:sz w:val="13"/>
          <w:szCs w:val="13"/>
          <w:b w:val="1"/>
          <w:bCs w:val="1"/>
          <w:color w:val="auto"/>
        </w:rPr>
        <w:t>OR</w:t>
      </w:r>
    </w:p>
    <w:p>
      <w:pPr>
        <w:spacing w:after="0" w:line="1" w:lineRule="exact"/>
        <w:rPr>
          <w:sz w:val="24"/>
          <w:szCs w:val="24"/>
          <w:color w:val="auto"/>
        </w:rPr>
      </w:pPr>
    </w:p>
    <w:p>
      <w:pPr>
        <w:ind w:left="1240" w:hanging="598"/>
        <w:spacing w:after="0"/>
        <w:tabs>
          <w:tab w:leader="none" w:pos="12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 w:lineRule="exact"/>
        <w:rPr>
          <w:sz w:val="24"/>
          <w:szCs w:val="24"/>
          <w:color w:val="auto"/>
        </w:rPr>
      </w:pPr>
    </w:p>
    <w:p>
      <w:pPr>
        <w:jc w:val="center"/>
        <w:spacing w:after="0"/>
        <w:tabs>
          <w:tab w:leader="none" w:pos="120" w:val="left"/>
          <w:tab w:leader="none" w:pos="140" w:val="left"/>
        </w:tabs>
        <w:rPr>
          <w:sz w:val="20"/>
          <w:szCs w:val="20"/>
          <w:color w:val="auto"/>
        </w:rPr>
      </w:pPr>
      <w:r>
        <w:rPr>
          <w:rFonts w:ascii="Arial" w:cs="Arial" w:eastAsia="Arial" w:hAnsi="Arial"/>
          <w:sz w:val="13"/>
          <w:szCs w:val="13"/>
          <w:b w:val="1"/>
          <w:bCs w:val="1"/>
          <w:color w:val="auto"/>
        </w:rPr>
        <w:t>For the transition period from</w:t>
        <w:tab/>
        <w:t>to</w:t>
      </w:r>
      <w:r>
        <w:rPr>
          <w:sz w:val="20"/>
          <w:szCs w:val="20"/>
          <w:color w:val="auto"/>
        </w:rPr>
        <w:tab/>
      </w:r>
      <w:r>
        <w:rPr>
          <w:rFonts w:ascii="Arial" w:cs="Arial" w:eastAsia="Arial" w:hAnsi="Arial"/>
          <w:sz w:val="7"/>
          <w:szCs w:val="7"/>
          <w:b w:val="1"/>
          <w:bCs w:val="1"/>
          <w:color w:val="auto"/>
        </w:rPr>
        <w:t>.</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333-179121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2085975</wp:posOffset>
            </wp:positionH>
            <wp:positionV relativeFrom="paragraph">
              <wp:posOffset>38100</wp:posOffset>
            </wp:positionV>
            <wp:extent cx="2334895" cy="731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34895" cy="731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Hughes Satellite Systems Corporation</w:t>
      </w:r>
    </w:p>
    <w:p>
      <w:pPr>
        <w:jc w:val="center"/>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71" w:lineRule="exact"/>
        <w:rPr>
          <w:sz w:val="24"/>
          <w:szCs w:val="24"/>
          <w:color w:val="auto"/>
        </w:rPr>
      </w:pPr>
    </w:p>
    <w:p>
      <w:pPr>
        <w:ind w:left="2140"/>
        <w:spacing w:after="0"/>
        <w:tabs>
          <w:tab w:leader="none" w:pos="5080" w:val="left"/>
          <w:tab w:leader="none" w:pos="7280" w:val="left"/>
        </w:tabs>
        <w:rPr>
          <w:sz w:val="20"/>
          <w:szCs w:val="20"/>
          <w:color w:val="auto"/>
        </w:rPr>
      </w:pPr>
      <w:r>
        <w:rPr>
          <w:rFonts w:ascii="Arial" w:cs="Arial" w:eastAsia="Arial" w:hAnsi="Arial"/>
          <w:sz w:val="16"/>
          <w:szCs w:val="16"/>
          <w:b w:val="1"/>
          <w:bCs w:val="1"/>
          <w:color w:val="auto"/>
        </w:rPr>
        <w:t>Colorado</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45-0897865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64992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9225" cy="7620"/>
                    </a:xfrm>
                    <a:prstGeom prst="rect">
                      <a:avLst/>
                    </a:prstGeom>
                    <a:noFill/>
                  </pic:spPr>
                </pic:pic>
              </a:graphicData>
            </a:graphic>
          </wp:anchor>
        </w:drawing>
      </w:r>
    </w:p>
    <w:p>
      <w:pPr>
        <w:sectPr>
          <w:pgSz w:w="11900" w:h="16838" w:orient="portrait"/>
          <w:cols w:equalWidth="0" w:num="1">
            <w:col w:w="10240"/>
          </w:cols>
          <w:pgMar w:left="820" w:top="613" w:right="839" w:bottom="1440" w:gutter="0" w:footer="0" w:header="0"/>
        </w:sectPr>
      </w:pPr>
    </w:p>
    <w:p>
      <w:pPr>
        <w:spacing w:after="0" w:line="28" w:lineRule="exact"/>
        <w:rPr>
          <w:sz w:val="24"/>
          <w:szCs w:val="24"/>
          <w:color w:val="auto"/>
        </w:rPr>
      </w:pPr>
    </w:p>
    <w:p>
      <w:pPr>
        <w:ind w:left="4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168" w:lineRule="exact"/>
        <w:rPr>
          <w:sz w:val="24"/>
          <w:szCs w:val="24"/>
          <w:color w:val="auto"/>
        </w:rPr>
      </w:pPr>
    </w:p>
    <w:p>
      <w:pPr>
        <w:ind w:left="400"/>
        <w:spacing w:after="0"/>
        <w:rPr>
          <w:sz w:val="20"/>
          <w:szCs w:val="20"/>
          <w:color w:val="auto"/>
        </w:rPr>
      </w:pPr>
      <w:r>
        <w:rPr>
          <w:rFonts w:ascii="Arial" w:cs="Arial" w:eastAsia="Arial" w:hAnsi="Arial"/>
          <w:sz w:val="16"/>
          <w:szCs w:val="16"/>
          <w:b w:val="1"/>
          <w:bCs w:val="1"/>
          <w:color w:val="auto"/>
        </w:rPr>
        <w:t>9601 South Meridian Boulevard, Englewood, Colorado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10795</wp:posOffset>
            </wp:positionV>
            <wp:extent cx="31756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635" cy="7620"/>
                    </a:xfrm>
                    <a:prstGeom prst="rect">
                      <a:avLst/>
                    </a:prstGeom>
                    <a:noFill/>
                  </pic:spPr>
                </pic:pic>
              </a:graphicData>
            </a:graphic>
          </wp:anchor>
        </w:drawing>
      </w:r>
    </w:p>
    <w:p>
      <w:pPr>
        <w:spacing w:after="0" w:line="8"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(Address of principal executive offices)</w:t>
      </w:r>
    </w:p>
    <w:p>
      <w:pPr>
        <w:spacing w:after="0" w:line="168"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(303) 723-1000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168" w:lineRule="exact"/>
        <w:rPr>
          <w:sz w:val="24"/>
          <w:szCs w:val="24"/>
          <w:color w:val="auto"/>
        </w:rPr>
      </w:pPr>
    </w:p>
    <w:p>
      <w:pPr>
        <w:ind w:left="820"/>
        <w:spacing w:after="0"/>
        <w:rPr>
          <w:sz w:val="20"/>
          <w:szCs w:val="20"/>
          <w:color w:val="auto"/>
        </w:rPr>
      </w:pPr>
      <w:r>
        <w:rPr>
          <w:rFonts w:ascii="Arial" w:cs="Arial" w:eastAsia="Arial" w:hAnsi="Arial"/>
          <w:sz w:val="16"/>
          <w:szCs w:val="16"/>
          <w:b w:val="1"/>
          <w:bCs w:val="1"/>
          <w:color w:val="auto"/>
        </w:rPr>
        <w:t>80112-5308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-798195</wp:posOffset>
            </wp:positionH>
            <wp:positionV relativeFrom="paragraph">
              <wp:posOffset>10795</wp:posOffset>
            </wp:positionV>
            <wp:extent cx="31908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0875" cy="7620"/>
                    </a:xfrm>
                    <a:prstGeom prst="rect">
                      <a:avLst/>
                    </a:prstGeom>
                    <a:noFill/>
                  </pic:spPr>
                </pic:pic>
              </a:graphicData>
            </a:graphic>
          </wp:anchor>
        </w:drawing>
      </w:r>
    </w:p>
    <w:p>
      <w:pPr>
        <w:spacing w:after="0" w:line="8"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(Zip Code)</w:t>
      </w:r>
    </w:p>
    <w:p>
      <w:pPr>
        <w:spacing w:after="0" w:line="168" w:lineRule="exact"/>
        <w:rPr>
          <w:sz w:val="24"/>
          <w:szCs w:val="24"/>
          <w:color w:val="auto"/>
        </w:rPr>
      </w:pPr>
    </w:p>
    <w:p>
      <w:pPr>
        <w:jc w:val="center"/>
        <w:ind w:right="1260"/>
        <w:spacing w:after="0"/>
        <w:rPr>
          <w:sz w:val="20"/>
          <w:szCs w:val="20"/>
          <w:color w:val="auto"/>
        </w:rPr>
      </w:pPr>
      <w:r>
        <w:rPr>
          <w:rFonts w:ascii="Arial" w:cs="Arial" w:eastAsia="Arial" w:hAnsi="Arial"/>
          <w:sz w:val="16"/>
          <w:szCs w:val="16"/>
          <w:b w:val="1"/>
          <w:bCs w:val="1"/>
          <w:color w:val="auto"/>
        </w:rPr>
        <w:t>Not Applicable</w:t>
      </w:r>
    </w:p>
    <w:p>
      <w:pPr>
        <w:spacing w:after="0" w:line="17" w:lineRule="exact"/>
        <w:rPr>
          <w:sz w:val="24"/>
          <w:szCs w:val="24"/>
          <w:color w:val="auto"/>
        </w:rPr>
      </w:pPr>
    </w:p>
    <w:p>
      <w:pPr>
        <w:sectPr>
          <w:pgSz w:w="11900" w:h="16838" w:orient="portrait"/>
          <w:cols w:equalWidth="0" w:num="2">
            <w:col w:w="5760" w:space="720"/>
            <w:col w:w="3760"/>
          </w:cols>
          <w:pgMar w:left="820" w:top="613" w:right="839" w:bottom="1440" w:gutter="0" w:footer="0" w:header="0"/>
          <w:type w:val="continuous"/>
        </w:sectPr>
      </w:pPr>
    </w:p>
    <w:tbl>
      <w:tblPr>
        <w:tblLayout w:type="fixed"/>
        <w:tblInd w:w="20" w:type="dxa"/>
        <w:tblCellMar>
          <w:top w:w="0" w:type="dxa"/>
          <w:left w:w="0" w:type="dxa"/>
          <w:bottom w:w="0" w:type="dxa"/>
          <w:right w:w="0" w:type="dxa"/>
        </w:tblCellMar>
      </w:tblPr>
      <w:tr>
        <w:trPr>
          <w:trHeight w:val="159"/>
        </w:trPr>
        <w:tc>
          <w:tcPr>
            <w:tcW w:w="5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2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6"/>
                <w:szCs w:val="16"/>
                <w:color w:val="auto"/>
              </w:rPr>
              <w:t>(Former name, former address and former fiscal year, if changed</w:t>
            </w:r>
          </w:p>
        </w:tc>
      </w:tr>
      <w:tr>
        <w:trPr>
          <w:trHeight w:val="216"/>
        </w:trPr>
        <w:tc>
          <w:tcPr>
            <w:tcW w:w="5200" w:type="dxa"/>
            <w:vAlign w:val="bottom"/>
            <w:gridSpan w:val="2"/>
          </w:tcPr>
          <w:p>
            <w:pPr>
              <w:ind w:left="580"/>
              <w:spacing w:after="0"/>
              <w:rPr>
                <w:sz w:val="20"/>
                <w:szCs w:val="20"/>
                <w:color w:val="auto"/>
              </w:rPr>
            </w:pPr>
            <w:r>
              <w:rPr>
                <w:rFonts w:ascii="Arial" w:cs="Arial" w:eastAsia="Arial" w:hAnsi="Arial"/>
                <w:sz w:val="16"/>
                <w:szCs w:val="16"/>
                <w:color w:val="auto"/>
              </w:rPr>
              <w:t>(Registrant’s telephone number, including area code)</w:t>
            </w:r>
          </w:p>
        </w:tc>
        <w:tc>
          <w:tcPr>
            <w:tcW w:w="5020" w:type="dxa"/>
            <w:vAlign w:val="bottom"/>
          </w:tcPr>
          <w:p>
            <w:pPr>
              <w:jc w:val="center"/>
              <w:spacing w:after="0"/>
              <w:rPr>
                <w:sz w:val="20"/>
                <w:szCs w:val="20"/>
                <w:color w:val="auto"/>
              </w:rPr>
            </w:pPr>
            <w:r>
              <w:rPr>
                <w:rFonts w:ascii="Arial" w:cs="Arial" w:eastAsia="Arial" w:hAnsi="Arial"/>
                <w:sz w:val="16"/>
                <w:szCs w:val="16"/>
                <w:color w:val="auto"/>
              </w:rPr>
              <w:t>since last report)</w:t>
            </w:r>
          </w:p>
        </w:tc>
      </w:tr>
    </w:tbl>
    <w:p>
      <w:pPr>
        <w:spacing w:after="0" w:line="114" w:lineRule="exact"/>
        <w:rPr>
          <w:sz w:val="24"/>
          <w:szCs w:val="24"/>
          <w:color w:val="auto"/>
        </w:rPr>
      </w:pPr>
    </w:p>
    <w:p>
      <w:pPr>
        <w:ind w:left="3500"/>
        <w:spacing w:after="0"/>
        <w:rPr>
          <w:sz w:val="20"/>
          <w:szCs w:val="20"/>
          <w:color w:val="auto"/>
        </w:rPr>
      </w:pPr>
      <w:r>
        <w:rPr>
          <w:rFonts w:ascii="Arial" w:cs="Arial" w:eastAsia="Arial" w:hAnsi="Arial"/>
          <w:sz w:val="11"/>
          <w:szCs w:val="11"/>
          <w:color w:val="auto"/>
        </w:rPr>
        <w:t xml:space="preserve">Securities registered pursuant to Section 12(b) of the Act: </w:t>
      </w:r>
      <w:r>
        <w:rPr>
          <w:rFonts w:ascii="Arial" w:cs="Arial" w:eastAsia="Arial" w:hAnsi="Arial"/>
          <w:sz w:val="11"/>
          <w:szCs w:val="11"/>
          <w:b w:val="1"/>
          <w:bCs w:val="1"/>
          <w:color w:val="auto"/>
        </w:rPr>
        <w:t>None</w:t>
      </w:r>
    </w:p>
    <w:p>
      <w:pPr>
        <w:spacing w:after="0" w:line="8" w:lineRule="exact"/>
        <w:rPr>
          <w:sz w:val="24"/>
          <w:szCs w:val="24"/>
          <w:color w:val="auto"/>
        </w:rPr>
      </w:pPr>
    </w:p>
    <w:p>
      <w:pPr>
        <w:ind w:left="3500"/>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p>
      <w:pPr>
        <w:spacing w:after="0" w:line="45" w:lineRule="exact"/>
        <w:rPr>
          <w:sz w:val="24"/>
          <w:szCs w:val="24"/>
          <w:color w:val="auto"/>
        </w:rPr>
      </w:pPr>
    </w:p>
    <w:p>
      <w:pPr>
        <w:ind w:right="3600"/>
        <w:spacing w:after="0" w:line="194"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highlight w:val="black"/>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highlight w:val="black"/>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9" w:lineRule="exact"/>
        <w:rPr>
          <w:sz w:val="24"/>
          <w:szCs w:val="24"/>
          <w:color w:val="auto"/>
        </w:rPr>
      </w:pPr>
    </w:p>
    <w:p>
      <w:pPr>
        <w:spacing w:after="0" w:line="150"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highlight w:val="black"/>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w:t>
      </w:r>
    </w:p>
    <w:p>
      <w:pPr>
        <w:spacing w:after="0" w:line="32" w:lineRule="exact"/>
        <w:rPr>
          <w:sz w:val="24"/>
          <w:szCs w:val="24"/>
          <w:color w:val="auto"/>
        </w:rPr>
      </w:pPr>
    </w:p>
    <w:p>
      <w:pPr>
        <w:spacing w:after="0" w:line="150"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1"/>
          <w:szCs w:val="11"/>
          <w:color w:val="auto"/>
          <w:highlight w:val="black"/>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9" w:lineRule="exact"/>
        <w:rPr>
          <w:sz w:val="24"/>
          <w:szCs w:val="24"/>
          <w:color w:val="auto"/>
        </w:rPr>
      </w:pPr>
    </w:p>
    <w:p>
      <w:pPr>
        <w:spacing w:after="0" w:line="27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2" w:lineRule="exact"/>
        <w:rPr>
          <w:sz w:val="24"/>
          <w:szCs w:val="24"/>
          <w:color w:val="auto"/>
        </w:rPr>
      </w:pPr>
    </w:p>
    <w:p>
      <w:pPr>
        <w:ind w:left="60"/>
        <w:spacing w:after="0" w:line="127" w:lineRule="exact"/>
        <w:tabs>
          <w:tab w:leader="none" w:pos="3020" w:val="left"/>
          <w:tab w:leader="none" w:pos="3480" w:val="left"/>
          <w:tab w:leader="none" w:pos="6460" w:val="left"/>
          <w:tab w:leader="none" w:pos="6860" w:val="left"/>
          <w:tab w:leader="none" w:pos="9860" w:val="left"/>
        </w:tabs>
        <w:rPr>
          <w:sz w:val="20"/>
          <w:szCs w:val="20"/>
          <w:color w:val="auto"/>
        </w:rPr>
      </w:pPr>
      <w:r>
        <w:rPr>
          <w:rFonts w:ascii="Arial" w:cs="Arial" w:eastAsia="Arial" w:hAnsi="Arial"/>
          <w:sz w:val="11"/>
          <w:szCs w:val="11"/>
          <w:color w:val="auto"/>
        </w:rPr>
        <w:t>Large 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82" w:lineRule="exact"/>
        <w:rPr>
          <w:sz w:val="24"/>
          <w:szCs w:val="24"/>
          <w:color w:val="auto"/>
        </w:rPr>
      </w:pPr>
    </w:p>
    <w:p>
      <w:pPr>
        <w:ind w:left="60"/>
        <w:spacing w:after="0" w:line="127" w:lineRule="exact"/>
        <w:tabs>
          <w:tab w:leader="none" w:pos="3020" w:val="left"/>
          <w:tab w:leader="none" w:pos="3480" w:val="left"/>
          <w:tab w:leader="none" w:pos="6460" w:val="left"/>
        </w:tabs>
        <w:rPr>
          <w:sz w:val="20"/>
          <w:szCs w:val="20"/>
          <w:color w:val="auto"/>
        </w:rPr>
      </w:pPr>
      <w:r>
        <w:rPr>
          <w:rFonts w:ascii="Arial" w:cs="Arial" w:eastAsia="Arial" w:hAnsi="Arial"/>
          <w:sz w:val="11"/>
          <w:szCs w:val="11"/>
          <w:color w:val="auto"/>
        </w:rPr>
        <w:t>Non-accelerated filer</w:t>
      </w:r>
      <w:r>
        <w:rPr>
          <w:sz w:val="20"/>
          <w:szCs w:val="20"/>
          <w:color w:val="auto"/>
        </w:rPr>
        <w:tab/>
      </w:r>
      <w:r>
        <w:rPr>
          <w:rFonts w:ascii="MS PGothic" w:cs="MS PGothic" w:eastAsia="MS PGothic" w:hAnsi="MS PGothic"/>
          <w:sz w:val="11"/>
          <w:szCs w:val="11"/>
          <w:color w:val="auto"/>
          <w:highlight w:val="black"/>
        </w:rPr>
        <w:t>☒</w:t>
      </w:r>
      <w:r>
        <w:rPr>
          <w:sz w:val="20"/>
          <w:szCs w:val="20"/>
          <w:color w:val="auto"/>
        </w:rPr>
        <w:tab/>
      </w:r>
      <w:r>
        <w:rPr>
          <w:rFonts w:ascii="Arial" w:cs="Arial" w:eastAsia="Arial" w:hAnsi="Arial"/>
          <w:sz w:val="11"/>
          <w:szCs w:val="11"/>
          <w:color w:val="auto"/>
        </w:rPr>
        <w:t>Smaller reporting company</w:t>
      </w:r>
      <w:r>
        <w:rPr>
          <w:sz w:val="20"/>
          <w:szCs w:val="20"/>
          <w:color w:val="auto"/>
        </w:rPr>
        <w:tab/>
      </w:r>
      <w:r>
        <w:rPr>
          <w:rFonts w:ascii="MS PGothic" w:cs="MS PGothic" w:eastAsia="MS PGothic" w:hAnsi="MS PGothic"/>
          <w:sz w:val="10"/>
          <w:szCs w:val="10"/>
          <w:color w:val="auto"/>
        </w:rPr>
        <w:t>☐</w:t>
      </w:r>
    </w:p>
    <w:p>
      <w:pPr>
        <w:spacing w:after="0" w:line="207" w:lineRule="exact"/>
        <w:rPr>
          <w:sz w:val="24"/>
          <w:szCs w:val="24"/>
          <w:color w:val="auto"/>
        </w:rPr>
      </w:pPr>
    </w:p>
    <w:p>
      <w:pPr>
        <w:spacing w:after="0" w:line="150"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9" w:lineRule="exact"/>
        <w:rPr>
          <w:sz w:val="24"/>
          <w:szCs w:val="24"/>
          <w:color w:val="auto"/>
        </w:rPr>
      </w:pPr>
    </w:p>
    <w:p>
      <w:pPr>
        <w:spacing w:after="0" w:line="150"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highlight w:val="black"/>
        </w:rPr>
        <w:t>☒</w:t>
      </w:r>
    </w:p>
    <w:p>
      <w:pPr>
        <w:spacing w:after="0" w:line="32" w:lineRule="exact"/>
        <w:rPr>
          <w:sz w:val="24"/>
          <w:szCs w:val="24"/>
          <w:color w:val="auto"/>
        </w:rPr>
      </w:pPr>
    </w:p>
    <w:p>
      <w:pPr>
        <w:spacing w:after="0" w:line="150"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9" w:lineRule="exact"/>
        <w:rPr>
          <w:sz w:val="24"/>
          <w:szCs w:val="24"/>
          <w:color w:val="auto"/>
        </w:rPr>
      </w:pPr>
    </w:p>
    <w:p>
      <w:pPr>
        <w:spacing w:after="0" w:line="150"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5" w:lineRule="exact"/>
        <w:rPr>
          <w:sz w:val="24"/>
          <w:szCs w:val="24"/>
          <w:color w:val="auto"/>
        </w:rPr>
      </w:pPr>
    </w:p>
    <w:p>
      <w:pPr>
        <w:ind w:right="3860"/>
        <w:spacing w:after="0" w:line="18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highlight w:val="black"/>
        </w:rPr>
        <w:t>☒</w:t>
      </w:r>
      <w:r>
        <w:rPr>
          <w:rFonts w:ascii="Arial" w:cs="Arial" w:eastAsia="Arial" w:hAnsi="Arial"/>
          <w:sz w:val="11"/>
          <w:szCs w:val="11"/>
          <w:color w:val="auto"/>
        </w:rPr>
        <w:t xml:space="preserve"> The aggregate market value of the registrant’s voting interests held by non-affiliates on June 30, 2025 was $0.</w:t>
      </w:r>
    </w:p>
    <w:p>
      <w:pPr>
        <w:spacing w:after="0" w:line="35" w:lineRule="exact"/>
        <w:rPr>
          <w:sz w:val="24"/>
          <w:szCs w:val="24"/>
          <w:color w:val="auto"/>
        </w:rPr>
      </w:pPr>
    </w:p>
    <w:p>
      <w:pPr>
        <w:spacing w:after="0"/>
        <w:rPr>
          <w:sz w:val="20"/>
          <w:szCs w:val="20"/>
          <w:color w:val="auto"/>
        </w:rPr>
      </w:pPr>
      <w:r>
        <w:rPr>
          <w:rFonts w:ascii="Arial" w:cs="Arial" w:eastAsia="Arial" w:hAnsi="Arial"/>
          <w:sz w:val="11"/>
          <w:szCs w:val="11"/>
          <w:color w:val="auto"/>
        </w:rPr>
        <w:t>As of March 26, 2026, the registrant’s outstanding common stock consisted of 1,078 shares of common stock, $0.01 par value per share.</w:t>
      </w:r>
    </w:p>
    <w:p>
      <w:pPr>
        <w:spacing w:after="0" w:line="57" w:lineRule="exact"/>
        <w:rPr>
          <w:sz w:val="24"/>
          <w:szCs w:val="24"/>
          <w:color w:val="auto"/>
        </w:rPr>
      </w:pPr>
    </w:p>
    <w:p>
      <w:pPr>
        <w:spacing w:after="0"/>
        <w:rPr>
          <w:sz w:val="20"/>
          <w:szCs w:val="20"/>
          <w:color w:val="auto"/>
        </w:rPr>
      </w:pPr>
      <w:r>
        <w:rPr>
          <w:rFonts w:ascii="Arial" w:cs="Arial" w:eastAsia="Arial" w:hAnsi="Arial"/>
          <w:sz w:val="11"/>
          <w:szCs w:val="11"/>
          <w:color w:val="auto"/>
        </w:rPr>
        <w:t>The Registrant meets the conditions set forth in General Instructions (I)(1)(a) and (b) of Form 10-K and is therefore filing this Annual Report on Form 10-K with the reduced disclosure format.</w:t>
      </w:r>
    </w:p>
    <w:p>
      <w:pPr>
        <w:spacing w:after="0" w:line="70" w:lineRule="exact"/>
        <w:rPr>
          <w:sz w:val="24"/>
          <w:szCs w:val="24"/>
          <w:color w:val="auto"/>
        </w:rPr>
      </w:pPr>
    </w:p>
    <w:p>
      <w:pPr>
        <w:jc w:val="both"/>
        <w:ind w:firstLine="1"/>
        <w:spacing w:after="0" w:line="259" w:lineRule="auto"/>
        <w:tabs>
          <w:tab w:leader="none" w:pos="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Registrant currently is not subject to the filing requirements of Section 13 or 15(d) of the Securities Exchange Act of 1934 and is filing this Annual Report on Form 10-K on a voluntary basis. The Registrant has filed all reports required to be filed by Section 13 or 15(d) of the Securities Exchange Act of 1934 during the preceding 12 months as if it were subject to such filing requirements during such period.</w:t>
      </w:r>
    </w:p>
    <w:p>
      <w:pPr>
        <w:spacing w:after="0" w:line="164"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3"/>
          <w:szCs w:val="13"/>
          <w:b w:val="1"/>
          <w:bCs w:val="1"/>
          <w:color w:val="auto"/>
        </w:rPr>
        <w:t>DOCUMENTS INCORPORATED BY REFERENCE:</w:t>
      </w:r>
      <w:r>
        <w:rPr>
          <w:sz w:val="20"/>
          <w:szCs w:val="20"/>
          <w:color w:val="auto"/>
        </w:rPr>
        <w:tab/>
      </w:r>
      <w:r>
        <w:rPr>
          <w:rFonts w:ascii="Arial" w:cs="Arial" w:eastAsia="Arial" w:hAnsi="Arial"/>
          <w:sz w:val="12"/>
          <w:szCs w:val="12"/>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408305</wp:posOffset>
            </wp:positionV>
            <wp:extent cx="650684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6845"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26670</wp:posOffset>
            </wp:positionV>
            <wp:extent cx="65068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684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65405</wp:posOffset>
            </wp:positionV>
            <wp:extent cx="6506845" cy="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845" cy="31115"/>
                    </a:xfrm>
                    <a:prstGeom prst="rect">
                      <a:avLst/>
                    </a:prstGeom>
                    <a:noFill/>
                  </pic:spPr>
                </pic:pic>
              </a:graphicData>
            </a:graphic>
          </wp:anchor>
        </w:drawing>
      </w:r>
    </w:p>
    <w:p>
      <w:pPr>
        <w:sectPr>
          <w:pgSz w:w="11900" w:h="16838" w:orient="portrait"/>
          <w:cols w:equalWidth="0" w:num="1">
            <w:col w:w="10240"/>
          </w:cols>
          <w:pgMar w:left="820" w:top="613" w:right="83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HUGHES SATELLITE SYSTEMS CORPORATION</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TABLE OF CONTENTS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540" w:type="dxa"/>
            <w:vAlign w:val="bottom"/>
            <w:gridSpan w:val="31"/>
          </w:tcPr>
          <w:p>
            <w:pPr>
              <w:spacing w:after="0"/>
              <w:rPr>
                <w:sz w:val="20"/>
                <w:szCs w:val="20"/>
                <w:color w:val="auto"/>
              </w:rPr>
            </w:pPr>
            <w:r>
              <w:rPr>
                <w:rFonts w:ascii="Arial" w:cs="Arial" w:eastAsia="Arial" w:hAnsi="Arial"/>
                <w:sz w:val="16"/>
                <w:szCs w:val="16"/>
                <w:color w:val="0000EE"/>
              </w:rPr>
              <w:t>Disclosure Regarding Forward Looking Statements</w:t>
            </w:r>
          </w:p>
        </w:tc>
        <w:tc>
          <w:tcPr>
            <w:tcW w:w="500" w:type="dxa"/>
            <w:vAlign w:val="bottom"/>
          </w:tcPr>
          <w:p>
            <w:pPr>
              <w:jc w:val="right"/>
              <w:spacing w:after="0"/>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gridSpan w:val="8"/>
          </w:tcPr>
          <w:p>
            <w:pPr>
              <w:jc w:val="center"/>
              <w:ind w:right="178"/>
              <w:spacing w:after="0"/>
              <w:rPr>
                <w:sz w:val="20"/>
                <w:szCs w:val="20"/>
                <w:color w:val="auto"/>
              </w:rPr>
            </w:pPr>
            <w:r>
              <w:rPr>
                <w:rFonts w:ascii="Arial" w:cs="Arial" w:eastAsia="Arial" w:hAnsi="Arial"/>
                <w:sz w:val="16"/>
                <w:szCs w:val="16"/>
                <w:b w:val="1"/>
                <w:bCs w:val="1"/>
                <w:color w:val="0000EE"/>
                <w:w w:val="99"/>
              </w:rPr>
              <w:t>PART I</w:t>
            </w:r>
          </w:p>
        </w:tc>
        <w:tc>
          <w:tcPr>
            <w:tcW w:w="384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20" w:type="dxa"/>
            <w:vAlign w:val="bottom"/>
            <w:gridSpan w:val="3"/>
          </w:tcPr>
          <w:p>
            <w:pPr>
              <w:spacing w:after="0"/>
              <w:rPr>
                <w:sz w:val="20"/>
                <w:szCs w:val="20"/>
                <w:color w:val="auto"/>
              </w:rPr>
            </w:pPr>
            <w:r>
              <w:rPr>
                <w:rFonts w:ascii="Arial" w:cs="Arial" w:eastAsia="Arial" w:hAnsi="Arial"/>
                <w:sz w:val="16"/>
                <w:szCs w:val="16"/>
                <w:color w:val="0000EE"/>
              </w:rPr>
              <w:t>Item 1.</w:t>
            </w:r>
          </w:p>
        </w:tc>
        <w:tc>
          <w:tcPr>
            <w:tcW w:w="460" w:type="dxa"/>
            <w:vAlign w:val="bottom"/>
            <w:gridSpan w:val="5"/>
          </w:tcPr>
          <w:p>
            <w:pPr>
              <w:spacing w:after="0"/>
              <w:rPr>
                <w:sz w:val="24"/>
                <w:szCs w:val="24"/>
                <w:color w:val="auto"/>
              </w:rPr>
            </w:pPr>
          </w:p>
        </w:tc>
        <w:tc>
          <w:tcPr>
            <w:tcW w:w="2900" w:type="dxa"/>
            <w:vAlign w:val="bottom"/>
            <w:gridSpan w:val="18"/>
          </w:tcPr>
          <w:p>
            <w:pPr>
              <w:spacing w:after="0"/>
              <w:rPr>
                <w:sz w:val="20"/>
                <w:szCs w:val="20"/>
                <w:color w:val="auto"/>
              </w:rPr>
            </w:pPr>
            <w:r>
              <w:rPr>
                <w:rFonts w:ascii="Arial" w:cs="Arial" w:eastAsia="Arial" w:hAnsi="Arial"/>
                <w:sz w:val="16"/>
                <w:szCs w:val="16"/>
                <w:color w:val="0000EE"/>
              </w:rPr>
              <w:t>Business</w:t>
            </w:r>
          </w:p>
        </w:tc>
        <w:tc>
          <w:tcPr>
            <w:tcW w:w="520" w:type="dxa"/>
            <w:vAlign w:val="bottom"/>
            <w:tcBorders>
              <w:top w:val="single" w:sz="8" w:color="0000EE"/>
            </w:tcBorders>
            <w:gridSpan w:val="4"/>
          </w:tcPr>
          <w:p>
            <w:pPr>
              <w:spacing w:after="0"/>
              <w:rPr>
                <w:sz w:val="24"/>
                <w:szCs w:val="24"/>
                <w:color w:val="auto"/>
              </w:rPr>
            </w:pPr>
          </w:p>
        </w:tc>
        <w:tc>
          <w:tcPr>
            <w:tcW w:w="412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164"/>
        </w:trPr>
        <w:tc>
          <w:tcPr>
            <w:tcW w:w="980" w:type="dxa"/>
            <w:vAlign w:val="bottom"/>
            <w:gridSpan w:val="8"/>
          </w:tcPr>
          <w:p>
            <w:pPr>
              <w:spacing w:after="0" w:line="164" w:lineRule="exact"/>
              <w:rPr>
                <w:sz w:val="20"/>
                <w:szCs w:val="20"/>
                <w:color w:val="auto"/>
              </w:rPr>
            </w:pPr>
            <w:r>
              <w:rPr>
                <w:rFonts w:ascii="Arial" w:cs="Arial" w:eastAsia="Arial" w:hAnsi="Arial"/>
                <w:sz w:val="16"/>
                <w:szCs w:val="16"/>
                <w:color w:val="0000EE"/>
              </w:rPr>
              <w:t>Item 1A.</w:t>
            </w:r>
          </w:p>
        </w:tc>
        <w:tc>
          <w:tcPr>
            <w:tcW w:w="20" w:type="dxa"/>
            <w:vAlign w:val="bottom"/>
            <w:vMerge w:val="continue"/>
          </w:tcPr>
          <w:p>
            <w:pPr>
              <w:spacing w:after="0"/>
              <w:rPr>
                <w:sz w:val="14"/>
                <w:szCs w:val="14"/>
                <w:color w:val="auto"/>
              </w:rPr>
            </w:pPr>
          </w:p>
        </w:tc>
        <w:tc>
          <w:tcPr>
            <w:tcW w:w="7520" w:type="dxa"/>
            <w:vAlign w:val="bottom"/>
            <w:gridSpan w:val="30"/>
          </w:tcPr>
          <w:p>
            <w:pPr>
              <w:spacing w:after="0" w:line="164" w:lineRule="exact"/>
              <w:rPr>
                <w:sz w:val="20"/>
                <w:szCs w:val="20"/>
                <w:color w:val="auto"/>
              </w:rPr>
            </w:pPr>
            <w:r>
              <w:rPr>
                <w:rFonts w:ascii="Arial" w:cs="Arial" w:eastAsia="Arial" w:hAnsi="Arial"/>
                <w:sz w:val="16"/>
                <w:szCs w:val="16"/>
                <w:color w:val="0000EE"/>
              </w:rPr>
              <w:t>Risk Factors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40" w:type="dxa"/>
            <w:vAlign w:val="bottom"/>
            <w:tcBorders>
              <w:top w:val="single" w:sz="8" w:color="0000EE"/>
            </w:tcBorders>
            <w:gridSpan w:val="6"/>
          </w:tcPr>
          <w:p>
            <w:pPr>
              <w:spacing w:after="0" w:line="164" w:lineRule="exact"/>
              <w:rPr>
                <w:sz w:val="20"/>
                <w:szCs w:val="20"/>
                <w:color w:val="auto"/>
              </w:rPr>
            </w:pPr>
            <w:r>
              <w:rPr>
                <w:rFonts w:ascii="Arial" w:cs="Arial" w:eastAsia="Arial" w:hAnsi="Arial"/>
                <w:sz w:val="16"/>
                <w:szCs w:val="16"/>
                <w:color w:val="0000EE"/>
              </w:rPr>
              <w:t>Item 1B.</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0000EE"/>
            </w:tcBorders>
            <w:gridSpan w:val="4"/>
          </w:tcPr>
          <w:p>
            <w:pPr>
              <w:spacing w:after="0" w:line="164" w:lineRule="exact"/>
              <w:rPr>
                <w:sz w:val="20"/>
                <w:szCs w:val="20"/>
                <w:color w:val="auto"/>
              </w:rPr>
            </w:pPr>
            <w:r>
              <w:rPr>
                <w:rFonts w:ascii="Arial" w:cs="Arial" w:eastAsia="Arial" w:hAnsi="Arial"/>
                <w:sz w:val="16"/>
                <w:szCs w:val="16"/>
                <w:color w:val="0000EE"/>
              </w:rPr>
              <w:t>Unresolved</w:t>
            </w:r>
          </w:p>
        </w:tc>
        <w:tc>
          <w:tcPr>
            <w:tcW w:w="6620" w:type="dxa"/>
            <w:vAlign w:val="bottom"/>
            <w:gridSpan w:val="26"/>
          </w:tcPr>
          <w:p>
            <w:pPr>
              <w:spacing w:after="0" w:line="164" w:lineRule="exact"/>
              <w:rPr>
                <w:sz w:val="20"/>
                <w:szCs w:val="20"/>
                <w:color w:val="auto"/>
              </w:rPr>
            </w:pPr>
            <w:r>
              <w:rPr>
                <w:rFonts w:ascii="Arial" w:cs="Arial" w:eastAsia="Arial" w:hAnsi="Arial"/>
                <w:sz w:val="16"/>
                <w:szCs w:val="16"/>
                <w:color w:val="0000EE"/>
              </w:rPr>
              <w:t>Staff Comments</w:t>
            </w: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4"/>
        </w:trPr>
        <w:tc>
          <w:tcPr>
            <w:tcW w:w="640" w:type="dxa"/>
            <w:vAlign w:val="bottom"/>
            <w:tcBorders>
              <w:top w:val="single" w:sz="8" w:color="0000EE"/>
            </w:tcBorders>
            <w:gridSpan w:val="6"/>
          </w:tcPr>
          <w:p>
            <w:pPr>
              <w:spacing w:after="0" w:line="164" w:lineRule="exact"/>
              <w:rPr>
                <w:sz w:val="20"/>
                <w:szCs w:val="20"/>
                <w:color w:val="auto"/>
              </w:rPr>
            </w:pPr>
            <w:r>
              <w:rPr>
                <w:rFonts w:ascii="Arial" w:cs="Arial" w:eastAsia="Arial" w:hAnsi="Arial"/>
                <w:sz w:val="16"/>
                <w:szCs w:val="16"/>
                <w:color w:val="0000EE"/>
              </w:rPr>
              <w:t>Item 1C.</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top w:val="single" w:sz="8" w:color="0000EE"/>
            </w:tcBorders>
            <w:gridSpan w:val="13"/>
          </w:tcPr>
          <w:p>
            <w:pPr>
              <w:spacing w:after="0" w:line="164" w:lineRule="exact"/>
              <w:rPr>
                <w:sz w:val="20"/>
                <w:szCs w:val="20"/>
                <w:color w:val="auto"/>
              </w:rPr>
            </w:pPr>
            <w:r>
              <w:rPr>
                <w:rFonts w:ascii="Arial" w:cs="Arial" w:eastAsia="Arial" w:hAnsi="Arial"/>
                <w:sz w:val="16"/>
                <w:szCs w:val="16"/>
                <w:color w:val="0000EE"/>
              </w:rPr>
              <w:t>Cybersecurity</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4"/>
        </w:trPr>
        <w:tc>
          <w:tcPr>
            <w:tcW w:w="520" w:type="dxa"/>
            <w:vAlign w:val="bottom"/>
            <w:tcBorders>
              <w:top w:val="single" w:sz="8" w:color="0000EE"/>
            </w:tcBorders>
            <w:gridSpan w:val="3"/>
          </w:tcPr>
          <w:p>
            <w:pPr>
              <w:spacing w:after="0" w:line="164" w:lineRule="exact"/>
              <w:rPr>
                <w:sz w:val="20"/>
                <w:szCs w:val="20"/>
                <w:color w:val="auto"/>
              </w:rPr>
            </w:pPr>
            <w:r>
              <w:rPr>
                <w:rFonts w:ascii="Arial" w:cs="Arial" w:eastAsia="Arial" w:hAnsi="Arial"/>
                <w:sz w:val="16"/>
                <w:szCs w:val="16"/>
                <w:color w:val="0000EE"/>
              </w:rPr>
              <w:t>Item 2.</w:t>
            </w:r>
          </w:p>
        </w:tc>
        <w:tc>
          <w:tcPr>
            <w:tcW w:w="140" w:type="dxa"/>
            <w:vAlign w:val="bottom"/>
            <w:tcBorders>
              <w:top w:val="single" w:sz="8" w:color="0000EE"/>
            </w:tcBorders>
            <w:gridSpan w:val="4"/>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0000EE"/>
            </w:tcBorders>
            <w:gridSpan w:val="5"/>
          </w:tcPr>
          <w:p>
            <w:pPr>
              <w:spacing w:after="0" w:line="164" w:lineRule="exact"/>
              <w:rPr>
                <w:sz w:val="20"/>
                <w:szCs w:val="20"/>
                <w:color w:val="auto"/>
              </w:rPr>
            </w:pPr>
            <w:r>
              <w:rPr>
                <w:rFonts w:ascii="Arial" w:cs="Arial" w:eastAsia="Arial" w:hAnsi="Arial"/>
                <w:sz w:val="16"/>
                <w:szCs w:val="16"/>
                <w:color w:val="0000EE"/>
              </w:rPr>
              <w:t>Properties</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line="20" w:lineRule="exact"/>
              <w:rPr>
                <w:sz w:val="1"/>
                <w:szCs w:val="1"/>
                <w:color w:val="auto"/>
              </w:rPr>
            </w:pPr>
          </w:p>
        </w:tc>
      </w:tr>
      <w:tr>
        <w:trPr>
          <w:trHeight w:val="164"/>
        </w:trPr>
        <w:tc>
          <w:tcPr>
            <w:tcW w:w="520" w:type="dxa"/>
            <w:vAlign w:val="bottom"/>
            <w:tcBorders>
              <w:bottom w:val="single" w:sz="8" w:color="0000EE"/>
            </w:tcBorders>
            <w:gridSpan w:val="3"/>
          </w:tcPr>
          <w:p>
            <w:pPr>
              <w:spacing w:after="0" w:line="164" w:lineRule="exact"/>
              <w:rPr>
                <w:sz w:val="20"/>
                <w:szCs w:val="20"/>
                <w:color w:val="auto"/>
              </w:rPr>
            </w:pPr>
            <w:r>
              <w:rPr>
                <w:rFonts w:ascii="Arial" w:cs="Arial" w:eastAsia="Arial" w:hAnsi="Arial"/>
                <w:sz w:val="16"/>
                <w:szCs w:val="16"/>
                <w:color w:val="0000EE"/>
              </w:rPr>
              <w:t>Item 3.</w:t>
            </w: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340" w:type="dxa"/>
            <w:vAlign w:val="bottom"/>
            <w:tcBorders>
              <w:bottom w:val="single" w:sz="8" w:color="0000EE"/>
            </w:tcBorders>
            <w:gridSpan w:val="9"/>
          </w:tcPr>
          <w:p>
            <w:pPr>
              <w:spacing w:after="0" w:line="164" w:lineRule="exact"/>
              <w:rPr>
                <w:sz w:val="20"/>
                <w:szCs w:val="20"/>
                <w:color w:val="auto"/>
              </w:rPr>
            </w:pPr>
            <w:r>
              <w:rPr>
                <w:rFonts w:ascii="Arial" w:cs="Arial" w:eastAsia="Arial" w:hAnsi="Arial"/>
                <w:sz w:val="16"/>
                <w:szCs w:val="16"/>
                <w:color w:val="0000EE"/>
                <w:w w:val="99"/>
              </w:rPr>
              <w:t>Legal Proceedings</w:t>
            </w:r>
          </w:p>
        </w:tc>
        <w:tc>
          <w:tcPr>
            <w:tcW w:w="6180" w:type="dxa"/>
            <w:vAlign w:val="bottom"/>
            <w:gridSpan w:val="21"/>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20" w:type="dxa"/>
            <w:vAlign w:val="bottom"/>
            <w:gridSpan w:val="3"/>
          </w:tcPr>
          <w:p>
            <w:pPr>
              <w:spacing w:after="0" w:line="164" w:lineRule="exact"/>
              <w:rPr>
                <w:sz w:val="20"/>
                <w:szCs w:val="20"/>
                <w:color w:val="auto"/>
              </w:rPr>
            </w:pPr>
            <w:r>
              <w:rPr>
                <w:rFonts w:ascii="Arial" w:cs="Arial" w:eastAsia="Arial" w:hAnsi="Arial"/>
                <w:sz w:val="16"/>
                <w:szCs w:val="16"/>
                <w:color w:val="0000EE"/>
              </w:rPr>
              <w:t>Item 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7520" w:type="dxa"/>
            <w:vAlign w:val="bottom"/>
            <w:gridSpan w:val="30"/>
          </w:tcPr>
          <w:p>
            <w:pPr>
              <w:spacing w:after="0" w:line="164" w:lineRule="exact"/>
              <w:rPr>
                <w:sz w:val="20"/>
                <w:szCs w:val="20"/>
                <w:color w:val="auto"/>
              </w:rPr>
            </w:pPr>
            <w:r>
              <w:rPr>
                <w:rFonts w:ascii="Arial" w:cs="Arial" w:eastAsia="Arial" w:hAnsi="Arial"/>
                <w:sz w:val="16"/>
                <w:szCs w:val="16"/>
                <w:color w:val="0000EE"/>
              </w:rPr>
              <w:t>Mine Safety Disclosures</w:t>
            </w: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gridSpan w:val="7"/>
          </w:tcPr>
          <w:p>
            <w:pPr>
              <w:jc w:val="center"/>
              <w:spacing w:after="0"/>
              <w:rPr>
                <w:sz w:val="20"/>
                <w:szCs w:val="20"/>
                <w:color w:val="auto"/>
              </w:rPr>
            </w:pPr>
            <w:r>
              <w:rPr>
                <w:rFonts w:ascii="Arial" w:cs="Arial" w:eastAsia="Arial" w:hAnsi="Arial"/>
                <w:sz w:val="16"/>
                <w:szCs w:val="16"/>
                <w:b w:val="1"/>
                <w:bCs w:val="1"/>
                <w:color w:val="0000EE"/>
              </w:rPr>
              <w:t>PART II</w:t>
            </w:r>
          </w:p>
        </w:tc>
        <w:tc>
          <w:tcPr>
            <w:tcW w:w="410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80" w:type="dxa"/>
            <w:vAlign w:val="bottom"/>
            <w:gridSpan w:val="8"/>
          </w:tcPr>
          <w:p>
            <w:pPr>
              <w:spacing w:after="0"/>
              <w:rPr>
                <w:sz w:val="20"/>
                <w:szCs w:val="20"/>
                <w:color w:val="auto"/>
              </w:rPr>
            </w:pPr>
            <w:r>
              <w:rPr>
                <w:rFonts w:ascii="Arial" w:cs="Arial" w:eastAsia="Arial" w:hAnsi="Arial"/>
                <w:sz w:val="16"/>
                <w:szCs w:val="16"/>
                <w:color w:val="0000EE"/>
              </w:rPr>
              <w:t>Item 5.</w:t>
            </w:r>
          </w:p>
        </w:tc>
        <w:tc>
          <w:tcPr>
            <w:tcW w:w="7540" w:type="dxa"/>
            <w:vAlign w:val="bottom"/>
            <w:gridSpan w:val="31"/>
          </w:tcPr>
          <w:p>
            <w:pPr>
              <w:spacing w:after="0"/>
              <w:rPr>
                <w:sz w:val="20"/>
                <w:szCs w:val="20"/>
                <w:color w:val="auto"/>
              </w:rPr>
            </w:pPr>
            <w:r>
              <w:rPr>
                <w:rFonts w:ascii="Arial" w:cs="Arial" w:eastAsia="Arial" w:hAnsi="Arial"/>
                <w:sz w:val="16"/>
                <w:szCs w:val="16"/>
                <w:color w:val="0000EE"/>
              </w:rPr>
              <w:t>Market for Registrant’s Common Equity, Related Stockholder Matters and Issuer Purchases of</w:t>
            </w: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980" w:type="dxa"/>
            <w:vAlign w:val="bottom"/>
            <w:gridSpan w:val="8"/>
            <w:vMerge w:val="restart"/>
          </w:tcPr>
          <w:p>
            <w:pPr>
              <w:spacing w:after="0"/>
              <w:rPr>
                <w:sz w:val="20"/>
                <w:szCs w:val="20"/>
                <w:color w:val="auto"/>
              </w:rPr>
            </w:pPr>
            <w:r>
              <w:rPr>
                <w:rFonts w:ascii="Arial" w:cs="Arial" w:eastAsia="Arial" w:hAnsi="Arial"/>
                <w:sz w:val="16"/>
                <w:szCs w:val="16"/>
                <w:color w:val="0000EE"/>
              </w:rPr>
              <w:t>Item 6.</w:t>
            </w:r>
          </w:p>
        </w:tc>
        <w:tc>
          <w:tcPr>
            <w:tcW w:w="20" w:type="dxa"/>
            <w:vAlign w:val="bottom"/>
            <w:vMerge w:val="continue"/>
          </w:tcPr>
          <w:p>
            <w:pPr>
              <w:spacing w:after="0"/>
              <w:rPr>
                <w:sz w:val="14"/>
                <w:szCs w:val="14"/>
                <w:color w:val="auto"/>
              </w:rPr>
            </w:pPr>
          </w:p>
        </w:tc>
        <w:tc>
          <w:tcPr>
            <w:tcW w:w="6780" w:type="dxa"/>
            <w:vAlign w:val="bottom"/>
            <w:gridSpan w:val="29"/>
          </w:tcPr>
          <w:p>
            <w:pPr>
              <w:spacing w:after="0" w:line="164" w:lineRule="exact"/>
              <w:rPr>
                <w:sz w:val="20"/>
                <w:szCs w:val="20"/>
                <w:color w:val="auto"/>
              </w:rPr>
            </w:pPr>
            <w:r>
              <w:rPr>
                <w:rFonts w:ascii="Arial" w:cs="Arial" w:eastAsia="Arial" w:hAnsi="Arial"/>
                <w:sz w:val="16"/>
                <w:szCs w:val="16"/>
                <w:color w:val="0000EE"/>
              </w:rPr>
              <w:t>Equity Securities</w:t>
            </w:r>
          </w:p>
        </w:tc>
        <w:tc>
          <w:tcPr>
            <w:tcW w:w="740" w:type="dxa"/>
            <w:vAlign w:val="bottom"/>
            <w:vMerge w:val="continue"/>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4"/>
        </w:trPr>
        <w:tc>
          <w:tcPr>
            <w:tcW w:w="980" w:type="dxa"/>
            <w:vAlign w:val="bottom"/>
            <w:gridSpan w:val="8"/>
            <w:vMerge w:val="continue"/>
          </w:tcPr>
          <w:p>
            <w:pPr>
              <w:spacing w:after="0"/>
              <w:rPr>
                <w:sz w:val="14"/>
                <w:szCs w:val="14"/>
                <w:color w:val="auto"/>
              </w:rPr>
            </w:pPr>
          </w:p>
        </w:tc>
        <w:tc>
          <w:tcPr>
            <w:tcW w:w="1220" w:type="dxa"/>
            <w:vAlign w:val="bottom"/>
            <w:tcBorders>
              <w:top w:val="single" w:sz="8" w:color="0000EE"/>
            </w:tcBorders>
            <w:gridSpan w:val="7"/>
          </w:tcPr>
          <w:p>
            <w:pPr>
              <w:spacing w:after="0" w:line="164" w:lineRule="exact"/>
              <w:rPr>
                <w:sz w:val="20"/>
                <w:szCs w:val="20"/>
                <w:color w:val="auto"/>
              </w:rPr>
            </w:pPr>
            <w:r>
              <w:rPr>
                <w:rFonts w:ascii="Arial" w:cs="Arial" w:eastAsia="Arial" w:hAnsi="Arial"/>
                <w:sz w:val="16"/>
                <w:szCs w:val="16"/>
                <w:color w:val="0000EE"/>
              </w:rPr>
              <w:t>[Reserved]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10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7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line="20" w:lineRule="exact"/>
              <w:rPr>
                <w:sz w:val="1"/>
                <w:szCs w:val="1"/>
                <w:color w:val="auto"/>
              </w:rPr>
            </w:pPr>
          </w:p>
        </w:tc>
      </w:tr>
      <w:tr>
        <w:trPr>
          <w:trHeight w:val="164"/>
        </w:trPr>
        <w:tc>
          <w:tcPr>
            <w:tcW w:w="20" w:type="dxa"/>
            <w:vAlign w:val="bottom"/>
            <w:tcBorders>
              <w:bottom w:val="single" w:sz="8" w:color="0000EE"/>
            </w:tcBorders>
            <w:vMerge w:val="continue"/>
          </w:tcPr>
          <w:p>
            <w:pPr>
              <w:spacing w:after="0"/>
              <w:rPr>
                <w:sz w:val="14"/>
                <w:szCs w:val="14"/>
                <w:color w:val="auto"/>
              </w:rPr>
            </w:pPr>
          </w:p>
        </w:tc>
        <w:tc>
          <w:tcPr>
            <w:tcW w:w="480" w:type="dxa"/>
            <w:vAlign w:val="bottom"/>
            <w:tcBorders>
              <w:bottom w:val="single" w:sz="8" w:color="0000EE"/>
            </w:tcBorders>
          </w:tcPr>
          <w:p>
            <w:pPr>
              <w:spacing w:after="0" w:line="164" w:lineRule="exact"/>
              <w:rPr>
                <w:sz w:val="20"/>
                <w:szCs w:val="20"/>
                <w:color w:val="auto"/>
              </w:rPr>
            </w:pPr>
            <w:r>
              <w:rPr>
                <w:rFonts w:ascii="Arial" w:cs="Arial" w:eastAsia="Arial" w:hAnsi="Arial"/>
                <w:sz w:val="16"/>
                <w:szCs w:val="16"/>
                <w:color w:val="0000EE"/>
                <w:w w:val="93"/>
              </w:rPr>
              <w:t>Item 7.</w:t>
            </w:r>
          </w:p>
        </w:tc>
        <w:tc>
          <w:tcPr>
            <w:tcW w:w="20" w:type="dxa"/>
            <w:vAlign w:val="bottom"/>
            <w:tcBorders>
              <w:bottom w:val="single" w:sz="8" w:color="0000EE"/>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220" w:type="dxa"/>
            <w:vAlign w:val="bottom"/>
            <w:tcBorders>
              <w:bottom w:val="single" w:sz="8" w:color="0000EE"/>
            </w:tcBorders>
            <w:gridSpan w:val="25"/>
          </w:tcPr>
          <w:p>
            <w:pPr>
              <w:spacing w:after="0" w:line="164" w:lineRule="exact"/>
              <w:rPr>
                <w:sz w:val="20"/>
                <w:szCs w:val="20"/>
                <w:color w:val="auto"/>
              </w:rPr>
            </w:pPr>
            <w:r>
              <w:rPr>
                <w:rFonts w:ascii="Arial" w:cs="Arial" w:eastAsia="Arial" w:hAnsi="Arial"/>
                <w:sz w:val="16"/>
                <w:szCs w:val="16"/>
                <w:color w:val="0000EE"/>
              </w:rPr>
              <w:t>Management’s Narrative Analysis of Results of Operations</w:t>
            </w:r>
          </w:p>
        </w:tc>
        <w:tc>
          <w:tcPr>
            <w:tcW w:w="3300" w:type="dxa"/>
            <w:vAlign w:val="bottom"/>
            <w:gridSpan w:val="5"/>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980" w:type="dxa"/>
            <w:vAlign w:val="bottom"/>
            <w:gridSpan w:val="8"/>
          </w:tcPr>
          <w:p>
            <w:pPr>
              <w:spacing w:after="0" w:line="164" w:lineRule="exact"/>
              <w:rPr>
                <w:sz w:val="20"/>
                <w:szCs w:val="20"/>
                <w:color w:val="auto"/>
              </w:rPr>
            </w:pPr>
            <w:r>
              <w:rPr>
                <w:rFonts w:ascii="Arial" w:cs="Arial" w:eastAsia="Arial" w:hAnsi="Arial"/>
                <w:sz w:val="16"/>
                <w:szCs w:val="16"/>
                <w:color w:val="0000EE"/>
              </w:rPr>
              <w:t>Item 7A.</w:t>
            </w:r>
          </w:p>
        </w:tc>
        <w:tc>
          <w:tcPr>
            <w:tcW w:w="20" w:type="dxa"/>
            <w:vAlign w:val="bottom"/>
          </w:tcPr>
          <w:p>
            <w:pPr>
              <w:spacing w:after="0"/>
              <w:rPr>
                <w:sz w:val="14"/>
                <w:szCs w:val="14"/>
                <w:color w:val="auto"/>
              </w:rPr>
            </w:pPr>
          </w:p>
        </w:tc>
        <w:tc>
          <w:tcPr>
            <w:tcW w:w="4220" w:type="dxa"/>
            <w:vAlign w:val="bottom"/>
            <w:gridSpan w:val="25"/>
          </w:tcPr>
          <w:p>
            <w:pPr>
              <w:spacing w:after="0" w:line="164" w:lineRule="exact"/>
              <w:rPr>
                <w:sz w:val="20"/>
                <w:szCs w:val="20"/>
                <w:color w:val="auto"/>
              </w:rPr>
            </w:pPr>
            <w:r>
              <w:rPr>
                <w:rFonts w:ascii="Arial" w:cs="Arial" w:eastAsia="Arial" w:hAnsi="Arial"/>
                <w:sz w:val="16"/>
                <w:szCs w:val="16"/>
                <w:color w:val="0000EE"/>
              </w:rPr>
              <w:t>Quantitative and Qualitative Disclosures about Market Risk</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64"/>
        </w:trPr>
        <w:tc>
          <w:tcPr>
            <w:tcW w:w="620" w:type="dxa"/>
            <w:vAlign w:val="bottom"/>
            <w:tcBorders>
              <w:top w:val="single" w:sz="8" w:color="0000EE"/>
            </w:tcBorders>
            <w:gridSpan w:val="5"/>
          </w:tcPr>
          <w:p>
            <w:pPr>
              <w:spacing w:after="0" w:line="164" w:lineRule="exact"/>
              <w:rPr>
                <w:sz w:val="20"/>
                <w:szCs w:val="20"/>
                <w:color w:val="auto"/>
              </w:rPr>
            </w:pPr>
            <w:r>
              <w:rPr>
                <w:rFonts w:ascii="Arial" w:cs="Arial" w:eastAsia="Arial" w:hAnsi="Arial"/>
                <w:sz w:val="16"/>
                <w:szCs w:val="16"/>
                <w:color w:val="0000EE"/>
              </w:rPr>
              <w:t>Item 8.</w:t>
            </w:r>
          </w:p>
        </w:tc>
        <w:tc>
          <w:tcPr>
            <w:tcW w:w="3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top w:val="single" w:sz="8" w:color="0000EE"/>
            </w:tcBorders>
            <w:gridSpan w:val="26"/>
          </w:tcPr>
          <w:p>
            <w:pPr>
              <w:spacing w:after="0" w:line="164" w:lineRule="exact"/>
              <w:rPr>
                <w:sz w:val="20"/>
                <w:szCs w:val="20"/>
                <w:color w:val="auto"/>
              </w:rPr>
            </w:pPr>
            <w:r>
              <w:rPr>
                <w:rFonts w:ascii="Arial" w:cs="Arial" w:eastAsia="Arial" w:hAnsi="Arial"/>
                <w:sz w:val="16"/>
                <w:szCs w:val="16"/>
                <w:color w:val="0000EE"/>
              </w:rPr>
              <w:t>Financial Statements and Supplementary Data</w:t>
            </w: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4"/>
        </w:trPr>
        <w:tc>
          <w:tcPr>
            <w:tcW w:w="520" w:type="dxa"/>
            <w:vAlign w:val="bottom"/>
            <w:tcBorders>
              <w:top w:val="single" w:sz="8" w:color="0000EE"/>
              <w:bottom w:val="single" w:sz="8" w:color="0000EE"/>
            </w:tcBorders>
            <w:gridSpan w:val="3"/>
          </w:tcPr>
          <w:p>
            <w:pPr>
              <w:spacing w:after="0" w:line="164" w:lineRule="exact"/>
              <w:rPr>
                <w:sz w:val="20"/>
                <w:szCs w:val="20"/>
                <w:color w:val="auto"/>
              </w:rPr>
            </w:pPr>
            <w:r>
              <w:rPr>
                <w:rFonts w:ascii="Arial" w:cs="Arial" w:eastAsia="Arial" w:hAnsi="Arial"/>
                <w:sz w:val="16"/>
                <w:szCs w:val="16"/>
                <w:color w:val="0000EE"/>
              </w:rPr>
              <w:t>Item 9.</w:t>
            </w:r>
          </w:p>
        </w:tc>
        <w:tc>
          <w:tcPr>
            <w:tcW w:w="8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top w:val="single" w:sz="8" w:color="0000EE"/>
              <w:bottom w:val="single" w:sz="8" w:color="0000EE"/>
            </w:tcBorders>
            <w:gridSpan w:val="20"/>
          </w:tcPr>
          <w:p>
            <w:pPr>
              <w:spacing w:after="0" w:line="164" w:lineRule="exact"/>
              <w:rPr>
                <w:sz w:val="20"/>
                <w:szCs w:val="20"/>
                <w:color w:val="auto"/>
              </w:rPr>
            </w:pPr>
            <w:r>
              <w:rPr>
                <w:rFonts w:ascii="Arial" w:cs="Arial" w:eastAsia="Arial" w:hAnsi="Arial"/>
                <w:sz w:val="16"/>
                <w:szCs w:val="16"/>
                <w:color w:val="0000EE"/>
                <w:w w:val="95"/>
              </w:rPr>
              <w:t>Changes in and Disagreements with Accountants</w:t>
            </w:r>
          </w:p>
        </w:tc>
        <w:tc>
          <w:tcPr>
            <w:tcW w:w="80" w:type="dxa"/>
            <w:vAlign w:val="bottom"/>
            <w:tcBorders>
              <w:bottom w:val="single" w:sz="8" w:color="0000EE"/>
            </w:tcBorders>
            <w:gridSpan w:val="3"/>
          </w:tcPr>
          <w:p>
            <w:pPr>
              <w:spacing w:after="0"/>
              <w:rPr>
                <w:sz w:val="14"/>
                <w:szCs w:val="14"/>
                <w:color w:val="auto"/>
              </w:rPr>
            </w:pPr>
          </w:p>
        </w:tc>
        <w:tc>
          <w:tcPr>
            <w:tcW w:w="3020" w:type="dxa"/>
            <w:vAlign w:val="bottom"/>
            <w:tcBorders>
              <w:bottom w:val="single" w:sz="8" w:color="0000EE"/>
            </w:tcBorders>
            <w:gridSpan w:val="5"/>
          </w:tcPr>
          <w:p>
            <w:pPr>
              <w:ind w:left="160"/>
              <w:spacing w:after="0" w:line="164" w:lineRule="exact"/>
              <w:rPr>
                <w:sz w:val="20"/>
                <w:szCs w:val="20"/>
                <w:color w:val="auto"/>
              </w:rPr>
            </w:pPr>
            <w:r>
              <w:rPr>
                <w:rFonts w:ascii="Arial" w:cs="Arial" w:eastAsia="Arial" w:hAnsi="Arial"/>
                <w:sz w:val="16"/>
                <w:szCs w:val="16"/>
                <w:color w:val="0000EE"/>
              </w:rPr>
              <w:t>on Accounting and Financial Disclosure</w:t>
            </w:r>
          </w:p>
        </w:tc>
        <w:tc>
          <w:tcPr>
            <w:tcW w:w="1060" w:type="dxa"/>
            <w:vAlign w:val="bottom"/>
            <w:gridSpan w:val="2"/>
          </w:tcPr>
          <w:p>
            <w:pPr>
              <w:spacing w:after="0"/>
              <w:rPr>
                <w:sz w:val="14"/>
                <w:szCs w:val="14"/>
                <w:color w:val="auto"/>
              </w:rPr>
            </w:pP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4"/>
        </w:trPr>
        <w:tc>
          <w:tcPr>
            <w:tcW w:w="980" w:type="dxa"/>
            <w:vAlign w:val="bottom"/>
            <w:gridSpan w:val="8"/>
          </w:tcPr>
          <w:p>
            <w:pPr>
              <w:spacing w:after="0" w:line="164" w:lineRule="exact"/>
              <w:rPr>
                <w:sz w:val="20"/>
                <w:szCs w:val="20"/>
                <w:color w:val="auto"/>
              </w:rPr>
            </w:pPr>
            <w:r>
              <w:rPr>
                <w:rFonts w:ascii="Arial" w:cs="Arial" w:eastAsia="Arial" w:hAnsi="Arial"/>
                <w:sz w:val="16"/>
                <w:szCs w:val="16"/>
                <w:color w:val="0000EE"/>
              </w:rPr>
              <w:t>Item 9A.</w:t>
            </w:r>
          </w:p>
        </w:tc>
        <w:tc>
          <w:tcPr>
            <w:tcW w:w="20" w:type="dxa"/>
            <w:vAlign w:val="bottom"/>
          </w:tcPr>
          <w:p>
            <w:pPr>
              <w:spacing w:after="0"/>
              <w:rPr>
                <w:sz w:val="14"/>
                <w:szCs w:val="14"/>
                <w:color w:val="auto"/>
              </w:rPr>
            </w:pPr>
          </w:p>
        </w:tc>
        <w:tc>
          <w:tcPr>
            <w:tcW w:w="6460" w:type="dxa"/>
            <w:vAlign w:val="bottom"/>
            <w:gridSpan w:val="28"/>
          </w:tcPr>
          <w:p>
            <w:pPr>
              <w:spacing w:after="0" w:line="164" w:lineRule="exact"/>
              <w:rPr>
                <w:sz w:val="20"/>
                <w:szCs w:val="20"/>
                <w:color w:val="auto"/>
              </w:rPr>
            </w:pPr>
            <w:r>
              <w:rPr>
                <w:rFonts w:ascii="Arial" w:cs="Arial" w:eastAsia="Arial" w:hAnsi="Arial"/>
                <w:sz w:val="16"/>
                <w:szCs w:val="16"/>
                <w:color w:val="0000EE"/>
              </w:rPr>
              <w:t>Controls and Procedures</w:t>
            </w:r>
          </w:p>
        </w:tc>
        <w:tc>
          <w:tcPr>
            <w:tcW w:w="1060" w:type="dxa"/>
            <w:vAlign w:val="bottom"/>
            <w:gridSpan w:val="2"/>
          </w:tcPr>
          <w:p>
            <w:pPr>
              <w:spacing w:after="0"/>
              <w:rPr>
                <w:sz w:val="14"/>
                <w:szCs w:val="14"/>
                <w:color w:val="auto"/>
              </w:rPr>
            </w:pP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4"/>
        </w:trPr>
        <w:tc>
          <w:tcPr>
            <w:tcW w:w="640" w:type="dxa"/>
            <w:vAlign w:val="bottom"/>
            <w:tcBorders>
              <w:top w:val="single" w:sz="8" w:color="0000EE"/>
              <w:bottom w:val="single" w:sz="8" w:color="0000EE"/>
            </w:tcBorders>
            <w:gridSpan w:val="6"/>
          </w:tcPr>
          <w:p>
            <w:pPr>
              <w:spacing w:after="0" w:line="164" w:lineRule="exact"/>
              <w:rPr>
                <w:sz w:val="20"/>
                <w:szCs w:val="20"/>
                <w:color w:val="auto"/>
              </w:rPr>
            </w:pPr>
            <w:r>
              <w:rPr>
                <w:rFonts w:ascii="Arial" w:cs="Arial" w:eastAsia="Arial" w:hAnsi="Arial"/>
                <w:sz w:val="16"/>
                <w:szCs w:val="16"/>
                <w:color w:val="0000EE"/>
              </w:rPr>
              <w:t>Item 9B.</w:t>
            </w:r>
          </w:p>
        </w:tc>
        <w:tc>
          <w:tcPr>
            <w:tcW w:w="3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top w:val="single" w:sz="8" w:color="0000EE"/>
              <w:bottom w:val="single" w:sz="8" w:color="0000EE"/>
            </w:tcBorders>
            <w:gridSpan w:val="8"/>
          </w:tcPr>
          <w:p>
            <w:pPr>
              <w:spacing w:after="0" w:line="164" w:lineRule="exact"/>
              <w:rPr>
                <w:sz w:val="20"/>
                <w:szCs w:val="20"/>
                <w:color w:val="auto"/>
              </w:rPr>
            </w:pPr>
            <w:r>
              <w:rPr>
                <w:rFonts w:ascii="Arial" w:cs="Arial" w:eastAsia="Arial" w:hAnsi="Arial"/>
                <w:sz w:val="16"/>
                <w:szCs w:val="16"/>
                <w:color w:val="0000EE"/>
                <w:w w:val="99"/>
              </w:rPr>
              <w:t>Other Information</w:t>
            </w:r>
          </w:p>
        </w:tc>
        <w:tc>
          <w:tcPr>
            <w:tcW w:w="520" w:type="dxa"/>
            <w:vAlign w:val="bottom"/>
            <w:tcBorders>
              <w:top w:val="single" w:sz="8" w:color="0000EE"/>
            </w:tcBorders>
            <w:gridSpan w:val="4"/>
          </w:tcPr>
          <w:p>
            <w:pPr>
              <w:spacing w:after="0"/>
              <w:rPr>
                <w:sz w:val="14"/>
                <w:szCs w:val="14"/>
                <w:color w:val="auto"/>
              </w:rPr>
            </w:pPr>
          </w:p>
        </w:tc>
        <w:tc>
          <w:tcPr>
            <w:tcW w:w="10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1440" w:type="dxa"/>
            <w:vAlign w:val="bottom"/>
            <w:gridSpan w:val="4"/>
          </w:tcPr>
          <w:p>
            <w:pPr>
              <w:spacing w:after="0"/>
              <w:rPr>
                <w:sz w:val="14"/>
                <w:szCs w:val="14"/>
                <w:color w:val="auto"/>
              </w:rPr>
            </w:pPr>
          </w:p>
        </w:tc>
        <w:tc>
          <w:tcPr>
            <w:tcW w:w="2640" w:type="dxa"/>
            <w:vAlign w:val="bottom"/>
            <w:gridSpan w:val="3"/>
          </w:tcPr>
          <w:p>
            <w:pPr>
              <w:spacing w:after="0"/>
              <w:rPr>
                <w:sz w:val="14"/>
                <w:szCs w:val="14"/>
                <w:color w:val="auto"/>
              </w:rPr>
            </w:pP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4"/>
        </w:trPr>
        <w:tc>
          <w:tcPr>
            <w:tcW w:w="640" w:type="dxa"/>
            <w:vAlign w:val="bottom"/>
            <w:gridSpan w:val="6"/>
          </w:tcPr>
          <w:p>
            <w:pPr>
              <w:spacing w:after="0" w:line="164" w:lineRule="exact"/>
              <w:rPr>
                <w:sz w:val="20"/>
                <w:szCs w:val="20"/>
                <w:color w:val="auto"/>
              </w:rPr>
            </w:pPr>
            <w:r>
              <w:rPr>
                <w:rFonts w:ascii="Arial" w:cs="Arial" w:eastAsia="Arial" w:hAnsi="Arial"/>
                <w:sz w:val="16"/>
                <w:szCs w:val="16"/>
                <w:color w:val="0000EE"/>
              </w:rPr>
              <w:t>Item 9C.</w:t>
            </w:r>
          </w:p>
        </w:tc>
        <w:tc>
          <w:tcPr>
            <w:tcW w:w="3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520" w:type="dxa"/>
            <w:vAlign w:val="bottom"/>
            <w:gridSpan w:val="30"/>
          </w:tcPr>
          <w:p>
            <w:pPr>
              <w:spacing w:after="0" w:line="164" w:lineRule="exact"/>
              <w:rPr>
                <w:sz w:val="20"/>
                <w:szCs w:val="20"/>
                <w:color w:val="auto"/>
              </w:rPr>
            </w:pPr>
            <w:r>
              <w:rPr>
                <w:rFonts w:ascii="Arial" w:cs="Arial" w:eastAsia="Arial" w:hAnsi="Arial"/>
                <w:sz w:val="16"/>
                <w:szCs w:val="16"/>
                <w:color w:val="0000EE"/>
              </w:rPr>
              <w:t>Disclosure Regarding Foreign Jurisdictions that Prevent Inspections</w:t>
            </w: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gridSpan w:val="13"/>
          </w:tcPr>
          <w:p>
            <w:pPr>
              <w:jc w:val="center"/>
              <w:ind w:right="1440"/>
              <w:spacing w:after="0"/>
              <w:rPr>
                <w:sz w:val="20"/>
                <w:szCs w:val="20"/>
                <w:color w:val="auto"/>
              </w:rPr>
            </w:pPr>
            <w:r>
              <w:rPr>
                <w:rFonts w:ascii="Arial" w:cs="Arial" w:eastAsia="Arial" w:hAnsi="Arial"/>
                <w:sz w:val="16"/>
                <w:szCs w:val="16"/>
                <w:b w:val="1"/>
                <w:bCs w:val="1"/>
                <w:color w:val="0000EE"/>
              </w:rPr>
              <w:t>PART III</w:t>
            </w:r>
          </w:p>
        </w:tc>
        <w:tc>
          <w:tcPr>
            <w:tcW w:w="264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980" w:type="dxa"/>
            <w:vAlign w:val="bottom"/>
            <w:gridSpan w:val="8"/>
          </w:tcPr>
          <w:p>
            <w:pPr>
              <w:spacing w:after="0"/>
              <w:rPr>
                <w:sz w:val="20"/>
                <w:szCs w:val="20"/>
                <w:color w:val="auto"/>
              </w:rPr>
            </w:pPr>
            <w:r>
              <w:rPr>
                <w:rFonts w:ascii="Arial" w:cs="Arial" w:eastAsia="Arial" w:hAnsi="Arial"/>
                <w:sz w:val="16"/>
                <w:szCs w:val="16"/>
                <w:color w:val="auto"/>
              </w:rPr>
              <w:t>Item 10.</w:t>
            </w:r>
          </w:p>
        </w:tc>
        <w:tc>
          <w:tcPr>
            <w:tcW w:w="7540" w:type="dxa"/>
            <w:vAlign w:val="bottom"/>
            <w:gridSpan w:val="31"/>
          </w:tcPr>
          <w:p>
            <w:pPr>
              <w:spacing w:after="0"/>
              <w:rPr>
                <w:sz w:val="20"/>
                <w:szCs w:val="20"/>
                <w:color w:val="auto"/>
              </w:rPr>
            </w:pPr>
            <w:r>
              <w:rPr>
                <w:rFonts w:ascii="Arial" w:cs="Arial" w:eastAsia="Arial" w:hAnsi="Arial"/>
                <w:sz w:val="16"/>
                <w:szCs w:val="16"/>
                <w:color w:val="auto"/>
              </w:rPr>
              <w:t>Directors, Executive Officers and Corporate Governance</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980" w:type="dxa"/>
            <w:vAlign w:val="bottom"/>
            <w:gridSpan w:val="8"/>
          </w:tcPr>
          <w:p>
            <w:pPr>
              <w:spacing w:after="0"/>
              <w:rPr>
                <w:sz w:val="20"/>
                <w:szCs w:val="20"/>
                <w:color w:val="auto"/>
              </w:rPr>
            </w:pPr>
            <w:r>
              <w:rPr>
                <w:rFonts w:ascii="Arial" w:cs="Arial" w:eastAsia="Arial" w:hAnsi="Arial"/>
                <w:sz w:val="16"/>
                <w:szCs w:val="16"/>
                <w:color w:val="auto"/>
              </w:rPr>
              <w:t>Item 11.</w:t>
            </w:r>
          </w:p>
        </w:tc>
        <w:tc>
          <w:tcPr>
            <w:tcW w:w="7540" w:type="dxa"/>
            <w:vAlign w:val="bottom"/>
            <w:gridSpan w:val="31"/>
          </w:tcPr>
          <w:p>
            <w:pPr>
              <w:spacing w:after="0"/>
              <w:rPr>
                <w:sz w:val="20"/>
                <w:szCs w:val="20"/>
                <w:color w:val="auto"/>
              </w:rPr>
            </w:pPr>
            <w:r>
              <w:rPr>
                <w:rFonts w:ascii="Arial" w:cs="Arial" w:eastAsia="Arial" w:hAnsi="Arial"/>
                <w:sz w:val="16"/>
                <w:szCs w:val="16"/>
                <w:color w:val="auto"/>
              </w:rPr>
              <w:t>Executive Compensation</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980" w:type="dxa"/>
            <w:vAlign w:val="bottom"/>
            <w:gridSpan w:val="8"/>
          </w:tcPr>
          <w:p>
            <w:pPr>
              <w:spacing w:after="0"/>
              <w:rPr>
                <w:sz w:val="20"/>
                <w:szCs w:val="20"/>
                <w:color w:val="auto"/>
              </w:rPr>
            </w:pPr>
            <w:r>
              <w:rPr>
                <w:rFonts w:ascii="Arial" w:cs="Arial" w:eastAsia="Arial" w:hAnsi="Arial"/>
                <w:sz w:val="16"/>
                <w:szCs w:val="16"/>
                <w:color w:val="auto"/>
              </w:rPr>
              <w:t>Item 12.</w:t>
            </w:r>
          </w:p>
        </w:tc>
        <w:tc>
          <w:tcPr>
            <w:tcW w:w="7540" w:type="dxa"/>
            <w:vAlign w:val="bottom"/>
            <w:gridSpan w:val="31"/>
          </w:tcPr>
          <w:p>
            <w:pPr>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980" w:type="dxa"/>
            <w:vAlign w:val="bottom"/>
            <w:gridSpan w:val="8"/>
          </w:tcPr>
          <w:p>
            <w:pPr>
              <w:spacing w:after="0"/>
              <w:rPr>
                <w:sz w:val="20"/>
                <w:szCs w:val="20"/>
                <w:color w:val="auto"/>
              </w:rPr>
            </w:pPr>
            <w:r>
              <w:rPr>
                <w:rFonts w:ascii="Arial" w:cs="Arial" w:eastAsia="Arial" w:hAnsi="Arial"/>
                <w:sz w:val="16"/>
                <w:szCs w:val="16"/>
                <w:color w:val="auto"/>
              </w:rPr>
              <w:t>Item 13.</w:t>
            </w:r>
          </w:p>
        </w:tc>
        <w:tc>
          <w:tcPr>
            <w:tcW w:w="7540" w:type="dxa"/>
            <w:vAlign w:val="bottom"/>
            <w:gridSpan w:val="31"/>
          </w:tcPr>
          <w:p>
            <w:pPr>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980" w:type="dxa"/>
            <w:vAlign w:val="bottom"/>
            <w:gridSpan w:val="8"/>
          </w:tcPr>
          <w:p>
            <w:pPr>
              <w:spacing w:after="0" w:line="176" w:lineRule="exact"/>
              <w:rPr>
                <w:sz w:val="20"/>
                <w:szCs w:val="20"/>
                <w:color w:val="auto"/>
              </w:rPr>
            </w:pPr>
            <w:r>
              <w:rPr>
                <w:rFonts w:ascii="Arial" w:cs="Arial" w:eastAsia="Arial" w:hAnsi="Arial"/>
                <w:sz w:val="16"/>
                <w:szCs w:val="16"/>
                <w:color w:val="0000EE"/>
              </w:rPr>
              <w:t>Item 14.</w:t>
            </w:r>
          </w:p>
        </w:tc>
        <w:tc>
          <w:tcPr>
            <w:tcW w:w="7540" w:type="dxa"/>
            <w:vAlign w:val="bottom"/>
            <w:gridSpan w:val="31"/>
          </w:tcPr>
          <w:p>
            <w:pPr>
              <w:spacing w:after="0" w:line="176" w:lineRule="exact"/>
              <w:rPr>
                <w:sz w:val="20"/>
                <w:szCs w:val="20"/>
                <w:color w:val="auto"/>
              </w:rPr>
            </w:pPr>
            <w:r>
              <w:rPr>
                <w:rFonts w:ascii="Arial" w:cs="Arial" w:eastAsia="Arial" w:hAnsi="Arial"/>
                <w:sz w:val="16"/>
                <w:szCs w:val="16"/>
                <w:color w:val="0000EE"/>
              </w:rPr>
              <w:t>Principal Accounting Fees and Services</w:t>
            </w: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700" w:type="dxa"/>
            <w:vAlign w:val="bottom"/>
            <w:gridSpan w:val="16"/>
          </w:tcPr>
          <w:p>
            <w:pPr>
              <w:jc w:val="center"/>
              <w:ind w:right="4080"/>
              <w:spacing w:after="0"/>
              <w:rPr>
                <w:sz w:val="20"/>
                <w:szCs w:val="20"/>
                <w:color w:val="auto"/>
              </w:rPr>
            </w:pPr>
            <w:r>
              <w:rPr>
                <w:rFonts w:ascii="Arial" w:cs="Arial" w:eastAsia="Arial" w:hAnsi="Arial"/>
                <w:sz w:val="16"/>
                <w:szCs w:val="16"/>
                <w:b w:val="1"/>
                <w:bCs w:val="1"/>
                <w:color w:val="0000EE"/>
                <w:w w:val="98"/>
              </w:rPr>
              <w:t>PART IV</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80" w:type="dxa"/>
            <w:vAlign w:val="bottom"/>
            <w:gridSpan w:val="8"/>
          </w:tcPr>
          <w:p>
            <w:pPr>
              <w:spacing w:after="0"/>
              <w:rPr>
                <w:sz w:val="20"/>
                <w:szCs w:val="20"/>
                <w:color w:val="auto"/>
              </w:rPr>
            </w:pPr>
            <w:r>
              <w:rPr>
                <w:rFonts w:ascii="Arial" w:cs="Arial" w:eastAsia="Arial" w:hAnsi="Arial"/>
                <w:sz w:val="16"/>
                <w:szCs w:val="16"/>
                <w:color w:val="0000EE"/>
              </w:rPr>
              <w:t>Item 15.</w:t>
            </w:r>
          </w:p>
        </w:tc>
        <w:tc>
          <w:tcPr>
            <w:tcW w:w="7540" w:type="dxa"/>
            <w:vAlign w:val="bottom"/>
            <w:gridSpan w:val="31"/>
          </w:tcPr>
          <w:p>
            <w:pPr>
              <w:spacing w:after="0"/>
              <w:rPr>
                <w:sz w:val="20"/>
                <w:szCs w:val="20"/>
                <w:color w:val="auto"/>
              </w:rPr>
            </w:pPr>
            <w:r>
              <w:rPr>
                <w:rFonts w:ascii="Arial" w:cs="Arial" w:eastAsia="Arial" w:hAnsi="Arial"/>
                <w:sz w:val="16"/>
                <w:szCs w:val="16"/>
                <w:color w:val="0000EE"/>
              </w:rPr>
              <w:t>Exhibits, Financial Statement Schedules</w:t>
            </w: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64"/>
        </w:trPr>
        <w:tc>
          <w:tcPr>
            <w:tcW w:w="600" w:type="dxa"/>
            <w:vAlign w:val="bottom"/>
            <w:tcBorders>
              <w:top w:val="single" w:sz="8" w:color="0000EE"/>
            </w:tcBorders>
            <w:gridSpan w:val="4"/>
          </w:tcPr>
          <w:p>
            <w:pPr>
              <w:spacing w:after="0" w:line="164" w:lineRule="exact"/>
              <w:rPr>
                <w:sz w:val="20"/>
                <w:szCs w:val="20"/>
                <w:color w:val="auto"/>
              </w:rPr>
            </w:pPr>
            <w:r>
              <w:rPr>
                <w:rFonts w:ascii="Arial" w:cs="Arial" w:eastAsia="Arial" w:hAnsi="Arial"/>
                <w:sz w:val="16"/>
                <w:szCs w:val="16"/>
                <w:color w:val="0000EE"/>
              </w:rPr>
              <w:t>Item 16.</w:t>
            </w:r>
          </w:p>
        </w:tc>
        <w:tc>
          <w:tcPr>
            <w:tcW w:w="3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top w:val="single" w:sz="8" w:color="0000EE"/>
            </w:tcBorders>
            <w:gridSpan w:val="18"/>
          </w:tcPr>
          <w:p>
            <w:pPr>
              <w:spacing w:after="0" w:line="164" w:lineRule="exact"/>
              <w:rPr>
                <w:sz w:val="20"/>
                <w:szCs w:val="20"/>
                <w:color w:val="auto"/>
              </w:rPr>
            </w:pPr>
            <w:r>
              <w:rPr>
                <w:rFonts w:ascii="Arial" w:cs="Arial" w:eastAsia="Arial" w:hAnsi="Arial"/>
                <w:sz w:val="16"/>
                <w:szCs w:val="16"/>
                <w:color w:val="0000EE"/>
              </w:rPr>
              <w:t>Form 10-K Summary</w:t>
            </w:r>
          </w:p>
        </w:tc>
        <w:tc>
          <w:tcPr>
            <w:tcW w:w="240" w:type="dxa"/>
            <w:vAlign w:val="bottom"/>
          </w:tcPr>
          <w:p>
            <w:pPr>
              <w:spacing w:after="0"/>
              <w:rPr>
                <w:sz w:val="14"/>
                <w:szCs w:val="14"/>
                <w:color w:val="auto"/>
              </w:rPr>
            </w:pPr>
          </w:p>
        </w:tc>
        <w:tc>
          <w:tcPr>
            <w:tcW w:w="4380" w:type="dxa"/>
            <w:vAlign w:val="bottom"/>
            <w:gridSpan w:val="11"/>
          </w:tcPr>
          <w:p>
            <w:pPr>
              <w:spacing w:after="0"/>
              <w:rPr>
                <w:sz w:val="14"/>
                <w:szCs w:val="14"/>
                <w:color w:val="auto"/>
              </w:rPr>
            </w:pP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438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40" w:type="dxa"/>
            <w:vAlign w:val="bottom"/>
            <w:gridSpan w:val="31"/>
          </w:tcPr>
          <w:p>
            <w:pPr>
              <w:spacing w:after="0"/>
              <w:rPr>
                <w:sz w:val="20"/>
                <w:szCs w:val="20"/>
                <w:color w:val="auto"/>
              </w:rPr>
            </w:pPr>
            <w:r>
              <w:rPr>
                <w:rFonts w:ascii="Arial" w:cs="Arial" w:eastAsia="Arial" w:hAnsi="Arial"/>
                <w:sz w:val="16"/>
                <w:szCs w:val="16"/>
                <w:color w:val="0000EE"/>
              </w:rPr>
              <w:t>Signatures</w:t>
            </w:r>
          </w:p>
        </w:tc>
        <w:tc>
          <w:tcPr>
            <w:tcW w:w="5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top w:val="single" w:sz="8" w:color="0000EE"/>
            </w:tcBorders>
            <w:gridSpan w:val="4"/>
          </w:tcPr>
          <w:p>
            <w:pPr>
              <w:spacing w:after="0" w:line="164" w:lineRule="exact"/>
              <w:rPr>
                <w:sz w:val="20"/>
                <w:szCs w:val="20"/>
                <w:color w:val="auto"/>
              </w:rPr>
            </w:pPr>
            <w:r>
              <w:rPr>
                <w:rFonts w:ascii="Arial" w:cs="Arial" w:eastAsia="Arial" w:hAnsi="Arial"/>
                <w:sz w:val="16"/>
                <w:szCs w:val="16"/>
                <w:color w:val="0000EE"/>
              </w:rPr>
              <w:t>Index to</w:t>
            </w:r>
          </w:p>
        </w:tc>
        <w:tc>
          <w:tcPr>
            <w:tcW w:w="6740" w:type="dxa"/>
            <w:vAlign w:val="bottom"/>
            <w:gridSpan w:val="27"/>
          </w:tcPr>
          <w:p>
            <w:pPr>
              <w:spacing w:after="0" w:line="164" w:lineRule="exact"/>
              <w:rPr>
                <w:sz w:val="20"/>
                <w:szCs w:val="20"/>
                <w:color w:val="auto"/>
              </w:rPr>
            </w:pPr>
            <w:r>
              <w:rPr>
                <w:rFonts w:ascii="Arial" w:cs="Arial" w:eastAsia="Arial" w:hAnsi="Arial"/>
                <w:sz w:val="16"/>
                <w:szCs w:val="16"/>
                <w:color w:val="0000EE"/>
              </w:rPr>
              <w:t>Consolidated Financial Statements</w:t>
            </w:r>
          </w:p>
        </w:tc>
        <w:tc>
          <w:tcPr>
            <w:tcW w:w="500" w:type="dxa"/>
            <w:vAlign w:val="bottom"/>
          </w:tcPr>
          <w:p>
            <w:pPr>
              <w:jc w:val="right"/>
              <w:spacing w:after="0" w:line="164" w:lineRule="exact"/>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top w:val="single" w:sz="8" w:color="0000EE"/>
              <w:bottom w:val="single" w:sz="8" w:color="auto"/>
            </w:tcBorders>
          </w:tcPr>
          <w:p>
            <w:pPr>
              <w:spacing w:after="0"/>
              <w:rPr>
                <w:sz w:val="9"/>
                <w:szCs w:val="9"/>
                <w:color w:val="auto"/>
              </w:rPr>
            </w:pPr>
          </w:p>
        </w:tc>
        <w:tc>
          <w:tcPr>
            <w:tcW w:w="64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60" w:type="dxa"/>
            <w:vAlign w:val="bottom"/>
            <w:tcBorders>
              <w:top w:val="single" w:sz="8" w:color="0000EE"/>
              <w:bottom w:val="single" w:sz="8" w:color="auto"/>
            </w:tcBorders>
          </w:tcPr>
          <w:p>
            <w:pPr>
              <w:spacing w:after="0"/>
              <w:rPr>
                <w:sz w:val="9"/>
                <w:szCs w:val="9"/>
                <w:color w:val="auto"/>
              </w:rPr>
            </w:pPr>
          </w:p>
        </w:tc>
        <w:tc>
          <w:tcPr>
            <w:tcW w:w="120" w:type="dxa"/>
            <w:vAlign w:val="bottom"/>
            <w:tcBorders>
              <w:top w:val="single" w:sz="8" w:color="0000EE"/>
              <w:bottom w:val="single" w:sz="8" w:color="auto"/>
            </w:tcBorders>
          </w:tcPr>
          <w:p>
            <w:pPr>
              <w:spacing w:after="0"/>
              <w:rPr>
                <w:sz w:val="9"/>
                <w:szCs w:val="9"/>
                <w:color w:val="auto"/>
              </w:rPr>
            </w:pPr>
          </w:p>
        </w:tc>
        <w:tc>
          <w:tcPr>
            <w:tcW w:w="80" w:type="dxa"/>
            <w:vAlign w:val="bottom"/>
            <w:tcBorders>
              <w:top w:val="single" w:sz="8" w:color="0000EE"/>
              <w:bottom w:val="single" w:sz="8" w:color="auto"/>
            </w:tcBorders>
          </w:tcPr>
          <w:p>
            <w:pPr>
              <w:spacing w:after="0"/>
              <w:rPr>
                <w:sz w:val="9"/>
                <w:szCs w:val="9"/>
                <w:color w:val="auto"/>
              </w:rPr>
            </w:pPr>
          </w:p>
        </w:tc>
        <w:tc>
          <w:tcPr>
            <w:tcW w:w="220" w:type="dxa"/>
            <w:vAlign w:val="bottom"/>
            <w:tcBorders>
              <w:top w:val="single" w:sz="8" w:color="0000EE"/>
              <w:bottom w:val="single" w:sz="8" w:color="auto"/>
            </w:tcBorders>
          </w:tcPr>
          <w:p>
            <w:pPr>
              <w:spacing w:after="0"/>
              <w:rPr>
                <w:sz w:val="9"/>
                <w:szCs w:val="9"/>
                <w:color w:val="auto"/>
              </w:rPr>
            </w:pPr>
          </w:p>
        </w:tc>
        <w:tc>
          <w:tcPr>
            <w:tcW w:w="40" w:type="dxa"/>
            <w:vAlign w:val="bottom"/>
            <w:tcBorders>
              <w:top w:val="single" w:sz="8" w:color="0000EE"/>
              <w:bottom w:val="single" w:sz="8" w:color="auto"/>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298"/>
        <w:spacing w:after="0"/>
        <w:tabs>
          <w:tab w:leader="none" w:pos="3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This item has been omitted pursuant to the reduced disclosure format as set forth in General Instructions (I)</w:t>
      </w:r>
    </w:p>
    <w:p>
      <w:pPr>
        <w:spacing w:after="0" w:line="15"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 (a) and (c)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545465</wp:posOffset>
            </wp:positionV>
            <wp:extent cx="5666105"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60"/>
          </w:cols>
          <w:pgMar w:left="1440" w:top="478" w:right="1399" w:bottom="1440" w:gutter="0" w:footer="0" w:header="0"/>
        </w:sectPr>
      </w:pPr>
    </w:p>
    <w:bookmarkStart w:id="2" w:name="page3"/>
    <w:bookmarkEnd w:id="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DISCLOSURE REGARDING FORWARD-LOOKING STATEMENTS</w:t>
      </w:r>
    </w:p>
    <w:p>
      <w:pPr>
        <w:spacing w:after="0" w:line="196" w:lineRule="exact"/>
        <w:rPr>
          <w:sz w:val="20"/>
          <w:szCs w:val="20"/>
          <w:color w:val="auto"/>
        </w:rPr>
      </w:pPr>
    </w:p>
    <w:p>
      <w:pPr>
        <w:ind w:left="40" w:right="79"/>
        <w:spacing w:after="0" w:line="250" w:lineRule="auto"/>
        <w:rPr>
          <w:sz w:val="20"/>
          <w:szCs w:val="20"/>
          <w:color w:val="auto"/>
        </w:rPr>
      </w:pPr>
      <w:r>
        <w:rPr>
          <w:rFonts w:ascii="Arial" w:cs="Arial" w:eastAsia="Arial" w:hAnsi="Arial"/>
          <w:sz w:val="16"/>
          <w:szCs w:val="16"/>
          <w:color w:val="auto"/>
        </w:rPr>
        <w:t>Unless otherwise required by the context, in this report, the words “HSSC,” the “Company,” “we,” “our” and “us” refer to Hughes Satellite Systems Corporation and its subsidiaries, “EchoStar” refers to EchoStar Corporation, our parent company, “DISH Network” refers to DISH Network Corporation, a wholly owned, indirect subsidiary of EchoStar, and its subsidiaries, and “DISH DBS” refers to DISH DBS Corporation, a wholly owned, indirect subsidiary of DISH Network, and its subsidiaries.</w:t>
      </w:r>
    </w:p>
    <w:p>
      <w:pPr>
        <w:spacing w:after="0" w:line="349" w:lineRule="exact"/>
        <w:rPr>
          <w:sz w:val="20"/>
          <w:szCs w:val="20"/>
          <w:color w:val="auto"/>
        </w:rPr>
      </w:pPr>
    </w:p>
    <w:p>
      <w:pPr>
        <w:ind w:left="40" w:right="99"/>
        <w:spacing w:after="0" w:line="243"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Annual Report on Form 10-K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RISK FACTORS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Competition and Economic Risks</w:t>
      </w:r>
    </w:p>
    <w:p>
      <w:pPr>
        <w:spacing w:after="0" w:line="196" w:lineRule="exact"/>
        <w:rPr>
          <w:sz w:val="20"/>
          <w:szCs w:val="20"/>
          <w:color w:val="auto"/>
        </w:rPr>
      </w:pPr>
    </w:p>
    <w:p>
      <w:pPr>
        <w:jc w:val="both"/>
        <w:ind w:left="660" w:right="59" w:hanging="299"/>
        <w:spacing w:after="0" w:line="260" w:lineRule="auto"/>
        <w:tabs>
          <w:tab w:leader="none" w:pos="6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We face intense and increasing competition from providers of broadband services. Changing consumer behavior and new technologies in our industry may reduce our subscriber activations and may cause our subscribers to purchase fewer services from us or to cancel our services altogether, resulting in less revenue to us.</w:t>
      </w:r>
    </w:p>
    <w:p>
      <w:pPr>
        <w:spacing w:after="0" w:line="148" w:lineRule="exact"/>
        <w:rPr>
          <w:rFonts w:ascii="Times New Roman" w:cs="Times New Roman" w:eastAsia="Times New Roman" w:hAnsi="Times New Roman"/>
          <w:sz w:val="16"/>
          <w:szCs w:val="16"/>
          <w:color w:val="auto"/>
        </w:rPr>
      </w:pPr>
    </w:p>
    <w:p>
      <w:pPr>
        <w:ind w:left="660" w:right="59" w:hanging="299"/>
        <w:spacing w:after="0" w:line="280" w:lineRule="auto"/>
        <w:tabs>
          <w:tab w:leader="none" w:pos="6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33" w:lineRule="exact"/>
        <w:rPr>
          <w:rFonts w:ascii="Times New Roman" w:cs="Times New Roman" w:eastAsia="Times New Roman" w:hAnsi="Times New Roman"/>
          <w:sz w:val="16"/>
          <w:szCs w:val="16"/>
          <w:color w:val="auto"/>
        </w:rPr>
      </w:pPr>
    </w:p>
    <w:p>
      <w:pPr>
        <w:ind w:left="660" w:right="59" w:hanging="299"/>
        <w:spacing w:after="0" w:line="280" w:lineRule="auto"/>
        <w:tabs>
          <w:tab w:leader="none" w:pos="6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is partially dependent on enterprise revenue and any decline or reduction of that revenue could negatively impact our business, financial condition and results of operations.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Operational and Service Delivery Risks</w:t>
      </w:r>
    </w:p>
    <w:p>
      <w:pPr>
        <w:spacing w:after="0" w:line="196" w:lineRule="exact"/>
        <w:rPr>
          <w:sz w:val="20"/>
          <w:szCs w:val="20"/>
          <w:color w:val="auto"/>
        </w:rPr>
      </w:pPr>
    </w:p>
    <w:p>
      <w:pPr>
        <w:ind w:left="660" w:right="59" w:hanging="299"/>
        <w:spacing w:after="0" w:line="280" w:lineRule="auto"/>
        <w:tabs>
          <w:tab w:leader="none" w:pos="6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Any deterioration in our operational performance, subscriber activations and churn rate and subscriber satisfaction could adversely affect our business, financial condition and results of operations.</w:t>
      </w:r>
    </w:p>
    <w:p>
      <w:pPr>
        <w:spacing w:after="0" w:line="133" w:lineRule="exact"/>
        <w:rPr>
          <w:rFonts w:ascii="Times New Roman" w:cs="Times New Roman" w:eastAsia="Times New Roman" w:hAnsi="Times New Roman"/>
          <w:sz w:val="16"/>
          <w:szCs w:val="16"/>
          <w:color w:val="auto"/>
        </w:rPr>
      </w:pPr>
    </w:p>
    <w:p>
      <w:pPr>
        <w:ind w:left="660" w:right="59" w:hanging="299"/>
        <w:spacing w:after="0" w:line="280" w:lineRule="auto"/>
        <w:tabs>
          <w:tab w:leader="none" w:pos="6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33"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foreign operations and investments expose us to risks and restrictions not present in our domestic operations.</w:t>
      </w:r>
    </w:p>
    <w:p>
      <w:pPr>
        <w:spacing w:after="0" w:line="207" w:lineRule="exact"/>
        <w:rPr>
          <w:rFonts w:ascii="Times New Roman" w:cs="Times New Roman" w:eastAsia="Times New Roman" w:hAnsi="Times New Roman"/>
          <w:sz w:val="16"/>
          <w:szCs w:val="16"/>
          <w:color w:val="auto"/>
        </w:rPr>
      </w:pPr>
    </w:p>
    <w:p>
      <w:pPr>
        <w:jc w:val="both"/>
        <w:ind w:left="660" w:right="59" w:hanging="299"/>
        <w:spacing w:after="0" w:line="260" w:lineRule="auto"/>
        <w:tabs>
          <w:tab w:leader="none" w:pos="6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right="59" w:hanging="299"/>
        <w:spacing w:after="0" w:line="280" w:lineRule="auto"/>
        <w:tabs>
          <w:tab w:leader="none" w:pos="6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33" w:lineRule="exact"/>
        <w:rPr>
          <w:rFonts w:ascii="Times New Roman" w:cs="Times New Roman" w:eastAsia="Times New Roman" w:hAnsi="Times New Roman"/>
          <w:sz w:val="16"/>
          <w:szCs w:val="16"/>
          <w:color w:val="auto"/>
        </w:rPr>
      </w:pPr>
    </w:p>
    <w:p>
      <w:pPr>
        <w:ind w:left="660" w:right="59" w:hanging="299"/>
        <w:spacing w:after="0" w:line="280" w:lineRule="auto"/>
        <w:tabs>
          <w:tab w:leader="none" w:pos="6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trade policies, including, but not limited to, tariffs and other restrictions, could, among other things, increase our costs, disrupt our supply chain and negatively affect our business, operations and financial condition.</w:t>
      </w:r>
    </w:p>
    <w:p>
      <w:pPr>
        <w:spacing w:after="0" w:line="133" w:lineRule="exact"/>
        <w:rPr>
          <w:rFonts w:ascii="Times New Roman" w:cs="Times New Roman" w:eastAsia="Times New Roman" w:hAnsi="Times New Roman"/>
          <w:sz w:val="16"/>
          <w:szCs w:val="16"/>
          <w:color w:val="auto"/>
        </w:rPr>
      </w:pPr>
    </w:p>
    <w:p>
      <w:pPr>
        <w:ind w:left="660" w:right="59" w:hanging="299"/>
        <w:spacing w:after="0" w:line="280" w:lineRule="auto"/>
        <w:tabs>
          <w:tab w:leader="none" w:pos="6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We depend on independent third parties to solicit orders for our services that represent a meaningful percentage of our total gross new subscriber activations.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Human Capital</w:t>
      </w:r>
    </w:p>
    <w:p>
      <w:pPr>
        <w:spacing w:after="0" w:line="196" w:lineRule="exact"/>
        <w:rPr>
          <w:sz w:val="20"/>
          <w:szCs w:val="20"/>
          <w:color w:val="auto"/>
        </w:rPr>
      </w:pPr>
    </w:p>
    <w:p>
      <w:pPr>
        <w:ind w:left="660" w:right="59" w:hanging="299"/>
        <w:spacing w:after="0" w:line="280" w:lineRule="auto"/>
        <w:tabs>
          <w:tab w:leader="none" w:pos="6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rely on highly skilled personnel for our business, and any inability to hire and retain key personnel or to hire qualified personnel may negatively affect our business, financial condition and results of operations.</w:t>
      </w:r>
    </w:p>
    <w:p>
      <w:pPr>
        <w:spacing w:after="0" w:line="133"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growth and customer retention strategies rely in part on the work of technically skilled employees.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Satellites</w:t>
      </w:r>
    </w:p>
    <w:p>
      <w:pPr>
        <w:spacing w:after="0" w:line="196" w:lineRule="exact"/>
        <w:rPr>
          <w:sz w:val="20"/>
          <w:szCs w:val="20"/>
          <w:color w:val="auto"/>
        </w:rPr>
      </w:pPr>
    </w:p>
    <w:p>
      <w:pPr>
        <w:ind w:left="660" w:right="59" w:hanging="299"/>
        <w:spacing w:after="0" w:line="280" w:lineRule="auto"/>
        <w:tabs>
          <w:tab w:leader="none" w:pos="6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owned and leased satellites in orbit are subject to significant operational and environmental risks that could limit our ability to utilize these satellites.</w:t>
      </w:r>
    </w:p>
    <w:p>
      <w:pPr>
        <w:spacing w:after="0" w:line="133" w:lineRule="exact"/>
        <w:rPr>
          <w:rFonts w:ascii="Times New Roman" w:cs="Times New Roman" w:eastAsia="Times New Roman" w:hAnsi="Times New Roman"/>
          <w:sz w:val="16"/>
          <w:szCs w:val="16"/>
          <w:color w:val="auto"/>
        </w:rPr>
      </w:pPr>
    </w:p>
    <w:p>
      <w:pPr>
        <w:ind w:left="660" w:right="59" w:hanging="299"/>
        <w:spacing w:after="0" w:line="259" w:lineRule="auto"/>
        <w:tabs>
          <w:tab w:leader="none" w:pos="66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use of certain satellites is often dependent on satellite coordination agreements, which may be difficult to obtain.</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Products and Technology</w:t>
      </w:r>
    </w:p>
    <w:p>
      <w:pPr>
        <w:spacing w:after="0" w:line="196" w:lineRule="exact"/>
        <w:rPr>
          <w:sz w:val="20"/>
          <w:szCs w:val="20"/>
          <w:color w:val="auto"/>
        </w:rPr>
      </w:pPr>
    </w:p>
    <w:p>
      <w:pPr>
        <w:ind w:left="660" w:right="59" w:hanging="299"/>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depends on certain intellectual property rights and on not infringing the intellectual property rights of others.</w:t>
      </w:r>
    </w:p>
    <w:p>
      <w:pPr>
        <w:spacing w:after="0" w:line="133" w:lineRule="exact"/>
        <w:rPr>
          <w:rFonts w:ascii="Times New Roman" w:cs="Times New Roman" w:eastAsia="Times New Roman" w:hAnsi="Times New Roman"/>
          <w:sz w:val="16"/>
          <w:szCs w:val="16"/>
          <w:color w:val="auto"/>
        </w:rPr>
      </w:pPr>
    </w:p>
    <w:p>
      <w:pPr>
        <w:ind w:left="660" w:right="59" w:hanging="299"/>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We are, and may become, party to various lawsuits which, if adversely decided, could have a significant adverse impact on our business, particularly lawsuits regarding intellectual property.</w:t>
      </w:r>
    </w:p>
    <w:p>
      <w:pPr>
        <w:spacing w:after="0" w:line="133" w:lineRule="exact"/>
        <w:rPr>
          <w:rFonts w:ascii="Times New Roman" w:cs="Times New Roman" w:eastAsia="Times New Roman" w:hAnsi="Times New Roman"/>
          <w:sz w:val="16"/>
          <w:szCs w:val="16"/>
          <w:color w:val="auto"/>
        </w:rPr>
      </w:pPr>
    </w:p>
    <w:p>
      <w:pPr>
        <w:ind w:left="660" w:right="59" w:hanging="299"/>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If our products contain defects, we could be subject to significant costs to correct such defects and our product and network service contracts could be delayed or cancelled, which could adversely affect our revenue.</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Cybersecurity</w:t>
      </w:r>
    </w:p>
    <w:p>
      <w:pPr>
        <w:spacing w:after="0" w:line="196" w:lineRule="exact"/>
        <w:rPr>
          <w:sz w:val="20"/>
          <w:szCs w:val="20"/>
          <w:color w:val="auto"/>
        </w:rPr>
      </w:pPr>
    </w:p>
    <w:p>
      <w:pPr>
        <w:jc w:val="both"/>
        <w:ind w:left="660" w:right="59" w:hanging="299"/>
        <w:spacing w:after="0" w:line="253" w:lineRule="auto"/>
        <w:tabs>
          <w:tab w:leader="none" w:pos="6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parent, EchoStar, has experienced and we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154" w:lineRule="exact"/>
        <w:rPr>
          <w:rFonts w:ascii="Times New Roman" w:cs="Times New Roman" w:eastAsia="Times New Roman" w:hAnsi="Times New Roman"/>
          <w:sz w:val="16"/>
          <w:szCs w:val="16"/>
          <w:color w:val="auto"/>
        </w:rPr>
      </w:pPr>
    </w:p>
    <w:p>
      <w:pPr>
        <w:ind w:left="660" w:right="59" w:hanging="299"/>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confidentiality, integrity and availability of our services and products depends on the continuing operation of our information technology and other enabling systems.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Acquisition and Capital Structure Risks</w:t>
      </w:r>
    </w:p>
    <w:p>
      <w:pPr>
        <w:spacing w:after="0" w:line="196" w:lineRule="exact"/>
        <w:rPr>
          <w:sz w:val="20"/>
          <w:szCs w:val="20"/>
          <w:color w:val="auto"/>
        </w:rPr>
      </w:pPr>
    </w:p>
    <w:p>
      <w:pPr>
        <w:jc w:val="both"/>
        <w:ind w:left="660" w:right="59" w:hanging="299"/>
        <w:spacing w:after="0" w:line="260" w:lineRule="auto"/>
        <w:tabs>
          <w:tab w:leader="none" w:pos="6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We currently do not have the necessary cash on hand, projected future cash flows or committed financing to fund our obligations over the next twelve months, which raises substantial doubt about our ability to continue as a going concern.</w:t>
      </w:r>
    </w:p>
    <w:p>
      <w:pPr>
        <w:spacing w:after="0" w:line="136" w:lineRule="exact"/>
        <w:rPr>
          <w:rFonts w:ascii="Times New Roman" w:cs="Times New Roman" w:eastAsia="Times New Roman" w:hAnsi="Times New Roman"/>
          <w:sz w:val="16"/>
          <w:szCs w:val="16"/>
          <w:color w:val="auto"/>
        </w:rPr>
      </w:pPr>
    </w:p>
    <w:p>
      <w:pPr>
        <w:ind w:left="660" w:right="59" w:hanging="299"/>
        <w:spacing w:after="0" w:line="280" w:lineRule="auto"/>
        <w:tabs>
          <w:tab w:leader="none" w:pos="6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We have substantial debt outstanding and may incur additional debt and covenants in our Indentures could limit our ability to undertake certain types of activities and adversely affect our liquidity.</w:t>
      </w:r>
    </w:p>
    <w:p>
      <w:pPr>
        <w:spacing w:after="0" w:line="121" w:lineRule="exact"/>
        <w:rPr>
          <w:rFonts w:ascii="Times New Roman" w:cs="Times New Roman" w:eastAsia="Times New Roman" w:hAnsi="Times New Roman"/>
          <w:sz w:val="16"/>
          <w:szCs w:val="16"/>
          <w:color w:val="auto"/>
        </w:rPr>
      </w:pPr>
    </w:p>
    <w:p>
      <w:pPr>
        <w:jc w:val="both"/>
        <w:ind w:left="660" w:right="59" w:hanging="299"/>
        <w:spacing w:after="0" w:line="260" w:lineRule="auto"/>
        <w:tabs>
          <w:tab w:leader="none" w:pos="6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36" w:lineRule="exact"/>
        <w:rPr>
          <w:rFonts w:ascii="Times New Roman" w:cs="Times New Roman" w:eastAsia="Times New Roman" w:hAnsi="Times New Roman"/>
          <w:sz w:val="16"/>
          <w:szCs w:val="16"/>
          <w:color w:val="auto"/>
        </w:rPr>
      </w:pPr>
    </w:p>
    <w:p>
      <w:pPr>
        <w:ind w:left="660" w:right="59" w:hanging="299"/>
        <w:spacing w:after="0" w:line="280" w:lineRule="auto"/>
        <w:tabs>
          <w:tab w:leader="none" w:pos="6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We will need additional capital, which may not be available on favorable terms or at all, to fund current obligations, to continue investing in our business and to finance acquisitions and other strategic transactions.</w:t>
      </w:r>
    </w:p>
    <w:p>
      <w:pPr>
        <w:spacing w:after="0" w:line="12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Our parent, EchoStar, is controlled by one principal stockholder who is also our Chairman.</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the Regulation of Our Business</w:t>
      </w:r>
    </w:p>
    <w:p>
      <w:pPr>
        <w:spacing w:after="0" w:line="196" w:lineRule="exact"/>
        <w:rPr>
          <w:sz w:val="20"/>
          <w:szCs w:val="20"/>
          <w:color w:val="auto"/>
        </w:rPr>
      </w:pPr>
    </w:p>
    <w:p>
      <w:pPr>
        <w:ind w:left="660" w:right="59" w:hanging="299"/>
        <w:spacing w:after="0" w:line="280" w:lineRule="auto"/>
        <w:tabs>
          <w:tab w:leader="none" w:pos="66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services depend on FCC licenses that can expire or be revoked or modified and applications for FCC licenses that may not be granted</w:t>
      </w:r>
    </w:p>
    <w:p>
      <w:pPr>
        <w:spacing w:after="0" w:line="134"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Other factors that could cause or contribute to such differences include, but are not limited to, those discussed under the caption “Risk Factors” in Part I, Item 1A in this Annual Report on Form 10-K, those discussed in “Management’s Narrative Analysis of Results of Operations” herein and those discussed in other documents we file with the Securities and Exchange Commission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16"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6"/>
          <w:szCs w:val="16"/>
          <w:b w:val="1"/>
          <w:bCs w:val="1"/>
          <w:color w:val="auto"/>
        </w:rPr>
        <w:t>Item 1.</w:t>
        <w:tab/>
        <w:t>BUSINESS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OVERVIEW</w:t>
      </w:r>
    </w:p>
    <w:p>
      <w:pPr>
        <w:spacing w:after="0" w:line="196"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Hughes Satellite Systems Corporation (which, together with its subsidiaries, is referred to as “HSSC,” the “Company,” “we,” “us” and “our”) is a holding company and a subsidiary of EchoStar Corporation (“EchoStar” and “parent”). We were formed as a Colorado corporation in March 2011 to facilitate the acquisition by EchoStar (the “Hughes Acquisition”) of Hughes Communications, Inc. and its subsidiaries and related financing transactions. In connection with our formation, EchoStar contributed the assets and liabilities of its satellite services business to us, including the principal operating subsidiary of its satellite services business, EchoStar Satellite Services L.L.C. Substantially all of the voting power of the shares of EchoStar is owned beneficially by Charles W. Ergen, our Chairman, and by certain entities established for the benefit of his family.</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Developments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FCC Review</w:t>
      </w:r>
    </w:p>
    <w:p>
      <w:pPr>
        <w:spacing w:after="0" w:line="218" w:lineRule="exact"/>
        <w:rPr>
          <w:sz w:val="20"/>
          <w:szCs w:val="20"/>
          <w:color w:val="auto"/>
        </w:rPr>
      </w:pPr>
    </w:p>
    <w:p>
      <w:pPr>
        <w:jc w:val="both"/>
        <w:ind w:left="40" w:right="179"/>
        <w:spacing w:after="0" w:line="273" w:lineRule="auto"/>
        <w:rPr>
          <w:sz w:val="20"/>
          <w:szCs w:val="20"/>
          <w:color w:val="auto"/>
        </w:rPr>
      </w:pPr>
      <w:r>
        <w:rPr>
          <w:rFonts w:ascii="Arial" w:cs="Arial" w:eastAsia="Arial" w:hAnsi="Arial"/>
          <w:sz w:val="16"/>
          <w:szCs w:val="16"/>
          <w:color w:val="auto"/>
        </w:rPr>
        <w:t xml:space="preserve">In the third quarter of 2025, our parent, EchoStar resolved the review by the Federal Communications Commission (the “FCC”) into EchoStar’s compliance with its build-out milestones and other obligations regarding EchoStar’s federal spectrum licenses. EchoStar previously </w:t>
      </w:r>
      <w:r>
        <w:rPr>
          <w:rFonts w:ascii="Arial" w:cs="Arial" w:eastAsia="Arial" w:hAnsi="Arial"/>
          <w:sz w:val="16"/>
          <w:szCs w:val="16"/>
          <w:color w:val="222222"/>
        </w:rPr>
        <w:t>received a letter from the FCC on May 9, 2025, indicating that the FCC was</w:t>
      </w:r>
      <w:r>
        <w:rPr>
          <w:rFonts w:ascii="Arial" w:cs="Arial" w:eastAsia="Arial" w:hAnsi="Arial"/>
          <w:sz w:val="16"/>
          <w:szCs w:val="16"/>
          <w:color w:val="auto"/>
        </w:rPr>
        <w:t xml:space="preserve"> </w:t>
      </w:r>
      <w:r>
        <w:rPr>
          <w:rFonts w:ascii="Arial" w:cs="Arial" w:eastAsia="Arial" w:hAnsi="Arial"/>
          <w:sz w:val="16"/>
          <w:szCs w:val="16"/>
          <w:color w:val="222222"/>
        </w:rPr>
        <w:t>beginning a review of their compliance with certain obligations to provide 5G broadband service and raising certain questions regarding the September 2024 build-out extension granted by the FCC and mobile-satellite service (“MSS”) utilization in the 2 GHz band (the “May 9 Letter”). EchoStar responded to the FCC’s subsequent public notices with filings on May 27, 2025 and June 6, 2025</w:t>
      </w:r>
      <w:r>
        <w:rPr>
          <w:rFonts w:ascii="Arial" w:cs="Arial" w:eastAsia="Arial" w:hAnsi="Arial"/>
          <w:sz w:val="16"/>
          <w:szCs w:val="16"/>
          <w:color w:val="000000"/>
        </w:rPr>
        <w:t>.</w:t>
      </w:r>
    </w:p>
    <w:p>
      <w:pPr>
        <w:spacing w:after="0" w:line="153" w:lineRule="exact"/>
        <w:rPr>
          <w:sz w:val="20"/>
          <w:szCs w:val="20"/>
          <w:color w:val="auto"/>
        </w:rPr>
      </w:pPr>
    </w:p>
    <w:p>
      <w:pPr>
        <w:jc w:val="both"/>
        <w:ind w:left="40" w:right="159"/>
        <w:spacing w:after="0" w:line="276" w:lineRule="auto"/>
        <w:rPr>
          <w:sz w:val="20"/>
          <w:szCs w:val="20"/>
          <w:color w:val="auto"/>
        </w:rPr>
      </w:pPr>
      <w:r>
        <w:rPr>
          <w:rFonts w:ascii="Arial" w:cs="Arial" w:eastAsia="Arial" w:hAnsi="Arial"/>
          <w:sz w:val="16"/>
          <w:szCs w:val="16"/>
          <w:color w:val="auto"/>
        </w:rPr>
        <w:t>During the second quarter and the beginning of the third quarter of 2025, the potential ramifications of the FCC review to EchoStar’s business required them to, among other things, reevaluate the deployment of their resources and as a result, EchoStar elected not to make interest payments on a certain portion of their long-term senior notes on their respective scheduled due dates. EchoStar subsequently made such payments, including interest on the defaulted interest, within the applicable 30-day grace periods. See Note 10 in the Notes to EchoStar’s Consolidated Financial Statements in their Annual Report on Form 10-K for the year ended December 31, 2025 for further information.</w:t>
      </w:r>
    </w:p>
    <w:p>
      <w:pPr>
        <w:spacing w:after="0" w:line="152" w:lineRule="exact"/>
        <w:rPr>
          <w:sz w:val="20"/>
          <w:szCs w:val="20"/>
          <w:color w:val="auto"/>
        </w:rPr>
      </w:pPr>
    </w:p>
    <w:p>
      <w:pPr>
        <w:jc w:val="both"/>
        <w:ind w:left="40" w:right="159"/>
        <w:spacing w:after="0" w:line="271" w:lineRule="auto"/>
        <w:rPr>
          <w:sz w:val="20"/>
          <w:szCs w:val="20"/>
          <w:color w:val="auto"/>
        </w:rPr>
      </w:pPr>
      <w:r>
        <w:rPr>
          <w:rFonts w:ascii="Arial" w:cs="Arial" w:eastAsia="Arial" w:hAnsi="Arial"/>
          <w:sz w:val="16"/>
          <w:szCs w:val="16"/>
          <w:color w:val="auto"/>
        </w:rPr>
        <w:t>The FCC review introduced the possibility of reversing prior FCC grants of authority to EchoStar. The FCC made it clear that it viewed EchoStar’s spectrum as being underutilized and deemed their continued ownership of such spectrum licenses inconsistent with the public interest, and that they must sell a material amount of spectrum licenses or face a wide-ranging license revocation. Accordingly, as a result of these unforeseeable actions by the FCC that were outside of EchoStar’s control, they entered into the AT&amp;T Transactions, as defined in EchoStar’s Annual Report on Form 10-K for the year ended December 31, 2025 and the SpaceX Transactions, as defined below, whereby EchoStar agreed to sell a material amount of their spectrum licenses for cash and an Amended Equity Amount, as defined below. In August 2025, following these transactions, EchoStar began the abandonment and decommission process for certain portions of their 5G Network as defined in EchoStar’s Annual Report on Form 10-K for the year ended December 31, 2025 that will not be utilized in their Hybrid MNO business as defined in EchoStar’s Annual Report on Form 10-K for the year ended December 31, 2025. Furthermore, EchoStar believes the FCC’s actions and the resulting AT&amp;T Transactions and SpaceX Transactions constitute one or more force majeure events under certain of their 5G Network-related contracts.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6" w:name="page7"/>
    <w:bookmarkEnd w:id="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159"/>
        <w:spacing w:after="0" w:line="276" w:lineRule="auto"/>
        <w:rPr>
          <w:sz w:val="20"/>
          <w:szCs w:val="20"/>
          <w:color w:val="auto"/>
        </w:rPr>
      </w:pPr>
      <w:r>
        <w:rPr>
          <w:rFonts w:ascii="Arial" w:cs="Arial" w:eastAsia="Arial" w:hAnsi="Arial"/>
          <w:sz w:val="16"/>
          <w:szCs w:val="16"/>
          <w:color w:val="auto"/>
        </w:rPr>
        <w:t>On September 8, 2025, EchoStar received a follow-up letter from the FCC (the “September 8 Letter”). The September 8 Letter states, among other things, that FCC Chairman Carr has “asked FCC staff to bring the agency’s investigation to conclusion” by directing FCC staff to: “(1) dismiss VTel Wireless’s petition for reconsideration; (2) 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SpaceX License Purchase Agreement</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On September 7, 2025, our parent, EchoStar, Space Exploration Technologies Corp., a Texas corporation (“SpaceX”), and Spectrum Business Trust 2025-1, a Nevada Business Trust (“Trust”), entered into a License Purchase Agreement (the “SpaceX License Purchase Agreement,” and the transactions contemplated thereby, the “Initial SpaceX Transactions”).</w:t>
      </w:r>
    </w:p>
    <w:p>
      <w:pPr>
        <w:spacing w:after="0" w:line="150"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Pursuant to the terms and subject to the conditions set forth in the SpaceX License Purchase Agreement, EchoStar agreed to sell to SpaceX their rights and licenses related to an aggregate of 50 MHz of spectrum in frequency ranges 2000–2020, 2180–2200, 1915–1920 and 1995–2000 (the “</w:t>
      </w:r>
      <w:r>
        <w:rPr>
          <w:rFonts w:ascii="Arial" w:cs="Arial" w:eastAsia="Arial" w:hAnsi="Arial"/>
          <w:sz w:val="16"/>
          <w:szCs w:val="16"/>
          <w:color w:val="222222"/>
        </w:rPr>
        <w:t>AWS-4 and H-Block</w:t>
      </w:r>
      <w:r>
        <w:rPr>
          <w:rFonts w:ascii="Arial" w:cs="Arial" w:eastAsia="Arial" w:hAnsi="Arial"/>
          <w:sz w:val="16"/>
          <w:szCs w:val="16"/>
          <w:color w:val="auto"/>
        </w:rPr>
        <w:t xml:space="preserve"> Licenses” and such spectrum, the “Spectrum”) granted by the FCC, together with certain international authorizations, filings, concessions, licenses, rights and priorities related to that spectrum and certain assets associated therewith (collectively, the “Foreign Assets”).</w:t>
      </w:r>
    </w:p>
    <w:p>
      <w:pPr>
        <w:spacing w:after="0" w:line="157"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 xml:space="preserve">The transfer of the </w:t>
      </w:r>
      <w:r>
        <w:rPr>
          <w:rFonts w:ascii="Arial" w:cs="Arial" w:eastAsia="Arial" w:hAnsi="Arial"/>
          <w:sz w:val="16"/>
          <w:szCs w:val="16"/>
          <w:color w:val="222222"/>
        </w:rPr>
        <w:t>AWS-4 and H-Block</w:t>
      </w:r>
      <w:r>
        <w:rPr>
          <w:rFonts w:ascii="Arial" w:cs="Arial" w:eastAsia="Arial" w:hAnsi="Arial"/>
          <w:sz w:val="16"/>
          <w:szCs w:val="16"/>
          <w:color w:val="auto"/>
        </w:rPr>
        <w:t xml:space="preserve"> Licenses will occur in two steps: first, the </w:t>
      </w:r>
      <w:r>
        <w:rPr>
          <w:rFonts w:ascii="Arial" w:cs="Arial" w:eastAsia="Arial" w:hAnsi="Arial"/>
          <w:sz w:val="16"/>
          <w:szCs w:val="16"/>
          <w:color w:val="222222"/>
        </w:rPr>
        <w:t>AWS-4 and H-Block</w:t>
      </w:r>
      <w:r>
        <w:rPr>
          <w:rFonts w:ascii="Arial" w:cs="Arial" w:eastAsia="Arial" w:hAnsi="Arial"/>
          <w:sz w:val="16"/>
          <w:szCs w:val="16"/>
          <w:color w:val="auto"/>
        </w:rPr>
        <w:t xml:space="preserve"> Licenses will be transferred by EchoStar to the Trust (the “Spectrum Transfer Closing”), and second, the </w:t>
      </w:r>
      <w:r>
        <w:rPr>
          <w:rFonts w:ascii="Arial" w:cs="Arial" w:eastAsia="Arial" w:hAnsi="Arial"/>
          <w:sz w:val="16"/>
          <w:szCs w:val="16"/>
          <w:color w:val="222222"/>
        </w:rPr>
        <w:t>AWS-4 and H-Block</w:t>
      </w:r>
      <w:r>
        <w:rPr>
          <w:rFonts w:ascii="Arial" w:cs="Arial" w:eastAsia="Arial" w:hAnsi="Arial"/>
          <w:sz w:val="16"/>
          <w:szCs w:val="16"/>
          <w:color w:val="auto"/>
        </w:rPr>
        <w:t xml:space="preserve"> Licenses will be transferred by the Trust to SpaceX (the “Spectrum Acquisition Closing”). The Foreign Assets will be transferred by EchoStar directly to SpaceX at the Spectrum Acquisition Closing, to the extent the required regulatory approvals have been obtained by such date; provided, however, that the failure to obtain such approvals will not delay or prevent the Spectrum Acquisition Closing.</w:t>
      </w:r>
    </w:p>
    <w:p>
      <w:pPr>
        <w:spacing w:after="0" w:line="159"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The consideration for the Initial SpaceX Transactions payable at the Spectrum Acquisition Closing is $17 billion (the “Total Consideration Amount”). A portion of the Total Consideration Amount (such amount, the “Total Payoff Consideration Amount”) will be used to: (i) fully pay off all outstanding amounts owed on EchoStar’s 10 3/4% Senior Secured Notes due 2029 (the “10 3/4% Secured Notes”) and EchoStar’s 6 3/4% Senior Secured due 2030 (the “6 3/4% Secured Notes”) and</w:t>
      </w:r>
    </w:p>
    <w:p>
      <w:pPr>
        <w:jc w:val="both"/>
        <w:ind w:left="40" w:right="59" w:firstLine="2"/>
        <w:spacing w:after="0" w:line="245" w:lineRule="auto"/>
        <w:tabs>
          <w:tab w:leader="none" w:pos="2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settle the anticipated redemption and conversions of EchoStar’s 3 7/8% Convertible Secured Notes due 2030 (the “Convertible Notes due 2030” and, together with the 10 3/4% Secured Notes and the 6 3/4% Secured Notes, the “Seller Notes”). The remaining amount after paying off the Seller Notes (the “Purchase Price”) will be paid by SpaceX to EchoStar as follows: (i) up to $8.5 billion will be paid in SpaceX’s Class A Common Stock, valued at $212 per share (the “Equity Amount”); and (ii) any amount of the Purchase Price exceeding $8.5 billion will be paid in cash.</w:t>
      </w:r>
    </w:p>
    <w:p>
      <w:pPr>
        <w:spacing w:after="0" w:line="160"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 xml:space="preserve">If the Total Payoff Consideration Amount exceeds $8.5 billion, EchoStar may elect to pay the excess in cash, EchoStar’s Class A Common Stock (with respect to the Convertible Notes due 2030), or both, to maintain EchoStar’s receipt of the full Equity Amount. However, if EchoStar elects not to pay such excess amount, the Equity Amount will be reduced dollar-for-dollar to ensure that the combined Equity Amount and Total Payoff Consideration Amount do not exceed the Total Consideration Amount. As of December 31, 2025, the aggregate principal amount outstanding of the Seller Notes was $9.821 billion and is secured by the </w:t>
      </w:r>
      <w:r>
        <w:rPr>
          <w:rFonts w:ascii="Arial" w:cs="Arial" w:eastAsia="Arial" w:hAnsi="Arial"/>
          <w:sz w:val="16"/>
          <w:szCs w:val="16"/>
          <w:color w:val="222222"/>
        </w:rPr>
        <w:t>AWS-4 and AWS-3</w:t>
      </w:r>
      <w:r>
        <w:rPr>
          <w:rFonts w:ascii="Arial" w:cs="Arial" w:eastAsia="Arial" w:hAnsi="Arial"/>
          <w:sz w:val="16"/>
          <w:szCs w:val="16"/>
          <w:color w:val="auto"/>
        </w:rPr>
        <w:t xml:space="preserve"> Licenses.</w:t>
      </w:r>
    </w:p>
    <w:p>
      <w:pPr>
        <w:spacing w:after="0" w:line="159"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The Spectrum Transfer Closing is expected to occur in the first half of 2026. 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Additionally, in connection with the SpaceX License Purchase Agreement and the Initial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$2 billion and will be settled via a loan between EchoStar and SpaceX that automatically cancels upon the completion of the Spectrum Acquisition Closing. The Credit Agreement is generally on standard commercial terms and conditions and, as a beneficiary of the Credit Agreement, EchoStar has the ability to enforce the parties obligations under the Agreement. As of December 31, 2025, EchoStar has made approximately $414 million in cash interest payments on the Seller Notes, which is subject to reimbursement from SpaceX upon the Spectrum Transfer Closing.</w:t>
      </w:r>
    </w:p>
    <w:p>
      <w:pPr>
        <w:spacing w:after="0" w:line="16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The SpaceX License Purchase Agreement also provides for future long-term commercial agreements that will enable EchoStar to offer their Wireless subscribers access to SpaceX’s next-generation Starlink Direct to Cell text and voice and broadband services utilizing certain rights and licenses related to the Spectrum that are to be conveyed by EchoStar to SpaceX at the Spectrum Acquisition Closing. The commercial agreements will also provide for a fee-based referral program that lets us refer existing customers and new Starlink customers to SpaceX. As of December 31, 2025, EchoStar had begun to utilize certain of the rights conveyed under the SpaceX License Purchase Agreement. In addition, EchoStar also has begun performing installation and other services for new Starlink customers.</w:t>
      </w:r>
    </w:p>
    <w:p>
      <w:pPr>
        <w:spacing w:after="0" w:line="163"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The description of the SpaceX License Purchase Agreement is not complete and is qualified in its entirety by reference to the License Purchase Agreement filed as an exhibit to EchoStar’s Quarterly Report on Form 10-Q for the quarter ended September 30, 2025.</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Amended and Restated License Purchase Agreement</w:t>
      </w:r>
    </w:p>
    <w:p>
      <w:pPr>
        <w:spacing w:after="0" w:line="19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On November 5, 2025, our parent, EchoStar, SpaceX and Trust, entered into an Amended and Restated License Purchase Agreement (the “Amended and Restated SpaceX License Purchase Agreement,” and the transactions contemplated thereby, the “Amended SpaceX Transactions”), and together with the Initial SpaceX Transactions, (the “SpaceX Transactions”). The Amended and Restated SpaceX License Purchase Agreement amends and restates in its entirety the SpaceX License Purchase Agreement, dated as of September 7, 2025, by and among EchoStar, SpaceX and Trust.</w:t>
      </w:r>
    </w:p>
    <w:p>
      <w:pPr>
        <w:spacing w:after="0" w:line="157"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Pursuant to the Amended and Restated SpaceX License Purchase Agreement, EchoStar and SpaceX have agreed to revise the terms of the previously announced transaction to include the transfer of up to an aggregate of 15 MHz of AWS spectrum in the frequency range of 1695–1710 MHz for each relevant license area (the “AWS-3 Licenses”) from EchoStar to SpaceX in exchange for additional consideration of $2.6 billion, all of which will be paid in SpaceX’s Class A Common Stock, valued at $212 per share. As a result of this change, the total consideration for the SpaceX Transactions has increased from $17 billion to approximately $20 billion, with up to $11 billion to be paid in SpaceX’s Class A Common Stock, valued at $212 per share (the “Amended Equity Amount”).</w:t>
      </w:r>
    </w:p>
    <w:p>
      <w:pPr>
        <w:spacing w:after="0" w:line="163"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Except as set forth above, the material terms of the Amended and Restated SpaceX License Purchase Agreement are substantially the same as the terms of the SpaceX License Purchase Agreement.</w:t>
      </w:r>
    </w:p>
    <w:p>
      <w:pPr>
        <w:spacing w:after="0" w:line="133"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The SpaceX Transactions are subject to a number of terms and conditions set forth in the SpaceX License Purchase Agreement. The completion of the SpaceX Transactions are subject to the satisfaction or waiver of customary closing conditions, including, among others, receipt of certain consents and approvals from the FCC and the United States Department of Justice (the “DOJ”). The SpaceX License Purchase Agreement also provides for specified termination rights.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8" w:name="page9"/>
    <w:bookmarkEnd w:id="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The foregoing description of the Amended and Restated SpaceX License Purchase Agreement does not purport to be complete and is qualified in its entirety by reference to the Amended and Restated SpaceX License Purchase Agreement, filed as an exhibit to EchoStar’s Annual Report on Form 10-K for the year ended December 31, 2025.</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Impairments and Other</w:t>
      </w:r>
    </w:p>
    <w:p>
      <w:pPr>
        <w:spacing w:after="0" w:line="22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During the third quarter of 2025, SpaceX’s option to acquire certain satellite assets and regulatory authorizations was a triggering event that resulted in an impairment assessment of certain of our international licenses and related ground equipment. Because we and our parent, EchoStar are no longer pursuing a business plan to utilize these complementary assets, we recorded a non-cash impairment charge of $11 million in “Impairments and other” on our Consolidated Statements of Operations and Comprehensive Income (Loss) during the year ended December 31, 2025. See Note 1 in the Notes to our Consolidated Financial Statements for further information. During the fourth quarter of 2025, we performed our annual impairment assessment of our indefinite-lived regulatory authorizations. We combine all of our indefinite-lived regulatory authorizations that we currently utilize or plan to utilize in the future into one unit of accounting for impairment testing (the “Hughes Licenses”).</w:t>
      </w:r>
    </w:p>
    <w:p>
      <w:pPr>
        <w:spacing w:after="0" w:line="148"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Management performed a quantitative assessment to determine whether the fair value of the Hughes Licenses exceeded their aggregate carrying amount. The quantitative assessment consisted of an income approach, using a discounted cash flow model based upon several factors, including the discount rate, tax attributes and operating margins, which are all level 3 attributes within the fair value hierarchy. Through this assessment, we concluded that the fair value was less than the carrying amount. As a result, we fully impaired the Hughes Licenses, resulting in a non-cash impairment charge of $400 million during the year ended December 31, 2025 recorded in “Impairments and other” on our Consolidated Statements of Operations and Comprehensive Income (Loss).</w:t>
      </w:r>
    </w:p>
    <w:p>
      <w:pPr>
        <w:spacing w:after="0" w:line="151"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The Hughes Licenses, as defined above, are used in conjunction with an asset group comprised of the Hughes satellite fleet, ROU lease assets and certain other long-lived and finite-lived intangible assets, (the “Hughes Asset Group”). The Hughes Licenses impairment triggered an impairment review of the Hughes Asset Group. Based on undiscounted cash flows, we concluded the asset group was not recoverable and, using an income approach, determined fair value was below carrying value; accordingly, we recorded a $1.012 billion non-cash impairment charge in “Impairments and other” on our Consolidated Statements of Operations and Comprehensive Income (Loss) for the year ended December 31, 2025.</w:t>
      </w:r>
    </w:p>
    <w:p>
      <w:pPr>
        <w:spacing w:after="0" w:line="14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During the year ended December 31, 2025, we recorded a total charge of $1.423 billion, consisting of $11 million and $1.412 billion during the third and fourth quarters of 2025, respectively, for non-cash asset impairments and other expenses in “Impairments and other” on our Consolidated Statements of Operations and Comprehensive Income (Loss). See Note 1 in the Notes to our Consolidated Financial Statements in this Annual Report on Form 10-K for further information.</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SEGMENTS</w:t>
      </w:r>
    </w:p>
    <w:p>
      <w:pPr>
        <w:spacing w:after="0" w:line="19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We manage our business activities on a consolidated basis and operate as a single operating segment: Hughes. See Note 13 in the Notes to our Consolidated Financial Statements in this Annual Report on Form 10-K for information regarding our segment reporting.</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Hughes</w:t>
      </w:r>
    </w:p>
    <w:p>
      <w:pPr>
        <w:spacing w:after="0" w:line="19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We offer broadband satellite technologies and broadband internet products and services to consumer customers. We provide broadband network technologies, managed services, equipment, hardware, satellite services and communications solutions to government and enterprise customers. We currently lease the capacity of EchoStar XXIV from our parent, EchoStar, to deliver satellite services to unserved and underserved consumer markets in the Americas as well as enterprise, aeronautical and government markets. We also</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9" w:name="page10"/>
    <w:bookmarkEnd w:id="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150"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We offer a robust suite of integrated, multi-transport solutions to enable airline and airline service providers to deliver reliable in-flight network connectivity serving both commercial and business aviation. Revenue in our satellite services business depends largely on our ability to make continuous use of our available satellite capacity on behalf of existing customers and our ability to enter into commercial relationships with new customers. As of December 31, 2025, we had 739,000 Broadband subscribers.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Business Strategy</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Our strategy is to maintain and improve our leadership position and competitive advantage through development of leading-edge technologies and services marketed to selected sectors within the consumer, enterprise and government markets globally.</w:t>
      </w:r>
    </w:p>
    <w:p>
      <w:pPr>
        <w:spacing w:after="0" w:line="150" w:lineRule="exact"/>
        <w:rPr>
          <w:sz w:val="20"/>
          <w:szCs w:val="20"/>
          <w:color w:val="auto"/>
        </w:rPr>
      </w:pPr>
    </w:p>
    <w:p>
      <w:pPr>
        <w:ind w:left="40" w:right="499"/>
        <w:spacing w:after="0" w:line="281" w:lineRule="auto"/>
        <w:rPr>
          <w:sz w:val="20"/>
          <w:szCs w:val="20"/>
          <w:color w:val="auto"/>
        </w:rPr>
      </w:pPr>
      <w:r>
        <w:rPr>
          <w:rFonts w:ascii="Arial" w:cs="Arial" w:eastAsia="Arial" w:hAnsi="Arial"/>
          <w:sz w:val="16"/>
          <w:szCs w:val="16"/>
          <w:color w:val="auto"/>
        </w:rPr>
        <w:t>We are an industry leader in both networking technologies and services, innovating to deliver the global solutions that power a connected future for people, enterprises and things everywhere.</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Products and Services</w:t>
      </w:r>
    </w:p>
    <w:p>
      <w:pPr>
        <w:spacing w:after="0" w:line="194" w:lineRule="exact"/>
        <w:rPr>
          <w:sz w:val="20"/>
          <w:szCs w:val="20"/>
          <w:color w:val="auto"/>
        </w:rPr>
      </w:pPr>
    </w:p>
    <w:p>
      <w:pPr>
        <w:jc w:val="both"/>
        <w:ind w:left="40" w:right="59" w:hanging="6"/>
        <w:spacing w:after="0" w:line="245" w:lineRule="auto"/>
        <w:rPr>
          <w:sz w:val="20"/>
          <w:szCs w:val="20"/>
          <w:color w:val="auto"/>
        </w:rPr>
      </w:pPr>
      <w:r>
        <w:rPr>
          <w:rFonts w:ascii="Arial" w:cs="Arial" w:eastAsia="Arial" w:hAnsi="Arial"/>
          <w:sz w:val="16"/>
          <w:szCs w:val="16"/>
          <w:color w:val="auto"/>
        </w:rPr>
        <w:t>We offer broadband satellite technologies and broadband internet products and services to consumer customers, which include home and small to medium-sized businesses. We provide broadband network technologies, managed services, equipment, hardware, satellite services and communications solutions to government and enterprise customers. We currently lease the capacity of EchoStar XXIV from our parent, EchoStar,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164" w:lineRule="exact"/>
        <w:rPr>
          <w:sz w:val="20"/>
          <w:szCs w:val="20"/>
          <w:color w:val="auto"/>
        </w:rPr>
      </w:pPr>
    </w:p>
    <w:p>
      <w:pPr>
        <w:jc w:val="both"/>
        <w:ind w:left="40" w:right="59" w:hanging="6"/>
        <w:spacing w:after="0" w:line="281" w:lineRule="auto"/>
        <w:rPr>
          <w:sz w:val="20"/>
          <w:szCs w:val="20"/>
          <w:color w:val="auto"/>
        </w:rPr>
      </w:pPr>
      <w:r>
        <w:rPr>
          <w:rFonts w:ascii="Arial" w:cs="Arial" w:eastAsia="Arial" w:hAnsi="Arial"/>
          <w:sz w:val="16"/>
          <w:szCs w:val="16"/>
          <w:color w:val="auto"/>
        </w:rPr>
        <w:t>We offer a robust suite of integrated, multi-transport solutions to enable airline and airline service providers to deliver reliable in-flight network connectivity serving both commercial and business aviation.</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Customers</w:t>
      </w:r>
    </w:p>
    <w:p>
      <w:pPr>
        <w:spacing w:after="0" w:line="19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Our enterprise customers include, but are not limited to, retailers, financial institutions, aircraft connectivity providers, lottery agencies and companies with multi-branch networks that rely on satellite or terrestrial networks for critical communication across wide geographies, as well as the U.S government. Most of our enterprise customers have long-term contracts with us for the services they purchase. We also design, provide and install gateway and terminal equipment to customers for other satellite systems and provides satellite ground segment systems and terminals for other satellite systems, including, but not limited to, mobile system operators.</w:t>
      </w:r>
    </w:p>
    <w:p>
      <w:pPr>
        <w:spacing w:after="0" w:line="159"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Our consumer customers consist of home and small to medium-sized business in the Americas. We provide broadband satellite technologies and broadband internet products and services to these customers.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Competition</w:t>
      </w:r>
    </w:p>
    <w:p>
      <w:pPr>
        <w:spacing w:after="0" w:line="194"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Our industry is highly competitive. As a global provider of network technologies, products and services, we compete with a large number of telecommunications and satellite internet service providers.</w:t>
      </w:r>
    </w:p>
    <w:p>
      <w:pPr>
        <w:spacing w:after="0" w:line="133"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In our enterprise markets, we compete against multiple categories of providers. In the managed services area, we compete against providers of satellite-based and terrestrial-based networks, including fiber optic, 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wireless internet service and internet protocol-based virtual private networks (VPN), which vary by region. In the in-flight connectivity market, we compete against direct and indirect providers of in-flight WiFi services, such as, among others, ViaSat Communications, Inc., which is owned by ViaSat, Inc. (“ViaSat”) and Starlink Services LLC, which is owned by Space Exploration Technologies Corp. (“SpaceX”).</w:t>
      </w:r>
    </w:p>
    <w:p>
      <w:pPr>
        <w:spacing w:after="0" w:line="15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and SpaceX. Both ViaSat and SpaceX have also entered the South American consumer market and additionally SpaceX has entered the Central American consumer market. Our principal competitors for the supply of satellite technology platforms are Gilat Satellite Networks Ltd, ViaSat and ST Engineering iDirect, Inc.</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Manufacturing</w:t>
      </w:r>
    </w:p>
    <w:p>
      <w:pPr>
        <w:spacing w:after="0" w:line="194" w:lineRule="exact"/>
        <w:rPr>
          <w:sz w:val="20"/>
          <w:szCs w:val="20"/>
          <w:color w:val="auto"/>
        </w:rPr>
      </w:pPr>
    </w:p>
    <w:p>
      <w:pPr>
        <w:ind w:left="40" w:right="159"/>
        <w:spacing w:after="0" w:line="253" w:lineRule="auto"/>
        <w:rPr>
          <w:sz w:val="20"/>
          <w:szCs w:val="20"/>
          <w:color w:val="auto"/>
        </w:rPr>
      </w:pPr>
      <w:r>
        <w:rPr>
          <w:rFonts w:ascii="Arial" w:cs="Arial" w:eastAsia="Arial" w:hAnsi="Arial"/>
          <w:sz w:val="16"/>
          <w:szCs w:val="16"/>
          <w:color w:val="auto"/>
        </w:rPr>
        <w:t>Certain products are assembled at our facilities, and we outsource a portion of the manufacturing of other products to third parties. We believe that our manufacturing facilities have sufficient capacity to handle current and future demand. We also contract with certain third-party vendors for the development and manufacture of components that are integrated into our products.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NEW BUSINESS OPPORTUNITIES</w:t>
      </w:r>
    </w:p>
    <w:p>
      <w:pPr>
        <w:spacing w:after="0" w:line="196"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Our industry continues to evolve with the increasing worldwide demand for broadband internet access for information, entertainment and commerce.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connectivity, networks and services. We expect demand for broadband internet access, connectivity, networking and related value-added services will continue to grow across all major end-user sectors – consumer, businesses, enterprises and government. We intend to use our expertise, technologies, capital, investments, global presence, relationships and other capabilities to continue to provide broadband internet systems, equipment, networks and managed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WHERE YOU CAN FIND MORE INFORMATION</w:t>
      </w:r>
    </w:p>
    <w:p>
      <w:pPr>
        <w:spacing w:after="0" w:line="19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We are subject to the informational requirements of the Exchange Act and accordingly file our annual reports on Form 10-K, quarterly reports on Form 10-Q, current reports on Form 8-K, proxy statements and other information with the SEC. As an electronic filer, our public filings are also maintained on the SEC’s Internet site that contains reports, proxy and information statements, and other information regarding issuers that file electronically with the SEC. The address of that website is http://www.sec.gov.</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WEBSITE ACCESS</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or furnished pursuant to Section 13(a) or 15(d) of the Exchange Act also may be accessed free of charge through the website of our parent, EchoStar, as soon as reasonably practicable after we have electronically filed such material with, or furnished it to, the SEC. The address of that website is https://ir.echostar.com/.</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1" w:name="page12"/>
    <w:bookmarkEnd w:id="1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1A.  RISK FACTORS</w:t>
      </w:r>
    </w:p>
    <w:p>
      <w:pPr>
        <w:spacing w:after="0" w:line="19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6"/>
          <w:szCs w:val="16"/>
          <w:i w:val="1"/>
          <w:iCs w:val="1"/>
          <w:color w:val="auto"/>
        </w:rPr>
        <w:t>The risks and uncertainties described below are not the only ones facing us. If any of the following events occur or evolve in a way different than expected, our business, financial condition, or results of operations could be materially and adversely affected.</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Competition and Economic Risks</w:t>
      </w:r>
    </w:p>
    <w:p>
      <w:pPr>
        <w:spacing w:after="0" w:line="198" w:lineRule="exact"/>
        <w:rPr>
          <w:sz w:val="20"/>
          <w:szCs w:val="20"/>
          <w:color w:val="auto"/>
        </w:rPr>
      </w:pPr>
    </w:p>
    <w:p>
      <w:pPr>
        <w:ind w:left="40" w:right="259"/>
        <w:spacing w:after="0" w:line="289" w:lineRule="auto"/>
        <w:rPr>
          <w:sz w:val="20"/>
          <w:szCs w:val="20"/>
          <w:color w:val="auto"/>
        </w:rPr>
      </w:pPr>
      <w:r>
        <w:rPr>
          <w:rFonts w:ascii="Arial" w:cs="Arial" w:eastAsia="Arial" w:hAnsi="Arial"/>
          <w:sz w:val="16"/>
          <w:szCs w:val="16"/>
          <w:b w:val="1"/>
          <w:bCs w:val="1"/>
          <w:i w:val="1"/>
          <w:iCs w:val="1"/>
          <w:color w:val="auto"/>
        </w:rPr>
        <w:t>We are facing increasing competition which could impact demand for, and result in increasing pricing pressures with respect to, our products and services.</w:t>
      </w:r>
    </w:p>
    <w:p>
      <w:pPr>
        <w:spacing w:after="0" w:line="119" w:lineRule="exact"/>
        <w:rPr>
          <w:sz w:val="20"/>
          <w:szCs w:val="20"/>
          <w:color w:val="auto"/>
        </w:rPr>
      </w:pPr>
    </w:p>
    <w:p>
      <w:pPr>
        <w:ind w:left="40" w:right="59"/>
        <w:spacing w:after="0" w:line="250" w:lineRule="auto"/>
        <w:rPr>
          <w:sz w:val="20"/>
          <w:szCs w:val="20"/>
          <w:color w:val="auto"/>
        </w:rPr>
      </w:pPr>
      <w:r>
        <w:rPr>
          <w:rFonts w:ascii="Arial" w:cs="Arial" w:eastAsia="Arial" w:hAnsi="Arial"/>
          <w:sz w:val="16"/>
          <w:szCs w:val="16"/>
          <w:color w:val="auto"/>
        </w:rPr>
        <w:t>Our business operates in an intensely competitive, consumer and enterprise-driven and rapidly changing environment and competes with a growing number of companies that provide similar products and services to consumer and enterprise customers. There can be no assurance that we will be able to effectively compete against our competitors due to, among other factors, their significant resources and operating history. Material competitive risks to our business include, but are not limited to, the following:</w:t>
      </w:r>
    </w:p>
    <w:p>
      <w:pPr>
        <w:spacing w:after="0" w:line="157" w:lineRule="exact"/>
        <w:rPr>
          <w:sz w:val="20"/>
          <w:szCs w:val="20"/>
          <w:color w:val="auto"/>
        </w:rPr>
      </w:pPr>
    </w:p>
    <w:p>
      <w:pPr>
        <w:ind w:left="660" w:hanging="299"/>
        <w:spacing w:after="0"/>
        <w:tabs>
          <w:tab w:leader="none" w:pos="6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new or different technology compared to our offerings;</w:t>
      </w:r>
    </w:p>
    <w:p>
      <w:pPr>
        <w:spacing w:after="0" w:line="27"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or new competitors entering the same markets we serve;</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 funding for competing products and services, reducing demand for our products and services; and</w:t>
      </w:r>
    </w:p>
    <w:p>
      <w:pPr>
        <w:spacing w:after="0" w:line="11" w:lineRule="exact"/>
        <w:rPr>
          <w:rFonts w:ascii="Times New Roman" w:cs="Times New Roman" w:eastAsia="Times New Roman" w:hAnsi="Times New Roman"/>
          <w:sz w:val="16"/>
          <w:szCs w:val="16"/>
          <w:color w:val="auto"/>
        </w:rPr>
      </w:pPr>
    </w:p>
    <w:p>
      <w:pPr>
        <w:ind w:left="660" w:right="59" w:hanging="299"/>
        <w:spacing w:after="0" w:line="259" w:lineRule="auto"/>
        <w:tabs>
          <w:tab w:leader="none" w:pos="6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competitive pressures to provide enhanced functionality for the same or lower price with each new generation of technology.</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Economic weakness and uncertainty may adversely affect our ability to grow or maintain our business.</w:t>
      </w:r>
    </w:p>
    <w:p>
      <w:pPr>
        <w:spacing w:after="0" w:line="194" w:lineRule="exact"/>
        <w:rPr>
          <w:sz w:val="20"/>
          <w:szCs w:val="20"/>
          <w:color w:val="auto"/>
        </w:rPr>
      </w:pPr>
    </w:p>
    <w:p>
      <w:pPr>
        <w:ind w:left="40" w:right="59"/>
        <w:spacing w:after="0" w:line="281" w:lineRule="auto"/>
        <w:rPr>
          <w:sz w:val="20"/>
          <w:szCs w:val="20"/>
          <w:color w:val="auto"/>
        </w:rPr>
      </w:pPr>
      <w:r>
        <w:rPr>
          <w:rFonts w:ascii="Arial" w:cs="Arial" w:eastAsia="Arial" w:hAnsi="Arial"/>
          <w:sz w:val="16"/>
          <w:szCs w:val="16"/>
          <w:color w:val="auto"/>
        </w:rPr>
        <w:t>Our ability to grow or maintain our business may be adversely affected by economic weakness and uncertainty, which could result in the following:</w:t>
      </w:r>
    </w:p>
    <w:p>
      <w:pPr>
        <w:spacing w:after="0" w:line="133" w:lineRule="exact"/>
        <w:rPr>
          <w:sz w:val="20"/>
          <w:szCs w:val="20"/>
          <w:color w:val="auto"/>
        </w:rPr>
      </w:pPr>
    </w:p>
    <w:p>
      <w:pPr>
        <w:jc w:val="both"/>
        <w:ind w:left="660" w:right="59" w:hanging="287"/>
        <w:spacing w:after="0" w:line="243" w:lineRule="auto"/>
        <w:tabs>
          <w:tab w:leader="none" w:pos="6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Fewer subscriber activations and increased subscriber churn rate. </w:t>
      </w:r>
      <w:r>
        <w:rPr>
          <w:rFonts w:ascii="Arial" w:cs="Arial" w:eastAsia="Arial" w:hAnsi="Arial"/>
          <w:sz w:val="16"/>
          <w:szCs w:val="16"/>
          <w:color w:val="auto"/>
        </w:rPr>
        <w:t>We could face fewer subscriber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activations and increased subscriber churn rate due to, among other things: (i) certain economic factors that impact consumers, including, among others, inflation, rising interest rates, a potential downturn in the housing market in the United States (including a decline in housing starts) and higher unemployment, which could lead to a lack of consumer confidence and lower discretionary spending and (ii) increased price competition for our products and services.</w:t>
      </w:r>
    </w:p>
    <w:p>
      <w:pPr>
        <w:spacing w:after="0" w:line="186" w:lineRule="exact"/>
        <w:rPr>
          <w:rFonts w:ascii="Times New Roman" w:cs="Times New Roman" w:eastAsia="Times New Roman" w:hAnsi="Times New Roman"/>
          <w:sz w:val="16"/>
          <w:szCs w:val="16"/>
          <w:color w:val="auto"/>
        </w:rPr>
      </w:pPr>
    </w:p>
    <w:p>
      <w:pPr>
        <w:jc w:val="both"/>
        <w:ind w:left="660" w:right="59" w:hanging="287"/>
        <w:spacing w:after="0" w:line="249" w:lineRule="auto"/>
        <w:tabs>
          <w:tab w:leader="none" w:pos="6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Higher subscriber acquisition and retention costs</w:t>
      </w:r>
      <w:r>
        <w:rPr>
          <w:rFonts w:ascii="Arial" w:cs="Arial" w:eastAsia="Arial" w:hAnsi="Arial"/>
          <w:sz w:val="16"/>
          <w:szCs w:val="16"/>
          <w:color w:val="auto"/>
        </w:rPr>
        <w:t>. Our profits may be adversely affected by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subscriber acquisition and retention costs necessary to attract and retain high-quality subscribers during a period of economic weakness.</w:t>
      </w:r>
    </w:p>
    <w:p>
      <w:pPr>
        <w:spacing w:after="0" w:line="158"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We are also subject to inflationary cost pressures, and if inflation continues or worsens, it could negatively impact us by increasing, among other things, our operating expenses. Inflation may lead to cost increases in multiple areas across our business, for example, rises in the prices of raw materials and manufactured goods, increased energy rates, as well as increased wage pressures and other expenses related to our labor and other costs. While we attempt to increase our revenue to offset increases in costs, there is no assurance that we will be able to do so on an acceptable timeline or at all. Therefore, costs could rise faster than associated revenue, thereby resulting in a negative impact on our operating results, cash flows and liquidity.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2" w:name="page13"/>
    <w:bookmarkEnd w:id="1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right="139"/>
        <w:spacing w:after="0" w:line="289" w:lineRule="auto"/>
        <w:rPr>
          <w:sz w:val="20"/>
          <w:szCs w:val="20"/>
          <w:color w:val="auto"/>
        </w:rPr>
      </w:pPr>
      <w:r>
        <w:rPr>
          <w:rFonts w:ascii="Arial" w:cs="Arial" w:eastAsia="Arial" w:hAnsi="Arial"/>
          <w:sz w:val="16"/>
          <w:szCs w:val="16"/>
          <w:b w:val="1"/>
          <w:bCs w:val="1"/>
          <w:i w:val="1"/>
          <w:iCs w:val="1"/>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19" w:lineRule="exact"/>
        <w:rPr>
          <w:sz w:val="20"/>
          <w:szCs w:val="20"/>
          <w:color w:val="auto"/>
        </w:rPr>
      </w:pPr>
    </w:p>
    <w:p>
      <w:pPr>
        <w:ind w:left="40" w:right="99"/>
        <w:spacing w:after="0" w:line="260" w:lineRule="auto"/>
        <w:rPr>
          <w:sz w:val="20"/>
          <w:szCs w:val="20"/>
          <w:color w:val="auto"/>
        </w:rPr>
      </w:pPr>
      <w:r>
        <w:rPr>
          <w:rFonts w:ascii="Arial" w:cs="Arial" w:eastAsia="Arial" w:hAnsi="Arial"/>
          <w:sz w:val="16"/>
          <w:szCs w:val="16"/>
          <w:color w:val="auto"/>
        </w:rPr>
        <w:t>In order to grow and remain competitive, we will need to adapt to changes in available technology, including, but not limited to, artificial intelligence and machine learning, enhance our existing service offerings and introduce new offerings to meet our current and potential subscribers’ changing service demands.</w:t>
      </w:r>
    </w:p>
    <w:p>
      <w:pPr>
        <w:spacing w:after="0" w:line="150" w:lineRule="exact"/>
        <w:rPr>
          <w:sz w:val="20"/>
          <w:szCs w:val="20"/>
          <w:color w:val="auto"/>
        </w:rPr>
      </w:pPr>
    </w:p>
    <w:p>
      <w:pPr>
        <w:ind w:left="40" w:right="119"/>
        <w:spacing w:after="0" w:line="248" w:lineRule="auto"/>
        <w:rPr>
          <w:sz w:val="20"/>
          <w:szCs w:val="20"/>
          <w:color w:val="auto"/>
        </w:rPr>
      </w:pPr>
      <w:r>
        <w:rPr>
          <w:rFonts w:ascii="Arial" w:cs="Arial" w:eastAsia="Arial" w:hAnsi="Arial"/>
          <w:sz w:val="16"/>
          <w:szCs w:val="16"/>
          <w:color w:val="auto"/>
        </w:rPr>
        <w:t>As a result, adopting new and sophisticated technologies may result in implementation issues, such as scheduling and supplier delays, unexpected or increased costs, technological constraints, regulatory permitting issues, actual or perceived subscriber dissatisfaction and other issues that could cause delays in launching new technological capabilities, which in turn could result in significant costs or reduce the anticipated benefits of the upgrades. If our new services fail to retain or gain acceptance in the marketplace or if costs associated with these services are higher than anticipated, this could have a material adverse effect on our operating results.</w:t>
      </w:r>
    </w:p>
    <w:p>
      <w:pPr>
        <w:spacing w:after="0" w:line="161"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b w:val="1"/>
          <w:bCs w:val="1"/>
          <w:i w:val="1"/>
          <w:iCs w:val="1"/>
          <w:color w:val="auto"/>
        </w:rPr>
        <w:t>Our business is partially dependent on enterprise revenue and any decline or reduction of that revenue could negatively impact our business, financial condition and results of operation.</w:t>
      </w:r>
    </w:p>
    <w:p>
      <w:pPr>
        <w:spacing w:after="0" w:line="119"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Our enterprise business represents a significant but growing component of our overall revenue, exposing the company to risks associated with fluctuations in enterprise demand. Any downturn in enterprise spending, driven by, among other things, economic uncertainty, budget constraints or shifts to alternative connectivity solutions, could negatively impact revenue. Additionally, the enterprise market is highly competitive, with customers seeking cost-effective and flexible network solutions. If we are unable to differentiate our offerings or retain key enterprise clients, among other things, our business, financial condition and results of operations could be negatively impacted.</w:t>
      </w:r>
    </w:p>
    <w:p>
      <w:pPr>
        <w:spacing w:after="0" w:line="15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Moreover, our partial reliance on enterprise revenue means that broader industry trends, such as increased adoption of fiber, 5G, cloud-based networking or other connectivity solutions, could shift demand away from satellite-based solutions. While the company continues to invest in next-generation satellite and hybrid connectivity technologies, there is no guarantee that these innovations will be accepted by our enterprise clients on an acceptable timeline or at all.</w:t>
      </w:r>
    </w:p>
    <w:p>
      <w:pPr>
        <w:spacing w:after="0" w:line="15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If enterprise revenue continues to make up a greater proportion of our overall revenue, these risks may increase or intensify and may lead to the risks listed above, among others. While we believe we will continue to be competitive in the enterprise business, there can be no assurance that we will ultimately be successful.</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Operational and Service Delivery Risks</w:t>
      </w:r>
    </w:p>
    <w:p>
      <w:pPr>
        <w:spacing w:after="0" w:line="198" w:lineRule="exact"/>
        <w:rPr>
          <w:sz w:val="20"/>
          <w:szCs w:val="20"/>
          <w:color w:val="auto"/>
        </w:rPr>
      </w:pPr>
    </w:p>
    <w:p>
      <w:pPr>
        <w:ind w:left="40" w:right="119"/>
        <w:spacing w:after="0" w:line="289" w:lineRule="auto"/>
        <w:rPr>
          <w:sz w:val="20"/>
          <w:szCs w:val="20"/>
          <w:color w:val="auto"/>
        </w:rPr>
      </w:pPr>
      <w:r>
        <w:rPr>
          <w:rFonts w:ascii="Arial" w:cs="Arial" w:eastAsia="Arial" w:hAnsi="Arial"/>
          <w:sz w:val="16"/>
          <w:szCs w:val="16"/>
          <w:b w:val="1"/>
          <w:bCs w:val="1"/>
          <w:i w:val="1"/>
          <w:iCs w:val="1"/>
          <w:color w:val="auto"/>
        </w:rPr>
        <w:t>Any deterioration in our operational performance and subscriber satisfaction could adversely affect our business, financial condition and results of operations.</w:t>
      </w:r>
    </w:p>
    <w:p>
      <w:pPr>
        <w:spacing w:after="0" w:line="119"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If our operational performance and subscriber satisfaction were to deteriorate, we may experience a decrease in subscriber activations and an increase in our subscriber churn rate, which could have a material adverse effect on our business, financial condition and results of operations. To improve our operational performance, we continue to make investments in staffing, training, information systems and other initiatives. These investments are intended to, among other things, help combat inefficiencies introduced by the increasing complexity of our business, improve subscriber satisfaction, reduce subscriber churn, increase productivity and allow us to scale better over the long run. We cannot, however, be certain that our spending will ultimately be successful in improving our operational performance, and if unsuccessful, we may have to incur higher costs to improve our operational performance. While we believe that such costs will be outweighed by longer-term benefits, there can be no assurance when or if we will realize these benefits at all.</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right="499"/>
        <w:spacing w:after="0" w:line="289" w:lineRule="auto"/>
        <w:rPr>
          <w:sz w:val="20"/>
          <w:szCs w:val="20"/>
          <w:color w:val="auto"/>
        </w:rPr>
      </w:pPr>
      <w:r>
        <w:rPr>
          <w:rFonts w:ascii="Arial" w:cs="Arial" w:eastAsia="Arial" w:hAnsi="Arial"/>
          <w:sz w:val="16"/>
          <w:szCs w:val="16"/>
          <w:b w:val="1"/>
          <w:bCs w:val="1"/>
          <w:i w:val="1"/>
          <w:iCs w:val="1"/>
          <w:color w:val="auto"/>
        </w:rPr>
        <w:t>Our business will be negatively impacted if we fail to adequately anticipate our satellite capacity needs or are unable to obtain satellite capacity.</w:t>
      </w:r>
    </w:p>
    <w:p>
      <w:pPr>
        <w:spacing w:after="0" w:line="11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We have made, or may make substantial contractual commitments to acquire satellite capacity based on our existing customer contracts and backlog. If our existing customer contracts were to be terminated prior to their respective expiration dates, we may have insufficient revenue to cover our satellite capacity costs. On the other hand, insufficient satellite capacity to meet increases in demand or inability to quickly or easily adjust our capacity to such changes in demand could materially and adversely affect our ability to provide services to customers and grow our revenue and business. Our business could be adversely affected if we are not able to renew our capacity leases at economically viable rates, or if sufficient capacity is not available to us.</w:t>
      </w:r>
    </w:p>
    <w:p>
      <w:pPr>
        <w:spacing w:after="0" w:line="165" w:lineRule="exact"/>
        <w:rPr>
          <w:sz w:val="20"/>
          <w:szCs w:val="20"/>
          <w:color w:val="auto"/>
        </w:rPr>
      </w:pPr>
    </w:p>
    <w:p>
      <w:pPr>
        <w:ind w:left="40" w:right="199"/>
        <w:spacing w:after="0" w:line="264" w:lineRule="auto"/>
        <w:rPr>
          <w:sz w:val="20"/>
          <w:szCs w:val="20"/>
          <w:color w:val="auto"/>
        </w:rPr>
      </w:pPr>
      <w:r>
        <w:rPr>
          <w:rFonts w:ascii="Arial" w:cs="Arial" w:eastAsia="Arial" w:hAnsi="Arial"/>
          <w:sz w:val="16"/>
          <w:szCs w:val="16"/>
          <w:b w:val="1"/>
          <w:bCs w:val="1"/>
          <w:i w:val="1"/>
          <w:iCs w:val="1"/>
          <w:color w:val="auto"/>
        </w:rPr>
        <w:t>We are dependent upon third-party providers for components, manufacturing, installation services and customer support services, and our results of operations may be materially adversely affected if any of these third-party providers fail to deliver the contracted goods or services appropriately.</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dependence upon third-party providers causes certain risks to our business, including, but not limited to the following:</w:t>
      </w:r>
    </w:p>
    <w:p>
      <w:pPr>
        <w:spacing w:after="0" w:line="196" w:lineRule="exact"/>
        <w:rPr>
          <w:sz w:val="20"/>
          <w:szCs w:val="20"/>
          <w:color w:val="auto"/>
        </w:rPr>
      </w:pPr>
    </w:p>
    <w:p>
      <w:pPr>
        <w:jc w:val="both"/>
        <w:ind w:left="660" w:right="59" w:hanging="299"/>
        <w:spacing w:after="0" w:line="244" w:lineRule="auto"/>
        <w:tabs>
          <w:tab w:leader="none" w:pos="6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Components</w:t>
      </w:r>
      <w:r>
        <w:rPr>
          <w:rFonts w:ascii="Arial" w:cs="Arial" w:eastAsia="Arial" w:hAnsi="Arial"/>
          <w:sz w:val="16"/>
          <w:szCs w:val="16"/>
          <w:color w:val="auto"/>
        </w:rPr>
        <w:t>. A limited number of suppliers manufacture, and in some cases a single supplier manufactures,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some of the key components required to build our products. We do not generally maintain long-term agreements with our suppliers or subcontractors for our products. If we change or lose suppliers, we could experience a delay in manufacturing our products. In addition, if either our current suppliers or any new suppliers increase prices beyond what we currently pay, we may be unable to produce our products at competitive prices and we may be unable to satisfy demand from our customers. Similarly, if any of our products require materials or components that are subject to “conflict minerals” or other supply chain regulations, these inputs could become scarce, unavailable or materially more expensive or difficult to acquire, which could limit our ability to build or obtain sufficient volumes of such products to satisfy customer demand or could make it difficult or impossible for us to produce such products at competitive prices.</w:t>
      </w:r>
    </w:p>
    <w:p>
      <w:pPr>
        <w:spacing w:after="0" w:line="163" w:lineRule="exact"/>
        <w:rPr>
          <w:rFonts w:ascii="Times New Roman" w:cs="Times New Roman" w:eastAsia="Times New Roman" w:hAnsi="Times New Roman"/>
          <w:sz w:val="16"/>
          <w:szCs w:val="16"/>
          <w:color w:val="auto"/>
        </w:rPr>
      </w:pPr>
    </w:p>
    <w:p>
      <w:pPr>
        <w:jc w:val="both"/>
        <w:ind w:left="660" w:right="59" w:hanging="299"/>
        <w:spacing w:after="0" w:line="260" w:lineRule="auto"/>
        <w:tabs>
          <w:tab w:leader="none" w:pos="6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Commodity Price Risk</w:t>
      </w:r>
      <w:r>
        <w:rPr>
          <w:rFonts w:ascii="Arial" w:cs="Arial" w:eastAsia="Arial" w:hAnsi="Arial"/>
          <w:sz w:val="16"/>
          <w:szCs w:val="16"/>
          <w:color w:val="auto"/>
        </w:rPr>
        <w:t>. Fluctuations in pricing of raw materials can affect our product costs and we may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able to pass on the increased costs to our customers. Additionally, we are seeing increasing inflationary price pressure and where we have fixed-price customer contracts, we may have to absorb the increased costs.</w:t>
      </w:r>
    </w:p>
    <w:p>
      <w:pPr>
        <w:spacing w:after="0" w:line="148" w:lineRule="exact"/>
        <w:rPr>
          <w:rFonts w:ascii="Times New Roman" w:cs="Times New Roman" w:eastAsia="Times New Roman" w:hAnsi="Times New Roman"/>
          <w:sz w:val="16"/>
          <w:szCs w:val="16"/>
          <w:color w:val="auto"/>
        </w:rPr>
      </w:pPr>
    </w:p>
    <w:p>
      <w:pPr>
        <w:jc w:val="both"/>
        <w:ind w:left="660" w:right="59" w:hanging="299"/>
        <w:spacing w:after="0" w:line="260" w:lineRule="auto"/>
        <w:tabs>
          <w:tab w:leader="none" w:pos="6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Manufacturing</w:t>
      </w:r>
      <w:r>
        <w:rPr>
          <w:rFonts w:ascii="Arial" w:cs="Arial" w:eastAsia="Arial" w:hAnsi="Arial"/>
          <w:sz w:val="16"/>
          <w:szCs w:val="16"/>
          <w:color w:val="auto"/>
        </w:rPr>
        <w:t>. While we develop and manufacture prototypes for certain of our products, we use contract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manufacturers to produce a portion of our hardware. If these contract manufacturers fail to provide products that meet our specifications in a timely manner, or at all, our business could be adversely impacted.</w:t>
      </w:r>
    </w:p>
    <w:p>
      <w:pPr>
        <w:spacing w:after="0" w:line="148" w:lineRule="exact"/>
        <w:rPr>
          <w:rFonts w:ascii="Times New Roman" w:cs="Times New Roman" w:eastAsia="Times New Roman" w:hAnsi="Times New Roman"/>
          <w:sz w:val="16"/>
          <w:szCs w:val="16"/>
          <w:color w:val="auto"/>
        </w:rPr>
      </w:pPr>
    </w:p>
    <w:p>
      <w:pPr>
        <w:jc w:val="both"/>
        <w:ind w:left="660" w:right="59" w:hanging="299"/>
        <w:spacing w:after="0" w:line="247" w:lineRule="auto"/>
        <w:tabs>
          <w:tab w:leader="none" w:pos="6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Installation, customer support, and other services</w:t>
      </w:r>
      <w:r>
        <w:rPr>
          <w:rFonts w:ascii="Arial" w:cs="Arial" w:eastAsia="Arial" w:hAnsi="Arial"/>
          <w:sz w:val="16"/>
          <w:szCs w:val="16"/>
          <w:color w:val="auto"/>
        </w:rPr>
        <w:t>. Some of our products and services utilize a network of third-party service providers. The costs incurred for these services may increase due to a shortage of experienced workers and higher salaries required to recruit and retain a skilled third-party workforce. A decline in levels of service or attention to the needs of our customers could adversely affect our reputation, renewal rates and ability to win and retain customers. In addition, if the agreements for the provision of these services are terminated or not renewed, we could face difficulties replacing these service providers.</w:t>
      </w:r>
    </w:p>
    <w:p>
      <w:pPr>
        <w:spacing w:after="0" w:line="164" w:lineRule="exact"/>
        <w:rPr>
          <w:sz w:val="20"/>
          <w:szCs w:val="20"/>
          <w:color w:val="auto"/>
        </w:rPr>
      </w:pPr>
    </w:p>
    <w:p>
      <w:pPr>
        <w:ind w:left="40" w:right="259"/>
        <w:spacing w:after="0" w:line="289" w:lineRule="auto"/>
        <w:rPr>
          <w:sz w:val="20"/>
          <w:szCs w:val="20"/>
          <w:color w:val="auto"/>
        </w:rPr>
      </w:pPr>
      <w:r>
        <w:rPr>
          <w:rFonts w:ascii="Arial" w:cs="Arial" w:eastAsia="Arial" w:hAnsi="Arial"/>
          <w:sz w:val="16"/>
          <w:szCs w:val="16"/>
          <w:b w:val="1"/>
          <w:bCs w:val="1"/>
          <w:i w:val="1"/>
          <w:iCs w:val="1"/>
          <w:color w:val="auto"/>
        </w:rPr>
        <w:t>We have limited satellite capacity and failures or reduced capacity could adversely affect our business, financial condition and results of operations.</w:t>
      </w:r>
    </w:p>
    <w:p>
      <w:pPr>
        <w:spacing w:after="0" w:line="119"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Operation of our business requires that we have adequate satellite transmission capacity for the services we offer. While we generally have had in-orbit satellite capacity sufficient provide satellite internet coverage and some backup capacity to recover coverage, our backup capacity is limited.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4" w:name="page15"/>
    <w:bookmarkEnd w:id="1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Our ability to earn revenue from our business depends on, among other things, the usefulness of our owned and leased satellites, each of which has a limited useful life. A number of factors affect the useful lives of the satellites, including, among other things, the quality of their construction, the durability of their component parts, the ability to continue to maintain proper orbits and control over the satellites’ functions, the efficiency of the launch vehicles used and the remaining on-board fuel following in-orbit insertion. Generally, the minimum design life of each of our owned and leased satellites ranges from 12 to 15 years. We can provide no assurance, however, as to the actual useful lives of any of these satellites. Our operating results could be adversely affected if the useful life of any of our owned or leased satellites was significantly shorter than the minimum design life.</w:t>
      </w:r>
    </w:p>
    <w:p>
      <w:pPr>
        <w:spacing w:after="0" w:line="166" w:lineRule="exact"/>
        <w:rPr>
          <w:sz w:val="20"/>
          <w:szCs w:val="20"/>
          <w:color w:val="auto"/>
        </w:rPr>
      </w:pPr>
    </w:p>
    <w:p>
      <w:pPr>
        <w:ind w:left="40" w:right="939"/>
        <w:spacing w:after="0" w:line="289" w:lineRule="auto"/>
        <w:rPr>
          <w:sz w:val="20"/>
          <w:szCs w:val="20"/>
          <w:color w:val="auto"/>
        </w:rPr>
      </w:pPr>
      <w:r>
        <w:rPr>
          <w:rFonts w:ascii="Arial" w:cs="Arial" w:eastAsia="Arial" w:hAnsi="Arial"/>
          <w:sz w:val="16"/>
          <w:szCs w:val="16"/>
          <w:b w:val="1"/>
          <w:bCs w:val="1"/>
          <w:i w:val="1"/>
          <w:iCs w:val="1"/>
          <w:color w:val="auto"/>
        </w:rPr>
        <w:t>Our foreign operations and investments expose us to risks and restrictions not present in our domestic operations.</w:t>
      </w:r>
    </w:p>
    <w:p>
      <w:pPr>
        <w:spacing w:after="0" w:line="119" w:lineRule="exact"/>
        <w:rPr>
          <w:sz w:val="20"/>
          <w:szCs w:val="20"/>
          <w:color w:val="auto"/>
        </w:rPr>
      </w:pPr>
    </w:p>
    <w:p>
      <w:pPr>
        <w:ind w:left="40" w:right="59"/>
        <w:spacing w:after="0" w:line="260" w:lineRule="auto"/>
        <w:rPr>
          <w:sz w:val="20"/>
          <w:szCs w:val="20"/>
          <w:color w:val="auto"/>
        </w:rPr>
      </w:pPr>
      <w:r>
        <w:rPr>
          <w:rFonts w:ascii="Arial" w:cs="Arial" w:eastAsia="Arial" w:hAnsi="Arial"/>
          <w:sz w:val="16"/>
          <w:szCs w:val="16"/>
          <w:color w:val="auto"/>
        </w:rPr>
        <w:t>Our sales outside the U.S. accounted for 23.9%, 24.0% and 25.2% of our revenue for the years ended December 31, 2025, 2024 and 2023, respectively. We expect our foreign operations to represent a significant portion of our business. Our foreign operations involve varying degrees of risk and uncertainties inherent in doing business abroad. Such risks include:</w:t>
      </w:r>
    </w:p>
    <w:p>
      <w:pPr>
        <w:spacing w:after="0" w:line="152" w:lineRule="exact"/>
        <w:rPr>
          <w:sz w:val="20"/>
          <w:szCs w:val="20"/>
          <w:color w:val="auto"/>
        </w:rPr>
      </w:pPr>
    </w:p>
    <w:p>
      <w:pPr>
        <w:jc w:val="both"/>
        <w:ind w:left="660" w:right="59" w:hanging="299"/>
        <w:spacing w:after="0" w:line="246" w:lineRule="auto"/>
        <w:tabs>
          <w:tab w:leader="none" w:pos="6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Complications in complying with restrictions on foreign ownership and investment and limitations on repatriation of earnings. </w:t>
      </w:r>
      <w:r>
        <w:rPr>
          <w:rFonts w:ascii="Arial" w:cs="Arial" w:eastAsia="Arial" w:hAnsi="Arial"/>
          <w:sz w:val="16"/>
          <w:szCs w:val="16"/>
          <w:color w:val="auto"/>
        </w:rPr>
        <w:t>We may not be permitted to be the sole owner of our operations in some countries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have to enter into partnership or joint venture relationships. Many foreign legal regimes and/or our contractual arrangements restrict our repatriation of earnings to the U.S. from our subsidiaries and joint venture entities. Applicable law in such foreign countries may also limit our ability to distribute or access our assets or offer our products and services in certain circumstances. In such event, we will not have unrestricted access to the cash flow and assets of our subsidiaries and joint ventures.</w:t>
      </w:r>
    </w:p>
    <w:p>
      <w:pPr>
        <w:spacing w:after="0" w:line="160" w:lineRule="exact"/>
        <w:rPr>
          <w:rFonts w:ascii="Times New Roman" w:cs="Times New Roman" w:eastAsia="Times New Roman" w:hAnsi="Times New Roman"/>
          <w:sz w:val="16"/>
          <w:szCs w:val="16"/>
          <w:color w:val="auto"/>
        </w:rPr>
      </w:pPr>
    </w:p>
    <w:p>
      <w:pPr>
        <w:jc w:val="both"/>
        <w:ind w:left="660" w:right="59" w:hanging="299"/>
        <w:spacing w:after="0" w:line="253" w:lineRule="auto"/>
        <w:tabs>
          <w:tab w:leader="none" w:pos="6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Regulatory restrictions</w:t>
      </w:r>
      <w:r>
        <w:rPr>
          <w:rFonts w:ascii="Arial" w:cs="Arial" w:eastAsia="Arial" w:hAnsi="Arial"/>
          <w:sz w:val="16"/>
          <w:szCs w:val="16"/>
          <w:color w:val="auto"/>
        </w:rPr>
        <w:t>. Satellite market access, landing rights and terrestrial wireless rights are dependent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national regulations established by foreign governments and international non-governmental bodies. Non-compliance with these requirements may result in the loss of the authorizations and licenses to conduct business in these countries, as well as fines, penalties or other sanctions.</w:t>
      </w:r>
    </w:p>
    <w:p>
      <w:pPr>
        <w:spacing w:after="0" w:line="154" w:lineRule="exact"/>
        <w:rPr>
          <w:rFonts w:ascii="Times New Roman" w:cs="Times New Roman" w:eastAsia="Times New Roman" w:hAnsi="Times New Roman"/>
          <w:sz w:val="16"/>
          <w:szCs w:val="16"/>
          <w:color w:val="auto"/>
        </w:rPr>
      </w:pPr>
    </w:p>
    <w:p>
      <w:pPr>
        <w:jc w:val="both"/>
        <w:ind w:left="660" w:right="59" w:hanging="299"/>
        <w:spacing w:after="0" w:line="247" w:lineRule="auto"/>
        <w:tabs>
          <w:tab w:leader="none" w:pos="6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Financial and legal constraints and obligations</w:t>
      </w:r>
      <w:r>
        <w:rPr>
          <w:rFonts w:ascii="Arial" w:cs="Arial" w:eastAsia="Arial" w:hAnsi="Arial"/>
          <w:sz w:val="16"/>
          <w:szCs w:val="16"/>
          <w:color w:val="auto"/>
        </w:rPr>
        <w:t>. Operating pursuant to foreign licenses subjects us to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constraints and obligations, including, but not limited to: (a) tax liabilities that may or may not be dependent on revenue; (b) the regulatory requirements associated with maintaining such licenses, which may be subject to interpretation by foreign courts and regulatory bodies; (c) the burden of creating and maintaining additional entities, branches, facilities and/or staffing in foreign jurisdictions; and (d) regulations requiring that we make certain satellite capacity available for “free” or available at reduced rates.</w:t>
      </w:r>
    </w:p>
    <w:p>
      <w:pPr>
        <w:spacing w:after="0" w:line="162" w:lineRule="exact"/>
        <w:rPr>
          <w:rFonts w:ascii="Times New Roman" w:cs="Times New Roman" w:eastAsia="Times New Roman" w:hAnsi="Times New Roman"/>
          <w:sz w:val="16"/>
          <w:szCs w:val="16"/>
          <w:color w:val="auto"/>
        </w:rPr>
      </w:pPr>
    </w:p>
    <w:p>
      <w:pPr>
        <w:jc w:val="both"/>
        <w:ind w:left="660" w:right="59" w:hanging="299"/>
        <w:spacing w:after="0" w:line="260" w:lineRule="auto"/>
        <w:tabs>
          <w:tab w:leader="none" w:pos="6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Compliance with applicable export control laws and regulations in the U.S. and other countries</w:t>
      </w:r>
      <w:r>
        <w:rPr>
          <w:rFonts w:ascii="Arial" w:cs="Arial" w:eastAsia="Arial" w:hAnsi="Arial"/>
          <w:sz w:val="16"/>
          <w:szCs w:val="16"/>
          <w:color w:val="auto"/>
        </w:rPr>
        <w:t>. We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comply with all applicable export control and trade sanctions laws and regulations of the U.S. and other countries. A violation of any export or trade-related regulations could materially adversely affect our business.</w:t>
      </w:r>
    </w:p>
    <w:p>
      <w:pPr>
        <w:spacing w:after="0" w:line="148" w:lineRule="exact"/>
        <w:rPr>
          <w:rFonts w:ascii="Times New Roman" w:cs="Times New Roman" w:eastAsia="Times New Roman" w:hAnsi="Times New Roman"/>
          <w:sz w:val="16"/>
          <w:szCs w:val="16"/>
          <w:color w:val="auto"/>
        </w:rPr>
      </w:pPr>
    </w:p>
    <w:p>
      <w:pPr>
        <w:jc w:val="both"/>
        <w:ind w:left="660" w:right="59" w:hanging="299"/>
        <w:spacing w:after="0" w:line="260" w:lineRule="auto"/>
        <w:tabs>
          <w:tab w:leader="none" w:pos="6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Changes in exchange rates between foreign currencies and the U.S. dollar</w:t>
      </w:r>
      <w:r>
        <w:rPr>
          <w:rFonts w:ascii="Arial" w:cs="Arial" w:eastAsia="Arial" w:hAnsi="Arial"/>
          <w:sz w:val="16"/>
          <w:szCs w:val="16"/>
          <w:color w:val="auto"/>
        </w:rPr>
        <w:t>. Fluctuations in currency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rates, recessions and currency devaluations have affected, and may in the future affect, revenue, profits and cash earned from our international businesses.</w:t>
      </w:r>
    </w:p>
    <w:p>
      <w:pPr>
        <w:spacing w:after="0" w:line="148" w:lineRule="exact"/>
        <w:rPr>
          <w:rFonts w:ascii="Times New Roman" w:cs="Times New Roman" w:eastAsia="Times New Roman" w:hAnsi="Times New Roman"/>
          <w:sz w:val="16"/>
          <w:szCs w:val="16"/>
          <w:color w:val="auto"/>
        </w:rPr>
      </w:pPr>
    </w:p>
    <w:p>
      <w:pPr>
        <w:jc w:val="both"/>
        <w:ind w:left="660" w:right="59" w:hanging="299"/>
        <w:spacing w:after="0" w:line="253" w:lineRule="auto"/>
        <w:tabs>
          <w:tab w:leader="none" w:pos="66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Regulations may favor state-owned enterprises or local service providers</w:t>
      </w:r>
      <w:r>
        <w:rPr>
          <w:rFonts w:ascii="Arial" w:cs="Arial" w:eastAsia="Arial" w:hAnsi="Arial"/>
          <w:sz w:val="16"/>
          <w:szCs w:val="16"/>
          <w:color w:val="auto"/>
        </w:rPr>
        <w:t>. Many of the countries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conduct business have traditionally had state-owned or state-granted monopolies on telecommunications services that favor an incumbent service provider. We face competition from these favored and entrenched companies in countries that have not liberalized.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right="299"/>
        <w:spacing w:after="0" w:line="264" w:lineRule="auto"/>
        <w:rPr>
          <w:sz w:val="20"/>
          <w:szCs w:val="20"/>
          <w:color w:val="auto"/>
        </w:rPr>
      </w:pPr>
      <w:r>
        <w:rPr>
          <w:rFonts w:ascii="Arial" w:cs="Arial" w:eastAsia="Arial" w:hAnsi="Arial"/>
          <w:sz w:val="16"/>
          <w:szCs w:val="16"/>
          <w:b w:val="1"/>
          <w:bCs w:val="1"/>
          <w:i w:val="1"/>
          <w:iCs w:val="1"/>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39" w:lineRule="exact"/>
        <w:rPr>
          <w:sz w:val="20"/>
          <w:szCs w:val="20"/>
          <w:color w:val="auto"/>
        </w:rPr>
      </w:pPr>
    </w:p>
    <w:p>
      <w:pPr>
        <w:ind w:left="40" w:right="59"/>
        <w:spacing w:after="0" w:line="244" w:lineRule="auto"/>
        <w:rPr>
          <w:sz w:val="20"/>
          <w:szCs w:val="20"/>
          <w:color w:val="auto"/>
        </w:rPr>
      </w:pPr>
      <w:r>
        <w:rPr>
          <w:rFonts w:ascii="Arial" w:cs="Arial" w:eastAsia="Arial" w:hAnsi="Arial"/>
          <w:sz w:val="16"/>
          <w:szCs w:val="16"/>
          <w:color w:val="auto"/>
        </w:rPr>
        <w:t>Extreme weather has the potential to directly damage our network facilities and other infrastructure and/or disrupt our ability to build and maintain portions of our network and could potentially disrupt suppliers’ ability to, among other things, provide the products and services we require to support our operations. Any such disruption could, interrupt service for our customers, increase our costs and have a negative effect on our operating results and financial condition. The potential physical effects of extreme weather, such as storms, floods, fires, freezing conditions, sea-level rise and other adverse weather events could negatively affect our operations and infrastructure and, as a result, our financial results. Operational impacts resulting from extreme weather, could result in increased costs and loss of revenue. We could be required to incur significant costs to improve the resiliency of our infrastructure and otherwise prepare for, respond to and mitigate such weather events. It is impossible to accurately predict the materiality of any potential losses or costs associated with extreme weather.</w:t>
      </w:r>
    </w:p>
    <w:p>
      <w:pPr>
        <w:spacing w:after="0" w:line="353" w:lineRule="exact"/>
        <w:rPr>
          <w:sz w:val="20"/>
          <w:szCs w:val="20"/>
          <w:color w:val="auto"/>
        </w:rPr>
      </w:pPr>
    </w:p>
    <w:p>
      <w:pPr>
        <w:ind w:left="40" w:right="279"/>
        <w:spacing w:after="0" w:line="289" w:lineRule="auto"/>
        <w:rPr>
          <w:sz w:val="20"/>
          <w:szCs w:val="20"/>
          <w:color w:val="auto"/>
        </w:rPr>
      </w:pPr>
      <w:r>
        <w:rPr>
          <w:rFonts w:ascii="Arial" w:cs="Arial" w:eastAsia="Arial" w:hAnsi="Arial"/>
          <w:sz w:val="16"/>
          <w:szCs w:val="16"/>
          <w:b w:val="1"/>
          <w:bCs w:val="1"/>
          <w:i w:val="1"/>
          <w:iCs w:val="1"/>
          <w:color w:val="auto"/>
        </w:rPr>
        <w:t>Our failure to effectively invest in, introduce and implement new competitive products and services could cause our products and services to become obsolete and could negatively impact our business.</w:t>
      </w:r>
    </w:p>
    <w:p>
      <w:pPr>
        <w:spacing w:after="0" w:line="119"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Technology in our industry changes rapidly as new technologies are developed, which could cause our products and services to become obsolete. We and our suppliers may not be able to keep pace with technological developments. Our operating results are dependent to a significant extent upon our ability to continue to introduce new products and services, to upgrade existing products and services on a timely basis and to reduce costs of our existing products and services. We may not be able to successfully identify new product or service opportunities or develop and market these opportunities in a timely or cost-effective manner.</w:t>
      </w:r>
    </w:p>
    <w:p>
      <w:pPr>
        <w:spacing w:after="0" w:line="159" w:lineRule="exact"/>
        <w:rPr>
          <w:sz w:val="20"/>
          <w:szCs w:val="20"/>
          <w:color w:val="auto"/>
        </w:rPr>
      </w:pPr>
    </w:p>
    <w:p>
      <w:pPr>
        <w:ind w:left="40" w:right="159"/>
        <w:spacing w:after="0" w:line="260" w:lineRule="auto"/>
        <w:rPr>
          <w:sz w:val="20"/>
          <w:szCs w:val="20"/>
          <w:color w:val="auto"/>
        </w:rPr>
      </w:pPr>
      <w:r>
        <w:rPr>
          <w:rFonts w:ascii="Arial" w:cs="Arial" w:eastAsia="Arial" w:hAnsi="Arial"/>
          <w:sz w:val="16"/>
          <w:szCs w:val="16"/>
          <w:color w:val="auto"/>
        </w:rPr>
        <w:t>The research and development of new, technologically advanced products is a complex and uncertain process requiring high levels of innovation and investment. The success of new product and service development depends on many factors, including, among others, the following:</w:t>
      </w:r>
    </w:p>
    <w:p>
      <w:pPr>
        <w:spacing w:after="0" w:line="150" w:lineRule="exact"/>
        <w:rPr>
          <w:sz w:val="20"/>
          <w:szCs w:val="20"/>
          <w:color w:val="auto"/>
        </w:rPr>
      </w:pPr>
    </w:p>
    <w:p>
      <w:pPr>
        <w:ind w:left="660" w:right="79" w:hanging="299"/>
        <w:spacing w:after="0" w:line="249" w:lineRule="auto"/>
        <w:tabs>
          <w:tab w:leader="none" w:pos="6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difficulties and delays in the development, production, timely completion, testing and marketing of products and services;</w:t>
      </w:r>
    </w:p>
    <w:p>
      <w:pPr>
        <w:spacing w:after="0" w:line="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the products and services;</w:t>
      </w:r>
    </w:p>
    <w:p>
      <w:pPr>
        <w:spacing w:after="0" w:line="11" w:lineRule="exact"/>
        <w:rPr>
          <w:rFonts w:ascii="Times New Roman" w:cs="Times New Roman" w:eastAsia="Times New Roman" w:hAnsi="Times New Roman"/>
          <w:sz w:val="16"/>
          <w:szCs w:val="16"/>
          <w:color w:val="auto"/>
        </w:rPr>
      </w:pPr>
    </w:p>
    <w:p>
      <w:pPr>
        <w:ind w:left="660" w:right="439" w:hanging="299"/>
        <w:spacing w:after="0" w:line="239" w:lineRule="auto"/>
        <w:tabs>
          <w:tab w:leader="none" w:pos="6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proper identification of current and projected subscriber needs and subscriber acceptance of products and services;</w:t>
      </w:r>
    </w:p>
    <w:p>
      <w:pPr>
        <w:ind w:left="660" w:hanging="299"/>
        <w:spacing w:after="0"/>
        <w:tabs>
          <w:tab w:leader="none" w:pos="6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development of, approval of and compliance with industry standards;</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 of resources we must devote to the development of new technologies; and</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ability to differentiate our products and services and compete with other companies in the same markets.</w:t>
      </w:r>
    </w:p>
    <w:p>
      <w:pPr>
        <w:spacing w:after="0" w:line="192"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If the new technologies on which we focus our research and development investments fail to achieve acceptance in the marketplace, our competitive position could be negatively impacted, causing a reduction in our revenues and earnings. For example, our competitors could use proprietary technologies that are perceived by the market as being superior. In addition, delays in the delivery of components or other unforeseen problems associated with our technology may occur that could materially and adversely affect our ability to generate revenue, offer new products and services and remain competitive. Furthermore, after we have incurred substantial costs, one or more of the products or services under our development, or under development by one or more of our strategic partners, could become obsolete prior to it being widely adopted.</w:t>
      </w:r>
    </w:p>
    <w:p>
      <w:pPr>
        <w:spacing w:after="0" w:line="352"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If our products and services are not competitive or perceived as not competitive our business could suffer and our financial performance could be negatively impacted. Our products and services may also experience quality problems, including, but not limited to, outages and service slowdowns, from time to time. If the quality of our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products and services does not meet our subscribers’ expectations, then our business, and ultimately our reputation, could be negatively impacted.</w:t>
      </w:r>
    </w:p>
    <w:p>
      <w:pPr>
        <w:spacing w:after="0" w:line="135"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b w:val="1"/>
          <w:bCs w:val="1"/>
          <w:i w:val="1"/>
          <w:iCs w:val="1"/>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19"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Historically, we have contracted with and rely on a single vendor or a limited number of vendors to provide certain key products or services to us such as information technology support, billing systems, security access devices and many components that we provide to subscribers in order to deliver services from our business. If these vendors are unable to meet our needs because, among other things, they fail to perform adequately, are no longer in business, are experiencing shortages or supply chain issues or discontinue a certain product or service we need, our business, financial condition and results of operations may be adversely affected.</w:t>
      </w:r>
    </w:p>
    <w:p>
      <w:pPr>
        <w:spacing w:after="0" w:line="15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We have experienced in the past and may continue to experience shortages driven by raw material availability (which may be negatively impacted by, among other things, trade protection policies such as tariffs and/or escalating trade tensions, particularly with countries in Asia), manufacturing capacity, labor shortages, industry allocations, natural disasters, logistical delays and significant changes in the financial or business conditions of its suppliers that negatively impact our operations.</w:t>
      </w:r>
    </w:p>
    <w:p>
      <w:pPr>
        <w:spacing w:after="0" w:line="15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While alternative sources for these products and services exist, we may not be able to develop these alternative sources quickly and cost-effectively, or at all, which could materially impair our ability to timely deliver our products to our subscribers or operate our business. Furthermore, our vendors may request changes in pricing, payment terms or other contractual obligations, which could require us to make substantial additional investments or find alternative arrangements.</w:t>
      </w:r>
    </w:p>
    <w:p>
      <w:pPr>
        <w:spacing w:after="0" w:line="158"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6"/>
          <w:szCs w:val="16"/>
          <w:b w:val="1"/>
          <w:bCs w:val="1"/>
          <w:i w:val="1"/>
          <w:iCs w:val="1"/>
          <w:color w:val="auto"/>
        </w:rPr>
        <w:t>Changes in trade policies, including, but not limited to, tariffs and other restrictions, could, among other things, increase our costs, disrupt our supply chain and negatively affect our business, operations and financial condition.</w:t>
      </w:r>
    </w:p>
    <w:p>
      <w:pPr>
        <w:spacing w:after="0" w:line="32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We depend on suppliers, including suppliers with manufacturing in China and other countries, for various materials in our satellite and related infrastructure. Changes in U.S. or foreign trade policies, including, but not limited to, new or increased tariffs, export controls, trade restrictions or sanctions, have resulted, and may continue to result, in higher costs for the equipment we procure.</w:t>
      </w:r>
    </w:p>
    <w:p>
      <w:pPr>
        <w:spacing w:after="0" w:line="15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Supply chain disruptions, customs delays, new compliance requirements and other challenges may cause delays in deploying satellite infrastructure and customer equipment, increase our operational expenses and impact our ability to meet customer demand. Although we attempt to mitigate these risks through alternative sourcing and operational efficiencies, these efforts may not be successful or sufficient.</w:t>
      </w:r>
    </w:p>
    <w:p>
      <w:pPr>
        <w:spacing w:after="0" w:line="156"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If we are unable to pass increased costs to customers without negatively impacting demand, or offset them through other measures, our business, financial condition and results of operations could be materially adversely affected.</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Risks Related to our Human Capital</w:t>
      </w:r>
    </w:p>
    <w:p>
      <w:pPr>
        <w:spacing w:after="0" w:line="196" w:lineRule="exact"/>
        <w:rPr>
          <w:sz w:val="20"/>
          <w:szCs w:val="20"/>
          <w:color w:val="auto"/>
        </w:rPr>
      </w:pPr>
    </w:p>
    <w:p>
      <w:pPr>
        <w:ind w:left="40" w:right="279"/>
        <w:spacing w:after="0" w:line="289" w:lineRule="auto"/>
        <w:rPr>
          <w:sz w:val="20"/>
          <w:szCs w:val="20"/>
          <w:color w:val="auto"/>
        </w:rPr>
      </w:pPr>
      <w:r>
        <w:rPr>
          <w:rFonts w:ascii="Arial" w:cs="Arial" w:eastAsia="Arial" w:hAnsi="Arial"/>
          <w:sz w:val="16"/>
          <w:szCs w:val="16"/>
          <w:b w:val="1"/>
          <w:bCs w:val="1"/>
          <w:i w:val="1"/>
          <w:iCs w:val="1"/>
          <w:color w:val="auto"/>
        </w:rPr>
        <w:t>We rely on highly skilled personnel for our business, and any inability to hire and retain key personnel or to hire qualified personnel may negatively affect our business, financial condition and results of operations.</w:t>
      </w:r>
    </w:p>
    <w:p>
      <w:pPr>
        <w:spacing w:after="0" w:line="11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businesses could have a material adverse effect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on our business, financial condition and results of operations. Although some of our key executives may have agreements relating to their equity compensation that limit their ability to work for or consult with competitors, we generally do not have employment agreements with them.</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business growth and customer retention strategies rely in part on the work of technically skilled employees.</w:t>
      </w:r>
    </w:p>
    <w:p>
      <w:pPr>
        <w:spacing w:after="0" w:line="194"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Our response to technological developments depends, to a significant degree, on the work of technically skilled employees. In addition, we have made and will continue to make significant investments in, among other things, research, development and marketing for new products, services, satellites and related technologies, as well as entry into new business areas. 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 attract, retain, motivate and manage these employees, we may not succeed in these respects. Additionally, if we were to lose certain key technically skilled employees, the loss of knowledge and intellectual capital might have an adverse impact on our business.</w:t>
      </w:r>
    </w:p>
    <w:p>
      <w:pPr>
        <w:spacing w:after="0" w:line="164"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The success of our business is also dependent on our ability to recruit engineers and other professionals, including those who are citizens of other countries. Immigration laws in the U.S. and other countries in which we operate are subject to legislative and regulatory changes, as well as variations in the standards of application and enforcement due to, among other things, political forces and economic conditions. It is difficult to predict the political and economic events that could affect immigration laws, or the restrictive impact they could have on obtaining or renewing work visas for our professionals. If immigration laws are changed or if new and more restrictive government regulations are enacted or increased, our access to qualified and skilled professionals may be limited.</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Risks Related to our Satellites</w:t>
      </w:r>
    </w:p>
    <w:p>
      <w:pPr>
        <w:spacing w:after="0" w:line="196" w:lineRule="exact"/>
        <w:rPr>
          <w:sz w:val="20"/>
          <w:szCs w:val="20"/>
          <w:color w:val="auto"/>
        </w:rPr>
      </w:pPr>
    </w:p>
    <w:p>
      <w:pPr>
        <w:ind w:left="40" w:right="239"/>
        <w:spacing w:after="0" w:line="289" w:lineRule="auto"/>
        <w:rPr>
          <w:sz w:val="20"/>
          <w:szCs w:val="20"/>
          <w:color w:val="auto"/>
        </w:rPr>
      </w:pPr>
      <w:r>
        <w:rPr>
          <w:rFonts w:ascii="Arial" w:cs="Arial" w:eastAsia="Arial" w:hAnsi="Arial"/>
          <w:sz w:val="16"/>
          <w:szCs w:val="16"/>
          <w:b w:val="1"/>
          <w:bCs w:val="1"/>
          <w:i w:val="1"/>
          <w:iCs w:val="1"/>
          <w:color w:val="auto"/>
        </w:rPr>
        <w:t>Our owned and leased satellites in orbit are subject to significant operational and environmental risks that could limit our ability to utilize these satellites.</w:t>
      </w:r>
    </w:p>
    <w:p>
      <w:pPr>
        <w:spacing w:after="0" w:line="11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Satellites are subject to significant operational risks while in orbit. These risks include, but are not limited to, malfunctions, commonly referred to as anomalies, which have occurred and may occur in the future in our satellites and the satellites of other operators. Any single anomaly could materially and adversely affect our ability to utilize the satellite. Anomalies may also reduce, among other things,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We may not be able to prevent or mitigate the impacts of anomalies in the future.</w:t>
      </w:r>
    </w:p>
    <w:p>
      <w:pPr>
        <w:spacing w:after="0" w:line="163"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Meteoroid events, decommissioned satellites, increased solar activity and other adverse events also pose a potential threat to all in-orbit satellites. We may be required to perform maneuvers to avoid collisions and these maneuvers may prove unsuccessful or could reduce the useful life of the satellite through the expenditure of fuel to perform these maneuvers.</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Generally, the minimum design life of each of our satellites ranges from 12 to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right="439"/>
        <w:spacing w:after="0" w:line="289" w:lineRule="auto"/>
        <w:rPr>
          <w:sz w:val="20"/>
          <w:szCs w:val="20"/>
          <w:color w:val="auto"/>
        </w:rPr>
      </w:pPr>
      <w:r>
        <w:rPr>
          <w:rFonts w:ascii="Arial" w:cs="Arial" w:eastAsia="Arial" w:hAnsi="Arial"/>
          <w:sz w:val="16"/>
          <w:szCs w:val="16"/>
          <w:b w:val="1"/>
          <w:bCs w:val="1"/>
          <w:i w:val="1"/>
          <w:iCs w:val="1"/>
          <w:color w:val="auto"/>
        </w:rPr>
        <w:t>Our use of certain satellites is often dependent on satellite coordination agreements, which may be difficult to obtain.</w:t>
      </w:r>
    </w:p>
    <w:p>
      <w:pPr>
        <w:spacing w:after="0" w:line="11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Satellite operators are required to enter into international spectrum coordination agreements with other affected satellite operators and must be approved by the relevant governments. If a required agreement cannot be negotiated, we may have to operate the applicable satellite(s) in a manner that does not cause harmful radio frequency interference with the affected satellite. If we cannot do so, we may have to cease operating such satellite(s) at the affected orbital locations.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face interference from other services sharing satellite spectrum.</w:t>
      </w:r>
    </w:p>
    <w:p>
      <w:pPr>
        <w:spacing w:after="0" w:line="19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The FCC and other national, state, local and international regulators have adopted rules or may adopt rules in the future that require us to share spectrum on a basis with other radio services. There can be no assurance that these operations would not interfere with our operations and adversely affect our business. In the event that the FCC and/or another regulator determines that our spectrum interferes with another service, we may be required to, among other things, find or develop a solution. We cannot make any assurance that we will be able to do so on an acceptable timeline or at all, or that such solution will not adversely affect our business.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Risks Related to our Products and Technology</w:t>
      </w:r>
    </w:p>
    <w:p>
      <w:pPr>
        <w:spacing w:after="0" w:line="196" w:lineRule="exact"/>
        <w:rPr>
          <w:sz w:val="20"/>
          <w:szCs w:val="20"/>
          <w:color w:val="auto"/>
        </w:rPr>
      </w:pPr>
    </w:p>
    <w:p>
      <w:pPr>
        <w:ind w:left="40" w:right="199"/>
        <w:spacing w:after="0" w:line="289" w:lineRule="auto"/>
        <w:rPr>
          <w:sz w:val="20"/>
          <w:szCs w:val="20"/>
          <w:color w:val="auto"/>
        </w:rPr>
      </w:pPr>
      <w:r>
        <w:rPr>
          <w:rFonts w:ascii="Arial" w:cs="Arial" w:eastAsia="Arial" w:hAnsi="Arial"/>
          <w:sz w:val="16"/>
          <w:szCs w:val="16"/>
          <w:b w:val="1"/>
          <w:bCs w:val="1"/>
          <w:i w:val="1"/>
          <w:iCs w:val="1"/>
          <w:color w:val="auto"/>
        </w:rPr>
        <w:t>Our business depends on certain intellectual property rights and on not infringing the intellectual property rights of others.</w:t>
      </w:r>
    </w:p>
    <w:p>
      <w:pPr>
        <w:spacing w:after="0" w:line="11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which could require us to change our business practices or limit our ability to compete effectively or could have an adverse effect on our results of operations.</w:t>
      </w:r>
    </w:p>
    <w:p>
      <w:pPr>
        <w:spacing w:after="0" w:line="163"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Even if we believe any such challenges or claims are without merit, they can be time consuming and costly to defend and divert management’s attention and resources away from our business. Moreover, because of the rapid pace of technological change, we rely on technologies developed by or licensed from third parties, and if we are unable to obtain or continue to obtain licenses from these third parties on reasonable terms or at all, our business, financial condition and results of operations could be adversely affected.</w:t>
      </w:r>
    </w:p>
    <w:p>
      <w:pPr>
        <w:spacing w:after="0" w:line="157"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In addition, we work with certain third parties such as vendors, contractors and suppliers for the development and manufacture of components that are integrated into our products and services, and our products and services may contain technologies provided to us by these third parties or other third parties. We may have little or no ability to determine in advance whether any such technology infringes the intellectual property rights of others. Our vendors, contractors and suppliers may not be required to indemnify us if a claim of infringement is asserted against us, license the potential infringing technology from other third parties or they may be required to indemnify us only up to a maximum amount, above which we would be responsible for any further costs or damages.</w:t>
      </w:r>
    </w:p>
    <w:p>
      <w:pPr>
        <w:spacing w:after="0" w:line="163" w:lineRule="exact"/>
        <w:rPr>
          <w:sz w:val="20"/>
          <w:szCs w:val="20"/>
          <w:color w:val="auto"/>
        </w:rPr>
      </w:pPr>
    </w:p>
    <w:p>
      <w:pPr>
        <w:ind w:left="40" w:right="99"/>
        <w:spacing w:after="0" w:line="248" w:lineRule="auto"/>
        <w:rPr>
          <w:sz w:val="20"/>
          <w:szCs w:val="20"/>
          <w:color w:val="auto"/>
        </w:rPr>
      </w:pPr>
      <w:r>
        <w:rPr>
          <w:rFonts w:ascii="Arial" w:cs="Arial" w:eastAsia="Arial" w:hAnsi="Arial"/>
          <w:sz w:val="16"/>
          <w:szCs w:val="16"/>
          <w:color w:val="auto"/>
        </w:rPr>
        <w:t>Legal challenges to these intellectual property rights may impair our ability to use the products, services and technologies that we need in order to operate our business and may materially and adversely affect our business, financial condition and results of operations. Furthermore, our digital content offerings depend in part on effective digital rights management technology to control access to digital content. If the digital rights management technology that we use is compromised or otherwise malfunctions, content providers may be unwilling to provide access to their content. Changes in the copyright laws or how such laws may be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right="399"/>
        <w:spacing w:after="0" w:line="281" w:lineRule="auto"/>
        <w:rPr>
          <w:sz w:val="20"/>
          <w:szCs w:val="20"/>
          <w:color w:val="auto"/>
        </w:rPr>
      </w:pPr>
      <w:r>
        <w:rPr>
          <w:rFonts w:ascii="Arial" w:cs="Arial" w:eastAsia="Arial" w:hAnsi="Arial"/>
          <w:sz w:val="16"/>
          <w:szCs w:val="16"/>
          <w:color w:val="auto"/>
        </w:rPr>
        <w:t>interpreted could impact our ability to deliver content and provide certain features and functionality, particularly over the Internet.</w:t>
      </w:r>
    </w:p>
    <w:p>
      <w:pPr>
        <w:spacing w:after="0" w:line="135" w:lineRule="exact"/>
        <w:rPr>
          <w:sz w:val="20"/>
          <w:szCs w:val="20"/>
          <w:color w:val="auto"/>
        </w:rPr>
      </w:pPr>
    </w:p>
    <w:p>
      <w:pPr>
        <w:ind w:left="40" w:right="259"/>
        <w:spacing w:after="0" w:line="289" w:lineRule="auto"/>
        <w:rPr>
          <w:sz w:val="20"/>
          <w:szCs w:val="20"/>
          <w:color w:val="auto"/>
        </w:rPr>
      </w:pPr>
      <w:r>
        <w:rPr>
          <w:rFonts w:ascii="Arial" w:cs="Arial" w:eastAsia="Arial" w:hAnsi="Arial"/>
          <w:sz w:val="16"/>
          <w:szCs w:val="16"/>
          <w:b w:val="1"/>
          <w:bCs w:val="1"/>
          <w:i w:val="1"/>
          <w:iCs w:val="1"/>
          <w:color w:val="auto"/>
        </w:rPr>
        <w:t>We are, and may become, party to various lawsuits which, if adversely decided, could have a significant adverse impact on our business, particularly lawsuits regarding intellectual property.</w:t>
      </w:r>
    </w:p>
    <w:p>
      <w:pPr>
        <w:spacing w:after="0" w:line="11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 xml:space="preserve">We are, and may become, subject to various legal proceedings and claims which arise in the ordinary course of business, including, among other things, intellectual property disputes. Any adverse finding in such legal proceedings, could adversely affect our business, financial condition and results of operations. See Note 12 </w:t>
      </w:r>
      <w:r>
        <w:rPr>
          <w:rFonts w:ascii="Arial" w:cs="Arial" w:eastAsia="Arial" w:hAnsi="Arial"/>
          <w:sz w:val="16"/>
          <w:szCs w:val="16"/>
          <w:i w:val="1"/>
          <w:iCs w:val="1"/>
          <w:color w:val="auto"/>
        </w:rPr>
        <w:t>”Contingencies – Litigation”</w:t>
      </w:r>
      <w:r>
        <w:rPr>
          <w:rFonts w:ascii="Arial" w:cs="Arial" w:eastAsia="Arial" w:hAnsi="Arial"/>
          <w:sz w:val="16"/>
          <w:szCs w:val="16"/>
          <w:color w:val="auto"/>
        </w:rPr>
        <w:t xml:space="preserve"> in the Notes to our Consolidated Financial Statements in this Annual Report on Form 10-K for further information.</w:t>
      </w:r>
    </w:p>
    <w:p>
      <w:pPr>
        <w:spacing w:after="0" w:line="15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In addition, many entities, including some of our competitors, have or may in the future obtain patents and other intellectual property rights that may cover or affect products or services related to those that we offer. In general, if a court determines that one or more of our products or services infringes on intellectual property held by others, we may be required to cease developing or marketing those products or services, to obtain licenses from the holders of the intellectual property at a material cost or to redesign those products or services in such a way as to avoid infringing the intellectual property.</w:t>
      </w:r>
    </w:p>
    <w:p>
      <w:pPr>
        <w:spacing w:after="0" w:line="157"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 xml:space="preserve">If those intellectual property rights are held by a competitor, we may be unable to obtain the intellectual property at any price, which could adversely affect our competitive position. See </w:t>
      </w:r>
      <w:r>
        <w:rPr>
          <w:rFonts w:ascii="Arial" w:cs="Arial" w:eastAsia="Arial" w:hAnsi="Arial"/>
          <w:sz w:val="16"/>
          <w:szCs w:val="16"/>
          <w:i w:val="1"/>
          <w:iCs w:val="1"/>
          <w:color w:val="auto"/>
        </w:rPr>
        <w:t>“Item 1. Business – Patents and Other Intellectual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Property” </w:t>
      </w:r>
      <w:r>
        <w:rPr>
          <w:rFonts w:ascii="Arial" w:cs="Arial" w:eastAsia="Arial" w:hAnsi="Arial"/>
          <w:sz w:val="16"/>
          <w:szCs w:val="16"/>
          <w:color w:val="auto"/>
        </w:rPr>
        <w:t>in our parent, EchoStar’s Annual Report on Form 10-K for the year ended December 31, 2025 for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w:t>
      </w:r>
    </w:p>
    <w:p>
      <w:pPr>
        <w:spacing w:after="0" w:line="345"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We may not be aware of all intellectual property rights that our services or the products used in connection with our services may potentially infringe. In addition, patent applications in the United States are confidential until the Patent and Trademark Office either publishes the application or issues a patent (whichever arises first). Therefore, it is difficult to evaluate the extent to which our services or the products used in connection with our services may infringe claims contained in pending patent applications. Furthermore, it is sometimes not possible to determine definitively whether a claim of infringement is valid.</w:t>
      </w:r>
    </w:p>
    <w:p>
      <w:pPr>
        <w:spacing w:after="0" w:line="351" w:lineRule="exact"/>
        <w:rPr>
          <w:sz w:val="20"/>
          <w:szCs w:val="20"/>
          <w:color w:val="auto"/>
        </w:rPr>
      </w:pPr>
    </w:p>
    <w:p>
      <w:pPr>
        <w:ind w:left="40" w:right="259"/>
        <w:spacing w:after="0" w:line="289" w:lineRule="auto"/>
        <w:rPr>
          <w:sz w:val="20"/>
          <w:szCs w:val="20"/>
          <w:color w:val="auto"/>
        </w:rPr>
      </w:pPr>
      <w:r>
        <w:rPr>
          <w:rFonts w:ascii="Arial" w:cs="Arial" w:eastAsia="Arial" w:hAnsi="Arial"/>
          <w:sz w:val="16"/>
          <w:szCs w:val="16"/>
          <w:b w:val="1"/>
          <w:bCs w:val="1"/>
          <w:i w:val="1"/>
          <w:i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19"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6"/>
          <w:szCs w:val="16"/>
          <w:color w:val="auto"/>
        </w:rPr>
        <w:t>Our products and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and end-user devices,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in a timely manner or at all. The occurrence of, and failure to remedy, any defects, errors or failures in our products or network services could materially affect our business. As a result, any defect or other problem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Risks Related to Cybersecurity</w:t>
      </w:r>
    </w:p>
    <w:p>
      <w:pPr>
        <w:spacing w:after="0" w:line="196" w:lineRule="exact"/>
        <w:rPr>
          <w:sz w:val="20"/>
          <w:szCs w:val="20"/>
          <w:color w:val="auto"/>
        </w:rPr>
      </w:pPr>
    </w:p>
    <w:p>
      <w:pPr>
        <w:jc w:val="both"/>
        <w:ind w:left="40" w:right="239"/>
        <w:spacing w:after="0" w:line="264" w:lineRule="auto"/>
        <w:rPr>
          <w:sz w:val="20"/>
          <w:szCs w:val="20"/>
          <w:color w:val="auto"/>
        </w:rPr>
      </w:pPr>
      <w:r>
        <w:rPr>
          <w:rFonts w:ascii="Arial" w:cs="Arial" w:eastAsia="Arial" w:hAnsi="Arial"/>
          <w:sz w:val="16"/>
          <w:szCs w:val="16"/>
          <w:b w:val="1"/>
          <w:bCs w:val="1"/>
          <w:i w:val="1"/>
          <w:iCs w:val="1"/>
          <w:color w:val="auto"/>
        </w:rPr>
        <w:t>Any failure or inadequacy of our information technology infrastructure and communications systems or those of third parties that we use in our operations, including, without limitation, those caused by cyber-attacks or other malicious activities, could disrupt or harm our business.</w:t>
      </w:r>
    </w:p>
    <w:p>
      <w:pPr>
        <w:spacing w:after="0" w:line="139" w:lineRule="exact"/>
        <w:rPr>
          <w:sz w:val="20"/>
          <w:szCs w:val="20"/>
          <w:color w:val="auto"/>
        </w:rPr>
      </w:pPr>
    </w:p>
    <w:p>
      <w:pPr>
        <w:ind w:left="40" w:right="219"/>
        <w:spacing w:after="0" w:line="245" w:lineRule="auto"/>
        <w:rPr>
          <w:sz w:val="20"/>
          <w:szCs w:val="20"/>
          <w:color w:val="auto"/>
        </w:rPr>
      </w:pPr>
      <w:r>
        <w:rPr>
          <w:rFonts w:ascii="Arial" w:cs="Arial" w:eastAsia="Arial" w:hAnsi="Arial"/>
          <w:sz w:val="16"/>
          <w:szCs w:val="16"/>
          <w:color w:val="auto"/>
        </w:rPr>
        <w:t>The capacity, reliability and security of our information technology hardware and software infrastructure (including, but not limited to, our billing systems) and communications systems, or those of third parties that we use in our operations, are important to the operation of our business, which has in the past and would in the future suffer in the event of system failures or cyber-attacks. Likewise, our ability to expand and update our information technology infrastructure in response to, among other things, our growth and changing needs is important to the continued implementation of our new service offering initiatives. Our inability to expand or upgrade our technology infrastructure could have adverse consequences, which could include, among other things, the delayed implementation of new service offerings, service or billing interruptions, and the diversion of management and developmental resources.</w:t>
      </w:r>
    </w:p>
    <w:p>
      <w:pPr>
        <w:spacing w:after="0" w:line="16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We rely on certain third parties for developing key components of our information technology and communications systems and ongoing service, all of which affect our business. Some of our key systems and operations, including, but not limited to, those supplied by certain third-party providers, are not fully redundant, and our disaster recovery planning cannot account for all eventualities. Interruption and/or failure of any of these systems could, among other things, disrupt our operations, interrupt our services, result in significant financial expenditures and damage our reputation, thus adversely impacting our ability to provide our services, retain our current subscribers and attract new subscribers.</w:t>
      </w:r>
    </w:p>
    <w:p>
      <w:pPr>
        <w:spacing w:after="0" w:line="109"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In addition,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These protective measures may not be sufficient for all eventualities and may themselves be vulnerable to hacking, malfeasance, system error or other irregularities.</w:t>
      </w:r>
    </w:p>
    <w:p>
      <w:pPr>
        <w:spacing w:after="0" w:line="115"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For example, certain parties may attempt to fraudulently induce employees or subscribers into disclosing usernames, passwords or other sensitive information, which may in turn be used to access our information technology systems. In addition, third-party providers of some of our key systems may also experience interruptions to their information technology hardware and software infrastructure and communications systems that could adversely impact us and over which we may have limited or no control. We may obtain certain confidential, proprietary and personal information about our subscribers, personnel and vendors, and may provide this information to third parties in connection with our business. If one or more of such interruptions or failures occur to us or our third-party providers, it potentially could jeopardize such information and other information processed and stored in, and transmitted through, our or our third-party providers’ information technology hardware and software infrastructure and communications systems, or otherwise cause interruptions or malfunctions in our operations, which could result in, among other things, lawsuits, government claims, investigations or proceedings, significant losses or reputational damage. Due to the fast-moving pace of technology, it may be difficult to detect, contain and remediate every such event on an acceptable timeline or at all.</w:t>
      </w:r>
    </w:p>
    <w:p>
      <w:pPr>
        <w:spacing w:after="0" w:line="118"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We may be required to expend significant additional resources to modify our protective measures or to investigate and remediate vulnerabilities or other exposures, and we may be subject to financial losses. In addition, this may divert management’s attention and resources away from our business, and therefore adversely affect our business. Furthermore, the amount and scope of insurance we maintain may not cover all expenses related to such activities or all types of claims that may arise.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As a result of the increasing awareness concerning the importance of safeguarding personal information, the potential misuse of such information and legislation that has been adopted or is being considered regarding the protection, privacy and security of personal information, the potential liability associated with information-related risks is increasing, particularly for businesses like ours that handle personal subscriber data. The occurrence of any network or information system related events or security breaches could have a material adverse effect on, among other things, our reputation, business, financial condition and results of operations. Significant incidents could result in a disruption of our operations, subscriber dissatisfaction, damage to our reputation or a loss of subscribers and revenues.</w:t>
      </w:r>
    </w:p>
    <w:p>
      <w:pPr>
        <w:spacing w:after="0" w:line="116" w:lineRule="exact"/>
        <w:rPr>
          <w:sz w:val="20"/>
          <w:szCs w:val="20"/>
          <w:color w:val="auto"/>
        </w:rPr>
      </w:pPr>
    </w:p>
    <w:p>
      <w:pPr>
        <w:ind w:left="40" w:right="299"/>
        <w:spacing w:after="0" w:line="289" w:lineRule="auto"/>
        <w:rPr>
          <w:sz w:val="20"/>
          <w:szCs w:val="20"/>
          <w:color w:val="auto"/>
        </w:rPr>
      </w:pPr>
      <w:r>
        <w:rPr>
          <w:rFonts w:ascii="Arial" w:cs="Arial" w:eastAsia="Arial" w:hAnsi="Arial"/>
          <w:sz w:val="16"/>
          <w:szCs w:val="16"/>
          <w:b w:val="1"/>
          <w:bCs w:val="1"/>
          <w:i w:val="1"/>
          <w:iCs w:val="1"/>
          <w:color w:val="auto"/>
        </w:rPr>
        <w:t>Our parent, EchoStar, has experienced and we may experience in the future cyber-attacks and other attempts to gain unauthorized access to our systems on a consistent basis.</w:t>
      </w:r>
    </w:p>
    <w:p>
      <w:pPr>
        <w:spacing w:after="0" w:line="119"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Our parent, EchoStar, has experienced and we may experience in the future security issues, whether due to, among other things, insider error or malfeasance or system errors or vulnerabilities in our or our third parties’ systems, which could result in, among other things, substantial legal and financial exposure, government inquiries and enforcement actions, litigation, diversion of management time and attention from our existing businesses and unfavorable media coverage to us. We may be unable to anticipate or detect attacks or vulnerabilities or implement adequate preventative measures on an acceptable timeframe or at all. Attacks and security issues could also compromise trade secrets and other sensitive information.</w:t>
      </w:r>
    </w:p>
    <w:p>
      <w:pPr>
        <w:spacing w:after="0" w:line="159"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6"/>
          <w:szCs w:val="16"/>
          <w:color w:val="auto"/>
        </w:rPr>
        <w:t>We are subject to persistent cybersecurity threats to our networks and systems.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 protective measures we take may not be sufficient for all eventualities and may themselves be vulnerable to hacking, malfeasance, system error or other irregularities. For example, certain parties may attempt to fraudulently induce employees or subscribers into disclosing usernames, passwords or other sensitive information, which may in turn be used to access our information technology systems.</w:t>
      </w:r>
    </w:p>
    <w:p>
      <w:pPr>
        <w:spacing w:after="0" w:line="348"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In addition, cybersecurity threat actors are increasingly sophisticated through various techniques that involve social engineering and/or misrepresentation. Techniques used in cyber-attacks to obtain unauthorized access to, disable or sabotage information technology systems are increasingly diverse and sophisticated, including as a result of emerging technologies, such as artificial intelligence and machine learning. Data breaches and other cybersecurity events have become increasingly commonplace, including, but not limited to, as a result of the intensification of state-sponsored cyber-attacks during periods of geopolitical conflict. Various events described above have occurred in the past to our parent and may occur in the future. Although impacts of past events have been immaterial, the impacts of such events in the future may be material to our parent or us.</w:t>
      </w:r>
    </w:p>
    <w:p>
      <w:pPr>
        <w:spacing w:after="0" w:line="166" w:lineRule="exact"/>
        <w:rPr>
          <w:sz w:val="20"/>
          <w:szCs w:val="20"/>
          <w:color w:val="auto"/>
        </w:rPr>
      </w:pPr>
    </w:p>
    <w:p>
      <w:pPr>
        <w:ind w:left="40" w:right="179"/>
        <w:spacing w:after="0" w:line="289" w:lineRule="auto"/>
        <w:rPr>
          <w:sz w:val="20"/>
          <w:szCs w:val="20"/>
          <w:color w:val="auto"/>
        </w:rPr>
      </w:pPr>
      <w:r>
        <w:rPr>
          <w:rFonts w:ascii="Arial" w:cs="Arial" w:eastAsia="Arial" w:hAnsi="Arial"/>
          <w:sz w:val="16"/>
          <w:szCs w:val="16"/>
          <w:b w:val="1"/>
          <w:bCs w:val="1"/>
          <w:i w:val="1"/>
          <w:iCs w:val="1"/>
          <w:color w:val="auto"/>
        </w:rPr>
        <w:t>The confidentiality, integrity and availability of our services and products depends on the continuing operation of our information technology and other enabling systems.</w:t>
      </w:r>
    </w:p>
    <w:p>
      <w:pPr>
        <w:spacing w:after="0" w:line="11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Our systems run the risk of damage, intrusion or disruption from, among other things, criminal and/or terrorist attacks, telecommunications failures, computer viruses, ransomware attacks, digital denial of service attacks, phishing and/or other attempts to injure or maliciously access our systems. Some of our systems are not fully redundant and disaster recovery planning cannot account for all possibilities. In addition, our products and services are highly technical and complex and may contain errors or vulnerabilities, which could result in interruptions in or failure of our services or systems. Failure to respond, mitigate and/or remedy any cyber-attack or other information technology failure on a timely basis or at all, could materially affect our business.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international businesses expose us to additional risks that could harm our business.</w:t>
      </w:r>
    </w:p>
    <w:p>
      <w:pPr>
        <w:spacing w:after="0" w:line="194" w:lineRule="exact"/>
        <w:rPr>
          <w:sz w:val="20"/>
          <w:szCs w:val="20"/>
          <w:color w:val="auto"/>
        </w:rPr>
      </w:pPr>
    </w:p>
    <w:p>
      <w:pPr>
        <w:ind w:left="40" w:right="79"/>
        <w:spacing w:after="0" w:line="250" w:lineRule="auto"/>
        <w:rPr>
          <w:sz w:val="20"/>
          <w:szCs w:val="20"/>
          <w:color w:val="auto"/>
        </w:rPr>
      </w:pPr>
      <w:r>
        <w:rPr>
          <w:rFonts w:ascii="Arial" w:cs="Arial" w:eastAsia="Arial" w:hAnsi="Arial"/>
          <w:sz w:val="16"/>
          <w:szCs w:val="16"/>
          <w:color w:val="auto"/>
        </w:rPr>
        <w:t>In addition to risks described elsewhere herein, the different regions and countries in which we operate our businesses outside of the U.S. expose us to increased risks due to different privacy and cyber-related laws in each of these locations. The same cyber-related issue could have different consequences depending on, among other factors, the region or country of occurrence, the laws applicable in each case and the different levels of enforcement by regulatory and governmental authorities in each jurisdiction. These risks include, but are not limited to, the following:</w:t>
      </w:r>
    </w:p>
    <w:p>
      <w:pPr>
        <w:spacing w:after="0" w:line="157" w:lineRule="exact"/>
        <w:rPr>
          <w:sz w:val="20"/>
          <w:szCs w:val="20"/>
          <w:color w:val="auto"/>
        </w:rPr>
      </w:pPr>
    </w:p>
    <w:p>
      <w:pPr>
        <w:jc w:val="both"/>
        <w:ind w:left="660" w:right="59" w:hanging="299"/>
        <w:spacing w:after="0" w:line="246" w:lineRule="auto"/>
        <w:tabs>
          <w:tab w:leader="none" w:pos="6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data privacy and security concerns relating to our technology and practices could, among other things, damage our reputation, cause us to incur significant liability and deter current and potential users or customers from using our products and services;</w:t>
      </w:r>
    </w:p>
    <w:p>
      <w:pPr>
        <w:spacing w:after="0" w:line="1" w:lineRule="exact"/>
        <w:rPr>
          <w:rFonts w:ascii="Times New Roman" w:cs="Times New Roman" w:eastAsia="Times New Roman" w:hAnsi="Times New Roman"/>
          <w:sz w:val="16"/>
          <w:szCs w:val="16"/>
          <w:color w:val="auto"/>
        </w:rPr>
      </w:pPr>
    </w:p>
    <w:p>
      <w:pPr>
        <w:jc w:val="both"/>
        <w:ind w:left="660" w:right="59" w:hanging="299"/>
        <w:spacing w:after="0" w:line="239" w:lineRule="auto"/>
        <w:tabs>
          <w:tab w:leader="none" w:pos="6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software bugs or defects, security breaches and attacks on our systems could result in the improper disclosure of our user data which could harm, among other things, our business reputation and result in legal and/or government action;</w:t>
      </w:r>
    </w:p>
    <w:p>
      <w:pPr>
        <w:spacing w:after="0" w:line="1" w:lineRule="exact"/>
        <w:rPr>
          <w:rFonts w:ascii="Times New Roman" w:cs="Times New Roman" w:eastAsia="Times New Roman" w:hAnsi="Times New Roman"/>
          <w:sz w:val="16"/>
          <w:szCs w:val="16"/>
          <w:color w:val="auto"/>
        </w:rPr>
      </w:pPr>
    </w:p>
    <w:p>
      <w:pPr>
        <w:ind w:left="660" w:right="59" w:hanging="299"/>
        <w:spacing w:after="0" w:line="239" w:lineRule="auto"/>
        <w:tabs>
          <w:tab w:leader="none" w:pos="6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concerns about our practices about the collection, use, disclosure or security of personal information or other data-privacy-related matters, even if unsubstantiated, could harm our reputation and financial condition;</w:t>
      </w:r>
    </w:p>
    <w:p>
      <w:pPr>
        <w:ind w:left="660" w:hanging="299"/>
        <w:spacing w:after="0"/>
        <w:tabs>
          <w:tab w:leader="none" w:pos="6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our policies and practices may change over time as expectations regarding privacy and data change.</w:t>
      </w:r>
    </w:p>
    <w:p>
      <w:pPr>
        <w:spacing w:after="0" w:line="194" w:lineRule="exact"/>
        <w:rPr>
          <w:sz w:val="20"/>
          <w:szCs w:val="20"/>
          <w:color w:val="auto"/>
        </w:rPr>
      </w:pPr>
    </w:p>
    <w:p>
      <w:pPr>
        <w:ind w:left="40" w:right="459"/>
        <w:spacing w:after="0" w:line="289" w:lineRule="auto"/>
        <w:rPr>
          <w:sz w:val="20"/>
          <w:szCs w:val="20"/>
          <w:color w:val="auto"/>
        </w:rPr>
      </w:pPr>
      <w:r>
        <w:rPr>
          <w:rFonts w:ascii="Arial" w:cs="Arial" w:eastAsia="Arial" w:hAnsi="Arial"/>
          <w:sz w:val="16"/>
          <w:szCs w:val="16"/>
          <w:b w:val="1"/>
          <w:bCs w:val="1"/>
          <w:i w:val="1"/>
          <w:iCs w:val="1"/>
          <w:color w:val="auto"/>
        </w:rPr>
        <w:t>Our ongoing investments in security will likely continue to identify new vulnerabilities within our services and products.</w:t>
      </w:r>
    </w:p>
    <w:p>
      <w:pPr>
        <w:spacing w:after="0" w:line="119"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In addition to our efforts to, among other things, mitigate the risk of cyber-attacks and improve our products and services, we are making significant investments to assure that our products are resistant to compromise. As a result of these efforts, we could discover new vulnerabilities within our products and systems that would be undesirable for our users and customers. We have discovered and remediated, and may discover new vulnerabilities due to the scale of activities on our platforms, and may not be able to mitigate or fix such vulnerabilities on acceptable timeframes or at all, due to other factors, including, but not limited to, issues outside of our control such as natural disasters/climate change such as sea level rise, drought, flooding, wildfires, increased storm severity, power loss and we may be notified of such vulnerabilities via third parties. Any of the foregoing developments may, among other things, negatively affect user and customer trust, harm our reputation and brands and adversely affect our business and financial results.</w:t>
      </w:r>
    </w:p>
    <w:p>
      <w:pPr>
        <w:spacing w:after="0" w:line="160"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Any such developments may also subject us to litigation and regulatory inquiries, which could result in monetary penalties and damages, distract management’s time and attention and lead to enhanced regulatory oversight.</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Acquisition and Capital Structure Risks</w:t>
      </w:r>
    </w:p>
    <w:p>
      <w:pPr>
        <w:spacing w:after="0" w:line="196" w:lineRule="exact"/>
        <w:rPr>
          <w:sz w:val="20"/>
          <w:szCs w:val="20"/>
          <w:color w:val="auto"/>
        </w:rPr>
      </w:pPr>
    </w:p>
    <w:p>
      <w:pPr>
        <w:jc w:val="both"/>
        <w:ind w:left="40" w:right="59"/>
        <w:spacing w:after="0" w:line="264" w:lineRule="auto"/>
        <w:rPr>
          <w:sz w:val="20"/>
          <w:szCs w:val="20"/>
          <w:color w:val="auto"/>
        </w:rPr>
      </w:pPr>
      <w:r>
        <w:rPr>
          <w:rFonts w:ascii="Arial" w:cs="Arial" w:eastAsia="Arial" w:hAnsi="Arial"/>
          <w:sz w:val="16"/>
          <w:szCs w:val="16"/>
          <w:b w:val="1"/>
          <w:bCs w:val="1"/>
          <w:i w:val="1"/>
          <w:iCs w:val="1"/>
          <w:color w:val="auto"/>
        </w:rPr>
        <w:t>We currently do not have the necessary cash on hand, projected future cash flows or committed financing to fund our obligations over the next twelve months, which raises substantial doubt about our ability to continue as a going concern.</w:t>
      </w:r>
    </w:p>
    <w:p>
      <w:pPr>
        <w:spacing w:after="0" w:line="139"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As of the date of this report, we currently do not have the necessary cash on hand, projected future cash flows or committed financing to fund our anticipated working capital needs, capital expenditures, interest payments, debt maturities and other contractual obligations over the next 12 months. These conditions raise substantial doubt about our ability to continue as a going concern and, as a result, a ‘going concern’ disclosure appears in the Notes to our Consolidated Financial Statements in this Annual Report on Form 10-K.</w:t>
      </w:r>
    </w:p>
    <w:p>
      <w:pPr>
        <w:spacing w:after="0" w:line="157"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Because the SpaceX Transactions, defined herein, are signed at our parent and/or its subsidiaries, we do not expect completion of the SpaceX Transactions to resolve our going concern qualification. In addition, our parent, EchoStar, may or may not provide additional liquidity in the future necessary to meet our obligations as they come due.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The presence of a going concern uncertainty may also adversely impact the price of our securities, harm our current, future and potential relationships with suppliers, vendors, customers, employees and creditors, and may limit our ability to access additional financing on acceptable terms or at all. There can be no assurance that management’s plans to mitigate these risks will be successful on a timely basis or at all. If we are unable to secure adequate liquidity on an acceptable timeline or at all, we may not be able to continue as a going concern, which could result in a total loss of your investment. In addition, as our cash and cash equivalents balance declines, the risks described above may continue, increase or accelerate at any time and with or without notice.</w:t>
      </w:r>
    </w:p>
    <w:p>
      <w:pPr>
        <w:spacing w:after="0" w:line="163"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In the event that the going concern qualification continues, we may take additional actions to protect our interest in our assets that may negatively impact the value of your investment in our debt securities, including, under certain circumstances, filing for relief under Chapter 11 of Title 11 of the United States Code, if we determine that such an action is in the best interests of the Company and our stakeholders.</w:t>
      </w:r>
    </w:p>
    <w:p>
      <w:pPr>
        <w:spacing w:after="0" w:line="156"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Certain actions that we may take, including a potential voluntary Chapter 11 bankruptcy filing could have material adverse consequences to us, including, but not limited to: (i) disruption of relationships with vendors, suppliers, employees and customers; (ii) limitations on the ability to access capital markets or otherwise obtain financing on favorable terms or at all;</w:t>
      </w:r>
    </w:p>
    <w:p>
      <w:pPr>
        <w:spacing w:after="0" w:line="2" w:lineRule="exact"/>
        <w:rPr>
          <w:sz w:val="20"/>
          <w:szCs w:val="20"/>
          <w:color w:val="auto"/>
        </w:rPr>
      </w:pPr>
    </w:p>
    <w:p>
      <w:pPr>
        <w:jc w:val="both"/>
        <w:ind w:left="40" w:right="59" w:firstLine="2"/>
        <w:spacing w:after="0" w:line="245" w:lineRule="auto"/>
        <w:tabs>
          <w:tab w:leader="none" w:pos="351"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limitations on the ability to take advantage of business opportunities; (iv) reputational harm; and (v) significant administrative costs and diversion of management attention. Furthermore, the outcome of any of the actions that we, or certain of our subsidiaries, may take, including a filing for relief under Chapter 11, is inherently uncertain and may result in a loss of control by our parent, EchoStar’s principal stockholder or a material reduction in the value or change in the relative priority of existing debt securities.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have substantial debt outstanding and may incur additional debt.</w:t>
      </w:r>
    </w:p>
    <w:p>
      <w:pPr>
        <w:spacing w:after="0" w:line="194" w:lineRule="exact"/>
        <w:rPr>
          <w:sz w:val="20"/>
          <w:szCs w:val="20"/>
          <w:color w:val="auto"/>
        </w:rPr>
      </w:pPr>
    </w:p>
    <w:p>
      <w:pPr>
        <w:ind w:left="40" w:right="59"/>
        <w:spacing w:after="0" w:line="281" w:lineRule="auto"/>
        <w:rPr>
          <w:sz w:val="20"/>
          <w:szCs w:val="20"/>
          <w:color w:val="auto"/>
        </w:rPr>
      </w:pPr>
      <w:r>
        <w:rPr>
          <w:rFonts w:ascii="Arial" w:cs="Arial" w:eastAsia="Arial" w:hAnsi="Arial"/>
          <w:sz w:val="16"/>
          <w:szCs w:val="16"/>
          <w:color w:val="auto"/>
        </w:rPr>
        <w:t>As of December 31, 2025, our total debt, finance lease and other obligations (including current portion) outstanding, was $1.536 billion. Our debt levels could have significant consequences, including, but not limited to:</w:t>
      </w:r>
    </w:p>
    <w:p>
      <w:pPr>
        <w:spacing w:after="0" w:line="133" w:lineRule="exact"/>
        <w:rPr>
          <w:sz w:val="20"/>
          <w:szCs w:val="20"/>
          <w:color w:val="auto"/>
        </w:rPr>
      </w:pPr>
    </w:p>
    <w:p>
      <w:pPr>
        <w:ind w:left="660" w:hanging="287"/>
        <w:spacing w:after="0"/>
        <w:tabs>
          <w:tab w:leader="none" w:pos="6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making it more difficult to satisfy our obligations;</w:t>
      </w:r>
    </w:p>
    <w:p>
      <w:pPr>
        <w:spacing w:after="0" w:line="27" w:lineRule="exact"/>
        <w:rPr>
          <w:rFonts w:ascii="Times New Roman" w:cs="Times New Roman" w:eastAsia="Times New Roman" w:hAnsi="Times New Roman"/>
          <w:sz w:val="16"/>
          <w:szCs w:val="16"/>
          <w:color w:val="auto"/>
        </w:rPr>
      </w:pPr>
    </w:p>
    <w:p>
      <w:pPr>
        <w:ind w:left="660" w:hanging="287"/>
        <w:spacing w:after="0"/>
        <w:tabs>
          <w:tab w:leader="none" w:pos="6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 dilutive effect on our future earnings;</w:t>
      </w:r>
    </w:p>
    <w:p>
      <w:pPr>
        <w:spacing w:after="0" w:line="11" w:lineRule="exact"/>
        <w:rPr>
          <w:rFonts w:ascii="Times New Roman" w:cs="Times New Roman" w:eastAsia="Times New Roman" w:hAnsi="Times New Roman"/>
          <w:sz w:val="16"/>
          <w:szCs w:val="16"/>
          <w:color w:val="auto"/>
        </w:rPr>
      </w:pPr>
    </w:p>
    <w:p>
      <w:pPr>
        <w:ind w:left="660" w:right="59" w:hanging="287"/>
        <w:spacing w:after="0" w:line="239" w:lineRule="auto"/>
        <w:tabs>
          <w:tab w:leader="none" w:pos="6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increasing our vulnerability to general adverse economic conditions, including, but not limited to, changes in interest rates;</w:t>
      </w:r>
    </w:p>
    <w:p>
      <w:pPr>
        <w:jc w:val="both"/>
        <w:ind w:left="660" w:right="59" w:hanging="287"/>
        <w:spacing w:after="0" w:line="239" w:lineRule="auto"/>
        <w:tabs>
          <w:tab w:leader="none" w:pos="6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requiring us to devote a substantial portion of our cash to make interest and principal payments on our debt, thereby reducing the amount of cash available for other purposes. As a result, we would have limited financial and operating flexibility to changing economic and competitive conditions;</w:t>
      </w:r>
    </w:p>
    <w:p>
      <w:pPr>
        <w:spacing w:after="0" w:line="1" w:lineRule="exact"/>
        <w:rPr>
          <w:rFonts w:ascii="Times New Roman" w:cs="Times New Roman" w:eastAsia="Times New Roman" w:hAnsi="Times New Roman"/>
          <w:sz w:val="16"/>
          <w:szCs w:val="16"/>
          <w:color w:val="auto"/>
        </w:rPr>
      </w:pPr>
    </w:p>
    <w:p>
      <w:pPr>
        <w:ind w:left="660" w:right="59" w:hanging="287"/>
        <w:spacing w:after="0" w:line="239" w:lineRule="auto"/>
        <w:tabs>
          <w:tab w:leader="none" w:pos="6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limiting our ability to raise additional debt because it may be more difficult for us to obtain debt financing on attractive terms or at all; and</w:t>
      </w:r>
    </w:p>
    <w:p>
      <w:pPr>
        <w:ind w:left="660" w:right="59" w:hanging="287"/>
        <w:spacing w:after="0" w:line="259" w:lineRule="auto"/>
        <w:tabs>
          <w:tab w:leader="none" w:pos="6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placing us at a disadvantage compared to our competitors that are less leveraged or can borrow funds at a lower interest rate.</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In addition, we may incur additional debt in the future. The terms of the indentures relating to our senior notes and senior secured notes permit us to incur additional debt. If new debt is added to our current debt levels, the risks we now face could intensify.</w:t>
      </w:r>
    </w:p>
    <w:p>
      <w:pPr>
        <w:spacing w:after="0" w:line="152" w:lineRule="exact"/>
        <w:rPr>
          <w:sz w:val="20"/>
          <w:szCs w:val="20"/>
          <w:color w:val="auto"/>
        </w:rPr>
      </w:pPr>
    </w:p>
    <w:p>
      <w:pPr>
        <w:jc w:val="both"/>
        <w:ind w:left="40" w:right="179"/>
        <w:spacing w:after="0" w:line="264" w:lineRule="auto"/>
        <w:rPr>
          <w:sz w:val="20"/>
          <w:szCs w:val="20"/>
          <w:color w:val="auto"/>
        </w:rPr>
      </w:pPr>
      <w:r>
        <w:rPr>
          <w:rFonts w:ascii="Arial" w:cs="Arial" w:eastAsia="Arial" w:hAnsi="Arial"/>
          <w:sz w:val="16"/>
          <w:szCs w:val="16"/>
          <w:b w:val="1"/>
          <w:bCs w:val="1"/>
          <w:i w:val="1"/>
          <w:iCs w:val="1"/>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39"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Our future success may depend on opportunities to buy or otherwise invest in other businesses or technologies that could complement, enhance or expand our current business or products or that might otherwise offer us growth opportunities. To pursue this strategy successfully, we must identify attractive acquisition or investment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4" w:name="page25"/>
    <w:bookmarkEnd w:id="2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w:t>
      </w:r>
    </w:p>
    <w:p>
      <w:pPr>
        <w:spacing w:after="0" w:line="156" w:lineRule="exact"/>
        <w:rPr>
          <w:sz w:val="20"/>
          <w:szCs w:val="20"/>
          <w:color w:val="auto"/>
        </w:rPr>
      </w:pPr>
    </w:p>
    <w:p>
      <w:pPr>
        <w:ind w:left="40" w:right="79"/>
        <w:spacing w:after="0" w:line="248" w:lineRule="auto"/>
        <w:rPr>
          <w:sz w:val="20"/>
          <w:szCs w:val="20"/>
          <w:color w:val="auto"/>
        </w:rPr>
      </w:pPr>
      <w:r>
        <w:rPr>
          <w:rFonts w:ascii="Arial" w:cs="Arial" w:eastAsia="Arial" w:hAnsi="Arial"/>
          <w:sz w:val="16"/>
          <w:szCs w:val="16"/>
          <w:color w:val="auto"/>
        </w:rPr>
        <w:t>We may be unable to obtain in the anticipated time frame, or at all, any regulatory approvals required to complete proposed acquisitions and other strategic transactions. Furthermore, the conditions imposed for obtaining any necessary approvals could delay the completion of such transactions for a significant period of time or prevent them from occurring at all. We may not be able to complete such transactions, and such transactions, if executed, may pose significant risks and could have a negative effect on our operations. Any transactions that we are able to identify and complete may involve a number of risks, including, but not limited to:</w:t>
      </w:r>
    </w:p>
    <w:p>
      <w:pPr>
        <w:spacing w:after="0" w:line="159" w:lineRule="exact"/>
        <w:rPr>
          <w:sz w:val="20"/>
          <w:szCs w:val="20"/>
          <w:color w:val="auto"/>
        </w:rPr>
      </w:pPr>
    </w:p>
    <w:p>
      <w:pPr>
        <w:ind w:left="660" w:hanging="299"/>
        <w:spacing w:after="0"/>
        <w:tabs>
          <w:tab w:leader="none" w:pos="6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risks associated with developing and constructing new satellites;</w:t>
      </w:r>
    </w:p>
    <w:p>
      <w:pPr>
        <w:spacing w:after="0" w:line="27"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diversion of management’s attention from our existing business onto a strategic initiative;</w:t>
      </w:r>
    </w:p>
    <w:p>
      <w:pPr>
        <w:spacing w:after="0" w:line="11" w:lineRule="exact"/>
        <w:rPr>
          <w:rFonts w:ascii="Times New Roman" w:cs="Times New Roman" w:eastAsia="Times New Roman" w:hAnsi="Times New Roman"/>
          <w:sz w:val="16"/>
          <w:szCs w:val="16"/>
          <w:color w:val="auto"/>
        </w:rPr>
      </w:pPr>
    </w:p>
    <w:p>
      <w:pPr>
        <w:ind w:left="660" w:right="139" w:hanging="299"/>
        <w:spacing w:after="0" w:line="239" w:lineRule="auto"/>
        <w:tabs>
          <w:tab w:leader="none" w:pos="6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possible adverse effects on our and our targets’ and partners’ business, financial condition or operating results during the integration process;</w:t>
      </w:r>
    </w:p>
    <w:p>
      <w:pPr>
        <w:ind w:left="660" w:right="79" w:hanging="299"/>
        <w:spacing w:after="0" w:line="239" w:lineRule="auto"/>
        <w:tabs>
          <w:tab w:leader="none" w:pos="6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high degree of risk inherent in these transactions, which could become substantial over time, and higher exposure to significant financial losses if the underlying ventures are not successful on an acceptable timeline or at all;</w:t>
      </w:r>
    </w:p>
    <w:p>
      <w:pPr>
        <w:spacing w:after="0" w:line="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possible inability to achieve the intended objectives of the transaction;</w:t>
      </w:r>
    </w:p>
    <w:p>
      <w:pPr>
        <w:spacing w:after="0" w:line="11" w:lineRule="exact"/>
        <w:rPr>
          <w:rFonts w:ascii="Times New Roman" w:cs="Times New Roman" w:eastAsia="Times New Roman" w:hAnsi="Times New Roman"/>
          <w:sz w:val="16"/>
          <w:szCs w:val="16"/>
          <w:color w:val="auto"/>
        </w:rPr>
      </w:pPr>
    </w:p>
    <w:p>
      <w:pPr>
        <w:ind w:left="660" w:right="779" w:hanging="299"/>
        <w:spacing w:after="0" w:line="239" w:lineRule="auto"/>
        <w:tabs>
          <w:tab w:leader="none" w:pos="6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risks associated with complying with contractual provisions and regulations applicable to the acquired business, which may cause us to incur substantial expenses;</w:t>
      </w:r>
    </w:p>
    <w:p>
      <w:pPr>
        <w:ind w:left="660" w:hanging="299"/>
        <w:spacing w:after="0"/>
        <w:tabs>
          <w:tab w:leader="none" w:pos="6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disruption of relationships with employees, vendors or customers; and</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risks associated with foreign and international operations and/or investments or dispositions.</w:t>
      </w:r>
    </w:p>
    <w:p>
      <w:pPr>
        <w:spacing w:after="0" w:line="192"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In addition, we may not be able to successfully or profitably integrate, operate, maintain and manage our newly acquired operations or employees on an acceptable timeline or at all. We may not be able to maintain uniform standards, controls, procedures and policies, and this may lead to, among other things, operational inefficiencies. In addition, the integration process may strain our financial and managerial controls and reporting systems and procedures.</w:t>
      </w:r>
    </w:p>
    <w:p>
      <w:pPr>
        <w:spacing w:after="0" w:line="15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New acquisitions, joint ventures and other transactions may require the commitment of significant capital that would otherwise be directed to investments in our existing business. To pursue acquisitions and other strategic transactions, we may need to raise additional capital in the future, which may not be available on favorable terms or at all.</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In addition to committing capital to complete the acquisitions, substantial capital may be required to operate the acquired businesses following their acquisition. These acquisitions may result in significant financial losses if the intended objectives of the transactions are not achieved. We may acquire similar businesses in the future.</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There is no assurance that we will be able to successfully address the challenges and risks encountered by these businesses following their acquisition. If we are unable to successfully address these challenges and risks, our business, financial condition and/or results of operations may suffer.</w:t>
      </w:r>
    </w:p>
    <w:p>
      <w:pPr>
        <w:spacing w:after="0" w:line="152"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b w:val="1"/>
          <w:bCs w:val="1"/>
          <w:i w:val="1"/>
          <w:iCs w:val="1"/>
          <w:color w:val="auto"/>
        </w:rPr>
        <w:t>We will need additional capital, which may not be available on favorable terms or at all, to fund current obligations, continue investing in our business and to finance acquisitions and other strategic transactions.</w:t>
      </w:r>
    </w:p>
    <w:p>
      <w:pPr>
        <w:spacing w:after="0" w:line="119"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Adverse changes in the credit markets including, but not limited to, rising interest rates and macro-economic conditions, could increase our borrowing costs and/or make it more difficult for us to obtain financing for our operations or for us to refinance existing indebtedness on favorable terms.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5" w:name="page26"/>
    <w:bookmarkEnd w:id="2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Continued or prolonged higher interest rates could increase our cost of capital and require us to devote a higher percentage of our cash flow to interest payments, which could have a material adverse effect on our financial results.</w:t>
      </w:r>
    </w:p>
    <w:p>
      <w:pPr>
        <w:spacing w:after="0" w:line="133"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In addition, economic weakness, weak results of operations or other factors may limit our ability to, among other things, generate sufficient internal cash to fund investments, capital expenditures, acquisitions and other strategic transactions, as well as to fund ongoing operations and service our debt. We may be unable to generate cash flows from operating activities sufficient to pay the principal, premium, if any, and interest on our debt and other obligations. If we are unable to service our debt and other obligations from cash flows from operating activities, we will need to refinance or restructure all or a portion of such obligations prior to maturity.</w:t>
      </w:r>
    </w:p>
    <w:p>
      <w:pPr>
        <w:spacing w:after="0" w:line="15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Any refinancing or restructuring could have a material adverse effect on our business, results of operations and/or financial condition. In addition, we cannot guarantee that any refinancing or restructuring would sufficiently meet any debt or other obligations then due. If we do not pay interest or otherwise fulfill our debt obligations when due, our business, cash flows, results of operations and financial condition would be materially adversely impacted.</w:t>
      </w:r>
    </w:p>
    <w:p>
      <w:pPr>
        <w:spacing w:after="0" w:line="15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Furthermore, our borrowing costs can be affected by short and long-term debt ratings assigned by independent rating agencies, which are based, in significant part, on, among other factors, our performance as measured by their credit metrics. A decrease in these ratings would likely increase our cost of borrowing and/or make it more difficult for us to obtain financing.</w:t>
      </w:r>
    </w:p>
    <w:p>
      <w:pPr>
        <w:spacing w:after="0" w:line="345"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A severe disruption in the global financial markets could impact some of the financial institutions with which we do business, and such instability could also affect our access to financing. As a result, these conditions could make it difficult for us to accurately forecast and plan future business activities because we may not have access to funding sources necessary for us to pursue organic and strategic business development opportunities.</w:t>
      </w:r>
    </w:p>
    <w:p>
      <w:pPr>
        <w:spacing w:after="0" w:line="158"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b w:val="1"/>
          <w:bCs w:val="1"/>
          <w:i w:val="1"/>
          <w:iCs w:val="1"/>
          <w:color w:val="auto"/>
        </w:rPr>
        <w:t>From time to time a portion of our investment portfolio may be invested in securities that have limited liquidity and may not be immediately accessible to support our financing needs.</w:t>
      </w:r>
    </w:p>
    <w:p>
      <w:pPr>
        <w:spacing w:after="0" w:line="11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From time to time a portion of our investment portfolio may be invested in strategic investments, and as a result, a portion of our portfolio may have restricted liquidity. If the credit ratings of these securities deteriorate or there is a lack of liquidity in the marketplace, we may be required to record impairment charges. Moreover, the uncertainty of domestic and global financial markets can greatly affect the volatility and value of our marketable investment securities. In addition, a portion of our investment portfolio may include strategic and financial investments in debt and equity securities of public companies that are highly speculative and that may experience volatility. Typically, these investments are concentrated in a small number of companies.</w:t>
      </w:r>
    </w:p>
    <w:p>
      <w:pPr>
        <w:spacing w:after="0" w:line="163"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The concentration of these investments as a percentage of our overall investment portfolio fluctuates from time to time based on, among other things, the size of our investment portfolio and our ability to liquidate these investments.</w:t>
      </w:r>
    </w:p>
    <w:p>
      <w:pPr>
        <w:spacing w:after="0" w:line="159"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In addition, because our portfolio may be concentrated in a limited number of companies, we may experience a significant loss if any of these companies, among other things, defaults on its obligations, performs poorly, does not generate adequate cash flow to fund its operations, is unable to obtain necessary financing on acceptable terms, or at all, or files for bankruptcy, or if the sectors in which these companies operate experience a market downturn. To the extent we require access to funds, we may need to sell these securities under unfavorable market conditions, record impairment charges and fall short of our financing needs.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6" w:name="page27"/>
    <w:bookmarkEnd w:id="2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will not be able to generate cash to meet our debt service needs or fund our operations.</w:t>
      </w:r>
    </w:p>
    <w:p>
      <w:pPr>
        <w:spacing w:after="0" w:line="231"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As of December 31, 2025, our total indebtedness was $1.536 billion. Our ability to make payments on or to refinance our indebtedness and to fund our operations will depend on our ability to generate cash in the future. If we are unable to generate sufficient cash, we may be forced to take actions such as revising or delaying our strategic plans, reducing or delaying capital expenditures and/or the development, design, acquisition and construction of new satellites, selling assets, and restructuring or refinancing our debt. We may not be able to implement any of these actions on satisfactory terms, or at all.</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Covenants in our indentures restrict our business in many ways.</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The indentures governing our 5.250% Senior Secured Notes due August 1, 2026 and 6.625% Senior Unsecured Notes due August 1, 2026 contain various covenants, subject to certain exceptions, that limit our ability and/or certain of our subsidiaries’ ability to, among other things:</w:t>
      </w:r>
    </w:p>
    <w:p>
      <w:pPr>
        <w:spacing w:after="0" w:line="150" w:lineRule="exact"/>
        <w:rPr>
          <w:sz w:val="20"/>
          <w:szCs w:val="20"/>
          <w:color w:val="auto"/>
        </w:rPr>
      </w:pPr>
    </w:p>
    <w:p>
      <w:pPr>
        <w:ind w:left="660" w:hanging="299"/>
        <w:spacing w:after="0"/>
        <w:tabs>
          <w:tab w:leader="none" w:pos="66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incur additional debt;</w:t>
      </w:r>
    </w:p>
    <w:p>
      <w:pPr>
        <w:spacing w:after="0" w:line="27"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pay dividends or make distributions on our capital stock or repurchase our capital stock;</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make certain investments;</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create liens or enter into sale and leaseback transactions;</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enter into transactions with affiliates;</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merge or consolidate with another company;</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transfer and sell assets; and</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restrict our subsidiaries’ ability to pay dividends, make distributions, make other payments, or transfer assets.</w:t>
      </w:r>
    </w:p>
    <w:p>
      <w:pPr>
        <w:spacing w:after="0" w:line="192"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Failure to comply with these and certain other financial covenants, if not cured or waived, may result in an event of default under the indentures, which could have a material adverse effect on our business, financial condition, results of operations or prospects. If certain events of default occur and are continuing under the respective indenture, the trustee under that indenture or the requisite holders of the notes under that indenture may declare all such notes to be immediately due and payable and, in the case of the indenture governing our secured notes, could proceed against the collateral that secures the secured notes. If certain other events of default occur, the indentures will become immediately due and payable. We and certain of our subsidiaries have pledged a significant portion of our assets as collateral to secure the 5.250% Senior Secured Notes due August 1, 2026.</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Risks Related to the Regulation of Our Business</w:t>
      </w:r>
    </w:p>
    <w:p>
      <w:pPr>
        <w:spacing w:after="0" w:line="196" w:lineRule="exact"/>
        <w:rPr>
          <w:sz w:val="20"/>
          <w:szCs w:val="20"/>
          <w:color w:val="auto"/>
        </w:rPr>
      </w:pPr>
    </w:p>
    <w:p>
      <w:pPr>
        <w:ind w:left="40" w:right="219"/>
        <w:spacing w:after="0" w:line="289" w:lineRule="auto"/>
        <w:rPr>
          <w:sz w:val="20"/>
          <w:szCs w:val="20"/>
          <w:color w:val="auto"/>
        </w:rPr>
      </w:pPr>
      <w:r>
        <w:rPr>
          <w:rFonts w:ascii="Arial" w:cs="Arial" w:eastAsia="Arial" w:hAnsi="Arial"/>
          <w:sz w:val="16"/>
          <w:szCs w:val="16"/>
          <w:b w:val="1"/>
          <w:bCs w:val="1"/>
          <w:i w:val="1"/>
          <w:iCs w:val="1"/>
          <w:color w:val="auto"/>
        </w:rPr>
        <w:t>Our services depend on regulatory authorizations issued by the FCC and state and foreign regulators that can expire or be revoked or modified, and applications for licenses and other authorizations that may not be granted.</w:t>
      </w:r>
    </w:p>
    <w:p>
      <w:pPr>
        <w:spacing w:after="0" w:line="119"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If the FCC were to cancel, revoke, suspend, restrict, significantly condition or fail to renew any of our licenses or authorizations, or fail to grant our applications for FCC licenses that we may file from time to time, it could have a material adverse effect on our business, financial condition and results of operations. As an example, a loss of a frequency authorization would reduce the amount of spectrum available to us, potentially reducing the amount of offerings available to our subscribers. The materiality of such a loss of authorizations would vary based upon, among other things, the location of the frequency used, or the availability of replacement spectrum. In addition, Congress and other administrative and regulatory agencies often consider and enact legislation that affects us and FCC proceedings to implement the Communications Act and enforce its regulations are ongoing. We cannot predict the outcomes of these legislative or regulatory proceedings or their effect on our business.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7" w:name="page28"/>
    <w:bookmarkEnd w:id="2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Generally, all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w:t>
      </w:r>
    </w:p>
    <w:p>
      <w:pPr>
        <w:spacing w:after="0" w:line="159" w:lineRule="exact"/>
        <w:rPr>
          <w:sz w:val="20"/>
          <w:szCs w:val="20"/>
          <w:color w:val="auto"/>
        </w:rPr>
      </w:pPr>
    </w:p>
    <w:p>
      <w:pPr>
        <w:jc w:val="both"/>
        <w:ind w:left="40" w:right="79"/>
        <w:spacing w:after="0" w:line="289" w:lineRule="auto"/>
        <w:rPr>
          <w:sz w:val="20"/>
          <w:szCs w:val="20"/>
          <w:color w:val="auto"/>
        </w:rPr>
      </w:pPr>
      <w:r>
        <w:rPr>
          <w:rFonts w:ascii="Arial" w:cs="Arial" w:eastAsia="Arial" w:hAnsi="Arial"/>
          <w:sz w:val="16"/>
          <w:szCs w:val="16"/>
          <w:b w:val="1"/>
          <w:bCs w:val="1"/>
          <w:i w:val="1"/>
          <w:iCs w:val="1"/>
          <w:color w:val="auto"/>
        </w:rPr>
        <w:t>The risk of non-compliance with laws and regulations, including, but not limited to, the risk of changes to laws and regulations, could adversely affect our business.</w:t>
      </w:r>
    </w:p>
    <w:p>
      <w:pPr>
        <w:spacing w:after="0" w:line="119"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Our business is regulated by numerous governmental agencies and other regulatory bodies, both domestically and internationally. Also, our international operations are subject to the laws and regulations of many different jurisdictions that may differ significantly from U.S. laws and regulations.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spacing w:after="0" w:line="15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These laws and regulations are subject to the administrative and political process and do change from time to time. We may be affected by changes to government leadership and policy changes resulting from new leaders. We have been subject to such changes in the past and may be subject to such changes in the future and those changes may negatively impact us, including but not limited to, the addition of new regulations, the modification or rescission of past regulations which may be favorable and the increase or decrease of government programs which us or our subscribers may be recipients. Our business could suffer a material adverse impact if laws and regulations change and we are not able to adapt to these changes efficiently.</w:t>
      </w:r>
    </w:p>
    <w:p>
      <w:pPr>
        <w:spacing w:after="0" w:line="163"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Additionally, we are subject to emerging and evolving regulatory requirements and frameworks regarding environmental, social and governance matters, including, but not limited to, potential new or revised disclosure rules proposed by the SEC and recently enacted or proposed legislation in jurisdictions such as California. The ultimate scope of these regulations may change as they are finalized, and they may not be uniform across jurisdictions. Meeting these obligations may require significant investments of time, capital and personnel.</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Risks Related to Ownership of our Common Stock</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parent, EchoStar, is controlled by one principal stockholder who is our Chairman.</w:t>
      </w:r>
    </w:p>
    <w:p>
      <w:pPr>
        <w:spacing w:after="0" w:line="194" w:lineRule="exact"/>
        <w:rPr>
          <w:sz w:val="20"/>
          <w:szCs w:val="20"/>
          <w:color w:val="auto"/>
        </w:rPr>
      </w:pPr>
    </w:p>
    <w:p>
      <w:pPr>
        <w:jc w:val="both"/>
        <w:ind w:left="40" w:right="59"/>
        <w:spacing w:after="0" w:line="242" w:lineRule="auto"/>
        <w:rPr>
          <w:sz w:val="20"/>
          <w:szCs w:val="20"/>
          <w:color w:val="auto"/>
        </w:rPr>
      </w:pPr>
      <w:r>
        <w:rPr>
          <w:rFonts w:ascii="Arial" w:cs="Arial" w:eastAsia="Arial" w:hAnsi="Arial"/>
          <w:sz w:val="16"/>
          <w:szCs w:val="16"/>
          <w:color w:val="auto"/>
        </w:rPr>
        <w:t>Charles W. Ergen, our Chairman, beneficially owns approximately 51.3% of our parent, EchoStar’s total equity securities (assuming conversion of the EchoStar Class B common stock beneficially owned by Mr. Ergen into EchoStar Class A common stock and giving effect to the exercise of options held by Mr. Ergen that are either currently exercisable as of, or may become exercisable within 60 days) and beneficially owns approximately 90.4% of the total voting power of all classes of shares of EchoStar (assuming no conversion of any EchoStar Class B common stock and giving effect to the exercise of options held by Mr. Ergen that are either currently exercisable as of, or may become exercisable within 60 days). Through his beneficial ownership of EchoStar’s equity securities, Mr. Ergen has the ability to elect a majority of EchoStar’s directors and to control all other matters requiring the approval of EchoStar’s stockholders. As a result of Mr. Ergen’s voting power, EchoStar is a “controlled company” as defined in the NASDAQ listing rules and, therefore, are not subject to NASDAQ requirements that would otherwise require us to have (i) a majority of independent directors; (ii) a nominating committee composed solely of independent directors; (iii) compensation of our or EchoStar’s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the EchoStar Board of Directors selection, either by a majority of the independent directors or a nominating committee composed solely of independent directors.</w:t>
      </w:r>
    </w:p>
    <w:p>
      <w:pPr>
        <w:spacing w:after="0" w:line="355"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Pursuant to the Amended Support Agreement (which was signed as part of the completed acquisition on December 31, 2023 of DISH Network by EchoStar pursuant to the Amended and Restated Agreement and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8" w:name="page29"/>
    <w:bookmarkEnd w:id="2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Plan of Merger, (the “Merger”), Mr. Ergen and the other Ergen Stockholders have agreed not to vote, or cause or direct to be voted, the shares of EchoStar Class A Common Stock owned by them, other than with respect to any matter presented to the holders of EchoStar Class A Common Stock on which holders of EchoStar Class B Common Stock are not entitled to vote, for three years following the closing of the Merger. As a result, Mr. Ergen’s effective total voting power is approximately 89.5%.</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General Risks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Sociopolitical volatility and polarization may adversely affect our business operations and reputation.</w:t>
      </w:r>
    </w:p>
    <w:p>
      <w:pPr>
        <w:spacing w:after="0" w:line="194"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6"/>
          <w:szCs w:val="16"/>
          <w:color w:val="auto"/>
        </w:rPr>
        <w:t>The current sociopolitical environment is characterized by deep complexity, volatility and polarization on various social and political issues. The increasing intersection of technology and politics has led to rapid and unpredictable shifts in public sentiment. Social media and digital platforms have amplified the voices of various stakeholders, creating the potential for swift change in public opinion and stronger reactions to corporate actions. As a company that sells products and services across the nation to millions of customers, these dynamics increase the risk of negative government and customer reactions, including, but not limited to, potential reputational damage, boycotts and shifts in consumer behavior that could adversely affect our brand, sales and profitability. Our ability to respond effectively, sensitively and authentically to the expectations and concerns of our customers, employees and other stakeholders is key to mitigating these risks. If we are unable to manage these challenges effectively, there may be adverse impacts to our business, reputation, financial condition and operating results.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face other risks described from time to time in periodic and current reports we file with the SEC.</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29" w:name="page30"/>
    <w:bookmarkEnd w:id="2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1B.  UNRESOLVED STAFF COMMENTS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1C.  CYBERSECURITY</w:t>
      </w:r>
    </w:p>
    <w:p>
      <w:pPr>
        <w:spacing w:after="0" w:line="19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We recognize the importance of assessing, identifying, reviewing and managing material risks associated with cybersecurity threats, as such term is defined in Item 106(a) of Regulation S-K. These risks include, among other things: operational and legal risks including intellectual property theft or loss, fraud, extortion, harm to employees or customers and violation of data privacy or security regulation. Our framework is informed in part by the National Institute of Standards and Technology (NIST) Cybersecurity Framework, although this does not imply that we meet all requirements under NIST.</w:t>
      </w:r>
    </w:p>
    <w:p>
      <w:pPr>
        <w:spacing w:after="0" w:line="157"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We have a cybersecurity security program designed to identify, detect, and respond to threats and vulnerabilities, and protect the enterprise and respond and recover from cybersecurity events and incidents when they do occur. Our cybersecurity risk management program contributes significantly to the overall resilience and integrity of our business by, among other things, integrating the risk identification process in all major company initiatives and deployment processes, implementing a unified approach to managing both digital and traditional business risks, making continuous improvements and regularly reporting to management and the Board of Directors as a whole to ensure senior-level visibility.</w:t>
      </w:r>
    </w:p>
    <w:p>
      <w:pPr>
        <w:spacing w:after="0" w:line="15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We regularly assess risks from cybersecurity and technology threats and monitor our information systems for potential vulnerabilities. We and certain third parties conduct regular reviews and tests of our information security program and also leverage, among other things, audits, tabletop exercises, penetration and vulnerability testing, cybersecurity maturity assessments, simulations and other exercises to evaluate the effectiveness of our information security program and improve our security measures and planning. In addition, we evaluate third-party risks and perform third-party risk management to assess, identify and mitigate risks from third parties such as vendors, suppliers and other business partners.</w:t>
      </w:r>
    </w:p>
    <w:p>
      <w:pPr>
        <w:spacing w:after="0" w:line="352" w:lineRule="exact"/>
        <w:rPr>
          <w:sz w:val="20"/>
          <w:szCs w:val="20"/>
          <w:color w:val="auto"/>
        </w:rPr>
      </w:pPr>
    </w:p>
    <w:p>
      <w:pPr>
        <w:ind w:left="40" w:right="119"/>
        <w:spacing w:after="0" w:line="248" w:lineRule="auto"/>
        <w:rPr>
          <w:sz w:val="20"/>
          <w:szCs w:val="20"/>
          <w:color w:val="auto"/>
        </w:rPr>
      </w:pPr>
      <w:r>
        <w:rPr>
          <w:rFonts w:ascii="Arial" w:cs="Arial" w:eastAsia="Arial" w:hAnsi="Arial"/>
          <w:sz w:val="16"/>
          <w:szCs w:val="16"/>
          <w:color w:val="auto"/>
        </w:rPr>
        <w:t>We have not experienced cyber-attacks or other malicious activities that materially disrupted our business. Any future failure or disruption of our information technology infrastructure and communications systems or those of third parties that we use in our operations could harm our business. We describe whether and how risks from identified cybersecurity threats, including, but not limited to, as a result of any previous cybersecurity incidents, have materially affected or are reasonably likely to materially affect us, including our business strategy, results of operations or financial condition included as part of our risk factor disclosures at Item 1A of this Annual Report on Form 10-K.</w:t>
      </w:r>
    </w:p>
    <w:p>
      <w:pPr>
        <w:spacing w:after="0" w:line="159"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Our Senior Director of Cybersecurity Infrastructure and Threat Hunting, Corporate Cybersecurity leads our information security organization responsible for overseeing our information security program. This individual has over 20 years of experience in various roles involving information security, including risk management and security leadership. Team members who support our information security program have relevant education, professional certifications and industry experience, including but not limited to, holding similar positions at large enterprises. The Cybersecurity team provides regular briefings, no less frequently than monthly, to senior management and other relevant teams on preparation for and, where possible prevention of cybersecurity incidents. These briefings involve risk remediation measures that should be taken to decrease, among other things, the likelihood and severability of incidents and to mitigate and manage their effects. Senior management and other members of management receive detailed updates on cybersecurity risks on a regular basis, no less frequently than monthly, or when significant risks or incidents are identified. These briefings enable the management team to, among other things, stay informed of the latest threats, assess the effectiveness of current security measures and make timely decisions on strategic security initiatives. In addition, the Board of Directors is regularly briefed, no less frequently than quarterly, on cybersecurity risks as part of its oversight functions and to ensure that cybersecurity practices align with the company’s overall risk management framework and business objectives.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30" w:name="page31"/>
    <w:bookmarkEnd w:id="3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right="1260"/>
        <w:spacing w:after="0" w:line="281" w:lineRule="auto"/>
        <w:rPr>
          <w:sz w:val="20"/>
          <w:szCs w:val="20"/>
          <w:color w:val="auto"/>
        </w:rPr>
      </w:pPr>
      <w:r>
        <w:rPr>
          <w:rFonts w:ascii="Arial" w:cs="Arial" w:eastAsia="Arial" w:hAnsi="Arial"/>
          <w:sz w:val="16"/>
          <w:szCs w:val="16"/>
          <w:color w:val="auto"/>
        </w:rPr>
        <w:t>We anticipate that we will continue to evaluate and address as needed our cybersecurity risk management, policies, structure, strategies and governance in order to meet our needs as the cybersecurity threat landscape evolves.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PROPERTIES</w:t>
      </w:r>
    </w:p>
    <w:p>
      <w:pPr>
        <w:spacing w:after="0" w:line="196" w:lineRule="exact"/>
        <w:rPr>
          <w:sz w:val="20"/>
          <w:szCs w:val="20"/>
          <w:color w:val="auto"/>
        </w:rPr>
      </w:pPr>
    </w:p>
    <w:p>
      <w:pPr>
        <w:ind w:left="40" w:right="1480"/>
        <w:spacing w:after="0" w:line="260" w:lineRule="auto"/>
        <w:rPr>
          <w:sz w:val="20"/>
          <w:szCs w:val="20"/>
          <w:color w:val="auto"/>
        </w:rPr>
      </w:pPr>
      <w:r>
        <w:rPr>
          <w:rFonts w:ascii="Arial" w:cs="Arial" w:eastAsia="Arial" w:hAnsi="Arial"/>
          <w:sz w:val="16"/>
          <w:szCs w:val="16"/>
          <w:color w:val="auto"/>
        </w:rPr>
        <w:t>Our principal executive offices are located at 9601 South Meridian Boulevard, Englewood, Colorado 80112-5308 and our telephone number is (303) 723-1000. We operate various facilities in the United States and abroad. We believe that our facilities are well maintained and are sufficient to meet our current and projected needs.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480" w:type="dxa"/>
            <w:vAlign w:val="bottom"/>
            <w:gridSpan w:val="2"/>
          </w:tcPr>
          <w:p>
            <w:pPr>
              <w:spacing w:after="0"/>
              <w:rPr>
                <w:sz w:val="20"/>
                <w:szCs w:val="20"/>
                <w:color w:val="auto"/>
              </w:rPr>
            </w:pPr>
            <w:r>
              <w:rPr>
                <w:rFonts w:ascii="Arial" w:cs="Arial" w:eastAsia="Arial" w:hAnsi="Arial"/>
                <w:sz w:val="16"/>
                <w:szCs w:val="16"/>
                <w:b w:val="1"/>
                <w:bCs w:val="1"/>
                <w:color w:val="auto"/>
              </w:rPr>
              <w:t>Location</w:t>
            </w:r>
          </w:p>
        </w:tc>
        <w:tc>
          <w:tcPr>
            <w:tcW w:w="328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4420" w:type="dxa"/>
            <w:vAlign w:val="bottom"/>
          </w:tcPr>
          <w:p>
            <w:pPr>
              <w:ind w:left="380"/>
              <w:spacing w:after="0"/>
              <w:rPr>
                <w:sz w:val="20"/>
                <w:szCs w:val="20"/>
                <w:color w:val="auto"/>
              </w:rPr>
            </w:pPr>
            <w:r>
              <w:rPr>
                <w:rFonts w:ascii="Arial" w:cs="Arial" w:eastAsia="Arial" w:hAnsi="Arial"/>
                <w:sz w:val="16"/>
                <w:szCs w:val="16"/>
                <w:b w:val="1"/>
                <w:bCs w:val="1"/>
                <w:color w:val="auto"/>
              </w:rPr>
              <w:t>Function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Owned:</w:t>
            </w:r>
          </w:p>
        </w:tc>
        <w:tc>
          <w:tcPr>
            <w:tcW w:w="180" w:type="dxa"/>
            <w:vAlign w:val="bottom"/>
          </w:tcPr>
          <w:p>
            <w:pPr>
              <w:spacing w:after="0"/>
              <w:rPr>
                <w:sz w:val="15"/>
                <w:szCs w:val="15"/>
                <w:color w:val="auto"/>
              </w:rPr>
            </w:pPr>
          </w:p>
        </w:tc>
        <w:tc>
          <w:tcPr>
            <w:tcW w:w="3100" w:type="dxa"/>
            <w:vAlign w:val="bottom"/>
            <w:tcBorders>
              <w:top w:val="single" w:sz="8" w:color="auto"/>
            </w:tcBorders>
          </w:tcPr>
          <w:p>
            <w:pPr>
              <w:spacing w:after="0"/>
              <w:rPr>
                <w:sz w:val="15"/>
                <w:szCs w:val="15"/>
                <w:color w:val="auto"/>
              </w:rPr>
            </w:pPr>
          </w:p>
        </w:tc>
        <w:tc>
          <w:tcPr>
            <w:tcW w:w="4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Englewood, Colorado</w:t>
            </w:r>
          </w:p>
        </w:tc>
        <w:tc>
          <w:tcPr>
            <w:tcW w:w="3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Corporate headquarters</w:t>
            </w:r>
          </w:p>
        </w:tc>
        <w:tc>
          <w:tcPr>
            <w:tcW w:w="4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Germantown, Maryland</w:t>
            </w:r>
          </w:p>
        </w:tc>
        <w:tc>
          <w:tcPr>
            <w:tcW w:w="7700" w:type="dxa"/>
            <w:vAlign w:val="bottom"/>
            <w:gridSpan w:val="3"/>
          </w:tcPr>
          <w:p>
            <w:pPr>
              <w:ind w:left="180"/>
              <w:spacing w:after="0"/>
              <w:rPr>
                <w:sz w:val="20"/>
                <w:szCs w:val="20"/>
                <w:color w:val="auto"/>
              </w:rPr>
            </w:pPr>
            <w:r>
              <w:rPr>
                <w:rFonts w:ascii="Arial" w:cs="Arial" w:eastAsia="Arial" w:hAnsi="Arial"/>
                <w:sz w:val="16"/>
                <w:szCs w:val="16"/>
                <w:color w:val="auto"/>
              </w:rPr>
              <w:t>Hughes corporate headquarters, manufacturing, engineering offices, network operations and shared hub</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Griesheim, Germany</w:t>
            </w:r>
          </w:p>
        </w:tc>
        <w:tc>
          <w:tcPr>
            <w:tcW w:w="77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Shared hub, operations, administrative offices and warehouse</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Leased:</w:t>
            </w: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Gilbert, Arizona</w:t>
            </w:r>
          </w:p>
        </w:tc>
        <w:tc>
          <w:tcPr>
            <w:tcW w:w="3280" w:type="dxa"/>
            <w:vAlign w:val="bottom"/>
            <w:gridSpan w:val="2"/>
          </w:tcPr>
          <w:p>
            <w:pPr>
              <w:ind w:left="180"/>
              <w:spacing w:after="0"/>
              <w:rPr>
                <w:sz w:val="20"/>
                <w:szCs w:val="20"/>
                <w:color w:val="auto"/>
              </w:rPr>
            </w:pPr>
            <w:r>
              <w:rPr>
                <w:rFonts w:ascii="Arial" w:cs="Arial" w:eastAsia="Arial" w:hAnsi="Arial"/>
                <w:sz w:val="16"/>
                <w:szCs w:val="16"/>
                <w:color w:val="auto"/>
              </w:rPr>
              <w:t>Gateways</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San Diego, California</w:t>
            </w:r>
          </w:p>
        </w:tc>
        <w:tc>
          <w:tcPr>
            <w:tcW w:w="3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Engineering and sales offices</w:t>
            </w:r>
          </w:p>
        </w:tc>
        <w:tc>
          <w:tcPr>
            <w:tcW w:w="4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Englewood, Colorado</w:t>
            </w:r>
          </w:p>
        </w:tc>
        <w:tc>
          <w:tcPr>
            <w:tcW w:w="3280" w:type="dxa"/>
            <w:vAlign w:val="bottom"/>
            <w:gridSpan w:val="2"/>
          </w:tcPr>
          <w:p>
            <w:pPr>
              <w:ind w:left="180"/>
              <w:spacing w:after="0"/>
              <w:rPr>
                <w:sz w:val="20"/>
                <w:szCs w:val="20"/>
                <w:color w:val="auto"/>
              </w:rPr>
            </w:pPr>
            <w:r>
              <w:rPr>
                <w:rFonts w:ascii="Arial" w:cs="Arial" w:eastAsia="Arial" w:hAnsi="Arial"/>
                <w:sz w:val="16"/>
                <w:szCs w:val="16"/>
                <w:color w:val="auto"/>
              </w:rPr>
              <w:t>Gateways and equipment</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Germantown, Maryland</w:t>
            </w:r>
          </w:p>
        </w:tc>
        <w:tc>
          <w:tcPr>
            <w:tcW w:w="77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Manufacturing and testing facilities, logistics, and administrative offices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Southfield, Michigan</w:t>
            </w:r>
          </w:p>
        </w:tc>
        <w:tc>
          <w:tcPr>
            <w:tcW w:w="7700" w:type="dxa"/>
            <w:vAlign w:val="bottom"/>
            <w:gridSpan w:val="3"/>
          </w:tcPr>
          <w:p>
            <w:pPr>
              <w:ind w:left="180"/>
              <w:spacing w:after="0"/>
              <w:rPr>
                <w:sz w:val="20"/>
                <w:szCs w:val="20"/>
                <w:color w:val="auto"/>
              </w:rPr>
            </w:pPr>
            <w:r>
              <w:rPr>
                <w:rFonts w:ascii="Arial" w:cs="Arial" w:eastAsia="Arial" w:hAnsi="Arial"/>
                <w:sz w:val="16"/>
                <w:szCs w:val="16"/>
                <w:color w:val="auto"/>
              </w:rPr>
              <w:t>Shared hub and regional network management center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ind w:left="180"/>
              <w:spacing w:after="0" w:line="167" w:lineRule="exact"/>
              <w:rPr>
                <w:sz w:val="20"/>
                <w:szCs w:val="20"/>
                <w:color w:val="auto"/>
              </w:rPr>
            </w:pPr>
            <w:r>
              <w:rPr>
                <w:rFonts w:ascii="Arial" w:cs="Arial" w:eastAsia="Arial" w:hAnsi="Arial"/>
                <w:sz w:val="16"/>
                <w:szCs w:val="16"/>
                <w:color w:val="auto"/>
              </w:rPr>
              <w:t>Las Vegas, Nevada</w:t>
            </w:r>
          </w:p>
        </w:tc>
        <w:tc>
          <w:tcPr>
            <w:tcW w:w="7700" w:type="dxa"/>
            <w:vAlign w:val="bottom"/>
            <w:gridSpan w:val="3"/>
            <w:shd w:val="clear" w:color="auto" w:fill="CCEEFF"/>
          </w:tcPr>
          <w:p>
            <w:pPr>
              <w:ind w:left="180"/>
              <w:spacing w:after="0" w:line="167" w:lineRule="exact"/>
              <w:rPr>
                <w:sz w:val="20"/>
                <w:szCs w:val="20"/>
                <w:color w:val="auto"/>
              </w:rPr>
            </w:pPr>
            <w:r>
              <w:rPr>
                <w:rFonts w:ascii="Arial" w:cs="Arial" w:eastAsia="Arial" w:hAnsi="Arial"/>
                <w:sz w:val="16"/>
                <w:szCs w:val="16"/>
                <w:color w:val="auto"/>
              </w:rPr>
              <w:t>Shared hub, antennae yards, gateway, backup network operation and control center for Hughes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3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corporate headquarters</w:t>
            </w:r>
          </w:p>
        </w:tc>
        <w:tc>
          <w:tcPr>
            <w:tcW w:w="4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Cheyenne, Wyoming</w:t>
            </w:r>
          </w:p>
        </w:tc>
        <w:tc>
          <w:tcPr>
            <w:tcW w:w="3280" w:type="dxa"/>
            <w:vAlign w:val="bottom"/>
            <w:gridSpan w:val="2"/>
          </w:tcPr>
          <w:p>
            <w:pPr>
              <w:ind w:left="180"/>
              <w:spacing w:after="0"/>
              <w:rPr>
                <w:sz w:val="20"/>
                <w:szCs w:val="20"/>
                <w:color w:val="auto"/>
              </w:rPr>
            </w:pPr>
            <w:r>
              <w:rPr>
                <w:rFonts w:ascii="Arial" w:cs="Arial" w:eastAsia="Arial" w:hAnsi="Arial"/>
                <w:sz w:val="16"/>
                <w:szCs w:val="16"/>
                <w:color w:val="auto"/>
              </w:rPr>
              <w:t>Gateways and equipment</w:t>
            </w:r>
          </w:p>
        </w:tc>
        <w:tc>
          <w:tcPr>
            <w:tcW w:w="4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Barueri, Brazil</w:t>
            </w:r>
          </w:p>
        </w:tc>
        <w:tc>
          <w:tcPr>
            <w:tcW w:w="3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Shared hub</w:t>
            </w:r>
          </w:p>
        </w:tc>
        <w:tc>
          <w:tcPr>
            <w:tcW w:w="4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Sao Paulo, Brazil</w:t>
            </w:r>
          </w:p>
        </w:tc>
        <w:tc>
          <w:tcPr>
            <w:tcW w:w="7700" w:type="dxa"/>
            <w:vAlign w:val="bottom"/>
            <w:gridSpan w:val="3"/>
          </w:tcPr>
          <w:p>
            <w:pPr>
              <w:ind w:left="180"/>
              <w:spacing w:after="0"/>
              <w:rPr>
                <w:sz w:val="20"/>
                <w:szCs w:val="20"/>
                <w:color w:val="auto"/>
              </w:rPr>
            </w:pPr>
            <w:r>
              <w:rPr>
                <w:rFonts w:ascii="Arial" w:cs="Arial" w:eastAsia="Arial" w:hAnsi="Arial"/>
                <w:sz w:val="16"/>
                <w:szCs w:val="16"/>
                <w:color w:val="auto"/>
              </w:rPr>
              <w:t>Hughes Brazil corporate headquarters, sales offices and warehouse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Bangalore, India</w:t>
            </w:r>
          </w:p>
        </w:tc>
        <w:tc>
          <w:tcPr>
            <w:tcW w:w="3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Engineering office and office space</w:t>
            </w:r>
          </w:p>
        </w:tc>
        <w:tc>
          <w:tcPr>
            <w:tcW w:w="4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Gurgaon, India</w:t>
            </w:r>
          </w:p>
        </w:tc>
        <w:tc>
          <w:tcPr>
            <w:tcW w:w="7700" w:type="dxa"/>
            <w:vAlign w:val="bottom"/>
            <w:gridSpan w:val="3"/>
          </w:tcPr>
          <w:p>
            <w:pPr>
              <w:ind w:left="180"/>
              <w:spacing w:after="0"/>
              <w:rPr>
                <w:sz w:val="20"/>
                <w:szCs w:val="20"/>
                <w:color w:val="auto"/>
              </w:rPr>
            </w:pPr>
            <w:r>
              <w:rPr>
                <w:rFonts w:ascii="Arial" w:cs="Arial" w:eastAsia="Arial" w:hAnsi="Arial"/>
                <w:sz w:val="16"/>
                <w:szCs w:val="16"/>
                <w:color w:val="auto"/>
              </w:rPr>
              <w:t>Administrative offices, shared hub, operations, warehouse, and development center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New Delhi, India</w:t>
            </w:r>
          </w:p>
        </w:tc>
        <w:tc>
          <w:tcPr>
            <w:tcW w:w="3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Hughes India corporate headquarters</w:t>
            </w:r>
          </w:p>
        </w:tc>
        <w:tc>
          <w:tcPr>
            <w:tcW w:w="4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6"/>
                <w:szCs w:val="16"/>
                <w:color w:val="auto"/>
              </w:rPr>
              <w:t>Milton Keynes, United Kingdom</w:t>
            </w:r>
          </w:p>
        </w:tc>
        <w:tc>
          <w:tcPr>
            <w:tcW w:w="7700" w:type="dxa"/>
            <w:vAlign w:val="bottom"/>
            <w:gridSpan w:val="3"/>
          </w:tcPr>
          <w:p>
            <w:pPr>
              <w:ind w:left="180"/>
              <w:spacing w:after="0"/>
              <w:rPr>
                <w:sz w:val="20"/>
                <w:szCs w:val="20"/>
                <w:color w:val="auto"/>
              </w:rPr>
            </w:pPr>
            <w:r>
              <w:rPr>
                <w:rFonts w:ascii="Arial" w:cs="Arial" w:eastAsia="Arial" w:hAnsi="Arial"/>
                <w:sz w:val="16"/>
                <w:szCs w:val="16"/>
                <w:color w:val="auto"/>
              </w:rPr>
              <w:t>Hughes Europe corporate headquarters and operations</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3.  LEGAL PROCEEDINGS</w:t>
      </w:r>
    </w:p>
    <w:p>
      <w:pPr>
        <w:spacing w:after="0" w:line="196" w:lineRule="exact"/>
        <w:rPr>
          <w:sz w:val="20"/>
          <w:szCs w:val="20"/>
          <w:color w:val="auto"/>
        </w:rPr>
      </w:pPr>
    </w:p>
    <w:p>
      <w:pPr>
        <w:ind w:left="40" w:right="1260"/>
        <w:spacing w:after="0" w:line="281" w:lineRule="auto"/>
        <w:rPr>
          <w:sz w:val="20"/>
          <w:szCs w:val="20"/>
          <w:color w:val="auto"/>
        </w:rPr>
      </w:pPr>
      <w:r>
        <w:rPr>
          <w:rFonts w:ascii="Arial" w:cs="Arial" w:eastAsia="Arial" w:hAnsi="Arial"/>
          <w:sz w:val="16"/>
          <w:szCs w:val="16"/>
          <w:color w:val="auto"/>
        </w:rPr>
        <w:t>See Note 12 in the Notes to our Consolidated Financial Statements in this Annual Report on Form 10-K for information regarding certain legal proceedings in which we are involved.</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4.  MINE SAFETY DISCLOSURES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10220"/>
          </w:cols>
          <w:pgMar w:left="1440" w:top="478"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196" w:lineRule="exact"/>
        <w:rPr>
          <w:sz w:val="20"/>
          <w:szCs w:val="20"/>
          <w:color w:val="auto"/>
        </w:rPr>
      </w:pPr>
    </w:p>
    <w:p>
      <w:pPr>
        <w:ind w:left="40" w:right="499"/>
        <w:spacing w:after="0" w:line="291"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Market Information</w:t>
      </w:r>
    </w:p>
    <w:p>
      <w:pPr>
        <w:spacing w:after="0" w:line="194"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As of March 26, 2026, all 1,078 issued and outstanding shares of our common stock were held by our parent, EchoStar. There is currently no established trading market for our common stock. Our Articles of Incorporation authorize the issuance of 1,000,000 shares of preferred stock and as of March 26, 2026, no shares of our preferred stock were issued and outstanding.</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Dividends</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On February 15, 2024, our Board of Directors declared and approved payment of a cash dividend on our outstanding common stock to our shareholder and parent, EchoStar, in the amount of $529 million. Payment of the dividend was made in the first quarter of 2024.</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On March 12, 2024, our Board of Directors declared and approved payment of a cash dividend on our outstanding common stock to our shareholder and parent, EchoStar, in the amount of $500 million. Payment of the dividend was made in the first quarter of 2024.</w:t>
      </w:r>
    </w:p>
    <w:p>
      <w:pPr>
        <w:spacing w:after="0" w:line="150"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While we currently do not intend to declare additional dividends on our common stock, we may elect to do so from time to time. Payment of any future dividends will depend upon our earnings, capital requirements, contractual restrictions and other factors the Board of Directors considers appropriate. We currently intend to retain our earnings, if any, to support operations, debt services, future growth and expansion. Our ability to declare dividends is affected by the covenants in our indentures. See Note 9 in the Notes to our Consolidated Financial Statements in this Annual Report on Form 10-K for further information.</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6.  [RESERVED]</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32" w:name="page33"/>
    <w:bookmarkEnd w:id="3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7.  MANAGEMENT’S NARRATIVE ANALYSIS OF RESULTS OF OPERATIONS</w:t>
      </w:r>
    </w:p>
    <w:p>
      <w:pPr>
        <w:spacing w:after="0" w:line="196"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6"/>
          <w:szCs w:val="16"/>
          <w:color w:val="auto"/>
        </w:rPr>
        <w:t>You should read the following management’s narrative analysis of results of operations together with the audited consolidated financial statements and notes to our financial statements included elsewhere in this Annual Report on Form 10-K.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under the caption “Item 1A. Risk Factors” and elsewhere in this Annual Report on Form 10-K. Furthermore, such forward looking statements speak only as of the date of this Annual Report on Form 10-K and we expressly disclaim any obligation to update any forward-looking statements.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EXECUTIVE SUMMARY</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Developments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FCC Review</w:t>
      </w:r>
    </w:p>
    <w:p>
      <w:pPr>
        <w:spacing w:after="0" w:line="220" w:lineRule="exact"/>
        <w:rPr>
          <w:sz w:val="20"/>
          <w:szCs w:val="20"/>
          <w:color w:val="auto"/>
        </w:rPr>
      </w:pPr>
    </w:p>
    <w:p>
      <w:pPr>
        <w:jc w:val="both"/>
        <w:ind w:left="40" w:right="179"/>
        <w:spacing w:after="0" w:line="273" w:lineRule="auto"/>
        <w:rPr>
          <w:sz w:val="20"/>
          <w:szCs w:val="20"/>
          <w:color w:val="auto"/>
        </w:rPr>
      </w:pPr>
      <w:r>
        <w:rPr>
          <w:rFonts w:ascii="Arial" w:cs="Arial" w:eastAsia="Arial" w:hAnsi="Arial"/>
          <w:sz w:val="16"/>
          <w:szCs w:val="16"/>
          <w:color w:val="auto"/>
        </w:rPr>
        <w:t xml:space="preserve">In the third quarter of 2025, our parent, EchoStar resolved the review by the Federal Communications Commission (the “FCC”) into EchoStar’s compliance with its build-out milestones and other obligations regarding EchoStar’s federal spectrum licenses. EchoStar previously </w:t>
      </w:r>
      <w:r>
        <w:rPr>
          <w:rFonts w:ascii="Arial" w:cs="Arial" w:eastAsia="Arial" w:hAnsi="Arial"/>
          <w:sz w:val="16"/>
          <w:szCs w:val="16"/>
          <w:color w:val="222222"/>
        </w:rPr>
        <w:t>received a letter from the FCC on May 9, 2025, indicating that the FCC was</w:t>
      </w:r>
      <w:r>
        <w:rPr>
          <w:rFonts w:ascii="Arial" w:cs="Arial" w:eastAsia="Arial" w:hAnsi="Arial"/>
          <w:sz w:val="16"/>
          <w:szCs w:val="16"/>
          <w:color w:val="auto"/>
        </w:rPr>
        <w:t xml:space="preserve"> </w:t>
      </w:r>
      <w:r>
        <w:rPr>
          <w:rFonts w:ascii="Arial" w:cs="Arial" w:eastAsia="Arial" w:hAnsi="Arial"/>
          <w:sz w:val="16"/>
          <w:szCs w:val="16"/>
          <w:color w:val="222222"/>
        </w:rPr>
        <w:t>beginning a review of their compliance with certain obligations to provide 5G broadband service and raising certain questions regarding the September 2024 build-out extension granted by the FCC and mobile-satellite service (“MSS”) utilization in the 2 GHz band (the “May 9 Letter”). EchoStar responded to the FCC’s subsequent public notices with filings on May 27, 2025 and June 6, 2025</w:t>
      </w:r>
      <w:r>
        <w:rPr>
          <w:rFonts w:ascii="Arial" w:cs="Arial" w:eastAsia="Arial" w:hAnsi="Arial"/>
          <w:sz w:val="16"/>
          <w:szCs w:val="16"/>
          <w:color w:val="000000"/>
        </w:rPr>
        <w:t>.</w:t>
      </w:r>
    </w:p>
    <w:p>
      <w:pPr>
        <w:spacing w:after="0" w:line="165" w:lineRule="exact"/>
        <w:rPr>
          <w:sz w:val="20"/>
          <w:szCs w:val="20"/>
          <w:color w:val="auto"/>
        </w:rPr>
      </w:pPr>
    </w:p>
    <w:p>
      <w:pPr>
        <w:jc w:val="both"/>
        <w:ind w:left="40" w:right="159"/>
        <w:spacing w:after="0" w:line="273" w:lineRule="auto"/>
        <w:rPr>
          <w:sz w:val="20"/>
          <w:szCs w:val="20"/>
          <w:color w:val="auto"/>
        </w:rPr>
      </w:pPr>
      <w:r>
        <w:rPr>
          <w:rFonts w:ascii="Arial" w:cs="Arial" w:eastAsia="Arial" w:hAnsi="Arial"/>
          <w:sz w:val="16"/>
          <w:szCs w:val="16"/>
          <w:color w:val="auto"/>
        </w:rPr>
        <w:t>During the second quarter and the beginning of the third quarter of 2025, the potential ramifications of the FCC review to EchoStar’s business required them to, among other things, reevaluate the deployment of their resources and as a result, EchoStar elected not to make interest payments on a certain portion of their long-term senior notes on their respective scheduled due dates. EchoStar subsequently made such payments, including interest on the defaulted interest, within the applicable 30-day grace periods. See Note 10 in the Notes to EchoStar’s Consolidated Financial Statements in their Annual Report on Form 10-K for the year ended December 31, 2025 for further information.</w:t>
      </w:r>
    </w:p>
    <w:p>
      <w:pPr>
        <w:spacing w:after="0" w:line="166" w:lineRule="exact"/>
        <w:rPr>
          <w:sz w:val="20"/>
          <w:szCs w:val="20"/>
          <w:color w:val="auto"/>
        </w:rPr>
      </w:pPr>
    </w:p>
    <w:p>
      <w:pPr>
        <w:jc w:val="both"/>
        <w:ind w:left="40" w:right="159"/>
        <w:spacing w:after="0" w:line="269" w:lineRule="auto"/>
        <w:rPr>
          <w:sz w:val="20"/>
          <w:szCs w:val="20"/>
          <w:color w:val="auto"/>
        </w:rPr>
      </w:pPr>
      <w:r>
        <w:rPr>
          <w:rFonts w:ascii="Arial" w:cs="Arial" w:eastAsia="Arial" w:hAnsi="Arial"/>
          <w:sz w:val="16"/>
          <w:szCs w:val="16"/>
          <w:color w:val="auto"/>
        </w:rPr>
        <w:t>The FCC review introduced the possibility of reversing prior FCC grants of authority to EchoStar. The FCC made it clear that it viewed EchoStar’s spectrum as being underutilized and deemed their continued ownership of such spectrum licenses inconsistent with the public interest, and that they must sell a material amount of spectrum licenses or face a wide-ranging license revocation. Accordingly, as a result of these unforeseeable actions by the FCC that were outside of EchoStar’s control, they entered into the AT&amp;T Transactions, as defined in EchoStar’s Annual Report on Form 10-K for the year ended December 31, 2025 and the SpaceX Transactions, as defined below, whereby EchoStar agreed to sell a material amount of their spectrum licenses for cash and an Amended Equity Amount, as defined below. In August 2025, following these transactions, EchoStar began the abandonment and decommission process for certain portions of their 5G Network as defined in EchoStar’s Annual Report on Form 10-K for the year ended December 31, 2025 that will not be utilized in their Hybrid MNO business as defined in EchoStar’s Annual Report on Form 10-K for the year ended December 31, 2025. Furthermore, EchoStar believes the FCC’s actions and the resulting AT&amp;T Transactions and SpaceX Transactions constitute one or more force majeure events under certain of their 5G Network-related contracts.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33" w:name="page34"/>
    <w:bookmarkEnd w:id="3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159"/>
        <w:spacing w:after="0" w:line="276" w:lineRule="auto"/>
        <w:rPr>
          <w:sz w:val="20"/>
          <w:szCs w:val="20"/>
          <w:color w:val="auto"/>
        </w:rPr>
      </w:pPr>
      <w:r>
        <w:rPr>
          <w:rFonts w:ascii="Arial" w:cs="Arial" w:eastAsia="Arial" w:hAnsi="Arial"/>
          <w:sz w:val="16"/>
          <w:szCs w:val="16"/>
          <w:color w:val="auto"/>
        </w:rPr>
        <w:t>On September 8, 2025, EchoStar received a follow-up letter from the FCC (the “September 8 Letter”). The September 8 Letter states, among other things, that FCC Chairman Carr has “asked FCC staff to bring the agency’s investigation to conclusion” by directing FCC staff to: “(1) dismiss VTel Wireless’s petition for reconsideration; (2) 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SpaceX License Purchase Agreement</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On September 7, 2025, our parent, EchoStar, Space Exploration Technologies Corp., a Texas corporation (“SpaceX”), and Spectrum Business Trust 2025-1, a Nevada Business Trust (“Trust”), entered into a License Purchase Agreement (the “SpaceX License Purchase Agreement,” and the transactions contemplated thereby, the “Initial SpaceX Transactions”).</w:t>
      </w:r>
    </w:p>
    <w:p>
      <w:pPr>
        <w:spacing w:after="0" w:line="150"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Pursuant to the terms and subject to the conditions set forth in the SpaceX License Purchase Agreement, EchoStar agreed to sell to SpaceX their rights and licenses related to an aggregate of 50 MHz of spectrum in frequency ranges 2000–2020, 2180–2200, 1915–1920 and 1995–2000 (the “</w:t>
      </w:r>
      <w:r>
        <w:rPr>
          <w:rFonts w:ascii="Arial" w:cs="Arial" w:eastAsia="Arial" w:hAnsi="Arial"/>
          <w:sz w:val="16"/>
          <w:szCs w:val="16"/>
          <w:color w:val="222222"/>
        </w:rPr>
        <w:t>AWS-4 and H-Block</w:t>
      </w:r>
      <w:r>
        <w:rPr>
          <w:rFonts w:ascii="Arial" w:cs="Arial" w:eastAsia="Arial" w:hAnsi="Arial"/>
          <w:sz w:val="16"/>
          <w:szCs w:val="16"/>
          <w:color w:val="auto"/>
        </w:rPr>
        <w:t xml:space="preserve"> Licenses” and such spectrum, the “Spectrum”) granted by the FCC, together with certain international authorizations, filings, concessions, licenses, rights and priorities related to that spectrum and certain assets associated therewith (collectively, the “Foreign Assets”).</w:t>
      </w:r>
    </w:p>
    <w:p>
      <w:pPr>
        <w:spacing w:after="0" w:line="157"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 xml:space="preserve">The transfer of the </w:t>
      </w:r>
      <w:r>
        <w:rPr>
          <w:rFonts w:ascii="Arial" w:cs="Arial" w:eastAsia="Arial" w:hAnsi="Arial"/>
          <w:sz w:val="16"/>
          <w:szCs w:val="16"/>
          <w:color w:val="222222"/>
        </w:rPr>
        <w:t>AWS-4 and H-Block</w:t>
      </w:r>
      <w:r>
        <w:rPr>
          <w:rFonts w:ascii="Arial" w:cs="Arial" w:eastAsia="Arial" w:hAnsi="Arial"/>
          <w:sz w:val="16"/>
          <w:szCs w:val="16"/>
          <w:color w:val="auto"/>
        </w:rPr>
        <w:t xml:space="preserve"> Licenses will occur in two steps: first, the AWS-4 and H-Block Licenses will be transferred by EchoStar to the Trust (the “Spectrum Transfer Closing”), and second, the AWS-4 and H-Block Licenses will be transferred by the Trust to SpaceX (the “Spectrum Acquisition Closing”). The Foreign Assets will be transferred by EchoStar directly to SpaceX at the Spectrum Acquisition Closing, to the extent the required regulatory approvals have been obtained by such date; provided, however, that the failure to obtain such approvals will not delay or prevent the Spectrum Acquisition Closing.</w:t>
      </w:r>
    </w:p>
    <w:p>
      <w:pPr>
        <w:spacing w:after="0" w:line="159"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The consideration for the Initial SpaceX Transactions payable at the Spectrum Acquisition Closing is $17 billion (the “Total Consideration Amount”). A portion of the Total Consideration Amount (such amount, the “Total Payoff Consideration Amount”) will be used to: (i) fully pay off all outstanding amounts owed on EchoStar’s 10 3/4% Senior Secured Notes due 2029 (the “10 3/4% Secured Notes”) and EchoStar’s 6 3/4% Senior Secured due 2030 (the “6 3/4% Secured Notes”) and</w:t>
      </w:r>
    </w:p>
    <w:p>
      <w:pPr>
        <w:jc w:val="both"/>
        <w:ind w:left="40" w:right="59" w:firstLine="2"/>
        <w:spacing w:after="0" w:line="241" w:lineRule="auto"/>
        <w:tabs>
          <w:tab w:leader="none" w:pos="292"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settle the anticipated redemption and conversions of EchoStar’s 3 7/8% Convertible Secured Notes due 2030 (the “Convertible Notes due 2030” and, together with the 10 3/4% Secured Notes and the 6 3/4% Secured Notes, the “Seller Notes”). The remaining amount after paying off the Seller Notes (the “Purchase Price”) will be paid by SpaceX to EchoStar as follows: (i) up to $8.5 billion will be paid in SpaceX’s Class A Common Stock, valued at $212 per share (the “Equity Amount”); and (ii) any amount of the Purchase Price exceeding $8.5 billion will be paid in cash. If the Total Payoff Consideration Amount exceeds $8.5 billion, EchoStar may elect to pay the excess in cash, EchoStar’s Class A Common Stock (with respect to the Convertible Notes due 2030), or both, to maintain EchoStar’s receipt of the full Equity Amount. However, if EchoStar elects not to pay such excess amount, the Equity Amount will be reduced dollar-for-dollar to ensure that the combined Equity Amount and Total Payoff Consideration Amount do not exceed the Total Consideration Amount. As of December 31, 2025, the aggregate principal amount outstanding of the Seller Notes was $9.821 billion and is secured by the </w:t>
      </w:r>
      <w:r>
        <w:rPr>
          <w:rFonts w:ascii="Arial" w:cs="Arial" w:eastAsia="Arial" w:hAnsi="Arial"/>
          <w:sz w:val="16"/>
          <w:szCs w:val="16"/>
          <w:color w:val="222222"/>
        </w:rPr>
        <w:t>AWS-4 and AWS-3</w:t>
      </w:r>
      <w:r>
        <w:rPr>
          <w:rFonts w:ascii="Arial" w:cs="Arial" w:eastAsia="Arial" w:hAnsi="Arial"/>
          <w:sz w:val="16"/>
          <w:szCs w:val="16"/>
          <w:color w:val="auto"/>
        </w:rPr>
        <w:t xml:space="preserve"> Licenses.</w:t>
      </w:r>
    </w:p>
    <w:p>
      <w:pPr>
        <w:spacing w:after="0" w:line="170"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The Spectrum Transfer Closing is expected to occur in the first half of 2026. 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34" w:name="page35"/>
    <w:bookmarkEnd w:id="3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Additionally, in connection with the SpaceX License Purchase Agreement and the Initial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$2 billion and will be settled via a loan between EchoStar and SpaceX that automatically cancels upon the completion of the Spectrum Acquisition Closing. The Credit Agreement is generally on standard commercial terms and conditions and, as a beneficiary of the Credit Agreement, EchoStar has the ability to enforce the parties obligations under the Agreement. As of December 31, 2025, EchoStar has made approximately $414 million in cash interest payments on the Seller Notes, which is subject to reimbursement from SpaceX upon the Spectrum Transfer Closing.</w:t>
      </w:r>
    </w:p>
    <w:p>
      <w:pPr>
        <w:spacing w:after="0" w:line="16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The SpaceX License Purchase Agreement also provides for future long-term commercial agreements that will enable EchoStar to offer their Wireless subscribers access to SpaceX’s next-generation Starlink Direct to Cell text and voice and broadband services utilizing certain rights and licenses related to the Spectrum that are to be conveyed by EchoStar to SpaceX at the Spectrum Acquisition Closing. The commercial agreements will also provide for a fee-based referral program that lets us refer existing customers and new Starlink customers to SpaceX. As of December 31, 2025, EchoStar had begun to utilize certain of the rights conveyed under the SpaceX License Purchase Agreement. In addition, EchoStar also has begun performing installation and other services for new Starlink customers.</w:t>
      </w:r>
    </w:p>
    <w:p>
      <w:pPr>
        <w:spacing w:after="0" w:line="163" w:lineRule="exact"/>
        <w:rPr>
          <w:sz w:val="20"/>
          <w:szCs w:val="20"/>
          <w:color w:val="auto"/>
        </w:rPr>
      </w:pPr>
    </w:p>
    <w:p>
      <w:pPr>
        <w:ind w:left="40" w:right="59"/>
        <w:spacing w:after="0" w:line="260" w:lineRule="auto"/>
        <w:rPr>
          <w:sz w:val="20"/>
          <w:szCs w:val="20"/>
          <w:color w:val="auto"/>
        </w:rPr>
      </w:pPr>
      <w:r>
        <w:rPr>
          <w:rFonts w:ascii="Arial" w:cs="Arial" w:eastAsia="Arial" w:hAnsi="Arial"/>
          <w:sz w:val="16"/>
          <w:szCs w:val="16"/>
          <w:color w:val="auto"/>
        </w:rPr>
        <w:t>The description of the SpaceX License Purchase Agreement is not complete and is qualified in its entirety by reference to the License Purchase Agreement filed as an exhibit to EchoStar’s Quarterly Report on Form 10-Q for the quarter ended September 30, 2025.</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Amended and Restated License Purchase Agreement</w:t>
      </w:r>
    </w:p>
    <w:p>
      <w:pPr>
        <w:spacing w:after="0" w:line="19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On November 5, 2025, our parent, EchoStar, SpaceX and Trust, entered into an Amended and Restated License Purchase Agreement (the “Amended and Restated SpaceX License Purchase Agreement,” and the transactions contemplated thereby, the “Amended SpaceX Transactions”), and together with the Initial SpaceX Transactions, (the “SpaceX Transactions”). The Amended and Restated SpaceX License Purchase Agreement amends and restates in its entirety the SpaceX License Purchase Agreement, dated as of September 7, 2025, by and among EchoStar, SpaceX and Trust.</w:t>
      </w:r>
    </w:p>
    <w:p>
      <w:pPr>
        <w:spacing w:after="0" w:line="157"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Pursuant to the Amended and Restated SpaceX License Purchase Agreement, EchoStar and SpaceX have agreed to revise the terms of the previously announced transaction to include the transfer of up to an aggregate of 15MHz of AWS spectrum in the frequency range of 1695–1710 MHz for each relevant license area (the “AWS-3 Licenses”) from EchoStar to SpaceX in exchange for additional consideration of $2.6 billion, all of which will be paid in SpaceX’s Class A Common Stock, valued at $212 per share. As a result of this change, the total consideration for the SpaceX Transactions has increased from $17 billion to approximately $20 billion, with up to $11 billion to be paid in SpaceX’s Class A Common Stock, valued at $212 per share (the “Amended Equity Amount”).</w:t>
      </w:r>
    </w:p>
    <w:p>
      <w:pPr>
        <w:spacing w:after="0" w:line="163"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Except as set forth above, the material terms of the Amended and Restated SpaceX License Purchase Agreement are substantially the same as the terms of the SpaceX License Purchase Agreement.</w:t>
      </w:r>
    </w:p>
    <w:p>
      <w:pPr>
        <w:spacing w:after="0" w:line="133"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The SpaceX Transactions are subject to a number of terms and conditions set forth in the SpaceX License Purchase Agreement. The completion of the SpaceX Transactions are subject to the satisfaction or waiver of customary closing conditions, including, among others, receipt of certain consents and approvals from the FCC and the United States Department of Justice (the “DOJ”). The SpaceX License Purchase Agreement also provides for specified termination rights.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35" w:name="page36"/>
    <w:bookmarkEnd w:id="3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The foregoing description of the Amended and Restated SpaceX License Purchase Agreement does not purport to be complete and is qualified in its entirety by reference to the Amended and Restated SpaceX License Purchase Agreement, filed as an exhibit to EchoStar’s Annual Report on Form 10-K for the year ended December 31, 2025.</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Impairments and Other</w:t>
      </w:r>
    </w:p>
    <w:p>
      <w:pPr>
        <w:spacing w:after="0" w:line="220"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During the third quarter of 2025, SpaceX’s option to acquire certain satellite assets and regulatory authorizations was a triggering event that resulted in an impairment assessment of certain of our international licenses and related ground equipment. Because we and our parent, EchoStar are no longer pursuing a business plan to utilize these complementary assets, we recorded a non-cash impairment charge of $11 million in “Impairments and other” on our Consolidated Statements of Operations and Comprehensive Income (Loss) during the year ended December 31, 2025. See Note 1 in the Notes to our Consolidated Financial Statements for further information. During the fourth quarter of 2025, we performed our annual impairment assessment of our indefinite-lived regulatory authorizations. We combine all of our indefinite-lived regulatory authorizations that we currently utilize or plan to utilize in the future into one unit of accounting for impairment testing (the “Hughes Licenses”).</w:t>
      </w:r>
    </w:p>
    <w:p>
      <w:pPr>
        <w:spacing w:after="0" w:line="160"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Management performed a quantitative assessment to determine whether the fair value of the Hughes Licenses exceeded their aggregate carrying amount. The quantitative assessment consisted of an income approach, using a discounted cash flow model based upon several factors, including the discount rate, tax attributes and operating margins, which are all level 3 attributes within the fair value hierarchy. Through this assessment, we concluded that the fair value was less than the carrying amount. As a result, we fully impaired the Hughes Licenses, resulting in a non-cash impairment charge of $400 million during the year ended December 31, 2025 recorded in “Impairments and other” on our Consolidated Statements of Operations and Comprehensive Income (Loss).</w:t>
      </w:r>
    </w:p>
    <w:p>
      <w:pPr>
        <w:spacing w:after="0" w:line="163"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The Hughes Licenses, as defined above, are used in conjunction with an asset group comprised of the Hughes satellite fleet, ROU lease assets and certain other long-lived and finite-lived intangible assets, (the “Hughes Asset Group”). The Hughes Licenses impairment triggered an impairment review of the Hughes Asset Group. Based on undiscounted cash flows, we concluded the asset group was not recoverable and, using an income approach, determined fair value was below carrying value; accordingly, we recorded a $1.012 billion non-cash impairment charge in “Impairments and other” on our Consolidated Statements of Operations and Comprehensive Income (Loss) for the year ended December 31, 2025.</w:t>
      </w:r>
    </w:p>
    <w:p>
      <w:pPr>
        <w:spacing w:after="0" w:line="15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During the year ended December 31, 2025, we recorded a total charge of $1.423 billion, consisting of $11 million and $1.412 billion during the third and fourth quarters of 2025, respectively, for non-cash asset impairments and other expenses in “Impairments and other” on our Consolidated Statements of Operations and Comprehensive Income (Loss). See Note 1 in the Notes to our Consolidated Financial Statements in this Annual Report on Form 10-K for further information.</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Overview</w:t>
      </w:r>
    </w:p>
    <w:p>
      <w:pPr>
        <w:spacing w:after="0" w:line="196"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6"/>
          <w:szCs w:val="16"/>
          <w:color w:val="auto"/>
        </w:rPr>
        <w:t>Our industry continues to evolve with the increasing worldwide demand for broadband internet access for information, entertainment and commerce.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connectivity, networks and services. We expect demand for broadband internet access, connectivity, networking and related value-added services will continue to grow and hope to capture business opportunities across certain major end-user sectors – consumer, businesses, enterprises and government. We intend to use our expertise, technologies, capital, investments, global presence, relationships and other capabilities to continue to provide broadband internet systems, equipment, networks and managed services for information, the internet-of-things, entertainment, education, remote-connectivity and commerce across industries and communities globally for consumer and enterprise customers. We are closely tracking the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36" w:name="page37"/>
    <w:bookmarkEnd w:id="3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right="59"/>
        <w:spacing w:after="0" w:line="281" w:lineRule="auto"/>
        <w:rPr>
          <w:sz w:val="20"/>
          <w:szCs w:val="20"/>
          <w:color w:val="auto"/>
        </w:rPr>
      </w:pPr>
      <w:r>
        <w:rPr>
          <w:rFonts w:ascii="Arial" w:cs="Arial" w:eastAsia="Arial" w:hAnsi="Arial"/>
          <w:sz w:val="16"/>
          <w:szCs w:val="16"/>
          <w:color w:val="auto"/>
        </w:rPr>
        <w:t>developments in next-generation satellite businesses, and we are seeking to utilize our services, technologies, licenses and expertise to find new commercial opportunities for our business.</w:t>
      </w:r>
    </w:p>
    <w:p>
      <w:pPr>
        <w:spacing w:after="0" w:line="133" w:lineRule="exact"/>
        <w:rPr>
          <w:sz w:val="20"/>
          <w:szCs w:val="20"/>
          <w:color w:val="auto"/>
        </w:rPr>
      </w:pPr>
    </w:p>
    <w:p>
      <w:pPr>
        <w:jc w:val="both"/>
        <w:ind w:left="40" w:right="139"/>
        <w:spacing w:after="0" w:line="260" w:lineRule="auto"/>
        <w:rPr>
          <w:sz w:val="20"/>
          <w:szCs w:val="20"/>
          <w:color w:val="auto"/>
        </w:rPr>
      </w:pPr>
      <w:r>
        <w:rPr>
          <w:rFonts w:ascii="Arial" w:cs="Arial" w:eastAsia="Arial" w:hAnsi="Arial"/>
          <w:sz w:val="16"/>
          <w:szCs w:val="16"/>
          <w:color w:val="auto"/>
        </w:rPr>
        <w:t>We manage our business activities on a consolidated basis and operate as a single operating segment: Hughes. See Note 13 in the Notes to our Consolidated Financial Statements in this Annual Report on Form 10-K for information regarding our segment reporting.</w:t>
      </w:r>
    </w:p>
    <w:p>
      <w:pPr>
        <w:spacing w:after="0" w:line="15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Our business strategy is to maintain and improve our leadership position and competitive advantage through development of leading-edge technologies and services marketed to selected sectors within the consumer, enterprise and government markets globally. We are an industry leader in both networking technologies and services, innovating to deliver the global solutions that power a connected future for people, enterprises and things everywhere.</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Liquidity and Capital Resources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Operational Liquidity</w:t>
      </w:r>
    </w:p>
    <w:p>
      <w:pPr>
        <w:spacing w:after="0" w:line="19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We primarily rely on our existing cash, cash equivalents and marketable investment securities balances, as well as cash generated from operations, to fund our business operations. Consumer revenue depends on our success in adding new and retaining existing subscribers. Revenue in our enterprise and equipment businesses relies heavily on global economic conditions and the competitive landscape for pricing relative to competitors and alternative technologies. There can be no assurance that we will have positive cash flows from operations. If we experience negative cash flows, our existing cash, cash equivalents and marketable investment securities balances may be further reduced.</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Debt Issuances and Maturities</w:t>
      </w:r>
    </w:p>
    <w:p>
      <w:pPr>
        <w:spacing w:after="0" w:line="19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i w:val="1"/>
          <w:iCs w:val="1"/>
          <w:color w:val="auto"/>
        </w:rPr>
        <w:t xml:space="preserve">5 1/4% Senior Secured Notes due 2026. </w:t>
      </w:r>
      <w:r>
        <w:rPr>
          <w:rFonts w:ascii="Arial" w:cs="Arial" w:eastAsia="Arial" w:hAnsi="Arial"/>
          <w:sz w:val="16"/>
          <w:szCs w:val="16"/>
          <w:color w:val="auto"/>
        </w:rPr>
        <w:t>Our 5 1/4% Senior Secured Notes due 2026 with a principal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$ 750 million mature on August 1, 2026. We do not currently have the necessary cash and cash equivalents and marketable investment securities and/or projected future cash flows or committed financing to fund this obligation. We will need to raise additional capital, refinance and/or restructure all or a portion of such obligation prior to maturity, which may not be available on favorable terms or at all. In addition, our parent, EchoStar may or may not provide additional liquidity in the future necessary to meet this obligation.</w:t>
      </w:r>
    </w:p>
    <w:p>
      <w:pPr>
        <w:spacing w:after="0" w:line="159"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i w:val="1"/>
          <w:iCs w:val="1"/>
          <w:color w:val="auto"/>
        </w:rPr>
        <w:t xml:space="preserve">6 5/8% Unsecured Senior Notes due 2026. </w:t>
      </w:r>
      <w:r>
        <w:rPr>
          <w:rFonts w:ascii="Arial" w:cs="Arial" w:eastAsia="Arial" w:hAnsi="Arial"/>
          <w:sz w:val="16"/>
          <w:szCs w:val="16"/>
          <w:color w:val="auto"/>
        </w:rPr>
        <w:t>Our 6 5/8% Unsecured Senior Notes due 2026 with a principal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$ 750 million mature on August 1, 2026. We do not currently have the necessary cash and cash equivalents and marketable investment securities and/or projected future cash flows or committed financing to fund this obligation. We will need to raise additional capital, refinance and/or restructure all or a portion of such obligation prior to maturity, which may not be available on favorable terms or at all. In addition, our parent, EchoStar may or may not provide additional liquidity in the future necessary to meet this obligation.</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2026 Senior Secured Notes and the 2026 Senior Unsecured Notes are referred to collectively as the “Senior Notes.”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Future Liquidity</w:t>
      </w:r>
    </w:p>
    <w:p>
      <w:pPr>
        <w:spacing w:after="0" w:line="19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We have made cash distributions to among other things, partially finance the consolidated operations and debt service payment obligations of our parent company, EchoStar, and its subsidiaries. On February 15, 2024, the Company’s Board of Directors declared and approved payment of a cash dividend on the Company’s outstanding stock to our shareholder and parent, EchoStar, in the amount of $529 million. On March 12, 2024, the Company’s Board of Directors declared and approved payment of a cash dividend on the Company’s outstanding common stock to EchoStar in the amount of $500 million. Payment of both dividends was made in the first quarter of 2024.</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37" w:name="page38"/>
    <w:bookmarkEnd w:id="3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While we currently do not intend to declare additional dividends on our common stock, we may elect to do so from time to time. Payment of any future dividends will depend upon our earnings, capital requirements, contractual restrictions and other factors the Board of Directors considers appropriate. We currently intend to retain our earnings, if any, to support operations, debt services, future growth and expansion. Our ability to declare dividends is affected by the covenants in our indentures.</w:t>
      </w:r>
    </w:p>
    <w:p>
      <w:pPr>
        <w:spacing w:after="0" w:line="349" w:lineRule="exact"/>
        <w:rPr>
          <w:sz w:val="20"/>
          <w:szCs w:val="20"/>
          <w:color w:val="auto"/>
        </w:rPr>
      </w:pPr>
    </w:p>
    <w:p>
      <w:pPr>
        <w:ind w:left="40" w:right="559"/>
        <w:spacing w:after="0" w:line="260" w:lineRule="auto"/>
        <w:rPr>
          <w:sz w:val="20"/>
          <w:szCs w:val="20"/>
          <w:color w:val="auto"/>
        </w:rPr>
      </w:pPr>
      <w:r>
        <w:rPr>
          <w:rFonts w:ascii="Arial" w:cs="Arial" w:eastAsia="Arial" w:hAnsi="Arial"/>
          <w:sz w:val="16"/>
          <w:szCs w:val="16"/>
          <w:color w:val="auto"/>
        </w:rPr>
        <w:t>Due to our liquidity concerns, we are no longer able to make additional funds available to EchoStar in the form of prepayments for services rendered or loans to finance, in whole or in part, EchoStar’s future operations, debt service obligations and other cash needs.</w:t>
      </w:r>
    </w:p>
    <w:p>
      <w:pPr>
        <w:spacing w:after="0" w:line="150" w:lineRule="exact"/>
        <w:rPr>
          <w:sz w:val="20"/>
          <w:szCs w:val="20"/>
          <w:color w:val="auto"/>
        </w:rPr>
      </w:pPr>
    </w:p>
    <w:p>
      <w:pPr>
        <w:jc w:val="both"/>
        <w:ind w:left="40" w:right="159"/>
        <w:spacing w:after="0" w:line="281" w:lineRule="auto"/>
        <w:rPr>
          <w:sz w:val="20"/>
          <w:szCs w:val="20"/>
          <w:color w:val="auto"/>
        </w:rPr>
      </w:pPr>
      <w:r>
        <w:rPr>
          <w:rFonts w:ascii="Arial" w:cs="Arial" w:eastAsia="Arial" w:hAnsi="Arial"/>
          <w:sz w:val="16"/>
          <w:szCs w:val="16"/>
          <w:color w:val="auto"/>
        </w:rPr>
        <w:t>We do not currently have cash, cash equivalents, marketable investment securities balances and/or projected future cash flows to fund our Senior Notes. We will need to refinance or restructure all or a portion of such obligations prior to maturity.</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Covenants and Restrictions Related to our Senior Notes</w:t>
      </w:r>
    </w:p>
    <w:p>
      <w:pPr>
        <w:spacing w:after="0" w:line="194"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The indentures related to our outstanding senior notes contain restrictive covenants that impose limitations on our ability to, among other things: (i) incur additional indebtedness; (ii) enter into sale and leaseback transactions; (iii) pay dividends or make distributions on our capital stock or repurchase our capital stock; (iv) restrict our subsidiaries’ ability to pay dividends, make distributions, make other payments, or transfer assets; (v) make certain investments; (vi) create liens; (vii) enter into certain transactions with affiliates; (viii) merge or consolidate with another company; and (ix)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As of the date of filing of this Annual Report on Form 10-K, we were in compliance with the covenants and restrictions related to our long-term debt.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New Accounting Pronouncements</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See Note 2 in the Notes to our Consolidated Financial Statements in this Annual Report on Form 10-K for further information.</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EXPLANATION OF KEY METRICS AND OTHER ITEMS</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b w:val="1"/>
          <w:bCs w:val="1"/>
          <w:i w:val="1"/>
          <w:iCs w:val="1"/>
          <w:color w:val="auto"/>
        </w:rPr>
        <w:t>Service revenue</w:t>
      </w:r>
      <w:r>
        <w:rPr>
          <w:rFonts w:ascii="Arial" w:cs="Arial" w:eastAsia="Arial" w:hAnsi="Arial"/>
          <w:sz w:val="16"/>
          <w:szCs w:val="16"/>
          <w:color w:val="auto"/>
        </w:rPr>
        <w:t>. “Service revenue” consists principally includes the sales of consumer and enterprise broadband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maintenance and other contracted services, revenue associated with satellite and transponder leases and services, satellite uplinking/downlinking, and subscriber wholesale service fees for the HughesNet service. Certain of the amounts included in “Service revenue” are not recurring on a monthly basis.</w:t>
      </w:r>
    </w:p>
    <w:p>
      <w:pPr>
        <w:spacing w:after="0" w:line="156"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b w:val="1"/>
          <w:bCs w:val="1"/>
          <w:i w:val="1"/>
          <w:iCs w:val="1"/>
          <w:color w:val="auto"/>
        </w:rPr>
        <w:t>Equipment sales and other revenue</w:t>
      </w:r>
      <w:r>
        <w:rPr>
          <w:rFonts w:ascii="Arial" w:cs="Arial" w:eastAsia="Arial" w:hAnsi="Arial"/>
          <w:sz w:val="16"/>
          <w:szCs w:val="16"/>
          <w:color w:val="auto"/>
        </w:rPr>
        <w:t>. “Equipment sales and other revenue” principally includes broadband equipment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networks sold both to customers in our consumer and enterprise markets.</w:t>
      </w:r>
    </w:p>
    <w:p>
      <w:pPr>
        <w:spacing w:after="0" w:line="133"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b w:val="1"/>
          <w:bCs w:val="1"/>
          <w:i w:val="1"/>
          <w:iCs w:val="1"/>
          <w:color w:val="auto"/>
        </w:rPr>
        <w:t>Cost of services</w:t>
      </w:r>
      <w:r>
        <w:rPr>
          <w:rFonts w:ascii="Arial" w:cs="Arial" w:eastAsia="Arial" w:hAnsi="Arial"/>
          <w:sz w:val="16"/>
          <w:szCs w:val="16"/>
          <w:color w:val="auto"/>
        </w:rPr>
        <w:t>. “Cost of services” primarily includes the cost of broadband services provided to our consumer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 customers, maintenance and other contracted services, and costs associated with satellite and transponder leases and services.</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b w:val="1"/>
          <w:bCs w:val="1"/>
          <w:i w:val="1"/>
          <w:iCs w:val="1"/>
          <w:color w:val="auto"/>
        </w:rPr>
        <w:t>Cost of sales - equipment and other</w:t>
      </w:r>
      <w:r>
        <w:rPr>
          <w:rFonts w:ascii="Arial" w:cs="Arial" w:eastAsia="Arial" w:hAnsi="Arial"/>
          <w:sz w:val="14"/>
          <w:szCs w:val="14"/>
          <w:color w:val="auto"/>
        </w:rPr>
        <w:t>. “</w:t>
      </w:r>
      <w:r>
        <w:rPr>
          <w:rFonts w:ascii="Arial" w:cs="Arial" w:eastAsia="Arial" w:hAnsi="Arial"/>
          <w:sz w:val="16"/>
          <w:szCs w:val="16"/>
          <w:color w:val="auto"/>
        </w:rPr>
        <w:t>Cost of sales - equipment and other” principally consists of the cost of broadband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networks provided to customers in our consumer and enterprise markets. It also includes certain other costs associated with the deployment of equipment to our customers.</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b w:val="1"/>
          <w:bCs w:val="1"/>
          <w:i w:val="1"/>
          <w:iCs w:val="1"/>
          <w:color w:val="auto"/>
        </w:rPr>
        <w:t>Selling, general and administrative expenses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general and administrative expenses” primarily include selling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and employee-related costs associated with administrative services such as legal, information systems, accounting and finance and including bad debt expense. It also includes research and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38" w:name="page39"/>
    <w:bookmarkEnd w:id="3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development expenses associated with the design and development of products to support future growth and provide new technology and innovation to our customers, professional fees, and other expenses associated with facilities and administrative services.</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b w:val="1"/>
          <w:bCs w:val="1"/>
          <w:i w:val="1"/>
          <w:iCs w:val="1"/>
          <w:color w:val="auto"/>
        </w:rPr>
        <w:t xml:space="preserve">Impairments and other. </w:t>
      </w:r>
      <w:r>
        <w:rPr>
          <w:rFonts w:ascii="Arial" w:cs="Arial" w:eastAsia="Arial" w:hAnsi="Arial"/>
          <w:sz w:val="16"/>
          <w:szCs w:val="16"/>
          <w:color w:val="auto"/>
        </w:rPr>
        <w:t>“Impairments and other” may include, among other things, non-cash impairment and other losses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our prepaids, inventory, property and equipment, regulatory authorizations, operating lease assets, goodwill and other intangible assets, as well as estimated exit and disposal costs.</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primarily includes interest earned on our cash, cash equivalents and marketable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securities, and other investments including premium amortization, discount accretion on debt securities and changes in allowance for estimated credit losses on investments.</w:t>
      </w:r>
    </w:p>
    <w:p>
      <w:pPr>
        <w:spacing w:after="0" w:line="15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primarily includes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56"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b w:val="1"/>
          <w:bCs w:val="1"/>
          <w:i w:val="1"/>
          <w:iCs w:val="1"/>
          <w:color w:val="auto"/>
        </w:rPr>
        <w:t>Other, net</w:t>
      </w:r>
      <w:r>
        <w:rPr>
          <w:rFonts w:ascii="Arial" w:cs="Arial" w:eastAsia="Arial" w:hAnsi="Arial"/>
          <w:sz w:val="16"/>
          <w:szCs w:val="16"/>
          <w:color w:val="auto"/>
        </w:rPr>
        <w:t>. “Other, net” primarily includes gains and losses realized on the sale of marketable and non-marketable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securities, impairment of marketable and non-marketable investment securities, impairment of our equity method investments, unrealized gains and losses from changes in fair value of certain marketable and non-marketable investment securities, foreign currency transaction gains and losses, equity in earnings and losses of our affiliates, dividends received from our marketable investment securities, and other non-operating income and expense items that are not appropriately classified elsewhere in the Consolidated Statements of Operations and Comprehensive Income (Loss) in our Consolidated Financial Statements.</w:t>
      </w:r>
    </w:p>
    <w:p>
      <w:pPr>
        <w:spacing w:after="0" w:line="163"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b w:val="1"/>
          <w:bCs w:val="1"/>
          <w:i w:val="1"/>
          <w:iCs w:val="1"/>
          <w:color w:val="auto"/>
        </w:rPr>
        <w:t>Operating income before depreciation and amortization (“OIBDA”)</w:t>
      </w:r>
      <w:r>
        <w:rPr>
          <w:rFonts w:ascii="Arial" w:cs="Arial" w:eastAsia="Arial" w:hAnsi="Arial"/>
          <w:sz w:val="16"/>
          <w:szCs w:val="16"/>
          <w:color w:val="auto"/>
        </w:rPr>
        <w:t>. OIBDA is defined as “Operating income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plus “Depreciation and amortization.” This non-GAAP measure is reconciled to “Operating income (loss)” in our discussion of “Results of Operations” below.</w:t>
      </w:r>
    </w:p>
    <w:p>
      <w:pPr>
        <w:spacing w:after="0" w:line="15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b w:val="1"/>
          <w:bCs w:val="1"/>
          <w:i w:val="1"/>
          <w:iCs w:val="1"/>
          <w:color w:val="auto"/>
        </w:rPr>
        <w:t xml:space="preserve">Operating income before depreciation and amortization, and impairments and other (“Adjusted OIBDA”). </w:t>
      </w:r>
      <w:r>
        <w:rPr>
          <w:rFonts w:ascii="Arial" w:cs="Arial" w:eastAsia="Arial" w:hAnsi="Arial"/>
          <w:sz w:val="16"/>
          <w:szCs w:val="16"/>
          <w:color w:val="auto"/>
        </w:rPr>
        <w:t>Adjusted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OIBDA is defined as “Operating income (loss)” plus “Depreciation and amortization” and “Impairments and other.” This non-GAAP measure is reconciled to “Operating income (loss)” in our discussion of “Results of Operations” below.</w:t>
      </w:r>
    </w:p>
    <w:p>
      <w:pPr>
        <w:spacing w:after="0" w:line="150" w:lineRule="exact"/>
        <w:rPr>
          <w:sz w:val="20"/>
          <w:szCs w:val="20"/>
          <w:color w:val="auto"/>
        </w:rPr>
      </w:pPr>
    </w:p>
    <w:p>
      <w:pPr>
        <w:ind w:left="40" w:right="539"/>
        <w:spacing w:after="0" w:line="281" w:lineRule="auto"/>
        <w:rPr>
          <w:sz w:val="20"/>
          <w:szCs w:val="20"/>
          <w:color w:val="auto"/>
        </w:rPr>
      </w:pPr>
      <w:r>
        <w:rPr>
          <w:rFonts w:ascii="Arial" w:cs="Arial" w:eastAsia="Arial" w:hAnsi="Arial"/>
          <w:sz w:val="16"/>
          <w:szCs w:val="16"/>
          <w:b w:val="1"/>
          <w:bCs w:val="1"/>
          <w:i w:val="1"/>
          <w:iCs w:val="1"/>
          <w:color w:val="auto"/>
        </w:rPr>
        <w:t xml:space="preserve">Broadband subscribers. </w:t>
      </w:r>
      <w:r>
        <w:rPr>
          <w:rFonts w:ascii="Arial" w:cs="Arial" w:eastAsia="Arial" w:hAnsi="Arial"/>
          <w:sz w:val="16"/>
          <w:szCs w:val="16"/>
          <w:color w:val="auto"/>
        </w:rPr>
        <w:t>Broadband subscribers include domestic and international customers that subscribe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HughesNet service, through retail, wholesale and small/medium enterprise service channels.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Hughes Segment</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Our business strategy is to maintain and improve our leadership position and competitive advantage through development of leading-edge technologies and services marketed to selected sectors within the consumer, enterprise and government markets globally. We are an industry leader in both networking technologies and services, innovating to deliver the global solutions that power a connected future for people, enterprises and things everywhere.</w:t>
      </w:r>
    </w:p>
    <w:p>
      <w:pPr>
        <w:spacing w:after="0" w:line="156"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We offer broadband satellite technologies and broadband internet products and services to consumer customers, which include home and small to medium-sized businesses. We provide broadband network technologies, managed services, equipment, hardware, satellite services and communications solutions to government and enterprise customers. We currently lease the capacity of EchoStar XXIV from our parent, EchoStar,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39" w:name="page40"/>
    <w:bookmarkEnd w:id="3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right="59"/>
        <w:spacing w:after="0" w:line="281" w:lineRule="auto"/>
        <w:rPr>
          <w:sz w:val="20"/>
          <w:szCs w:val="20"/>
          <w:color w:val="auto"/>
        </w:rPr>
      </w:pPr>
      <w:r>
        <w:rPr>
          <w:rFonts w:ascii="Arial" w:cs="Arial" w:eastAsia="Arial" w:hAnsi="Arial"/>
          <w:sz w:val="16"/>
          <w:szCs w:val="16"/>
          <w:color w:val="auto"/>
        </w:rPr>
        <w:t>We offer a robust suite of integrated, multi-transport solutions to enable airline and airline service providers to deliver reliable in-flight network connectivity serving both commercial and business aviation.</w:t>
      </w:r>
    </w:p>
    <w:p>
      <w:pPr>
        <w:spacing w:after="0" w:line="133" w:lineRule="exact"/>
        <w:rPr>
          <w:sz w:val="20"/>
          <w:szCs w:val="20"/>
          <w:color w:val="auto"/>
        </w:rPr>
      </w:pPr>
    </w:p>
    <w:p>
      <w:pPr>
        <w:ind w:left="40" w:right="59"/>
        <w:spacing w:after="0" w:line="245" w:lineRule="auto"/>
        <w:rPr>
          <w:sz w:val="20"/>
          <w:szCs w:val="20"/>
          <w:color w:val="auto"/>
        </w:rPr>
      </w:pPr>
      <w:r>
        <w:rPr>
          <w:rFonts w:ascii="Arial" w:cs="Arial" w:eastAsia="Arial" w:hAnsi="Arial"/>
          <w:sz w:val="16"/>
          <w:szCs w:val="16"/>
          <w:color w:val="auto"/>
        </w:rPr>
        <w:t>Our Hughes segment continues to focus its efforts on optimizing financial returns on our satellite portfolio. Our consumer revenue business depends on our success in adding new and retaining existing subscribers, as well as maintaining or growing our Average Revenue Per User/Subscriber (“ARPU”). Service and acquisition costs related to ongoing support for our direct and indirect customers and partners are typically impacted most significantly by our growth. The growth of our enterprise and consumer businesses relies heavily on global economic conditions and the competitive landscape for pricing relative to competitors and alternative technologies. Prior to the launch of EchoStar XXIV, we were nearing or had reached capacity in most areas of the U.S., which constrained growth within our consumer subscriber base. Growth within our Latin America consumer subscriber base in certain areas had also become capacity constrained. These constraints have been addressed by the EchoStar XXIV satellite.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Backlog</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As of December 31, 2025, our Hughes segment had approximately $1.4 billion of contracted revenue backlog. We define the Hughes segment contracted revenue backlog as our expected future revenue under enterprise customer contracts that are non-cancelable, including but not limited to, lease revenue.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Competition</w:t>
      </w:r>
    </w:p>
    <w:p>
      <w:pPr>
        <w:spacing w:after="0" w:line="194"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Our industry is highly competitive. As a global provider of network technologies, products and services, we compete with a large number of telecommunications and satellite internet service providers.</w:t>
      </w:r>
    </w:p>
    <w:p>
      <w:pPr>
        <w:spacing w:after="0" w:line="133"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In our enterprise markets, we compete against multiple categories of providers. In the managed services area, we compete against providers of satellite-based and terrestrial-based networks, including fiber optic, cable, wireless internet service and internet protocol-based virtual private networks (VPN), which vary by region. In the in-flight connectivity market, we compete against direct and indirect providers of in-flight WiFi services, such as, among others, ViaSat Communications, Inc., which is owned by ViaSat, Inc. (“ViaSat”) and Starlink Services LLC, which is owned by Space Exploration Technologies Corp (“SpaceX”).</w:t>
      </w:r>
    </w:p>
    <w:p>
      <w:pPr>
        <w:spacing w:after="0" w:line="159" w:lineRule="exact"/>
        <w:rPr>
          <w:sz w:val="20"/>
          <w:szCs w:val="20"/>
          <w:color w:val="auto"/>
        </w:rPr>
      </w:pPr>
    </w:p>
    <w:p>
      <w:pPr>
        <w:jc w:val="both"/>
        <w:ind w:left="40" w:right="59" w:hanging="6"/>
        <w:spacing w:after="0" w:line="248" w:lineRule="auto"/>
        <w:rPr>
          <w:sz w:val="20"/>
          <w:szCs w:val="20"/>
          <w:color w:val="auto"/>
        </w:rPr>
      </w:pPr>
      <w:r>
        <w:rPr>
          <w:rFonts w:ascii="Arial" w:cs="Arial" w:eastAsia="Arial" w:hAnsi="Arial"/>
          <w:sz w:val="16"/>
          <w:szCs w:val="16"/>
          <w:color w:val="auto"/>
        </w:rPr>
        <w:t>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and SpaceX. Both ViaSat and SpaceX have also entered the South American consumer market and additionally SpaceX has entered the Central American consumer market. Our principal competitors for the supply of satellite technology platforms are Gilat Satellite Networks Ltd, ViaSat and ST Engineering iDirect, Inc.</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40" w:name="page41"/>
    <w:bookmarkEnd w:id="4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Year Ended December 31, 2025 Compared to the Year Ended December 31, 2024</w:t>
      </w:r>
    </w:p>
    <w:p>
      <w:pPr>
        <w:spacing w:after="0" w:line="196" w:lineRule="exact"/>
        <w:rPr>
          <w:sz w:val="20"/>
          <w:szCs w:val="20"/>
          <w:color w:val="auto"/>
        </w:rPr>
      </w:pPr>
    </w:p>
    <w:p>
      <w:pPr>
        <w:ind w:left="40" w:right="379"/>
        <w:spacing w:after="0" w:line="281" w:lineRule="auto"/>
        <w:rPr>
          <w:sz w:val="20"/>
          <w:szCs w:val="20"/>
          <w:color w:val="auto"/>
        </w:rPr>
      </w:pPr>
      <w:r>
        <w:rPr>
          <w:rFonts w:ascii="Arial" w:cs="Arial" w:eastAsia="Arial" w:hAnsi="Arial"/>
          <w:sz w:val="16"/>
          <w:szCs w:val="16"/>
          <w:color w:val="auto"/>
        </w:rPr>
        <w:t>The following table presents our consolidated results of operations for the year ended December 31, 2025 compared to the year ended December 31, 2024:</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98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140" w:type="dxa"/>
            <w:vAlign w:val="bottom"/>
          </w:tcPr>
          <w:p>
            <w:pPr>
              <w:spacing w:after="0"/>
              <w:rPr>
                <w:sz w:val="17"/>
                <w:szCs w:val="17"/>
                <w:color w:val="auto"/>
              </w:rPr>
            </w:pPr>
          </w:p>
        </w:tc>
        <w:tc>
          <w:tcPr>
            <w:tcW w:w="3000" w:type="dxa"/>
            <w:vAlign w:val="bottom"/>
            <w:gridSpan w:val="6"/>
          </w:tcPr>
          <w:p>
            <w:pPr>
              <w:ind w:left="40"/>
              <w:spacing w:after="0"/>
              <w:rPr>
                <w:sz w:val="20"/>
                <w:szCs w:val="20"/>
                <w:color w:val="auto"/>
              </w:rPr>
            </w:pPr>
            <w:r>
              <w:rPr>
                <w:rFonts w:ascii="Arial" w:cs="Arial" w:eastAsia="Arial" w:hAnsi="Arial"/>
                <w:sz w:val="16"/>
                <w:szCs w:val="16"/>
                <w:b w:val="1"/>
                <w:bCs w:val="1"/>
                <w:color w:val="auto"/>
              </w:rPr>
              <w:t>For the Years Ended December 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ind w:left="380"/>
              <w:spacing w:after="0"/>
              <w:rPr>
                <w:sz w:val="20"/>
                <w:szCs w:val="20"/>
                <w:color w:val="auto"/>
              </w:rPr>
            </w:pPr>
            <w:r>
              <w:rPr>
                <w:rFonts w:ascii="Arial" w:cs="Arial" w:eastAsia="Arial" w:hAnsi="Arial"/>
                <w:sz w:val="16"/>
                <w:szCs w:val="16"/>
                <w:b w:val="1"/>
                <w:bCs w:val="1"/>
                <w:color w:val="auto"/>
              </w:rPr>
              <w:t>Variance</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80" w:type="dxa"/>
            <w:vAlign w:val="bottom"/>
            <w:gridSpan w:val="4"/>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48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tcPr>
          <w:p>
            <w:pPr>
              <w:ind w:left="80"/>
              <w:spacing w:after="0"/>
              <w:rPr>
                <w:sz w:val="20"/>
                <w:szCs w:val="20"/>
                <w:color w:val="auto"/>
              </w:rPr>
            </w:pPr>
            <w:r>
              <w:rPr>
                <w:rFonts w:ascii="Arial" w:cs="Arial" w:eastAsia="Arial" w:hAnsi="Arial"/>
                <w:sz w:val="16"/>
                <w:szCs w:val="16"/>
                <w:color w:val="auto"/>
              </w:rPr>
              <w:t>Service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1,085,219</w:t>
            </w:r>
          </w:p>
        </w:tc>
        <w:tc>
          <w:tcPr>
            <w:tcW w:w="100" w:type="dxa"/>
            <w:vAlign w:val="bottom"/>
          </w:tcPr>
          <w:p>
            <w:pPr>
              <w:spacing w:after="0"/>
              <w:rPr>
                <w:sz w:val="15"/>
                <w:szCs w:val="15"/>
                <w:color w:val="auto"/>
              </w:rPr>
            </w:pP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1,210,840</w:t>
            </w:r>
          </w:p>
        </w:tc>
        <w:tc>
          <w:tcPr>
            <w:tcW w:w="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(125,621)</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Equipment sales and other revenue</w:t>
            </w: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349,533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Borders>
              <w:bottom w:val="single" w:sz="8" w:color="CCEEFF"/>
            </w:tcBorders>
            <w:gridSpan w:val="3"/>
          </w:tcPr>
          <w:p>
            <w:pPr>
              <w:ind w:left="180"/>
              <w:spacing w:after="0" w:line="176" w:lineRule="exact"/>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1,435,905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1,560,373</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(124,468)</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960" w:type="dxa"/>
            <w:vAlign w:val="bottom"/>
            <w:gridSpan w:val="3"/>
          </w:tcPr>
          <w:p>
            <w:pPr>
              <w:spacing w:after="0"/>
              <w:rPr>
                <w:sz w:val="20"/>
                <w:szCs w:val="20"/>
                <w:color w:val="auto"/>
              </w:rPr>
            </w:pPr>
            <w:r>
              <w:rPr>
                <w:rFonts w:ascii="Arial" w:cs="Arial" w:eastAsia="Arial" w:hAnsi="Arial"/>
                <w:sz w:val="16"/>
                <w:szCs w:val="16"/>
                <w:b w:val="1"/>
                <w:bCs w:val="1"/>
                <w:color w:val="auto"/>
              </w:rPr>
              <w:t>Costs and Expenses:</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Cost of services</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637,624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681,021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(43,397)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tcPr>
          <w:p>
            <w:pPr>
              <w:ind w:left="180"/>
              <w:spacing w:after="0"/>
              <w:rPr>
                <w:sz w:val="20"/>
                <w:szCs w:val="20"/>
                <w:color w:val="auto"/>
              </w:rPr>
            </w:pPr>
            <w:r>
              <w:rPr>
                <w:rFonts w:ascii="Arial" w:cs="Arial" w:eastAsia="Arial" w:hAnsi="Arial"/>
                <w:sz w:val="16"/>
                <w:szCs w:val="16"/>
                <w:b w:val="1"/>
                <w:bCs w:val="1"/>
                <w:color w:val="auto"/>
              </w:rPr>
              <w:t>% of Service revenue</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56.2%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Cost of sales - equipment and other</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307,742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tcPr>
          <w:p>
            <w:pPr>
              <w:ind w:left="180"/>
              <w:spacing w:after="0"/>
              <w:rPr>
                <w:sz w:val="20"/>
                <w:szCs w:val="20"/>
                <w:color w:val="auto"/>
              </w:rPr>
            </w:pPr>
            <w:r>
              <w:rPr>
                <w:rFonts w:ascii="Arial" w:cs="Arial" w:eastAsia="Arial" w:hAnsi="Arial"/>
                <w:sz w:val="16"/>
                <w:szCs w:val="16"/>
                <w:b w:val="1"/>
                <w:bCs w:val="1"/>
                <w:color w:val="auto"/>
              </w:rPr>
              <w:t>% of Equipment sales and other revenue</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88.0%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375,538</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(53,366)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tcPr>
          <w:p>
            <w:pPr>
              <w:ind w:left="180"/>
              <w:spacing w:after="0"/>
              <w:rPr>
                <w:sz w:val="20"/>
                <w:szCs w:val="20"/>
                <w:color w:val="auto"/>
              </w:rPr>
            </w:pPr>
            <w:r>
              <w:rPr>
                <w:rFonts w:ascii="Arial" w:cs="Arial" w:eastAsia="Arial" w:hAnsi="Arial"/>
                <w:sz w:val="16"/>
                <w:szCs w:val="16"/>
                <w:b w:val="1"/>
                <w:bCs w:val="1"/>
                <w:color w:val="auto"/>
              </w:rPr>
              <w:t>% of Total revenue</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24.1%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365,902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(32,899)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tcPr>
          <w:p>
            <w:pPr>
              <w:ind w:left="80"/>
              <w:spacing w:after="0"/>
              <w:rPr>
                <w:sz w:val="20"/>
                <w:szCs w:val="20"/>
                <w:color w:val="auto"/>
              </w:rPr>
            </w:pPr>
            <w:r>
              <w:rPr>
                <w:rFonts w:ascii="Arial" w:cs="Arial" w:eastAsia="Arial" w:hAnsi="Arial"/>
                <w:sz w:val="16"/>
                <w:szCs w:val="16"/>
                <w:color w:val="auto"/>
              </w:rPr>
              <w:t>Impairments and other</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1,422,982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1,422,982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Borders>
              <w:top w:val="single" w:sz="8" w:color="CCEEFF"/>
            </w:tcBorders>
            <w:gridSpan w:val="3"/>
            <w:shd w:val="clear" w:color="auto" w:fill="CCEEFF"/>
          </w:tcPr>
          <w:p>
            <w:pPr>
              <w:ind w:left="180"/>
              <w:spacing w:after="0" w:line="176" w:lineRule="exact"/>
              <w:rPr>
                <w:sz w:val="20"/>
                <w:szCs w:val="20"/>
                <w:color w:val="auto"/>
              </w:rPr>
            </w:pPr>
            <w:r>
              <w:rPr>
                <w:rFonts w:ascii="Arial" w:cs="Arial" w:eastAsia="Arial" w:hAnsi="Arial"/>
                <w:sz w:val="16"/>
                <w:szCs w:val="16"/>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3,032,256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1,730,203</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1,302,053</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(1,596,351)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(169,830)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(1,426,521)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tcPr>
          <w:p>
            <w:pPr>
              <w:ind w:left="8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25,393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(16,176)</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Interest expense, net of amounts capitalized</w:t>
            </w: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(102,218)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(3,416)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tcPr>
          <w:p>
            <w:pPr>
              <w:ind w:left="8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(9,024)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Borders>
              <w:top w:val="single" w:sz="8" w:color="CCEEFF"/>
            </w:tcBorders>
            <w:gridSpan w:val="3"/>
            <w:shd w:val="clear" w:color="auto" w:fill="CCEEFF"/>
          </w:tcPr>
          <w:p>
            <w:pPr>
              <w:ind w:left="180"/>
              <w:spacing w:after="0" w:line="176" w:lineRule="exact"/>
              <w:rPr>
                <w:sz w:val="20"/>
                <w:szCs w:val="20"/>
                <w:color w:val="auto"/>
              </w:rPr>
            </w:pPr>
            <w:r>
              <w:rPr>
                <w:rFonts w:ascii="Arial" w:cs="Arial" w:eastAsia="Arial" w:hAnsi="Arial"/>
                <w:sz w:val="16"/>
                <w:szCs w:val="16"/>
                <w:color w:val="auto"/>
              </w:rPr>
              <w:t>Total other income (expense)</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(86,095)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(82,433)</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(3,662)</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
          </w:tcPr>
          <w:p>
            <w:pPr>
              <w:spacing w:after="0" w:line="176" w:lineRule="exact"/>
              <w:rPr>
                <w:sz w:val="20"/>
                <w:szCs w:val="20"/>
                <w:color w:val="auto"/>
              </w:rPr>
            </w:pPr>
            <w:r>
              <w:rPr>
                <w:rFonts w:ascii="Arial" w:cs="Arial" w:eastAsia="Arial" w:hAnsi="Arial"/>
                <w:sz w:val="16"/>
                <w:szCs w:val="16"/>
                <w:color w:val="auto"/>
              </w:rPr>
              <w:t>Income (loss) before income taxes</w:t>
            </w:r>
          </w:p>
        </w:tc>
        <w:tc>
          <w:tcPr>
            <w:tcW w:w="1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(1,682,446)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6"/>
                <w:szCs w:val="16"/>
                <w:color w:val="auto"/>
              </w:rPr>
              <w:t>(252,263)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6"/>
                <w:szCs w:val="16"/>
                <w:color w:val="auto"/>
              </w:rPr>
              <w:t>(1,430,183)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Income tax benefit (provision), net</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398,940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364,787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b w:val="1"/>
                <w:bCs w:val="1"/>
                <w:color w:val="auto"/>
              </w:rPr>
              <w:t>Effective tax rate</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(1,283,506)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(218,110)</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(1,065,396)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3"/>
          </w:tcPr>
          <w:p>
            <w:pPr>
              <w:ind w:left="80"/>
              <w:spacing w:after="0" w:line="167" w:lineRule="exact"/>
              <w:rPr>
                <w:sz w:val="20"/>
                <w:szCs w:val="20"/>
                <w:color w:val="auto"/>
              </w:rPr>
            </w:pPr>
            <w:r>
              <w:rPr>
                <w:rFonts w:ascii="Arial" w:cs="Arial" w:eastAsia="Arial" w:hAnsi="Arial"/>
                <w:sz w:val="16"/>
                <w:szCs w:val="16"/>
                <w:color w:val="auto"/>
              </w:rPr>
              <w:t>Less: Net income (loss) attributable to</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gridSpan w:val="3"/>
          </w:tcPr>
          <w:p>
            <w:pPr>
              <w:ind w:left="8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(9,831)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(8,707)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Borders>
              <w:top w:val="single" w:sz="8" w:color="CCEEFF"/>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6"/>
                <w:szCs w:val="16"/>
                <w:color w:val="auto"/>
              </w:rPr>
              <w:t>Net income (loss) attributable to HSSC</w:t>
            </w:r>
          </w:p>
        </w:tc>
        <w:tc>
          <w:tcPr>
            <w:tcW w:w="1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(1,273,675)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(209,403)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(1,064,272)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Broadband subscribers, as of period end (in millions)</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0.739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0.883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(0.144)</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gridSpan w:val="3"/>
            <w:shd w:val="clear" w:color="auto" w:fill="CCEEFF"/>
          </w:tcPr>
          <w:p>
            <w:pPr>
              <w:spacing w:after="0" w:line="167" w:lineRule="exact"/>
              <w:rPr>
                <w:sz w:val="20"/>
                <w:szCs w:val="20"/>
                <w:color w:val="auto"/>
              </w:rPr>
            </w:pPr>
            <w:r>
              <w:rPr>
                <w:rFonts w:ascii="Arial" w:cs="Arial" w:eastAsia="Arial" w:hAnsi="Arial"/>
                <w:sz w:val="16"/>
                <w:szCs w:val="16"/>
                <w:color w:val="auto"/>
              </w:rPr>
              <w:t>Broadband subscriber additions (losses), net (in</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millions)</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(0.144)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(0.121)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(0.023)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Purchases of property and equipment, net of refunds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114,431</w:t>
            </w:r>
          </w:p>
        </w:tc>
        <w:tc>
          <w:tcPr>
            <w:tcW w:w="100" w:type="dxa"/>
            <w:vAlign w:val="bottom"/>
          </w:tcPr>
          <w:p>
            <w:pPr>
              <w:spacing w:after="0"/>
              <w:rPr>
                <w:sz w:val="15"/>
                <w:szCs w:val="15"/>
                <w:color w:val="auto"/>
              </w:rPr>
            </w:pP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205,330</w:t>
            </w:r>
          </w:p>
        </w:tc>
        <w:tc>
          <w:tcPr>
            <w:tcW w:w="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(90,899)</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OIBDA**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(1,263,348)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196,072</w:t>
            </w:r>
          </w:p>
        </w:tc>
        <w:tc>
          <w:tcPr>
            <w:tcW w:w="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(1,459,420)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40" w:hanging="59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Percentage is not meaningful.</w:t>
      </w:r>
    </w:p>
    <w:p>
      <w:pPr>
        <w:spacing w:after="0" w:line="16" w:lineRule="exact"/>
        <w:rPr>
          <w:sz w:val="20"/>
          <w:szCs w:val="20"/>
          <w:color w:val="auto"/>
        </w:rPr>
      </w:pPr>
    </w:p>
    <w:p>
      <w:pPr>
        <w:ind w:left="640" w:right="779" w:hanging="598"/>
        <w:spacing w:after="0" w:line="260"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reconciliation of OIBDA to Operating income (loss), the most directly comparable GAAP measure in our Consolidated Financial Statements, is included in Results of Operations – OIBDA and Adjusted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41" w:name="page42"/>
    <w:bookmarkEnd w:id="4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OIBDA. For further information on our use of OIBDA, see Explanation of Key Metrics and Other Items.</w:t>
      </w:r>
    </w:p>
    <w:p>
      <w:pPr>
        <w:spacing w:after="0" w:line="380" w:lineRule="exact"/>
        <w:rPr>
          <w:sz w:val="20"/>
          <w:szCs w:val="20"/>
          <w:color w:val="auto"/>
        </w:rPr>
      </w:pPr>
    </w:p>
    <w:p>
      <w:pPr>
        <w:ind w:left="40" w:right="139"/>
        <w:spacing w:after="0" w:line="250" w:lineRule="auto"/>
        <w:rPr>
          <w:sz w:val="20"/>
          <w:szCs w:val="20"/>
          <w:color w:val="auto"/>
        </w:rPr>
      </w:pPr>
      <w:r>
        <w:rPr>
          <w:rFonts w:ascii="Arial" w:cs="Arial" w:eastAsia="Arial" w:hAnsi="Arial"/>
          <w:sz w:val="16"/>
          <w:szCs w:val="16"/>
          <w:b w:val="1"/>
          <w:bCs w:val="1"/>
          <w:i w:val="1"/>
          <w:iCs w:val="1"/>
          <w:color w:val="auto"/>
        </w:rPr>
        <w:t>Broadband subscribers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lost approximately 144,000 net Broadband subscribers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2025 compared to the loss of approximately 121,000 net Broadband subscribers during the same period in 2024. The increase in net Broadband subscriber losses was primarily due to lower gross subscriber additions, partially offset by lower subscriber disconnects due to expanded satellite capacity and increased subscriber service satisfaction. We continue to experience increased competition from satellite-based competitors and other technologies.</w:t>
      </w:r>
    </w:p>
    <w:p>
      <w:pPr>
        <w:spacing w:after="0" w:line="157" w:lineRule="exact"/>
        <w:rPr>
          <w:sz w:val="20"/>
          <w:szCs w:val="20"/>
          <w:color w:val="auto"/>
        </w:rPr>
      </w:pPr>
    </w:p>
    <w:p>
      <w:pPr>
        <w:ind w:left="40" w:right="319"/>
        <w:spacing w:after="0" w:line="260" w:lineRule="auto"/>
        <w:rPr>
          <w:sz w:val="20"/>
          <w:szCs w:val="20"/>
          <w:color w:val="auto"/>
        </w:rPr>
      </w:pPr>
      <w:r>
        <w:rPr>
          <w:rFonts w:ascii="Arial" w:cs="Arial" w:eastAsia="Arial" w:hAnsi="Arial"/>
          <w:sz w:val="16"/>
          <w:szCs w:val="16"/>
          <w:b w:val="1"/>
          <w:bCs w:val="1"/>
          <w:i w:val="1"/>
          <w:iCs w:val="1"/>
          <w:color w:val="auto"/>
        </w:rPr>
        <w:t>Service revenue</w:t>
      </w:r>
      <w:r>
        <w:rPr>
          <w:rFonts w:ascii="Arial" w:cs="Arial" w:eastAsia="Arial" w:hAnsi="Arial"/>
          <w:sz w:val="16"/>
          <w:szCs w:val="16"/>
          <w:color w:val="auto"/>
        </w:rPr>
        <w:t>. “Service revenue” totaled $1.085 billion for the year ended December 31, 2025, a decrease of $126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10.4%, as compared to 2024. The decrease was primarily attributable to lower sales of broadband services to our North American and international consumer customers and our North American enterprise customers.</w:t>
      </w:r>
    </w:p>
    <w:p>
      <w:pPr>
        <w:spacing w:after="0" w:line="15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b w:val="1"/>
          <w:bCs w:val="1"/>
          <w:i w:val="1"/>
          <w:iCs w:val="1"/>
          <w:color w:val="auto"/>
        </w:rPr>
        <w:t>Equipment sales and other revenue. “</w:t>
      </w:r>
      <w:r>
        <w:rPr>
          <w:rFonts w:ascii="Arial" w:cs="Arial" w:eastAsia="Arial" w:hAnsi="Arial"/>
          <w:sz w:val="16"/>
          <w:szCs w:val="16"/>
          <w:color w:val="auto"/>
        </w:rPr>
        <w:t>Equipment sales and other revenue” totaled $351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2025, an increase of $1 million, or 0.3%, as compared to 2024. The increase was primarily attributable to an increase in hardware sales to our North American enterprise customers, partially offset by lower hardware sales to our international enterprise customers.</w:t>
      </w:r>
    </w:p>
    <w:p>
      <w:pPr>
        <w:spacing w:after="0" w:line="131"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b w:val="1"/>
          <w:bCs w:val="1"/>
          <w:i w:val="1"/>
          <w:iCs w:val="1"/>
          <w:color w:val="auto"/>
        </w:rPr>
        <w:t>Cost of services</w:t>
      </w:r>
      <w:r>
        <w:rPr>
          <w:rFonts w:ascii="Arial" w:cs="Arial" w:eastAsia="Arial" w:hAnsi="Arial"/>
          <w:sz w:val="16"/>
          <w:szCs w:val="16"/>
          <w:color w:val="auto"/>
        </w:rPr>
        <w:t>. “Cost of services” totaled $638 million for the year ended December 31, 2025, a decrease of $43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6.4%, as compared to 2024. The decrease was primarily attributable to lower costs of broadband services to both our North American and international consumer and enterprise customers. Our Cost of services represented 58.8% and 56.2% of Service revenue during the year ended December 31, 2025 and 2024, respectively. This increase primarily resulted from a change in mix to lower margin services.</w:t>
      </w:r>
    </w:p>
    <w:p>
      <w:pPr>
        <w:spacing w:after="0" w:line="157"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b w:val="1"/>
          <w:bCs w:val="1"/>
          <w:i w:val="1"/>
          <w:iCs w:val="1"/>
          <w:color w:val="auto"/>
        </w:rPr>
        <w:t>Cost of sales – equipment and other. “</w:t>
      </w:r>
      <w:r>
        <w:rPr>
          <w:rFonts w:ascii="Arial" w:cs="Arial" w:eastAsia="Arial" w:hAnsi="Arial"/>
          <w:sz w:val="16"/>
          <w:szCs w:val="16"/>
          <w:color w:val="auto"/>
        </w:rPr>
        <w:t>Cost of sales – equipment and other” totaled $316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2025, an increase of $9 million, or 2.8%, as compared to 2024. The increase was primarily attributable to higher costs of equipment to our North American enterprise customers, partially offset by a decrease in equipment costs to our international enterprise customers. Our “Cost of sales – equipment and other” represented 90.2% and 88.0% of “Equipment sales and other revenue” during the years ended December 31, 2025 and 2024, respectively. The year ended December 31, 2025 was negatively impacted by a one-time project charge.</w:t>
      </w:r>
    </w:p>
    <w:p>
      <w:pPr>
        <w:spacing w:after="0" w:line="122"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b w:val="1"/>
          <w:bCs w:val="1"/>
          <w:i w:val="1"/>
          <w:iCs w:val="1"/>
          <w:color w:val="auto"/>
        </w:rPr>
        <w:t>Selling, general and administrative expenses</w:t>
      </w:r>
      <w:r>
        <w:rPr>
          <w:rFonts w:ascii="Arial" w:cs="Arial" w:eastAsia="Arial" w:hAnsi="Arial"/>
          <w:sz w:val="16"/>
          <w:szCs w:val="16"/>
          <w:color w:val="auto"/>
        </w:rPr>
        <w:t>. “Selling, general and administrative expenses” totaled $322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2025, a decrease of $53 million, or 14.2%, as compared to 2024. The decrease was primarily attributable to lower bad debt expense, a decrease in costs to support the Company and lower marketing expenditures.</w:t>
      </w:r>
    </w:p>
    <w:p>
      <w:pPr>
        <w:spacing w:after="0" w:line="30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 totaled $333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2025, a decrease of $33 million, or 9.0%, as compared to 2024. The decrease was primarily attributable to lower equipment and satellite depreciation expense.</w:t>
      </w:r>
    </w:p>
    <w:p>
      <w:pPr>
        <w:spacing w:after="0" w:line="125"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b w:val="1"/>
          <w:bCs w:val="1"/>
          <w:i w:val="1"/>
          <w:iCs w:val="1"/>
          <w:color w:val="auto"/>
        </w:rPr>
        <w:t>Impairments and other</w:t>
      </w:r>
      <w:r>
        <w:rPr>
          <w:rFonts w:ascii="Arial" w:cs="Arial" w:eastAsia="Arial" w:hAnsi="Arial"/>
          <w:sz w:val="16"/>
          <w:szCs w:val="16"/>
          <w:color w:val="auto"/>
        </w:rPr>
        <w:t>. “Impairments and other” totaled $1.423 billion during the year ended December 31, 2025.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2025, we began the abandonment of certain international assets that would no longer be utilized in our business as a result of the SpaceX Transactions. As a result, during the third quarter of 2025, we recorded non-cash impairment charges related to regulatory authorizations, and estimated exit, disposal and other costs. In addition, we recorded non-cash impairment charges primarily related to property and equipment, operating lease assets and regulatory authorizations during the fourth quarter of 2025. See Note 1 in the Notes to our Consolidated Financial Statements in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42" w:name="page43"/>
    <w:bookmarkEnd w:id="4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totaled $9 million for the year ended December 31, 2025, a decrease of $16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63.7%, as compared to the same period in 2024. This decrease primarily resulted from lower average cash and marketable investment securities balances, and lower percentage of returns earned on our cash and marketable investment securities balances during the year ended December 31, 2025.</w:t>
      </w:r>
    </w:p>
    <w:p>
      <w:pPr>
        <w:spacing w:after="0" w:line="13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b w:val="1"/>
          <w:bCs w:val="1"/>
          <w:i w:val="1"/>
          <w:iCs w:val="1"/>
          <w:color w:val="auto"/>
        </w:rPr>
        <w:t>Interest expense, net of amounts capitalized</w:t>
      </w:r>
      <w:r>
        <w:rPr>
          <w:rFonts w:ascii="Arial" w:cs="Arial" w:eastAsia="Arial" w:hAnsi="Arial"/>
          <w:sz w:val="16"/>
          <w:szCs w:val="16"/>
          <w:color w:val="auto"/>
        </w:rPr>
        <w:t>. “Interest expense, net of amounts capitalized” totaled $102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2025, an increase of $3 million, or 3.5%, as compared to 2024. The increase was primarily attributable to historical amounts owed related to the EchoStar XXIV lease.</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Income tax benefit (provision), net</w:t>
      </w:r>
      <w:r>
        <w:rPr>
          <w:rFonts w:ascii="Arial" w:cs="Arial" w:eastAsia="Arial" w:hAnsi="Arial"/>
          <w:sz w:val="16"/>
          <w:szCs w:val="16"/>
          <w:color w:val="auto"/>
        </w:rPr>
        <w:t>. “Income tax benefit (provision), net” was $399 million for the year ended</w:t>
      </w:r>
    </w:p>
    <w:p>
      <w:pPr>
        <w:spacing w:after="0" w:line="16" w:lineRule="exact"/>
        <w:rPr>
          <w:sz w:val="20"/>
          <w:szCs w:val="20"/>
          <w:color w:val="auto"/>
        </w:rPr>
      </w:pPr>
    </w:p>
    <w:p>
      <w:pPr>
        <w:ind w:left="40" w:right="119"/>
        <w:spacing w:after="0" w:line="250" w:lineRule="auto"/>
        <w:rPr>
          <w:sz w:val="20"/>
          <w:szCs w:val="20"/>
          <w:color w:val="auto"/>
        </w:rPr>
      </w:pPr>
      <w:r>
        <w:rPr>
          <w:rFonts w:ascii="Arial" w:cs="Arial" w:eastAsia="Arial" w:hAnsi="Arial"/>
          <w:sz w:val="16"/>
          <w:szCs w:val="16"/>
          <w:color w:val="auto"/>
        </w:rPr>
        <w:t>December 31, 2025, as compared to $34 million for the year ended December 31, 2024. This change was primarily related to increases in loss before income taxes and changes in our effective tax rate. Our effective tax rate for the year ended December 31, 2024 was impacted by foreign valuation allowances and an increase in our uncertain tax positions.</w:t>
      </w:r>
    </w:p>
    <w:p>
      <w:pPr>
        <w:spacing w:after="0" w:line="144" w:lineRule="exact"/>
        <w:rPr>
          <w:sz w:val="20"/>
          <w:szCs w:val="20"/>
          <w:color w:val="auto"/>
        </w:rPr>
      </w:pPr>
    </w:p>
    <w:p>
      <w:pPr>
        <w:ind w:left="40" w:right="59"/>
        <w:spacing w:after="0" w:line="260" w:lineRule="auto"/>
        <w:rPr>
          <w:sz w:val="20"/>
          <w:szCs w:val="20"/>
          <w:color w:val="auto"/>
        </w:rPr>
      </w:pPr>
      <w:r>
        <w:rPr>
          <w:rFonts w:ascii="Arial" w:cs="Arial" w:eastAsia="Arial" w:hAnsi="Arial"/>
          <w:sz w:val="16"/>
          <w:szCs w:val="16"/>
          <w:b w:val="1"/>
          <w:bCs w:val="1"/>
          <w:i w:val="1"/>
          <w:iCs w:val="1"/>
          <w:color w:val="auto"/>
        </w:rPr>
        <w:t xml:space="preserve">Net income (loss) attributable to HSSC. </w:t>
      </w:r>
      <w:r>
        <w:rPr>
          <w:rFonts w:ascii="Arial" w:cs="Arial" w:eastAsia="Arial" w:hAnsi="Arial"/>
          <w:sz w:val="16"/>
          <w:szCs w:val="16"/>
          <w:color w:val="auto"/>
        </w:rPr>
        <w:t>The changes in “Net income (loss) attributable to HSSC”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2025 compared to the same period in 2024 were primarily a result of the factors described in connection with operating revenues and operating expenses.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Non-GAAP Performance Measures and Reconciliation</w:t>
      </w:r>
    </w:p>
    <w:p>
      <w:pPr>
        <w:spacing w:after="0" w:line="194"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It is management’s intent to provide non-GAAP financial information to enhance the understanding of our financial information prepared in accordance with accounting principles generally accepted in the United States (“GAAP”),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OIBDA and Adjusted OIBDA</w:t>
      </w:r>
    </w:p>
    <w:p>
      <w:pPr>
        <w:spacing w:after="0" w:line="196"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OIBDA and Adjusted OIBDA, which are presented below, are non-GAAP measures and do not purport to be alternatives to operating income (loss) as a measure of operating performance.</w:t>
      </w:r>
    </w:p>
    <w:p>
      <w:pPr>
        <w:spacing w:after="0" w:line="133"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OIBDA is calculated by adding back depreciation and amortization expense to operating income (loss). We believe this measure is useful to management, investors and other users of our financial information in evaluating operating profitability of our business on a more variable cost basis as it excludes the depreciation and amortization expenses related primarily to capital expenditures and acquisitions, as well as in evaluating operating performance in relation to our competitors.</w:t>
      </w:r>
    </w:p>
    <w:p>
      <w:pPr>
        <w:spacing w:after="0" w:line="15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Adjusted OIBDA is calculated by adding back depreciation and amortization expense and impairments and other to operating income (loss). We believe this measure is useful to management, investors and other users of our financial information in evaluating operating profitability as it excludes one-time, non-cash items that we do not consider to be reflective of our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43" w:name="page44"/>
    <w:bookmarkEnd w:id="4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7"/>
          </w:tcPr>
          <w:p>
            <w:pPr>
              <w:jc w:val="center"/>
              <w:ind w:left="698"/>
              <w:spacing w:after="0"/>
              <w:rPr>
                <w:sz w:val="20"/>
                <w:szCs w:val="20"/>
                <w:color w:val="auto"/>
              </w:rPr>
            </w:pPr>
            <w:r>
              <w:rPr>
                <w:rFonts w:ascii="Arial" w:cs="Arial" w:eastAsia="Arial" w:hAnsi="Arial"/>
                <w:sz w:val="16"/>
                <w:szCs w:val="16"/>
                <w:b w:val="1"/>
                <w:bCs w:val="1"/>
                <w:color w:val="auto"/>
              </w:rPr>
              <w:t>For the Years Ended December 31,</w:t>
            </w:r>
          </w:p>
        </w:tc>
        <w:tc>
          <w:tcPr>
            <w:tcW w:w="1140" w:type="dxa"/>
            <w:vAlign w:val="bottom"/>
            <w:tcBorders>
              <w:bottom w:val="single" w:sz="8" w:color="auto"/>
            </w:tcBorders>
          </w:tcPr>
          <w:p>
            <w:pPr>
              <w:spacing w:after="0"/>
              <w:rPr>
                <w:sz w:val="17"/>
                <w:szCs w:val="17"/>
                <w:color w:val="auto"/>
              </w:rPr>
            </w:pPr>
          </w:p>
        </w:tc>
      </w:tr>
      <w:tr>
        <w:trPr>
          <w:trHeight w:val="184"/>
        </w:trPr>
        <w:tc>
          <w:tcPr>
            <w:tcW w:w="3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2025</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8"/>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6"/>
                <w:szCs w:val="16"/>
                <w:b w:val="1"/>
                <w:bCs w:val="1"/>
                <w:color w:val="auto"/>
              </w:rPr>
              <w:t>2023</w:t>
            </w:r>
          </w:p>
        </w:tc>
      </w:tr>
      <w:tr>
        <w:trPr>
          <w:trHeight w:val="164"/>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78"/>
              <w:spacing w:after="0" w:line="164" w:lineRule="exact"/>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4"/>
        </w:trPr>
        <w:tc>
          <w:tcPr>
            <w:tcW w:w="3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(1,596,351)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(169,830)</w:t>
            </w:r>
          </w:p>
        </w:tc>
        <w:tc>
          <w:tcPr>
            <w:tcW w:w="580" w:type="dxa"/>
            <w:vAlign w:val="bottom"/>
            <w:gridSpan w:val="2"/>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(394,981)</w:t>
            </w:r>
          </w:p>
        </w:tc>
      </w:tr>
      <w:tr>
        <w:trPr>
          <w:trHeight w:val="184"/>
        </w:trPr>
        <w:tc>
          <w:tcPr>
            <w:tcW w:w="3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333,003</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365,902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389,632</w:t>
            </w:r>
          </w:p>
        </w:tc>
      </w:tr>
      <w:tr>
        <w:trPr>
          <w:trHeight w:val="176"/>
        </w:trPr>
        <w:tc>
          <w:tcPr>
            <w:tcW w:w="364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OIBDA</w:t>
            </w:r>
          </w:p>
        </w:tc>
        <w:tc>
          <w:tcPr>
            <w:tcW w:w="3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(1,263,348)</w:t>
            </w:r>
          </w:p>
        </w:tc>
        <w:tc>
          <w:tcPr>
            <w:tcW w:w="3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196,072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(5,349)</w:t>
            </w:r>
          </w:p>
        </w:tc>
      </w:tr>
      <w:tr>
        <w:trPr>
          <w:trHeight w:val="176"/>
        </w:trPr>
        <w:tc>
          <w:tcPr>
            <w:tcW w:w="364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Impairments and other</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1,422,982</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532,940</w:t>
            </w:r>
          </w:p>
        </w:tc>
      </w:tr>
      <w:tr>
        <w:trPr>
          <w:trHeight w:val="176"/>
        </w:trPr>
        <w:tc>
          <w:tcPr>
            <w:tcW w:w="36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Adjusted OIBDA</w:t>
            </w: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159,634</w:t>
            </w:r>
          </w:p>
        </w:tc>
        <w:tc>
          <w:tcPr>
            <w:tcW w:w="3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196,072</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38"/>
              <w:spacing w:after="0" w:line="176"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527,591</w:t>
            </w:r>
          </w:p>
        </w:tc>
      </w:tr>
      <w:tr>
        <w:trPr>
          <w:trHeight w:val="20"/>
        </w:trPr>
        <w:tc>
          <w:tcPr>
            <w:tcW w:w="3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ind w:left="40" w:right="179"/>
        <w:spacing w:after="0" w:line="281" w:lineRule="auto"/>
        <w:rPr>
          <w:sz w:val="20"/>
          <w:szCs w:val="20"/>
          <w:color w:val="auto"/>
        </w:rPr>
      </w:pPr>
      <w:r>
        <w:rPr>
          <w:rFonts w:ascii="Arial" w:cs="Arial" w:eastAsia="Arial" w:hAnsi="Arial"/>
          <w:sz w:val="16"/>
          <w:szCs w:val="16"/>
          <w:color w:val="auto"/>
        </w:rPr>
        <w:t>The changes in OIBDA and Adjusted OIBDA during the years ended December 31, 2025, 2024 and 2023 were primarily a result of the factors described in connection with operating revenues and operating expenses.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Guarantor Financial Information</w:t>
      </w:r>
    </w:p>
    <w:p>
      <w:pPr>
        <w:spacing w:after="0" w:line="19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Our senior notes are jointly and severally guaranteed on a senior secured basis by certain of our wholly-owned subsidiaries (the “Guarantors”). Specifically, EchoStar Orbital, L.L.C., EchoStar Government Services, L.L.C., EchoStar Satellite Services L.L.C., HNS-India VSAT, Inc., Hughes Network Systems, L.L.C, HNS License-Sub L.L.C., HNS Real Estate L.L.C., Hughes Communications, Inc., Hughes Network Systems International Service, Co., HNS Americas, L.L.C., HNS Americas II, L.L.C.</w:t>
      </w:r>
    </w:p>
    <w:p>
      <w:pPr>
        <w:spacing w:after="0" w:line="34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Certain of our wholly-owned subsidiaries are designated as “Unrestricted Subsidiaries” and do not guarantee any of our registered senior notes. The guarantee of the Guarantors will be discharged and released in accordance with the terms of the applicable indenture. The rights of holders of the registered senior notes against the Guarantors may be limited under the U.S. Bankruptcy Code or state fraudulent transfer or conveyance law.</w:t>
      </w:r>
    </w:p>
    <w:p>
      <w:pPr>
        <w:spacing w:after="0" w:line="156"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Each entity in the summarized combined financial information follows the same accounting policies as described in our consolidated financial statements. Information for the non-Guarantor subsidiaries has been excluded from the combined summarized financial information of the obligated group. The accompanying summarized combined financial information does not reflect investments of the obligated group in non-Guarantor subsidiaries. The financial information of the obligated group is presented on a combined basis and is derived from HSSC’s consolidated financial statements; intercompany balances and transactions within the obligated group have been eliminated. The obligated group’s amounts due to non-Guarantor subsidiaries and related parties have been presented in separate line items.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summarized balance sheet information for the obligor group of debt issued by HSSC is presented in the table below.</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18"/>
              <w:spacing w:after="0"/>
              <w:rPr>
                <w:sz w:val="20"/>
                <w:szCs w:val="20"/>
                <w:color w:val="auto"/>
              </w:rPr>
            </w:pPr>
            <w:r>
              <w:rPr>
                <w:rFonts w:ascii="Arial" w:cs="Arial" w:eastAsia="Arial" w:hAnsi="Arial"/>
                <w:sz w:val="16"/>
                <w:szCs w:val="16"/>
                <w:b w:val="1"/>
                <w:bCs w:val="1"/>
                <w:color w:val="auto"/>
              </w:rPr>
              <w:t>As of December 31,</w:t>
            </w:r>
          </w:p>
        </w:tc>
      </w:tr>
      <w:tr>
        <w:trPr>
          <w:trHeight w:val="184"/>
        </w:trPr>
        <w:tc>
          <w:tcPr>
            <w:tcW w:w="31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2024</w:t>
            </w:r>
          </w:p>
        </w:tc>
      </w:tr>
      <w:tr>
        <w:trPr>
          <w:trHeight w:val="164"/>
        </w:trPr>
        <w:tc>
          <w:tcPr>
            <w:tcW w:w="3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spacing w:after="0" w:line="164" w:lineRule="exact"/>
              <w:rPr>
                <w:sz w:val="20"/>
                <w:szCs w:val="20"/>
                <w:color w:val="auto"/>
              </w:rPr>
            </w:pPr>
            <w:r>
              <w:rPr>
                <w:rFonts w:ascii="Arial" w:cs="Arial" w:eastAsia="Arial" w:hAnsi="Arial"/>
                <w:sz w:val="16"/>
                <w:szCs w:val="16"/>
                <w:color w:val="auto"/>
              </w:rPr>
              <w:t>(In thousands)</w:t>
            </w:r>
          </w:p>
        </w:tc>
        <w:tc>
          <w:tcPr>
            <w:tcW w:w="860" w:type="dxa"/>
            <w:vAlign w:val="bottom"/>
          </w:tcPr>
          <w:p>
            <w:pPr>
              <w:spacing w:after="0"/>
              <w:rPr>
                <w:sz w:val="14"/>
                <w:szCs w:val="14"/>
                <w:color w:val="auto"/>
              </w:rPr>
            </w:pPr>
          </w:p>
        </w:tc>
      </w:tr>
      <w:tr>
        <w:trPr>
          <w:trHeight w:val="184"/>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3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570,212</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572,781</w:t>
            </w:r>
          </w:p>
        </w:tc>
      </w:tr>
      <w:tr>
        <w:trPr>
          <w:trHeight w:val="184"/>
        </w:trPr>
        <w:tc>
          <w:tcPr>
            <w:tcW w:w="3100" w:type="dxa"/>
            <w:vAlign w:val="bottom"/>
          </w:tcPr>
          <w:p>
            <w:pPr>
              <w:spacing w:after="0"/>
              <w:rPr>
                <w:sz w:val="20"/>
                <w:szCs w:val="20"/>
                <w:color w:val="auto"/>
              </w:rPr>
            </w:pPr>
            <w:r>
              <w:rPr>
                <w:rFonts w:ascii="Arial" w:cs="Arial" w:eastAsia="Arial" w:hAnsi="Arial"/>
                <w:sz w:val="16"/>
                <w:szCs w:val="16"/>
                <w:color w:val="auto"/>
              </w:rPr>
              <w:t>Noncurrent assets</w:t>
            </w: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1,095,828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2,575,931</w:t>
            </w:r>
          </w:p>
        </w:tc>
      </w:tr>
      <w:tr>
        <w:trPr>
          <w:trHeight w:val="184"/>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2,006,221</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410,630</w:t>
            </w:r>
          </w:p>
        </w:tc>
      </w:tr>
      <w:tr>
        <w:trPr>
          <w:trHeight w:val="184"/>
        </w:trPr>
        <w:tc>
          <w:tcPr>
            <w:tcW w:w="3100" w:type="dxa"/>
            <w:vAlign w:val="bottom"/>
          </w:tcPr>
          <w:p>
            <w:pPr>
              <w:spacing w:after="0"/>
              <w:rPr>
                <w:sz w:val="20"/>
                <w:szCs w:val="20"/>
                <w:color w:val="auto"/>
              </w:rPr>
            </w:pPr>
            <w:r>
              <w:rPr>
                <w:rFonts w:ascii="Arial" w:cs="Arial" w:eastAsia="Arial" w:hAnsi="Arial"/>
                <w:sz w:val="16"/>
                <w:szCs w:val="16"/>
                <w:color w:val="auto"/>
              </w:rPr>
              <w:t>Noncurrent liabilities</w:t>
            </w: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759,832</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2,588,899</w:t>
            </w:r>
          </w:p>
        </w:tc>
      </w:tr>
      <w:tr>
        <w:trPr>
          <w:trHeight w:val="184"/>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Due from non-guarantors</w:t>
            </w: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94,047</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91,679</w:t>
            </w:r>
          </w:p>
        </w:tc>
      </w:tr>
      <w:tr>
        <w:trPr>
          <w:trHeight w:val="184"/>
        </w:trPr>
        <w:tc>
          <w:tcPr>
            <w:tcW w:w="3100" w:type="dxa"/>
            <w:vAlign w:val="bottom"/>
          </w:tcPr>
          <w:p>
            <w:pPr>
              <w:spacing w:after="0"/>
              <w:rPr>
                <w:sz w:val="20"/>
                <w:szCs w:val="20"/>
                <w:color w:val="auto"/>
              </w:rPr>
            </w:pPr>
            <w:r>
              <w:rPr>
                <w:rFonts w:ascii="Arial" w:cs="Arial" w:eastAsia="Arial" w:hAnsi="Arial"/>
                <w:sz w:val="16"/>
                <w:szCs w:val="16"/>
                <w:color w:val="auto"/>
              </w:rPr>
              <w:t>Due from related parties</w:t>
            </w:r>
          </w:p>
        </w:tc>
        <w:tc>
          <w:tcPr>
            <w:tcW w:w="2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54,278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19,881</w:t>
            </w:r>
          </w:p>
        </w:tc>
      </w:tr>
      <w:tr>
        <w:trPr>
          <w:trHeight w:val="184"/>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Due to non-guarantors</w:t>
            </w:r>
          </w:p>
        </w:tc>
        <w:tc>
          <w:tcPr>
            <w:tcW w:w="2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30,352</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38,880</w:t>
            </w:r>
          </w:p>
        </w:tc>
      </w:tr>
      <w:tr>
        <w:trPr>
          <w:trHeight w:val="216"/>
        </w:trPr>
        <w:tc>
          <w:tcPr>
            <w:tcW w:w="3100" w:type="dxa"/>
            <w:vAlign w:val="bottom"/>
          </w:tcPr>
          <w:p>
            <w:pPr>
              <w:spacing w:after="0"/>
              <w:rPr>
                <w:sz w:val="20"/>
                <w:szCs w:val="20"/>
                <w:color w:val="auto"/>
              </w:rPr>
            </w:pPr>
            <w:r>
              <w:rPr>
                <w:rFonts w:ascii="Arial" w:cs="Arial" w:eastAsia="Arial" w:hAnsi="Arial"/>
                <w:sz w:val="16"/>
                <w:szCs w:val="16"/>
                <w:color w:val="auto"/>
              </w:rPr>
              <w:t>Due to related parties</w:t>
            </w: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789,687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788,633</w:t>
            </w:r>
          </w:p>
        </w:tc>
      </w:tr>
      <w:tr>
        <w:trPr>
          <w:trHeight w:val="927"/>
        </w:trPr>
        <w:tc>
          <w:tcPr>
            <w:tcW w:w="3100" w:type="dxa"/>
            <w:vAlign w:val="bottom"/>
          </w:tcPr>
          <w:p>
            <w:pPr>
              <w:spacing w:after="0"/>
              <w:rPr>
                <w:sz w:val="24"/>
                <w:szCs w:val="24"/>
                <w:color w:val="auto"/>
              </w:rPr>
            </w:pPr>
          </w:p>
        </w:tc>
        <w:tc>
          <w:tcPr>
            <w:tcW w:w="2940" w:type="dxa"/>
            <w:vAlign w:val="bottom"/>
          </w:tcPr>
          <w:p>
            <w:pPr>
              <w:jc w:val="right"/>
              <w:ind w:right="1398"/>
              <w:spacing w:after="0"/>
              <w:rPr>
                <w:sz w:val="20"/>
                <w:szCs w:val="20"/>
                <w:color w:val="auto"/>
              </w:rPr>
            </w:pPr>
            <w:r>
              <w:rPr>
                <w:rFonts w:ascii="Arial" w:cs="Arial" w:eastAsia="Arial" w:hAnsi="Arial"/>
                <w:sz w:val="16"/>
                <w:szCs w:val="16"/>
                <w:color w:val="auto"/>
              </w:rPr>
              <w:t>39</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92"/>
        </w:trPr>
        <w:tc>
          <w:tcPr>
            <w:tcW w:w="3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8" w:right="1440" w:bottom="1440" w:gutter="0" w:footer="0" w:header="0"/>
        </w:sectPr>
      </w:pPr>
    </w:p>
    <w:bookmarkStart w:id="44" w:name="page45"/>
    <w:bookmarkEnd w:id="4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right="239"/>
        <w:spacing w:after="0" w:line="258" w:lineRule="auto"/>
        <w:rPr>
          <w:sz w:val="20"/>
          <w:szCs w:val="20"/>
          <w:color w:val="auto"/>
        </w:rPr>
      </w:pPr>
      <w:r>
        <w:rPr>
          <w:rFonts w:ascii="Arial" w:cs="Arial" w:eastAsia="Arial" w:hAnsi="Arial"/>
          <w:sz w:val="16"/>
          <w:szCs w:val="16"/>
          <w:color w:val="auto"/>
        </w:rPr>
        <w:t>The summarized results of operations information for the combined obligor group of debt issued by HSSC is presented in the table below.</w:t>
      </w:r>
    </w:p>
    <w:tbl>
      <w:tblPr>
        <w:tblLayout w:type="fixed"/>
        <w:tblInd w:w="40" w:type="dxa"/>
        <w:tblCellMar>
          <w:top w:w="0" w:type="dxa"/>
          <w:left w:w="0" w:type="dxa"/>
          <w:bottom w:w="0" w:type="dxa"/>
          <w:right w:w="0" w:type="dxa"/>
        </w:tblCellMar>
      </w:tblPr>
      <w:tr>
        <w:trPr>
          <w:trHeight w:val="168"/>
        </w:trPr>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2"/>
          </w:tcPr>
          <w:p>
            <w:pPr>
              <w:ind w:left="120"/>
              <w:spacing w:after="0" w:line="168" w:lineRule="exact"/>
              <w:rPr>
                <w:sz w:val="20"/>
                <w:szCs w:val="20"/>
                <w:color w:val="auto"/>
              </w:rPr>
            </w:pPr>
            <w:r>
              <w:rPr>
                <w:rFonts w:ascii="Arial" w:cs="Arial" w:eastAsia="Arial" w:hAnsi="Arial"/>
                <w:sz w:val="16"/>
                <w:szCs w:val="16"/>
                <w:b w:val="1"/>
                <w:bCs w:val="1"/>
                <w:color w:val="auto"/>
              </w:rPr>
              <w:t>For the Year Ended</w:t>
            </w:r>
          </w:p>
        </w:tc>
      </w:tr>
      <w:tr>
        <w:trPr>
          <w:trHeight w:val="205"/>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2025</w:t>
            </w:r>
          </w:p>
        </w:tc>
      </w:tr>
      <w:tr>
        <w:trPr>
          <w:trHeight w:val="184"/>
        </w:trPr>
        <w:tc>
          <w:tcPr>
            <w:tcW w:w="67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right"/>
              <w:ind w:right="418"/>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5"/>
                <w:szCs w:val="15"/>
                <w:color w:val="auto"/>
              </w:rPr>
            </w:pPr>
          </w:p>
        </w:tc>
      </w:tr>
      <w:tr>
        <w:trPr>
          <w:trHeight w:val="184"/>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1,218,302</w:t>
            </w:r>
          </w:p>
        </w:tc>
        <w:tc>
          <w:tcPr>
            <w:tcW w:w="20" w:type="dxa"/>
            <w:vAlign w:val="bottom"/>
          </w:tcPr>
          <w:p>
            <w:pPr>
              <w:spacing w:after="0"/>
              <w:rPr>
                <w:sz w:val="15"/>
                <w:szCs w:val="15"/>
                <w:color w:val="auto"/>
              </w:rPr>
            </w:pPr>
          </w:p>
        </w:tc>
      </w:tr>
      <w:tr>
        <w:trPr>
          <w:trHeight w:val="184"/>
        </w:trPr>
        <w:tc>
          <w:tcPr>
            <w:tcW w:w="6760" w:type="dxa"/>
            <w:vAlign w:val="bottom"/>
          </w:tcPr>
          <w:p>
            <w:pPr>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(1,577,027)</w:t>
            </w:r>
          </w:p>
        </w:tc>
        <w:tc>
          <w:tcPr>
            <w:tcW w:w="20" w:type="dxa"/>
            <w:vAlign w:val="bottom"/>
          </w:tcPr>
          <w:p>
            <w:pPr>
              <w:spacing w:after="0"/>
              <w:rPr>
                <w:sz w:val="15"/>
                <w:szCs w:val="15"/>
                <w:color w:val="auto"/>
              </w:rPr>
            </w:pPr>
          </w:p>
        </w:tc>
      </w:tr>
      <w:tr>
        <w:trPr>
          <w:trHeight w:val="184"/>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2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(1,262,348)</w:t>
            </w:r>
          </w:p>
        </w:tc>
        <w:tc>
          <w:tcPr>
            <w:tcW w:w="20" w:type="dxa"/>
            <w:vAlign w:val="bottom"/>
          </w:tcPr>
          <w:p>
            <w:pPr>
              <w:spacing w:after="0"/>
              <w:rPr>
                <w:sz w:val="15"/>
                <w:szCs w:val="15"/>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6"/>
                <w:szCs w:val="16"/>
                <w:color w:val="auto"/>
              </w:rPr>
              <w:t>Revenue from non-guarantors</w:t>
            </w: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31,698</w:t>
            </w:r>
          </w:p>
        </w:tc>
        <w:tc>
          <w:tcPr>
            <w:tcW w:w="20" w:type="dxa"/>
            <w:vAlign w:val="bottom"/>
          </w:tcPr>
          <w:p>
            <w:pPr>
              <w:spacing w:after="0"/>
              <w:rPr>
                <w:sz w:val="18"/>
                <w:szCs w:val="18"/>
                <w:color w:val="auto"/>
              </w:rPr>
            </w:pPr>
          </w:p>
        </w:tc>
      </w:tr>
    </w:tbl>
    <w:p>
      <w:pPr>
        <w:spacing w:after="0" w:line="147"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The indentures governing our Notes contain restrictive covenants that, among other things, impose limitations on our ability and the ability of certain of our subsidiaries to pay dividends or make distributions, incur additional debt, make certain investments, create liens or enter into sale and leaseback transactions, merge or consolidate with another company, transfer and sell assets, enter into transactions with affiliates or allow to exist certain restrictions on the ability to pay dividends, make distributions, make other payments or transfer assets.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Satellites</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Operation of our Hughes segment requires adequate satellite transmission capacity for the services that we offer.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Satellite Insurance</w:t>
      </w:r>
    </w:p>
    <w:p>
      <w:pPr>
        <w:spacing w:after="0" w:line="194"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We generally do not carry commercial in-orbit insurance on any of the satellites that we own and therefore, we will bear the risk associated with any uninsured in-orbit satellite failures.</w:t>
      </w:r>
    </w:p>
    <w:p>
      <w:pPr>
        <w:spacing w:after="0" w:line="133" w:lineRule="exact"/>
        <w:rPr>
          <w:sz w:val="20"/>
          <w:szCs w:val="20"/>
          <w:color w:val="auto"/>
        </w:rPr>
      </w:pPr>
    </w:p>
    <w:p>
      <w:pPr>
        <w:jc w:val="both"/>
        <w:ind w:left="40" w:right="59" w:hanging="6"/>
        <w:spacing w:after="0" w:line="246" w:lineRule="auto"/>
        <w:rPr>
          <w:sz w:val="20"/>
          <w:szCs w:val="20"/>
          <w:color w:val="auto"/>
        </w:rPr>
      </w:pPr>
      <w:r>
        <w:rPr>
          <w:rFonts w:ascii="Arial" w:cs="Arial" w:eastAsia="Arial" w:hAnsi="Arial"/>
          <w:sz w:val="16"/>
          <w:szCs w:val="16"/>
          <w:color w:val="auto"/>
        </w:rPr>
        <w:t>Pursuant to the terms of our joint venture agreement with Al Yah Satellite Communications Company PrJSC (“Yahsat”) in Brazil in 2019, we were required to maintain insurance for the Al Yah 3 Brazilian payload during the commercial in-orbit service of such payload, subject to certain limitations on coverage. The insurance policies were procured by Yahsat, under which we and Yahsat are the beneficiaries of any claims in proportion to their shareholdings. An insurance claim was submitted in the second quarter of 2023 for compensation with respect to the reduction in estimated useful life of the Al Yah 3 satellite, which we no longer utilize. During the year ended December 31, 2025, we received $5 million in proceeds from the insurance carrier.</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will continue to assess circumstances going forward and make insurance-related decisions on a case-by-case basis.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Satellite Anomalies and Impairments</w:t>
      </w:r>
    </w:p>
    <w:p>
      <w:pPr>
        <w:spacing w:after="0" w:line="196"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Our satellites may experience anomalies from time to time, some of which may have a significant adverse effect on their remaining useful lives, the commercial operation of the satellites, our operating results or financial position. Other than the anomalies related to the Al Yah 3 satellite in 2023, which we no longer utilize, we are not aware of any other anomalies with respect to our owned or leased satellites as of December 31, 2025. There can be no assurance, however, that undetected existing or future anomalies will not have a significant adverse effect on our operations or revenue in the future. In addition, there can be no assurance that we can recover critical transmission capacity in the event one or more of our satellites were to fail.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45" w:name="page46"/>
    <w:bookmarkEnd w:id="4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Cybersecurity</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year ended December 31, 2025 and through March 31, 2026. There can be no assurance, however, that a cybersecurity incident will be detected or thwarted or will not have a material adverse effect in the future.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46" w:name="page47"/>
    <w:bookmarkEnd w:id="4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Market Risks Associated with Financial Instruments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investments and debt are exposed to market risks, discussed below.</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Current Marketable Investment Securities</w:t>
      </w:r>
    </w:p>
    <w:p>
      <w:pPr>
        <w:spacing w:after="0" w:line="196"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As of December 31, 2025, our cash, cash equivalents and current marketable investment securities had a fair value of $119 million. Of that amount, a total of $119 million was invested in: (a) cash; (b) money market funds; (c) debt instruments of the United States Government and its agencies; (d) commercial paper and corporate notes with an overall average maturity of less than one year and rated in one of the four highest rating categories by at least two nationally recognized statistical rating organizations; and/or (e) instruments with similar risk, duration and credit quality characteristics to the commercial paper and corporate obligations described above. The primary purpose of these investing activities has been to preserve principal until the cash is required to, among other things, continue investing in our business, pursue acquisitions and other strategic transactions, fund ongoing operations, repay debt obligations and expand our business. Consequently, the size of this portfolio can fluctuate significantly as cash is received and used in our business for these or other purposes. The value of this portfolio is negatively impacted by credit losses; however, this risk is mitigated through diversification that limits our exposure to any one issuer.</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Interest Rate Risk</w:t>
      </w:r>
    </w:p>
    <w:p>
      <w:pPr>
        <w:spacing w:after="0" w:line="194"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A change in interest rates would affect the fair value of our cash, cash equivalents and current marketable investment securities portfolio; however, we normally hold these investments to maturity. Based on our December 31, 2025 current non-strategic investment portfolio of $119 million, a hypothetical 10% change in average interest rates would not have a material impact on the fair value due to the limited duration of our investments.</w:t>
      </w:r>
    </w:p>
    <w:p>
      <w:pPr>
        <w:spacing w:after="0" w:line="15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Our cash, cash equivalents and current marketable investment securities had an average annual rate of return for the year ended December 31, 2025 of 4.9%. A change in interest rates would affect our future annual interest income from this portfolio, since funds would be re-invested at different rates as the instruments mature. A hypothetical 10% decrease in average interest rates during 2025 would not have a material impact on annual interest income.</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Investments</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When applicable, 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sell them, we will not be able to recover our investment.</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Foreign Currency Exchange Risk</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Our international business is conducted in a variety of foreign currencies with our largest exposures being to the Brazilian real, the Indian rupee, European euro and the British pound. Transactions in foreign currencies are converted into U.S. dollars using exchange rates in effect on the dates of the transactions. This exposes us to fluctuations in foreign currency exchange rates.</w:t>
      </w:r>
    </w:p>
    <w:p>
      <w:pPr>
        <w:spacing w:after="0" w:line="15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Our objective in managing our exposure to foreign currency changes is to reduce earnings and cash flow volatility associated with foreign currency exchange rate fluctuations, primarily resulting from loans to foreign subsidiaries in U.S. dollars. Accordingly, we may enter into foreign currency forward contracts, or take other measures, to mitigate risks associated with foreign currency denominated assets, liabilities, commitments and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47" w:name="page48"/>
    <w:bookmarkEnd w:id="4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anticipated foreign currency transactions. As of December 31, 2025, we had foreign currency forward contracts with a notional amount of $4 million in place to partially mitigate foreign currency exchange risk. The estimated fair values of the foreign currency contracts were not material as of December 31, 2025. The impact of a hypothetical 10% adverse change in exchange rates on the carrying amount of the net assets and liabilities of our foreign subsidiaries during 2025 would have resulted in an estimated loss to the cumulative translation adjustment of $30 million as of December 31, 2025.</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Debt</w:t>
      </w:r>
    </w:p>
    <w:p>
      <w:pPr>
        <w:spacing w:after="0" w:line="196"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As of December 31, 2025, we had debt of $1.536 billion, excluding finance lease obligations and unamortized deferred financing costs and debt discounts, on our Consolidated Balance Sheets. We estimated the fair value of this debt to be approximately $1.451 billion using quoted market prices. The fair value of our debt is affected by, among other factors, fluctuations in interest rates. A hypothetical 10% decrease in assumed interest rates would increase the fair value of our debt by approximately $9 million. To the extent interest rates increase, our future costs of financing would increase at the time of any future financings. As of December 31, 2025, primarily all of our long-term debt consisted of fixed rate indebtedness.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 and/or Financial Liability Instruments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From time to time, we invest in speculative financial instruments, including derivative and/or financial liability instruments.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2025, we did not hold any material derivative or financial liability instruments.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consolidated financial statements are included in this Annual Report on Form 10-K beginning on page F-1.</w:t>
      </w:r>
    </w:p>
    <w:p>
      <w:pPr>
        <w:spacing w:after="0" w:line="184" w:lineRule="exact"/>
        <w:rPr>
          <w:sz w:val="20"/>
          <w:szCs w:val="20"/>
          <w:color w:val="auto"/>
        </w:rPr>
      </w:pPr>
    </w:p>
    <w:p>
      <w:pPr>
        <w:ind w:left="40" w:right="899"/>
        <w:spacing w:after="0" w:line="291" w:lineRule="auto"/>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applicable.</w:t>
      </w:r>
    </w:p>
    <w:p>
      <w:pPr>
        <w:spacing w:after="0" w:line="184"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9A.</w:t>
        <w:tab/>
        <w:t>CONTROLS AND PROCEDURES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Disclosure controls and procedures</w:t>
      </w:r>
    </w:p>
    <w:p>
      <w:pPr>
        <w:spacing w:after="0" w:line="19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Principal Financial Officer, we evaluated the effectiveness of our disclosure controls and procedures (as defined in Rule 13a-15(e) under the Securities Exchange Act of 1934) as of the end of the period covered by this report. Based upon that evaluation, our Chief Executive Officer and Principal Financial Officer concluded that our disclosure controls and procedures were effective as of the end of the period covered by this report.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48" w:name="page49"/>
    <w:bookmarkEnd w:id="4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96" w:lineRule="exact"/>
        <w:rPr>
          <w:sz w:val="20"/>
          <w:szCs w:val="20"/>
          <w:color w:val="auto"/>
        </w:rPr>
      </w:pPr>
    </w:p>
    <w:p>
      <w:pPr>
        <w:jc w:val="both"/>
        <w:ind w:left="40" w:right="399"/>
        <w:spacing w:after="0" w:line="25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internal control over financial reporting includes those policies and procedures that:</w:t>
      </w:r>
    </w:p>
    <w:p>
      <w:pPr>
        <w:spacing w:after="0" w:line="196" w:lineRule="exact"/>
        <w:rPr>
          <w:sz w:val="20"/>
          <w:szCs w:val="20"/>
          <w:color w:val="auto"/>
        </w:rPr>
      </w:pPr>
    </w:p>
    <w:p>
      <w:pPr>
        <w:ind w:left="660" w:right="279" w:hanging="299"/>
        <w:spacing w:after="0" w:line="25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our transactions and dispositions of our assets;</w:t>
      </w:r>
    </w:p>
    <w:p>
      <w:pPr>
        <w:ind w:left="660" w:right="339" w:hanging="299"/>
        <w:spacing w:after="0" w:line="239"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generally accepted accounting principles, and that our receipts and expenditures are being made only in accordance with authorizations of our management and our directors; and</w:t>
      </w:r>
    </w:p>
    <w:p>
      <w:pPr>
        <w:spacing w:after="0" w:line="1" w:lineRule="exact"/>
        <w:rPr>
          <w:rFonts w:ascii="Arial" w:cs="Arial" w:eastAsia="Arial" w:hAnsi="Arial"/>
          <w:sz w:val="16"/>
          <w:szCs w:val="16"/>
          <w:color w:val="auto"/>
        </w:rPr>
      </w:pPr>
    </w:p>
    <w:p>
      <w:pPr>
        <w:ind w:left="660" w:right="679" w:hanging="299"/>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our financial statements.</w:t>
      </w:r>
    </w:p>
    <w:p>
      <w:pPr>
        <w:spacing w:after="0" w:line="149"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5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 (COSO). Based on this evaluation, our management concluded that our internal control over financial reporting was effective as of December 31, 2025.</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9B.  OTHER INFORMATION</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10b5-1 Trading Arrangements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49" w:name="page50"/>
    <w:bookmarkEnd w:id="4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PART III</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Appointment of Independent Registered Public Accounting Firm</w:t>
      </w:r>
    </w:p>
    <w:p>
      <w:pPr>
        <w:spacing w:after="0" w:line="196"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b w:val="1"/>
          <w:bCs w:val="1"/>
          <w:i w:val="1"/>
          <w:iCs w:val="1"/>
          <w:color w:val="auto"/>
        </w:rPr>
        <w:t xml:space="preserve">Appointment of Independent Registered Public Accounting Firm for 2025. </w:t>
      </w:r>
      <w:r>
        <w:rPr>
          <w:rFonts w:ascii="Arial" w:cs="Arial" w:eastAsia="Arial" w:hAnsi="Arial"/>
          <w:sz w:val="16"/>
          <w:szCs w:val="16"/>
          <w:color w:val="auto"/>
        </w:rPr>
        <w:t>KPMG LLP served as our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registered public accounting firm for the fiscal year ended December 31, 2025.</w:t>
      </w:r>
    </w:p>
    <w:p>
      <w:pPr>
        <w:spacing w:after="0" w:line="133"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Our parent, EchoStar’s Board of Directors, in its discretion, may direct the appointment of a different independent registered public accounting firm at any time during the year if the Board of Directors believes that a change would be in its best interests.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Fees Paid to KPMG LLP for 2025 and 2024</w:t>
      </w:r>
    </w:p>
    <w:p>
      <w:pPr>
        <w:spacing w:after="0" w:line="196" w:lineRule="exact"/>
        <w:rPr>
          <w:sz w:val="20"/>
          <w:szCs w:val="20"/>
          <w:color w:val="auto"/>
        </w:rPr>
      </w:pPr>
    </w:p>
    <w:p>
      <w:pPr>
        <w:ind w:left="40" w:right="99"/>
        <w:spacing w:after="0" w:line="250" w:lineRule="auto"/>
        <w:rPr>
          <w:sz w:val="20"/>
          <w:szCs w:val="20"/>
          <w:color w:val="auto"/>
        </w:rPr>
      </w:pPr>
      <w:r>
        <w:rPr>
          <w:rFonts w:ascii="Arial" w:cs="Arial" w:eastAsia="Arial" w:hAnsi="Arial"/>
          <w:sz w:val="16"/>
          <w:szCs w:val="16"/>
          <w:color w:val="auto"/>
        </w:rPr>
        <w:t>The following table presents fees for the aggregate professional audit services rendered by KPMG LLP for the annual audit of the financial statements of EchoStar and its subsidiaries for the years ended December 31, 2025 and 2024, and fees billed for other services rendered by KPMG LLP to EchoStar and its subsidiaries during those periods. We have reported the fees billed for services rendered to both EchoStar and its subsidiaries because the services are not rendered or billed specifically for us but for the EchoStar consolidated group as a whole.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300" w:type="dxa"/>
            <w:vAlign w:val="bottom"/>
          </w:tcPr>
          <w:p>
            <w:pPr>
              <w:ind w:left="2140"/>
              <w:spacing w:after="0"/>
              <w:rPr>
                <w:sz w:val="20"/>
                <w:szCs w:val="20"/>
                <w:color w:val="auto"/>
              </w:rPr>
            </w:pPr>
            <w:r>
              <w:rPr>
                <w:rFonts w:ascii="Arial" w:cs="Arial" w:eastAsia="Arial" w:hAnsi="Arial"/>
                <w:sz w:val="16"/>
                <w:szCs w:val="16"/>
                <w:b w:val="1"/>
                <w:bCs w:val="1"/>
                <w:color w:val="auto"/>
              </w:rPr>
              <w:t>​​​</w:t>
            </w:r>
          </w:p>
        </w:tc>
        <w:tc>
          <w:tcPr>
            <w:tcW w:w="4380" w:type="dxa"/>
            <w:vAlign w:val="bottom"/>
            <w:tcBorders>
              <w:bottom w:val="single" w:sz="8" w:color="auto"/>
            </w:tcBorders>
            <w:gridSpan w:val="5"/>
          </w:tcPr>
          <w:p>
            <w:pPr>
              <w:ind w:left="820"/>
              <w:spacing w:after="0"/>
              <w:rPr>
                <w:sz w:val="20"/>
                <w:szCs w:val="20"/>
                <w:color w:val="auto"/>
              </w:rPr>
            </w:pPr>
            <w:r>
              <w:rPr>
                <w:rFonts w:ascii="Arial" w:cs="Arial" w:eastAsia="Arial" w:hAnsi="Arial"/>
                <w:sz w:val="16"/>
                <w:szCs w:val="16"/>
                <w:b w:val="1"/>
                <w:bCs w:val="1"/>
                <w:color w:val="auto"/>
              </w:rPr>
              <w:t>For the Years Ended December 31,</w:t>
            </w:r>
          </w:p>
        </w:tc>
      </w:tr>
      <w:tr>
        <w:trPr>
          <w:trHeight w:val="184"/>
        </w:trPr>
        <w:tc>
          <w:tcPr>
            <w:tcW w:w="2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20" w:type="dxa"/>
            <w:vAlign w:val="bottom"/>
          </w:tcPr>
          <w:p>
            <w:pPr>
              <w:ind w:left="820"/>
              <w:spacing w:after="0"/>
              <w:rPr>
                <w:sz w:val="20"/>
                <w:szCs w:val="20"/>
                <w:color w:val="auto"/>
              </w:rPr>
            </w:pPr>
            <w:r>
              <w:rPr>
                <w:rFonts w:ascii="Arial" w:cs="Arial" w:eastAsia="Arial" w:hAnsi="Arial"/>
                <w:sz w:val="16"/>
                <w:szCs w:val="16"/>
                <w:b w:val="1"/>
                <w:bCs w:val="1"/>
                <w:color w:val="auto"/>
              </w:rPr>
              <w:t>2025</w:t>
            </w:r>
          </w:p>
        </w:tc>
        <w:tc>
          <w:tcPr>
            <w:tcW w:w="800" w:type="dxa"/>
            <w:vAlign w:val="bottom"/>
          </w:tcPr>
          <w:p>
            <w:pPr>
              <w:spacing w:after="0"/>
              <w:rPr>
                <w:sz w:val="15"/>
                <w:szCs w:val="15"/>
                <w:color w:val="auto"/>
              </w:rPr>
            </w:pPr>
          </w:p>
        </w:tc>
        <w:tc>
          <w:tcPr>
            <w:tcW w:w="780" w:type="dxa"/>
            <w:vAlign w:val="bottom"/>
            <w:gridSpan w:val="2"/>
          </w:tcPr>
          <w:p>
            <w:pPr>
              <w:jc w:val="right"/>
              <w:ind w:right="403"/>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758"/>
              <w:spacing w:after="0"/>
              <w:rPr>
                <w:sz w:val="20"/>
                <w:szCs w:val="20"/>
                <w:color w:val="auto"/>
              </w:rPr>
            </w:pPr>
            <w:r>
              <w:rPr>
                <w:rFonts w:ascii="Arial" w:cs="Arial" w:eastAsia="Arial" w:hAnsi="Arial"/>
                <w:sz w:val="16"/>
                <w:szCs w:val="16"/>
                <w:b w:val="1"/>
                <w:bCs w:val="1"/>
                <w:color w:val="auto"/>
              </w:rPr>
              <w:t>2024</w:t>
            </w:r>
          </w:p>
        </w:tc>
      </w:tr>
      <w:tr>
        <w:trPr>
          <w:trHeight w:val="176"/>
        </w:trPr>
        <w:tc>
          <w:tcPr>
            <w:tcW w:w="45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color w:val="auto"/>
              </w:rPr>
              <w:t>Audit Fees (1)</w:t>
            </w:r>
          </w:p>
        </w:tc>
        <w:tc>
          <w:tcPr>
            <w:tcW w:w="1220" w:type="dxa"/>
            <w:vAlign w:val="bottom"/>
            <w:tcBorders>
              <w:top w:val="single" w:sz="8" w:color="auto"/>
            </w:tcBorders>
            <w:shd w:val="clear" w:color="auto" w:fill="CCEEFF"/>
          </w:tcPr>
          <w:p>
            <w:pPr>
              <w:jc w:val="right"/>
              <w:ind w:right="106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7,761,396</w:t>
            </w:r>
          </w:p>
        </w:tc>
        <w:tc>
          <w:tcPr>
            <w:tcW w:w="3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7,756,168</w:t>
            </w:r>
          </w:p>
        </w:tc>
      </w:tr>
      <w:tr>
        <w:trPr>
          <w:trHeight w:val="184"/>
        </w:trPr>
        <w:tc>
          <w:tcPr>
            <w:tcW w:w="4540" w:type="dxa"/>
            <w:vAlign w:val="bottom"/>
            <w:gridSpan w:val="2"/>
          </w:tcPr>
          <w:p>
            <w:pPr>
              <w:spacing w:after="0"/>
              <w:rPr>
                <w:sz w:val="20"/>
                <w:szCs w:val="20"/>
                <w:color w:val="auto"/>
              </w:rPr>
            </w:pPr>
            <w:r>
              <w:rPr>
                <w:rFonts w:ascii="Arial" w:cs="Arial" w:eastAsia="Arial" w:hAnsi="Arial"/>
                <w:sz w:val="16"/>
                <w:szCs w:val="16"/>
                <w:color w:val="auto"/>
              </w:rPr>
              <w:t>Audit-Related Fees</w:t>
            </w:r>
          </w:p>
        </w:tc>
        <w:tc>
          <w:tcPr>
            <w:tcW w:w="1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107,963</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480,000</w:t>
            </w:r>
          </w:p>
        </w:tc>
      </w:tr>
      <w:tr>
        <w:trPr>
          <w:trHeight w:val="184"/>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Compliance Fees</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533,709</w:t>
            </w: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643,786</w:t>
            </w:r>
          </w:p>
        </w:tc>
      </w:tr>
      <w:tr>
        <w:trPr>
          <w:trHeight w:val="184"/>
        </w:trPr>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All Other Fees (2)</w:t>
            </w:r>
          </w:p>
        </w:tc>
        <w:tc>
          <w:tcPr>
            <w:tcW w:w="1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141,744</w:t>
            </w:r>
          </w:p>
        </w:tc>
      </w:tr>
      <w:tr>
        <w:trPr>
          <w:trHeight w:val="176"/>
        </w:trPr>
        <w:tc>
          <w:tcPr>
            <w:tcW w:w="45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color w:val="auto"/>
              </w:rPr>
              <w:t>Total Fees</w:t>
            </w:r>
          </w:p>
        </w:tc>
        <w:tc>
          <w:tcPr>
            <w:tcW w:w="1220" w:type="dxa"/>
            <w:vAlign w:val="bottom"/>
            <w:tcBorders>
              <w:bottom w:val="single" w:sz="8" w:color="auto"/>
            </w:tcBorders>
            <w:shd w:val="clear" w:color="auto" w:fill="CCEEFF"/>
          </w:tcPr>
          <w:p>
            <w:pPr>
              <w:jc w:val="right"/>
              <w:ind w:right="1061"/>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8,403,068</w:t>
            </w:r>
          </w:p>
        </w:tc>
        <w:tc>
          <w:tcPr>
            <w:tcW w:w="3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9,021,698</w:t>
            </w:r>
          </w:p>
        </w:tc>
      </w:tr>
      <w:tr>
        <w:trPr>
          <w:trHeight w:val="20"/>
        </w:trPr>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80" w:type="dxa"/>
            <w:vAlign w:val="bottom"/>
          </w:tcPr>
          <w:p>
            <w:pPr>
              <w:spacing w:after="0"/>
              <w:rPr>
                <w:sz w:val="6"/>
                <w:szCs w:val="6"/>
                <w:color w:val="auto"/>
              </w:rPr>
            </w:pPr>
          </w:p>
        </w:tc>
      </w:tr>
    </w:tbl>
    <w:p>
      <w:pPr>
        <w:spacing w:after="0" w:line="69" w:lineRule="exact"/>
        <w:rPr>
          <w:sz w:val="20"/>
          <w:szCs w:val="20"/>
          <w:color w:val="auto"/>
        </w:rPr>
      </w:pPr>
    </w:p>
    <w:p>
      <w:pPr>
        <w:ind w:left="340" w:right="59" w:hanging="298"/>
        <w:spacing w:after="0" w:line="245"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fees paid by EchoStar and its subsidiaries for the audit of our consolidated financial statements included in EchoStar and its subsidiaries Annual Reports on Form 10-K, review of EchoStar and its subsidiaries unaudited financial statements included in our Quarterly Reports on Form 10-Q and fees in connection with the audit of EchoStar and its subsidiaries internal control over financial reporting.</w:t>
      </w:r>
    </w:p>
    <w:p>
      <w:pPr>
        <w:ind w:left="340" w:hanging="298"/>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fees for services related to review of contract compliance.</w:t>
      </w:r>
    </w:p>
    <w:p>
      <w:pPr>
        <w:spacing w:after="0" w:line="180" w:lineRule="exact"/>
        <w:rPr>
          <w:sz w:val="20"/>
          <w:szCs w:val="20"/>
          <w:color w:val="auto"/>
        </w:rPr>
      </w:pPr>
    </w:p>
    <w:p>
      <w:pPr>
        <w:ind w:left="40" w:right="199"/>
        <w:spacing w:after="0" w:line="291" w:lineRule="auto"/>
        <w:rPr>
          <w:sz w:val="20"/>
          <w:szCs w:val="20"/>
          <w:color w:val="auto"/>
        </w:rPr>
      </w:pPr>
      <w:r>
        <w:rPr>
          <w:rFonts w:ascii="Arial" w:cs="Arial" w:eastAsia="Arial" w:hAnsi="Arial"/>
          <w:sz w:val="16"/>
          <w:szCs w:val="16"/>
          <w:b w:val="1"/>
          <w:bCs w:val="1"/>
          <w:color w:val="auto"/>
        </w:rPr>
        <w:t>Policy on Audit Committee Pre-Approval of Audit and Permissible Non-Audit Services of Independent Registered Public Accounting Firm</w:t>
      </w:r>
    </w:p>
    <w:p>
      <w:pPr>
        <w:spacing w:after="0" w:line="11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EchoStar’s Board of Directors delegated to EchoStar’s Audit Committee the responsibility for appointing, setting compensation, retaining, and overseeing the work of its independent registered public accounting firm until December 31, 2025.</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Requests are submitted to the Audit Committee of EchoStar in one of the following ways:</w:t>
      </w:r>
    </w:p>
    <w:p>
      <w:pPr>
        <w:spacing w:after="0" w:line="196" w:lineRule="exact"/>
        <w:rPr>
          <w:sz w:val="20"/>
          <w:szCs w:val="20"/>
          <w:color w:val="auto"/>
        </w:rPr>
      </w:pPr>
    </w:p>
    <w:p>
      <w:pPr>
        <w:ind w:left="660" w:hanging="299"/>
        <w:spacing w:after="0"/>
        <w:tabs>
          <w:tab w:leader="none" w:pos="66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Request for approval of services at a meeting of the Audit Committee; or</w:t>
      </w:r>
    </w:p>
    <w:p>
      <w:pPr>
        <w:spacing w:after="0" w:line="207"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Request for approval of services by members of the Audit Committee acting by written consent.</w:t>
      </w:r>
    </w:p>
    <w:p>
      <w:pPr>
        <w:spacing w:after="0" w:line="20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The request may be made with respect to either specific services or a type of service for predictable or recurring services. 100% of the fees paid to KPMG LLP for services rendered in 2025 and 2024 were pre-approved by the Audit Committee of EchoStar.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50" w:name="page51"/>
    <w:bookmarkEnd w:id="5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2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80" w:type="dxa"/>
            <w:vAlign w:val="bottom"/>
            <w:gridSpan w:val="4"/>
          </w:tcPr>
          <w:p>
            <w:pPr>
              <w:ind w:left="960"/>
              <w:spacing w:after="0"/>
              <w:rPr>
                <w:sz w:val="20"/>
                <w:szCs w:val="20"/>
                <w:color w:val="auto"/>
              </w:rPr>
            </w:pPr>
            <w:r>
              <w:rPr>
                <w:rFonts w:ascii="Arial" w:cs="Arial" w:eastAsia="Arial" w:hAnsi="Arial"/>
                <w:sz w:val="16"/>
                <w:szCs w:val="16"/>
                <w:b w:val="1"/>
                <w:bCs w:val="1"/>
                <w:color w:val="auto"/>
              </w:rPr>
              <w:t>PART IV</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8260" w:type="dxa"/>
            <w:vAlign w:val="bottom"/>
            <w:gridSpan w:val="7"/>
          </w:tcPr>
          <w:p>
            <w:pPr>
              <w:spacing w:after="0"/>
              <w:rPr>
                <w:sz w:val="20"/>
                <w:szCs w:val="20"/>
                <w:color w:val="auto"/>
              </w:rPr>
            </w:pPr>
            <w:r>
              <w:rPr>
                <w:rFonts w:ascii="Arial" w:cs="Arial" w:eastAsia="Arial" w:hAnsi="Arial"/>
                <w:sz w:val="16"/>
                <w:szCs w:val="16"/>
                <w:b w:val="1"/>
                <w:bCs w:val="1"/>
                <w:color w:val="auto"/>
              </w:rPr>
              <w:t>Item 15.  EXHIBITS, FINANCIAL STATEMENT SCHEDULES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60" w:type="dxa"/>
            <w:vAlign w:val="bottom"/>
            <w:gridSpan w:val="7"/>
          </w:tcPr>
          <w:p>
            <w:pPr>
              <w:spacing w:after="0"/>
              <w:rPr>
                <w:sz w:val="20"/>
                <w:szCs w:val="20"/>
                <w:color w:val="auto"/>
              </w:rPr>
            </w:pPr>
            <w:r>
              <w:rPr>
                <w:rFonts w:ascii="Arial" w:cs="Arial" w:eastAsia="Arial" w:hAnsi="Arial"/>
                <w:sz w:val="16"/>
                <w:szCs w:val="16"/>
                <w:color w:val="auto"/>
              </w:rPr>
              <w:t>(a) The following documents are filed as part of this report: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260" w:type="dxa"/>
            <w:vAlign w:val="bottom"/>
            <w:gridSpan w:val="7"/>
            <w:vMerge w:val="restart"/>
          </w:tcPr>
          <w:p>
            <w:pPr>
              <w:ind w:left="300"/>
              <w:spacing w:after="0"/>
              <w:rPr>
                <w:sz w:val="20"/>
                <w:szCs w:val="20"/>
                <w:color w:val="auto"/>
              </w:rPr>
            </w:pPr>
            <w:r>
              <w:rPr>
                <w:rFonts w:ascii="Arial" w:cs="Arial" w:eastAsia="Arial" w:hAnsi="Arial"/>
                <w:sz w:val="16"/>
                <w:szCs w:val="16"/>
                <w:color w:val="auto"/>
              </w:rPr>
              <w:t>(1) Financial Statements</w:t>
            </w: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91"/>
        </w:trPr>
        <w:tc>
          <w:tcPr>
            <w:tcW w:w="8260" w:type="dxa"/>
            <w:vAlign w:val="bottom"/>
            <w:gridSpan w:val="7"/>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8260" w:type="dxa"/>
            <w:vAlign w:val="bottom"/>
            <w:gridSpan w:val="7"/>
          </w:tcPr>
          <w:p>
            <w:pPr>
              <w:spacing w:after="0"/>
              <w:rPr>
                <w:sz w:val="20"/>
                <w:szCs w:val="20"/>
                <w:color w:val="auto"/>
              </w:rPr>
            </w:pPr>
            <w:r>
              <w:rPr>
                <w:rFonts w:ascii="Arial" w:cs="Arial" w:eastAsia="Arial" w:hAnsi="Arial"/>
                <w:sz w:val="16"/>
                <w:szCs w:val="16"/>
                <w:color w:val="0000EE"/>
              </w:rPr>
              <w:t>Index to Consolidated Financial Statements</w:t>
            </w:r>
          </w:p>
        </w:tc>
        <w:tc>
          <w:tcPr>
            <w:tcW w:w="660" w:type="dxa"/>
            <w:vAlign w:val="bottom"/>
          </w:tcPr>
          <w:p>
            <w:pPr>
              <w:ind w:left="420"/>
              <w:spacing w:after="0"/>
              <w:rPr>
                <w:sz w:val="20"/>
                <w:szCs w:val="20"/>
                <w:color w:val="auto"/>
              </w:rPr>
            </w:pPr>
            <w:r>
              <w:rPr>
                <w:rFonts w:ascii="Arial" w:cs="Arial" w:eastAsia="Arial" w:hAnsi="Arial"/>
                <w:sz w:val="16"/>
                <w:szCs w:val="16"/>
                <w:color w:val="auto"/>
                <w:w w:val="91"/>
              </w:rPr>
              <w:t>F-1</w:t>
            </w:r>
          </w:p>
        </w:tc>
        <w:tc>
          <w:tcPr>
            <w:tcW w:w="0" w:type="dxa"/>
            <w:vAlign w:val="bottom"/>
          </w:tcPr>
          <w:p>
            <w:pPr>
              <w:spacing w:after="0"/>
              <w:rPr>
                <w:sz w:val="1"/>
                <w:szCs w:val="1"/>
                <w:color w:val="auto"/>
              </w:rPr>
            </w:pPr>
          </w:p>
        </w:tc>
      </w:tr>
      <w:tr>
        <w:trPr>
          <w:trHeight w:val="164"/>
        </w:trPr>
        <w:tc>
          <w:tcPr>
            <w:tcW w:w="3180" w:type="dxa"/>
            <w:vAlign w:val="bottom"/>
            <w:tcBorders>
              <w:top w:val="single" w:sz="8" w:color="0000EE"/>
            </w:tcBorders>
            <w:gridSpan w:val="3"/>
          </w:tcPr>
          <w:p>
            <w:pPr>
              <w:spacing w:after="0" w:line="164" w:lineRule="exact"/>
              <w:rPr>
                <w:sz w:val="20"/>
                <w:szCs w:val="20"/>
                <w:color w:val="auto"/>
              </w:rPr>
            </w:pPr>
            <w:r>
              <w:rPr>
                <w:rFonts w:ascii="Arial" w:cs="Arial" w:eastAsia="Arial" w:hAnsi="Arial"/>
                <w:sz w:val="16"/>
                <w:szCs w:val="16"/>
                <w:color w:val="0000EE"/>
                <w:w w:val="95"/>
              </w:rPr>
              <w:t>Report of KPMG LLP, Independent Registered</w:t>
            </w:r>
          </w:p>
        </w:tc>
        <w:tc>
          <w:tcPr>
            <w:tcW w:w="5080" w:type="dxa"/>
            <w:vAlign w:val="bottom"/>
            <w:gridSpan w:val="4"/>
          </w:tcPr>
          <w:p>
            <w:pPr>
              <w:ind w:left="220"/>
              <w:spacing w:after="0" w:line="164" w:lineRule="exact"/>
              <w:rPr>
                <w:sz w:val="20"/>
                <w:szCs w:val="20"/>
                <w:color w:val="auto"/>
              </w:rPr>
            </w:pPr>
            <w:r>
              <w:rPr>
                <w:rFonts w:ascii="Arial" w:cs="Arial" w:eastAsia="Arial" w:hAnsi="Arial"/>
                <w:sz w:val="16"/>
                <w:szCs w:val="16"/>
                <w:color w:val="0000EE"/>
              </w:rPr>
              <w:t>Public Accounting Firm</w:t>
            </w:r>
          </w:p>
        </w:tc>
        <w:tc>
          <w:tcPr>
            <w:tcW w:w="660" w:type="dxa"/>
            <w:vAlign w:val="bottom"/>
          </w:tcPr>
          <w:p>
            <w:pPr>
              <w:ind w:left="420"/>
              <w:spacing w:after="0" w:line="164" w:lineRule="exact"/>
              <w:rPr>
                <w:sz w:val="20"/>
                <w:szCs w:val="20"/>
                <w:color w:val="auto"/>
              </w:rPr>
            </w:pPr>
            <w:r>
              <w:rPr>
                <w:rFonts w:ascii="Arial" w:cs="Arial" w:eastAsia="Arial" w:hAnsi="Arial"/>
                <w:sz w:val="16"/>
                <w:szCs w:val="16"/>
                <w:color w:val="auto"/>
                <w:w w:val="91"/>
              </w:rPr>
              <w:t>F-2</w:t>
            </w:r>
          </w:p>
        </w:tc>
        <w:tc>
          <w:tcPr>
            <w:tcW w:w="0" w:type="dxa"/>
            <w:vAlign w:val="bottom"/>
          </w:tcPr>
          <w:p>
            <w:pPr>
              <w:spacing w:after="0"/>
              <w:rPr>
                <w:sz w:val="1"/>
                <w:szCs w:val="1"/>
                <w:color w:val="auto"/>
              </w:rPr>
            </w:pPr>
          </w:p>
        </w:tc>
      </w:tr>
      <w:tr>
        <w:trPr>
          <w:trHeight w:val="164"/>
        </w:trPr>
        <w:tc>
          <w:tcPr>
            <w:tcW w:w="5060" w:type="dxa"/>
            <w:vAlign w:val="bottom"/>
            <w:tcBorders>
              <w:top w:val="single" w:sz="8" w:color="0000EE"/>
            </w:tcBorders>
            <w:gridSpan w:val="5"/>
          </w:tcPr>
          <w:p>
            <w:pPr>
              <w:spacing w:after="0" w:line="164" w:lineRule="exact"/>
              <w:rPr>
                <w:sz w:val="20"/>
                <w:szCs w:val="20"/>
                <w:color w:val="auto"/>
              </w:rPr>
            </w:pPr>
            <w:r>
              <w:rPr>
                <w:rFonts w:ascii="Arial" w:cs="Arial" w:eastAsia="Arial" w:hAnsi="Arial"/>
                <w:sz w:val="16"/>
                <w:szCs w:val="16"/>
                <w:color w:val="0000EE"/>
              </w:rPr>
              <w:t>Consolidated Balance Sheets</w:t>
            </w:r>
          </w:p>
        </w:tc>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tcPr>
          <w:p>
            <w:pPr>
              <w:ind w:left="420"/>
              <w:spacing w:after="0" w:line="164" w:lineRule="exact"/>
              <w:rPr>
                <w:sz w:val="20"/>
                <w:szCs w:val="20"/>
                <w:color w:val="auto"/>
              </w:rPr>
            </w:pPr>
            <w:r>
              <w:rPr>
                <w:rFonts w:ascii="Arial" w:cs="Arial" w:eastAsia="Arial" w:hAnsi="Arial"/>
                <w:sz w:val="16"/>
                <w:szCs w:val="16"/>
                <w:color w:val="auto"/>
                <w:w w:val="91"/>
              </w:rPr>
              <w:t>F-5</w:t>
            </w:r>
          </w:p>
        </w:tc>
        <w:tc>
          <w:tcPr>
            <w:tcW w:w="0" w:type="dxa"/>
            <w:vAlign w:val="bottom"/>
          </w:tcPr>
          <w:p>
            <w:pPr>
              <w:spacing w:after="0"/>
              <w:rPr>
                <w:sz w:val="1"/>
                <w:szCs w:val="1"/>
                <w:color w:val="auto"/>
              </w:rPr>
            </w:pPr>
          </w:p>
        </w:tc>
      </w:tr>
      <w:tr>
        <w:trPr>
          <w:trHeight w:val="164"/>
        </w:trPr>
        <w:tc>
          <w:tcPr>
            <w:tcW w:w="2140" w:type="dxa"/>
            <w:vAlign w:val="bottom"/>
            <w:tcBorders>
              <w:top w:val="single" w:sz="8" w:color="0000EE"/>
            </w:tcBorders>
          </w:tcPr>
          <w:p>
            <w:pPr>
              <w:spacing w:after="0" w:line="164" w:lineRule="exact"/>
              <w:rPr>
                <w:sz w:val="20"/>
                <w:szCs w:val="20"/>
                <w:color w:val="auto"/>
              </w:rPr>
            </w:pPr>
            <w:r>
              <w:rPr>
                <w:rFonts w:ascii="Arial" w:cs="Arial" w:eastAsia="Arial" w:hAnsi="Arial"/>
                <w:sz w:val="16"/>
                <w:szCs w:val="16"/>
                <w:color w:val="0000EE"/>
              </w:rPr>
              <w:t>Consolidated Statements of</w:t>
            </w:r>
          </w:p>
        </w:tc>
        <w:tc>
          <w:tcPr>
            <w:tcW w:w="6120" w:type="dxa"/>
            <w:vAlign w:val="bottom"/>
            <w:gridSpan w:val="6"/>
          </w:tcPr>
          <w:p>
            <w:pPr>
              <w:spacing w:after="0" w:line="164" w:lineRule="exact"/>
              <w:rPr>
                <w:sz w:val="20"/>
                <w:szCs w:val="20"/>
                <w:color w:val="auto"/>
              </w:rPr>
            </w:pPr>
            <w:r>
              <w:rPr>
                <w:rFonts w:ascii="Arial" w:cs="Arial" w:eastAsia="Arial" w:hAnsi="Arial"/>
                <w:sz w:val="16"/>
                <w:szCs w:val="16"/>
                <w:color w:val="0000EE"/>
              </w:rPr>
              <w:t>Operations and Comprehensive Income (Loss)</w:t>
            </w:r>
          </w:p>
        </w:tc>
        <w:tc>
          <w:tcPr>
            <w:tcW w:w="660" w:type="dxa"/>
            <w:vAlign w:val="bottom"/>
          </w:tcPr>
          <w:p>
            <w:pPr>
              <w:ind w:left="420"/>
              <w:spacing w:after="0" w:line="164" w:lineRule="exact"/>
              <w:rPr>
                <w:sz w:val="20"/>
                <w:szCs w:val="20"/>
                <w:color w:val="auto"/>
              </w:rPr>
            </w:pPr>
            <w:r>
              <w:rPr>
                <w:rFonts w:ascii="Arial" w:cs="Arial" w:eastAsia="Arial" w:hAnsi="Arial"/>
                <w:sz w:val="16"/>
                <w:szCs w:val="16"/>
                <w:color w:val="auto"/>
                <w:w w:val="91"/>
              </w:rPr>
              <w:t>F-6</w:t>
            </w:r>
          </w:p>
        </w:tc>
        <w:tc>
          <w:tcPr>
            <w:tcW w:w="0" w:type="dxa"/>
            <w:vAlign w:val="bottom"/>
          </w:tcPr>
          <w:p>
            <w:pPr>
              <w:spacing w:after="0"/>
              <w:rPr>
                <w:sz w:val="1"/>
                <w:szCs w:val="1"/>
                <w:color w:val="auto"/>
              </w:rPr>
            </w:pPr>
          </w:p>
        </w:tc>
      </w:tr>
      <w:tr>
        <w:trPr>
          <w:trHeight w:val="164"/>
        </w:trPr>
        <w:tc>
          <w:tcPr>
            <w:tcW w:w="5440" w:type="dxa"/>
            <w:vAlign w:val="bottom"/>
            <w:tcBorders>
              <w:top w:val="single" w:sz="8" w:color="0000EE"/>
            </w:tcBorders>
            <w:gridSpan w:val="6"/>
          </w:tcPr>
          <w:p>
            <w:pPr>
              <w:spacing w:after="0" w:line="164" w:lineRule="exact"/>
              <w:rPr>
                <w:sz w:val="20"/>
                <w:szCs w:val="20"/>
                <w:color w:val="auto"/>
              </w:rPr>
            </w:pPr>
            <w:r>
              <w:rPr>
                <w:rFonts w:ascii="Arial" w:cs="Arial" w:eastAsia="Arial" w:hAnsi="Arial"/>
                <w:sz w:val="16"/>
                <w:szCs w:val="16"/>
                <w:color w:val="0000EE"/>
              </w:rPr>
              <w:t>Consolidated Statements of Changes in Stockholder's Equity (Deficit)</w:t>
            </w:r>
          </w:p>
        </w:tc>
        <w:tc>
          <w:tcPr>
            <w:tcW w:w="2820" w:type="dxa"/>
            <w:vAlign w:val="bottom"/>
          </w:tcPr>
          <w:p>
            <w:pPr>
              <w:spacing w:after="0"/>
              <w:rPr>
                <w:sz w:val="14"/>
                <w:szCs w:val="14"/>
                <w:color w:val="auto"/>
              </w:rPr>
            </w:pPr>
          </w:p>
        </w:tc>
        <w:tc>
          <w:tcPr>
            <w:tcW w:w="660" w:type="dxa"/>
            <w:vAlign w:val="bottom"/>
          </w:tcPr>
          <w:p>
            <w:pPr>
              <w:ind w:left="420"/>
              <w:spacing w:after="0" w:line="164" w:lineRule="exact"/>
              <w:rPr>
                <w:sz w:val="20"/>
                <w:szCs w:val="20"/>
                <w:color w:val="auto"/>
              </w:rPr>
            </w:pPr>
            <w:r>
              <w:rPr>
                <w:rFonts w:ascii="Arial" w:cs="Arial" w:eastAsia="Arial" w:hAnsi="Arial"/>
                <w:sz w:val="16"/>
                <w:szCs w:val="16"/>
                <w:color w:val="auto"/>
                <w:w w:val="91"/>
              </w:rPr>
              <w:t>F-7</w:t>
            </w:r>
          </w:p>
        </w:tc>
        <w:tc>
          <w:tcPr>
            <w:tcW w:w="0" w:type="dxa"/>
            <w:vAlign w:val="bottom"/>
          </w:tcPr>
          <w:p>
            <w:pPr>
              <w:spacing w:after="0"/>
              <w:rPr>
                <w:sz w:val="1"/>
                <w:szCs w:val="1"/>
                <w:color w:val="auto"/>
              </w:rPr>
            </w:pPr>
          </w:p>
        </w:tc>
      </w:tr>
      <w:tr>
        <w:trPr>
          <w:trHeight w:val="164"/>
        </w:trPr>
        <w:tc>
          <w:tcPr>
            <w:tcW w:w="5000" w:type="dxa"/>
            <w:vAlign w:val="bottom"/>
            <w:tcBorders>
              <w:top w:val="single" w:sz="8" w:color="0000EE"/>
            </w:tcBorders>
            <w:gridSpan w:val="4"/>
          </w:tcPr>
          <w:p>
            <w:pPr>
              <w:spacing w:after="0" w:line="164" w:lineRule="exact"/>
              <w:rPr>
                <w:sz w:val="20"/>
                <w:szCs w:val="20"/>
                <w:color w:val="auto"/>
              </w:rPr>
            </w:pPr>
            <w:r>
              <w:rPr>
                <w:rFonts w:ascii="Arial" w:cs="Arial" w:eastAsia="Arial" w:hAnsi="Arial"/>
                <w:sz w:val="16"/>
                <w:szCs w:val="16"/>
                <w:color w:val="0000EE"/>
              </w:rPr>
              <w:t>Consolidated Statements of Cash Flows</w:t>
            </w:r>
          </w:p>
        </w:tc>
        <w:tc>
          <w:tcPr>
            <w:tcW w:w="3260" w:type="dxa"/>
            <w:vAlign w:val="bottom"/>
            <w:gridSpan w:val="3"/>
          </w:tcPr>
          <w:p>
            <w:pPr>
              <w:spacing w:after="0"/>
              <w:rPr>
                <w:sz w:val="14"/>
                <w:szCs w:val="14"/>
                <w:color w:val="auto"/>
              </w:rPr>
            </w:pPr>
          </w:p>
        </w:tc>
        <w:tc>
          <w:tcPr>
            <w:tcW w:w="660" w:type="dxa"/>
            <w:vAlign w:val="bottom"/>
          </w:tcPr>
          <w:p>
            <w:pPr>
              <w:ind w:left="420"/>
              <w:spacing w:after="0" w:line="164" w:lineRule="exact"/>
              <w:rPr>
                <w:sz w:val="20"/>
                <w:szCs w:val="20"/>
                <w:color w:val="auto"/>
              </w:rPr>
            </w:pPr>
            <w:r>
              <w:rPr>
                <w:rFonts w:ascii="Arial" w:cs="Arial" w:eastAsia="Arial" w:hAnsi="Arial"/>
                <w:sz w:val="16"/>
                <w:szCs w:val="16"/>
                <w:color w:val="auto"/>
                <w:w w:val="91"/>
              </w:rPr>
              <w:t>F-8</w:t>
            </w:r>
          </w:p>
        </w:tc>
        <w:tc>
          <w:tcPr>
            <w:tcW w:w="0" w:type="dxa"/>
            <w:vAlign w:val="bottom"/>
          </w:tcPr>
          <w:p>
            <w:pPr>
              <w:spacing w:after="0"/>
              <w:rPr>
                <w:sz w:val="1"/>
                <w:szCs w:val="1"/>
                <w:color w:val="auto"/>
              </w:rPr>
            </w:pPr>
          </w:p>
        </w:tc>
      </w:tr>
      <w:tr>
        <w:trPr>
          <w:trHeight w:val="20"/>
        </w:trPr>
        <w:tc>
          <w:tcPr>
            <w:tcW w:w="29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660" w:type="dxa"/>
            <w:vAlign w:val="bottom"/>
            <w:vMerge w:val="restart"/>
          </w:tcPr>
          <w:p>
            <w:pPr>
              <w:ind w:left="420"/>
              <w:spacing w:after="0"/>
              <w:rPr>
                <w:sz w:val="20"/>
                <w:szCs w:val="20"/>
                <w:color w:val="auto"/>
              </w:rPr>
            </w:pPr>
            <w:r>
              <w:rPr>
                <w:rFonts w:ascii="Arial" w:cs="Arial" w:eastAsia="Arial" w:hAnsi="Arial"/>
                <w:sz w:val="16"/>
                <w:szCs w:val="16"/>
                <w:color w:val="auto"/>
                <w:w w:val="91"/>
              </w:rPr>
              <w:t>F-8</w:t>
            </w:r>
          </w:p>
        </w:tc>
        <w:tc>
          <w:tcPr>
            <w:tcW w:w="0" w:type="dxa"/>
            <w:vAlign w:val="bottom"/>
          </w:tcPr>
          <w:p>
            <w:pPr>
              <w:spacing w:after="0" w:line="20" w:lineRule="exact"/>
              <w:rPr>
                <w:sz w:val="1"/>
                <w:szCs w:val="1"/>
                <w:color w:val="auto"/>
              </w:rPr>
            </w:pPr>
          </w:p>
        </w:tc>
      </w:tr>
      <w:tr>
        <w:trPr>
          <w:trHeight w:val="164"/>
        </w:trPr>
        <w:tc>
          <w:tcPr>
            <w:tcW w:w="8260" w:type="dxa"/>
            <w:vAlign w:val="bottom"/>
            <w:gridSpan w:val="7"/>
          </w:tcPr>
          <w:p>
            <w:pPr>
              <w:spacing w:after="0" w:line="164" w:lineRule="exact"/>
              <w:rPr>
                <w:sz w:val="20"/>
                <w:szCs w:val="20"/>
                <w:color w:val="auto"/>
              </w:rPr>
            </w:pPr>
            <w:r>
              <w:rPr>
                <w:rFonts w:ascii="Arial" w:cs="Arial" w:eastAsia="Arial" w:hAnsi="Arial"/>
                <w:sz w:val="16"/>
                <w:szCs w:val="16"/>
                <w:color w:val="0000EE"/>
              </w:rPr>
              <w:t>Notes to Consolidated Financial Statements</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320" w:type="dxa"/>
            <w:vAlign w:val="bottom"/>
            <w:gridSpan w:val="2"/>
          </w:tcPr>
          <w:p>
            <w:pPr>
              <w:jc w:val="center"/>
              <w:ind w:left="98"/>
              <w:spacing w:after="0"/>
              <w:rPr>
                <w:sz w:val="20"/>
                <w:szCs w:val="20"/>
                <w:color w:val="auto"/>
              </w:rPr>
            </w:pPr>
            <w:r>
              <w:rPr>
                <w:rFonts w:ascii="Arial" w:cs="Arial" w:eastAsia="Arial" w:hAnsi="Arial"/>
                <w:sz w:val="16"/>
                <w:szCs w:val="16"/>
                <w:color w:val="auto"/>
              </w:rPr>
              <w:t>(2) Exhibits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0" w:type="dxa"/>
            <w:vAlign w:val="bottom"/>
            <w:gridSpan w:val="27"/>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1"/>
        </w:trPr>
        <w:tc>
          <w:tcPr>
            <w:tcW w:w="1320" w:type="dxa"/>
            <w:vAlign w:val="bottom"/>
            <w:gridSpan w:val="2"/>
          </w:tcPr>
          <w:p>
            <w:pPr>
              <w:jc w:val="center"/>
              <w:ind w:left="98"/>
              <w:spacing w:after="0"/>
              <w:rPr>
                <w:sz w:val="20"/>
                <w:szCs w:val="20"/>
                <w:color w:val="auto"/>
              </w:rPr>
            </w:pPr>
            <w:r>
              <w:rPr>
                <w:rFonts w:ascii="Arial" w:cs="Arial" w:eastAsia="Arial" w:hAnsi="Arial"/>
                <w:sz w:val="16"/>
                <w:szCs w:val="16"/>
                <w:b w:val="1"/>
                <w:bCs w:val="1"/>
                <w:color w:val="auto"/>
              </w:rPr>
              <w:t>Exhibit No.   ​</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940" w:type="dxa"/>
            <w:vAlign w:val="bottom"/>
            <w:gridSpan w:val="23"/>
          </w:tcPr>
          <w:p>
            <w:pPr>
              <w:ind w:left="27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64"/>
        </w:trPr>
        <w:tc>
          <w:tcPr>
            <w:tcW w:w="122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80" w:type="dxa"/>
            <w:vAlign w:val="bottom"/>
            <w:tcBorders>
              <w:top w:val="single" w:sz="8" w:color="auto"/>
            </w:tcBorders>
            <w:gridSpan w:val="26"/>
          </w:tcPr>
          <w:p>
            <w:pPr>
              <w:spacing w:after="0" w:line="164" w:lineRule="exact"/>
              <w:rPr>
                <w:rFonts w:ascii="Arial" w:cs="Arial" w:eastAsia="Arial" w:hAnsi="Arial"/>
                <w:sz w:val="16"/>
                <w:szCs w:val="16"/>
                <w:color w:val="0000EE"/>
              </w:rPr>
            </w:pPr>
            <w:hyperlink r:id="rId65">
              <w:r>
                <w:rPr>
                  <w:rFonts w:ascii="Arial" w:cs="Arial" w:eastAsia="Arial" w:hAnsi="Arial"/>
                  <w:sz w:val="16"/>
                  <w:szCs w:val="16"/>
                  <w:color w:val="0000EE"/>
                </w:rPr>
                <w:t>Amended and Restated Agreement and Plan of Merger, dated as of October 2, 2023, by and among</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80" w:type="dxa"/>
            <w:vAlign w:val="bottom"/>
            <w:tcBorders>
              <w:top w:val="single" w:sz="8" w:color="0000EE"/>
            </w:tcBorders>
            <w:gridSpan w:val="19"/>
          </w:tcPr>
          <w:p>
            <w:pPr>
              <w:spacing w:after="0" w:line="164" w:lineRule="exact"/>
              <w:rPr>
                <w:rFonts w:ascii="Arial" w:cs="Arial" w:eastAsia="Arial" w:hAnsi="Arial"/>
                <w:sz w:val="16"/>
                <w:szCs w:val="16"/>
                <w:color w:val="0000EE"/>
              </w:rPr>
            </w:pPr>
            <w:hyperlink r:id="rId65">
              <w:r>
                <w:rPr>
                  <w:rFonts w:ascii="Arial" w:cs="Arial" w:eastAsia="Arial" w:hAnsi="Arial"/>
                  <w:sz w:val="16"/>
                  <w:szCs w:val="16"/>
                  <w:color w:val="0000EE"/>
                </w:rPr>
                <w:t>EchoStar, DISH and Merger Sub (incorporated by reference to Exhibit 2.1 to the Company’s Current</w:t>
              </w:r>
            </w:hyperlink>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3.1(a)*</w:t>
            </w:r>
          </w:p>
        </w:tc>
        <w:tc>
          <w:tcPr>
            <w:tcW w:w="7220" w:type="dxa"/>
            <w:vAlign w:val="bottom"/>
            <w:tcBorders>
              <w:top w:val="single" w:sz="8" w:color="0000EE"/>
            </w:tcBorders>
            <w:gridSpan w:val="16"/>
          </w:tcPr>
          <w:p>
            <w:pPr>
              <w:spacing w:after="0" w:line="164" w:lineRule="exact"/>
              <w:rPr>
                <w:rFonts w:ascii="Arial" w:cs="Arial" w:eastAsia="Arial" w:hAnsi="Arial"/>
                <w:sz w:val="16"/>
                <w:szCs w:val="16"/>
                <w:color w:val="0000EE"/>
              </w:rPr>
            </w:pPr>
            <w:hyperlink r:id="rId65">
              <w:r>
                <w:rPr>
                  <w:rFonts w:ascii="Arial" w:cs="Arial" w:eastAsia="Arial" w:hAnsi="Arial"/>
                  <w:sz w:val="16"/>
                  <w:szCs w:val="16"/>
                  <w:color w:val="0000EE"/>
                </w:rPr>
                <w:t>Report on Form 8-K filed on October 03,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20" w:type="dxa"/>
            <w:vAlign w:val="bottom"/>
            <w:gridSpan w:val="2"/>
            <w:vMerge w:val="continue"/>
          </w:tcPr>
          <w:p>
            <w:pPr>
              <w:spacing w:after="0"/>
              <w:rPr>
                <w:sz w:val="14"/>
                <w:szCs w:val="14"/>
                <w:color w:val="auto"/>
              </w:rPr>
            </w:pPr>
          </w:p>
        </w:tc>
        <w:tc>
          <w:tcPr>
            <w:tcW w:w="3520" w:type="dxa"/>
            <w:vAlign w:val="bottom"/>
            <w:tcBorders>
              <w:top w:val="single" w:sz="8" w:color="0000EE"/>
            </w:tcBorders>
            <w:gridSpan w:val="5"/>
          </w:tcPr>
          <w:p>
            <w:pPr>
              <w:spacing w:after="0" w:line="164" w:lineRule="exact"/>
              <w:rPr>
                <w:rFonts w:ascii="Arial" w:cs="Arial" w:eastAsia="Arial" w:hAnsi="Arial"/>
                <w:sz w:val="16"/>
                <w:szCs w:val="16"/>
                <w:color w:val="0000EE"/>
                <w:w w:val="97"/>
              </w:rPr>
            </w:pPr>
            <w:hyperlink r:id="rId66">
              <w:r>
                <w:rPr>
                  <w:rFonts w:ascii="Arial" w:cs="Arial" w:eastAsia="Arial" w:hAnsi="Arial"/>
                  <w:sz w:val="16"/>
                  <w:szCs w:val="16"/>
                  <w:color w:val="0000EE"/>
                  <w:w w:val="97"/>
                </w:rPr>
                <w:t>Articles of Incorporation of EH Holding Corporation</w:t>
              </w:r>
            </w:hyperlink>
          </w:p>
        </w:tc>
        <w:tc>
          <w:tcPr>
            <w:tcW w:w="4080" w:type="dxa"/>
            <w:vAlign w:val="bottom"/>
            <w:gridSpan w:val="22"/>
          </w:tcPr>
          <w:p>
            <w:pPr>
              <w:ind w:left="200"/>
              <w:spacing w:after="0" w:line="164" w:lineRule="exact"/>
              <w:rPr>
                <w:rFonts w:ascii="Arial" w:cs="Arial" w:eastAsia="Arial" w:hAnsi="Arial"/>
                <w:sz w:val="16"/>
                <w:szCs w:val="16"/>
                <w:color w:val="0000EE"/>
              </w:rPr>
            </w:pPr>
            <w:hyperlink r:id="rId66">
              <w:r>
                <w:rPr>
                  <w:rFonts w:ascii="Arial" w:cs="Arial" w:eastAsia="Arial" w:hAnsi="Arial"/>
                  <w:sz w:val="16"/>
                  <w:szCs w:val="16"/>
                  <w:color w:val="0000EE"/>
                </w:rPr>
                <w:t>(currently known as Hughes Satellite Systems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9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27"/>
          </w:tcPr>
          <w:p>
            <w:pPr>
              <w:spacing w:after="0" w:line="164" w:lineRule="exact"/>
              <w:rPr>
                <w:rFonts w:ascii="Arial" w:cs="Arial" w:eastAsia="Arial" w:hAnsi="Arial"/>
                <w:sz w:val="16"/>
                <w:szCs w:val="16"/>
                <w:color w:val="0000EE"/>
              </w:rPr>
            </w:pPr>
            <w:hyperlink r:id="rId66">
              <w:r>
                <w:rPr>
                  <w:rFonts w:ascii="Arial" w:cs="Arial" w:eastAsia="Arial" w:hAnsi="Arial"/>
                  <w:sz w:val="16"/>
                  <w:szCs w:val="16"/>
                  <w:color w:val="0000EE"/>
                </w:rPr>
                <w:t>Corporation), dated as of March 16, 2011 (incorporated by reference to Exhibit 3.1(a) to the Company’s</w:t>
              </w:r>
            </w:hyperlink>
          </w:p>
        </w:tc>
        <w:tc>
          <w:tcPr>
            <w:tcW w:w="0" w:type="dxa"/>
            <w:vAlign w:val="bottom"/>
          </w:tcPr>
          <w:p>
            <w:pPr>
              <w:spacing w:after="0"/>
              <w:rPr>
                <w:sz w:val="1"/>
                <w:szCs w:val="1"/>
                <w:color w:val="auto"/>
              </w:rPr>
            </w:pPr>
          </w:p>
        </w:tc>
      </w:tr>
      <w:tr>
        <w:trPr>
          <w:trHeight w:val="164"/>
        </w:trPr>
        <w:tc>
          <w:tcPr>
            <w:tcW w:w="13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3.1(b)*</w:t>
            </w:r>
          </w:p>
        </w:tc>
        <w:tc>
          <w:tcPr>
            <w:tcW w:w="7440" w:type="dxa"/>
            <w:vAlign w:val="bottom"/>
            <w:tcBorders>
              <w:top w:val="single" w:sz="8" w:color="0000EE"/>
            </w:tcBorders>
            <w:gridSpan w:val="21"/>
          </w:tcPr>
          <w:p>
            <w:pPr>
              <w:spacing w:after="0" w:line="164" w:lineRule="exact"/>
              <w:rPr>
                <w:rFonts w:ascii="Arial" w:cs="Arial" w:eastAsia="Arial" w:hAnsi="Arial"/>
                <w:sz w:val="16"/>
                <w:szCs w:val="16"/>
                <w:color w:val="0000EE"/>
              </w:rPr>
            </w:pPr>
            <w:hyperlink r:id="rId66">
              <w:r>
                <w:rPr>
                  <w:rFonts w:ascii="Arial" w:cs="Arial" w:eastAsia="Arial" w:hAnsi="Arial"/>
                  <w:sz w:val="16"/>
                  <w:szCs w:val="16"/>
                  <w:color w:val="0000EE"/>
                </w:rPr>
                <w:t>Registration Statement on Form S-4, Registration No. 333-179121).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20" w:type="dxa"/>
            <w:vAlign w:val="bottom"/>
            <w:gridSpan w:val="2"/>
            <w:vMerge w:val="continue"/>
          </w:tcPr>
          <w:p>
            <w:pPr>
              <w:spacing w:after="0"/>
              <w:rPr>
                <w:sz w:val="14"/>
                <w:szCs w:val="14"/>
                <w:color w:val="auto"/>
              </w:rPr>
            </w:pPr>
          </w:p>
        </w:tc>
        <w:tc>
          <w:tcPr>
            <w:tcW w:w="4900" w:type="dxa"/>
            <w:vAlign w:val="bottom"/>
            <w:tcBorders>
              <w:top w:val="single" w:sz="8" w:color="0000EE"/>
              <w:bottom w:val="single" w:sz="8" w:color="0000EE"/>
            </w:tcBorders>
            <w:gridSpan w:val="7"/>
          </w:tcPr>
          <w:p>
            <w:pPr>
              <w:spacing w:after="0" w:line="164" w:lineRule="exact"/>
              <w:rPr>
                <w:rFonts w:ascii="Arial" w:cs="Arial" w:eastAsia="Arial" w:hAnsi="Arial"/>
                <w:sz w:val="16"/>
                <w:szCs w:val="16"/>
                <w:color w:val="0000EE"/>
              </w:rPr>
            </w:pPr>
            <w:hyperlink r:id="rId67">
              <w:r>
                <w:rPr>
                  <w:rFonts w:ascii="Arial" w:cs="Arial" w:eastAsia="Arial" w:hAnsi="Arial"/>
                  <w:sz w:val="16"/>
                  <w:szCs w:val="16"/>
                  <w:color w:val="0000EE"/>
                </w:rPr>
                <w:t>Articles of Amendment of EH Holding Corporation (currently known</w:t>
              </w:r>
            </w:hyperlink>
          </w:p>
        </w:tc>
        <w:tc>
          <w:tcPr>
            <w:tcW w:w="2080" w:type="dxa"/>
            <w:vAlign w:val="bottom"/>
            <w:tcBorders>
              <w:bottom w:val="single" w:sz="8" w:color="0000EE"/>
            </w:tcBorders>
            <w:gridSpan w:val="4"/>
          </w:tcPr>
          <w:p>
            <w:pPr>
              <w:spacing w:after="0" w:line="164" w:lineRule="exact"/>
              <w:rPr>
                <w:rFonts w:ascii="Arial" w:cs="Arial" w:eastAsia="Arial" w:hAnsi="Arial"/>
                <w:sz w:val="16"/>
                <w:szCs w:val="16"/>
                <w:color w:val="0000EE"/>
              </w:rPr>
            </w:pPr>
            <w:hyperlink r:id="rId67">
              <w:r>
                <w:rPr>
                  <w:rFonts w:ascii="Arial" w:cs="Arial" w:eastAsia="Arial" w:hAnsi="Arial"/>
                  <w:sz w:val="16"/>
                  <w:szCs w:val="16"/>
                  <w:color w:val="0000EE"/>
                </w:rPr>
                <w:t>as Hughes Satellite Systems</w:t>
              </w:r>
            </w:hyperlink>
          </w:p>
        </w:tc>
        <w:tc>
          <w:tcPr>
            <w:tcW w:w="62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27"/>
          </w:tcPr>
          <w:p>
            <w:pPr>
              <w:spacing w:after="0" w:line="164" w:lineRule="exact"/>
              <w:rPr>
                <w:rFonts w:ascii="Arial" w:cs="Arial" w:eastAsia="Arial" w:hAnsi="Arial"/>
                <w:sz w:val="16"/>
                <w:szCs w:val="16"/>
                <w:color w:val="0000EE"/>
              </w:rPr>
            </w:pPr>
            <w:hyperlink r:id="rId67">
              <w:r>
                <w:rPr>
                  <w:rFonts w:ascii="Arial" w:cs="Arial" w:eastAsia="Arial" w:hAnsi="Arial"/>
                  <w:sz w:val="16"/>
                  <w:szCs w:val="16"/>
                  <w:color w:val="0000EE"/>
                </w:rPr>
                <w:t>Corporation), dated as of October 26, 2011 (incorporated by reference to Exhibit 3.1(b) to the Company’s</w:t>
              </w:r>
            </w:hyperlink>
          </w:p>
        </w:tc>
        <w:tc>
          <w:tcPr>
            <w:tcW w:w="0" w:type="dxa"/>
            <w:vAlign w:val="bottom"/>
          </w:tcPr>
          <w:p>
            <w:pPr>
              <w:spacing w:after="0"/>
              <w:rPr>
                <w:sz w:val="1"/>
                <w:szCs w:val="1"/>
                <w:color w:val="auto"/>
              </w:rPr>
            </w:pPr>
          </w:p>
        </w:tc>
      </w:tr>
      <w:tr>
        <w:trPr>
          <w:trHeight w:val="164"/>
        </w:trPr>
        <w:tc>
          <w:tcPr>
            <w:tcW w:w="13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3.1(c)*</w:t>
            </w:r>
          </w:p>
        </w:tc>
        <w:tc>
          <w:tcPr>
            <w:tcW w:w="7580" w:type="dxa"/>
            <w:vAlign w:val="bottom"/>
            <w:tcBorders>
              <w:top w:val="single" w:sz="8" w:color="0000EE"/>
            </w:tcBorders>
            <w:gridSpan w:val="26"/>
          </w:tcPr>
          <w:p>
            <w:pPr>
              <w:spacing w:after="0" w:line="164" w:lineRule="exact"/>
              <w:rPr>
                <w:rFonts w:ascii="Arial" w:cs="Arial" w:eastAsia="Arial" w:hAnsi="Arial"/>
                <w:sz w:val="16"/>
                <w:szCs w:val="16"/>
                <w:color w:val="0000EE"/>
              </w:rPr>
            </w:pPr>
            <w:hyperlink r:id="rId67">
              <w:r>
                <w:rPr>
                  <w:rFonts w:ascii="Arial" w:cs="Arial" w:eastAsia="Arial" w:hAnsi="Arial"/>
                  <w:sz w:val="16"/>
                  <w:szCs w:val="16"/>
                  <w:color w:val="0000EE"/>
                </w:rPr>
                <w:t>Registration Statement on Form S-4, Registration No. 333-179121).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gridSpan w:val="2"/>
            <w:vMerge w:val="continu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9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320" w:type="dxa"/>
            <w:vAlign w:val="bottom"/>
            <w:gridSpan w:val="2"/>
            <w:vMerge w:val="continue"/>
          </w:tcPr>
          <w:p>
            <w:pPr>
              <w:spacing w:after="0"/>
              <w:rPr>
                <w:sz w:val="14"/>
                <w:szCs w:val="14"/>
                <w:color w:val="auto"/>
              </w:rPr>
            </w:pPr>
          </w:p>
        </w:tc>
        <w:tc>
          <w:tcPr>
            <w:tcW w:w="7040" w:type="dxa"/>
            <w:vAlign w:val="bottom"/>
            <w:tcBorders>
              <w:bottom w:val="single" w:sz="8" w:color="0000EE"/>
            </w:tcBorders>
            <w:gridSpan w:val="12"/>
          </w:tcPr>
          <w:p>
            <w:pPr>
              <w:spacing w:after="0" w:line="164" w:lineRule="exact"/>
              <w:rPr>
                <w:rFonts w:ascii="Arial" w:cs="Arial" w:eastAsia="Arial" w:hAnsi="Arial"/>
                <w:sz w:val="16"/>
                <w:szCs w:val="16"/>
                <w:color w:val="0000EE"/>
              </w:rPr>
            </w:pPr>
            <w:hyperlink r:id="rId68">
              <w:r>
                <w:rPr>
                  <w:rFonts w:ascii="Arial" w:cs="Arial" w:eastAsia="Arial" w:hAnsi="Arial"/>
                  <w:sz w:val="16"/>
                  <w:szCs w:val="16"/>
                  <w:color w:val="0000EE"/>
                </w:rPr>
                <w:t>Articles of Amendment of Hughes Satellite Systems Corporation, dated as of December 30, 2013</w:t>
              </w:r>
            </w:hyperlink>
          </w:p>
        </w:tc>
        <w:tc>
          <w:tcPr>
            <w:tcW w:w="56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27"/>
          </w:tcPr>
          <w:p>
            <w:pPr>
              <w:spacing w:after="0" w:line="164" w:lineRule="exact"/>
              <w:rPr>
                <w:rFonts w:ascii="Arial" w:cs="Arial" w:eastAsia="Arial" w:hAnsi="Arial"/>
                <w:sz w:val="16"/>
                <w:szCs w:val="16"/>
                <w:color w:val="0000EE"/>
              </w:rPr>
            </w:pPr>
            <w:hyperlink r:id="rId68">
              <w:r>
                <w:rPr>
                  <w:rFonts w:ascii="Arial" w:cs="Arial" w:eastAsia="Arial" w:hAnsi="Arial"/>
                  <w:sz w:val="16"/>
                  <w:szCs w:val="16"/>
                  <w:color w:val="0000EE"/>
                </w:rPr>
                <w:t>(incorporated by reference to Exhibit 3.1(c) to Hughes Satellite Systems Corporation’s Annual Report on</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20" w:type="dxa"/>
            <w:vAlign w:val="bottom"/>
            <w:tcBorders>
              <w:top w:val="single" w:sz="8" w:color="0000EE"/>
            </w:tcBorders>
            <w:gridSpan w:val="24"/>
          </w:tcPr>
          <w:p>
            <w:pPr>
              <w:spacing w:after="0" w:line="164" w:lineRule="exact"/>
              <w:rPr>
                <w:rFonts w:ascii="Arial" w:cs="Arial" w:eastAsia="Arial" w:hAnsi="Arial"/>
                <w:sz w:val="16"/>
                <w:szCs w:val="16"/>
                <w:color w:val="0000EE"/>
              </w:rPr>
            </w:pPr>
            <w:hyperlink r:id="rId68">
              <w:r>
                <w:rPr>
                  <w:rFonts w:ascii="Arial" w:cs="Arial" w:eastAsia="Arial" w:hAnsi="Arial"/>
                  <w:sz w:val="16"/>
                  <w:szCs w:val="16"/>
                  <w:color w:val="0000EE"/>
                </w:rPr>
                <w:t>Form 10-K for the year ended December 31, 2013, filed February 21, 2014, Commission File No. 333-</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3.1(d)*</w:t>
            </w:r>
          </w:p>
        </w:tc>
        <w:tc>
          <w:tcPr>
            <w:tcW w:w="600" w:type="dxa"/>
            <w:vAlign w:val="bottom"/>
            <w:tcBorders>
              <w:top w:val="single" w:sz="8" w:color="0000EE"/>
              <w:bottom w:val="single" w:sz="8" w:color="0000EE"/>
            </w:tcBorders>
            <w:gridSpan w:val="3"/>
          </w:tcPr>
          <w:p>
            <w:pPr>
              <w:spacing w:after="0" w:line="164" w:lineRule="exact"/>
              <w:rPr>
                <w:rFonts w:ascii="Arial" w:cs="Arial" w:eastAsia="Arial" w:hAnsi="Arial"/>
                <w:sz w:val="16"/>
                <w:szCs w:val="16"/>
                <w:color w:val="0000EE"/>
              </w:rPr>
            </w:pPr>
            <w:hyperlink r:id="rId68">
              <w:r>
                <w:rPr>
                  <w:rFonts w:ascii="Arial" w:cs="Arial" w:eastAsia="Arial" w:hAnsi="Arial"/>
                  <w:sz w:val="16"/>
                  <w:szCs w:val="16"/>
                  <w:color w:val="0000EE"/>
                </w:rPr>
                <w:t>179121.</w:t>
              </w:r>
            </w:hyperlink>
          </w:p>
        </w:tc>
        <w:tc>
          <w:tcPr>
            <w:tcW w:w="60" w:type="dxa"/>
            <w:vAlign w:val="bottom"/>
            <w:tcBorders>
              <w:top w:val="single" w:sz="8" w:color="0000EE"/>
            </w:tcBorders>
          </w:tcPr>
          <w:p>
            <w:pPr>
              <w:spacing w:after="0"/>
              <w:rPr>
                <w:sz w:val="14"/>
                <w:szCs w:val="14"/>
                <w:color w:val="auto"/>
              </w:rPr>
            </w:pPr>
          </w:p>
        </w:tc>
        <w:tc>
          <w:tcPr>
            <w:tcW w:w="286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8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20" w:type="dxa"/>
            <w:vAlign w:val="bottom"/>
            <w:gridSpan w:val="2"/>
            <w:vMerge w:val="continue"/>
          </w:tcPr>
          <w:p>
            <w:pPr>
              <w:spacing w:after="0"/>
              <w:rPr>
                <w:sz w:val="14"/>
                <w:szCs w:val="14"/>
                <w:color w:val="auto"/>
              </w:rPr>
            </w:pPr>
          </w:p>
        </w:tc>
        <w:tc>
          <w:tcPr>
            <w:tcW w:w="600" w:type="dxa"/>
            <w:vAlign w:val="bottom"/>
            <w:gridSpan w:val="3"/>
          </w:tcPr>
          <w:p>
            <w:pPr>
              <w:spacing w:after="0" w:line="164" w:lineRule="exact"/>
              <w:rPr>
                <w:rFonts w:ascii="Arial" w:cs="Arial" w:eastAsia="Arial" w:hAnsi="Arial"/>
                <w:sz w:val="16"/>
                <w:szCs w:val="16"/>
                <w:color w:val="0000EE"/>
              </w:rPr>
            </w:pPr>
            <w:hyperlink r:id="rId69">
              <w:r>
                <w:rPr>
                  <w:rFonts w:ascii="Arial" w:cs="Arial" w:eastAsia="Arial" w:hAnsi="Arial"/>
                  <w:sz w:val="16"/>
                  <w:szCs w:val="16"/>
                  <w:color w:val="0000EE"/>
                </w:rPr>
                <w:t>Articles</w:t>
              </w:r>
            </w:hyperlink>
          </w:p>
        </w:tc>
        <w:tc>
          <w:tcPr>
            <w:tcW w:w="7000" w:type="dxa"/>
            <w:vAlign w:val="bottom"/>
            <w:gridSpan w:val="24"/>
          </w:tcPr>
          <w:p>
            <w:pPr>
              <w:spacing w:after="0" w:line="164" w:lineRule="exact"/>
              <w:rPr>
                <w:rFonts w:ascii="Arial" w:cs="Arial" w:eastAsia="Arial" w:hAnsi="Arial"/>
                <w:sz w:val="16"/>
                <w:szCs w:val="16"/>
                <w:color w:val="0000EE"/>
              </w:rPr>
            </w:pPr>
            <w:hyperlink r:id="rId69">
              <w:r>
                <w:rPr>
                  <w:rFonts w:ascii="Arial" w:cs="Arial" w:eastAsia="Arial" w:hAnsi="Arial"/>
                  <w:sz w:val="16"/>
                  <w:szCs w:val="16"/>
                  <w:color w:val="0000EE"/>
                </w:rPr>
                <w:t>of Amendment of Hughes Satellite Systems Corporation, dated as of January 21, 2014</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40" w:type="dxa"/>
            <w:vAlign w:val="bottom"/>
            <w:tcBorders>
              <w:top w:val="single" w:sz="8" w:color="0000EE"/>
            </w:tcBorders>
            <w:gridSpan w:val="9"/>
          </w:tcPr>
          <w:p>
            <w:pPr>
              <w:spacing w:after="0" w:line="164" w:lineRule="exact"/>
              <w:rPr>
                <w:rFonts w:ascii="Arial" w:cs="Arial" w:eastAsia="Arial" w:hAnsi="Arial"/>
                <w:sz w:val="16"/>
                <w:szCs w:val="16"/>
                <w:color w:val="0000EE"/>
              </w:rPr>
            </w:pPr>
            <w:hyperlink r:id="rId69">
              <w:r>
                <w:rPr>
                  <w:rFonts w:ascii="Arial" w:cs="Arial" w:eastAsia="Arial" w:hAnsi="Arial"/>
                  <w:sz w:val="16"/>
                  <w:szCs w:val="16"/>
                  <w:color w:val="0000EE"/>
                </w:rPr>
                <w:t>(incorporated by reference to Exhibit 3.1(d) to Hughes Satellite Systems Corporation’s Annual</w:t>
              </w:r>
            </w:hyperlink>
          </w:p>
        </w:tc>
        <w:tc>
          <w:tcPr>
            <w:tcW w:w="760" w:type="dxa"/>
            <w:vAlign w:val="bottom"/>
            <w:gridSpan w:val="18"/>
          </w:tcPr>
          <w:p>
            <w:pPr>
              <w:spacing w:after="0" w:line="164" w:lineRule="exact"/>
              <w:rPr>
                <w:rFonts w:ascii="Arial" w:cs="Arial" w:eastAsia="Arial" w:hAnsi="Arial"/>
                <w:sz w:val="16"/>
                <w:szCs w:val="16"/>
                <w:color w:val="0000EE"/>
              </w:rPr>
            </w:pPr>
            <w:hyperlink r:id="rId69">
              <w:r>
                <w:rPr>
                  <w:rFonts w:ascii="Arial" w:cs="Arial" w:eastAsia="Arial" w:hAnsi="Arial"/>
                  <w:sz w:val="16"/>
                  <w:szCs w:val="16"/>
                  <w:color w:val="0000EE"/>
                </w:rPr>
                <w:t>Report on</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Borders>
              <w:top w:val="single" w:sz="8" w:color="0000EE"/>
            </w:tcBorders>
            <w:gridSpan w:val="25"/>
          </w:tcPr>
          <w:p>
            <w:pPr>
              <w:spacing w:after="0" w:line="164" w:lineRule="exact"/>
              <w:rPr>
                <w:rFonts w:ascii="Arial" w:cs="Arial" w:eastAsia="Arial" w:hAnsi="Arial"/>
                <w:sz w:val="16"/>
                <w:szCs w:val="16"/>
                <w:color w:val="0000EE"/>
              </w:rPr>
            </w:pPr>
            <w:hyperlink r:id="rId69">
              <w:r>
                <w:rPr>
                  <w:rFonts w:ascii="Arial" w:cs="Arial" w:eastAsia="Arial" w:hAnsi="Arial"/>
                  <w:sz w:val="16"/>
                  <w:szCs w:val="16"/>
                  <w:color w:val="0000EE"/>
                </w:rPr>
                <w:t>Form 10-K for the year ended December 31, 2013, filed February 21, 2014, Commission File No. 333-</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3.1(e)*</w:t>
            </w:r>
          </w:p>
        </w:tc>
        <w:tc>
          <w:tcPr>
            <w:tcW w:w="660" w:type="dxa"/>
            <w:vAlign w:val="bottom"/>
            <w:tcBorders>
              <w:top w:val="single" w:sz="8" w:color="0000EE"/>
              <w:bottom w:val="single" w:sz="8" w:color="0000EE"/>
            </w:tcBorders>
            <w:gridSpan w:val="4"/>
          </w:tcPr>
          <w:p>
            <w:pPr>
              <w:spacing w:after="0" w:line="164" w:lineRule="exact"/>
              <w:rPr>
                <w:rFonts w:ascii="Arial" w:cs="Arial" w:eastAsia="Arial" w:hAnsi="Arial"/>
                <w:sz w:val="16"/>
                <w:szCs w:val="16"/>
                <w:color w:val="0000EE"/>
              </w:rPr>
            </w:pPr>
            <w:hyperlink r:id="rId69">
              <w:r>
                <w:rPr>
                  <w:rFonts w:ascii="Arial" w:cs="Arial" w:eastAsia="Arial" w:hAnsi="Arial"/>
                  <w:sz w:val="16"/>
                  <w:szCs w:val="16"/>
                  <w:color w:val="0000EE"/>
                </w:rPr>
                <w:t>179121).</w:t>
              </w:r>
            </w:hyperlink>
          </w:p>
        </w:tc>
        <w:tc>
          <w:tcPr>
            <w:tcW w:w="286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8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20" w:type="dxa"/>
            <w:vAlign w:val="bottom"/>
            <w:gridSpan w:val="2"/>
            <w:vMerge w:val="continue"/>
          </w:tcPr>
          <w:p>
            <w:pPr>
              <w:spacing w:after="0"/>
              <w:rPr>
                <w:sz w:val="14"/>
                <w:szCs w:val="14"/>
                <w:color w:val="auto"/>
              </w:rPr>
            </w:pPr>
          </w:p>
        </w:tc>
        <w:tc>
          <w:tcPr>
            <w:tcW w:w="7600" w:type="dxa"/>
            <w:vAlign w:val="bottom"/>
            <w:gridSpan w:val="27"/>
          </w:tcPr>
          <w:p>
            <w:pPr>
              <w:spacing w:after="0" w:line="164" w:lineRule="exact"/>
              <w:rPr>
                <w:rFonts w:ascii="Arial" w:cs="Arial" w:eastAsia="Arial" w:hAnsi="Arial"/>
                <w:sz w:val="16"/>
                <w:szCs w:val="16"/>
                <w:color w:val="0000EE"/>
              </w:rPr>
            </w:pPr>
            <w:hyperlink r:id="rId70">
              <w:r>
                <w:rPr>
                  <w:rFonts w:ascii="Arial" w:cs="Arial" w:eastAsia="Arial" w:hAnsi="Arial"/>
                  <w:sz w:val="16"/>
                  <w:szCs w:val="16"/>
                  <w:color w:val="0000EE"/>
                </w:rPr>
                <w:t>Articles of Amendment of Hughes Satellite Systems Corporation, dated as of February 28, 2014</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920" w:type="dxa"/>
            <w:vAlign w:val="bottom"/>
            <w:tcBorders>
              <w:top w:val="single" w:sz="8" w:color="0000EE"/>
            </w:tcBorders>
            <w:gridSpan w:val="10"/>
          </w:tcPr>
          <w:p>
            <w:pPr>
              <w:spacing w:after="0" w:line="164" w:lineRule="exact"/>
              <w:rPr>
                <w:rFonts w:ascii="Arial" w:cs="Arial" w:eastAsia="Arial" w:hAnsi="Arial"/>
                <w:sz w:val="16"/>
                <w:szCs w:val="16"/>
                <w:color w:val="0000EE"/>
              </w:rPr>
            </w:pPr>
            <w:hyperlink r:id="rId70">
              <w:r>
                <w:rPr>
                  <w:rFonts w:ascii="Arial" w:cs="Arial" w:eastAsia="Arial" w:hAnsi="Arial"/>
                  <w:sz w:val="16"/>
                  <w:szCs w:val="16"/>
                  <w:color w:val="0000EE"/>
                </w:rPr>
                <w:t>(incorporated by reference to Exhibit 3.1(a) to Hughes Satellite Systems Corporation’s Quarterly</w:t>
              </w:r>
            </w:hyperlink>
          </w:p>
        </w:tc>
        <w:tc>
          <w:tcPr>
            <w:tcW w:w="680" w:type="dxa"/>
            <w:vAlign w:val="bottom"/>
            <w:gridSpan w:val="17"/>
          </w:tcPr>
          <w:p>
            <w:pPr>
              <w:ind w:left="60"/>
              <w:spacing w:after="0" w:line="164" w:lineRule="exact"/>
              <w:rPr>
                <w:rFonts w:ascii="Arial" w:cs="Arial" w:eastAsia="Arial" w:hAnsi="Arial"/>
                <w:sz w:val="16"/>
                <w:szCs w:val="16"/>
                <w:color w:val="0000EE"/>
              </w:rPr>
            </w:pPr>
            <w:hyperlink r:id="rId70">
              <w:r>
                <w:rPr>
                  <w:rFonts w:ascii="Arial" w:cs="Arial" w:eastAsia="Arial" w:hAnsi="Arial"/>
                  <w:sz w:val="16"/>
                  <w:szCs w:val="16"/>
                  <w:color w:val="0000EE"/>
                </w:rPr>
                <w:t>Report</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60" w:type="dxa"/>
            <w:vAlign w:val="bottom"/>
            <w:tcBorders>
              <w:top w:val="single" w:sz="8" w:color="0000EE"/>
            </w:tcBorders>
            <w:gridSpan w:val="22"/>
          </w:tcPr>
          <w:p>
            <w:pPr>
              <w:spacing w:after="0" w:line="164" w:lineRule="exact"/>
              <w:rPr>
                <w:rFonts w:ascii="Arial" w:cs="Arial" w:eastAsia="Arial" w:hAnsi="Arial"/>
                <w:sz w:val="16"/>
                <w:szCs w:val="16"/>
                <w:color w:val="0000EE"/>
              </w:rPr>
            </w:pPr>
            <w:hyperlink r:id="rId70">
              <w:r>
                <w:rPr>
                  <w:rFonts w:ascii="Arial" w:cs="Arial" w:eastAsia="Arial" w:hAnsi="Arial"/>
                  <w:sz w:val="16"/>
                  <w:szCs w:val="16"/>
                  <w:color w:val="0000EE"/>
                </w:rPr>
                <w:t>on Form 10-Q for the quarter ended March 31, 2014, filed May 9, 2014, Commission File No. 333-</w:t>
              </w:r>
            </w:hyperlink>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rPr>
              <w:t>3.1(f)*</w:t>
            </w:r>
          </w:p>
        </w:tc>
        <w:tc>
          <w:tcPr>
            <w:tcW w:w="660" w:type="dxa"/>
            <w:vAlign w:val="bottom"/>
            <w:tcBorders>
              <w:top w:val="single" w:sz="8" w:color="0000EE"/>
              <w:bottom w:val="single" w:sz="8" w:color="0000EE"/>
            </w:tcBorders>
            <w:gridSpan w:val="4"/>
          </w:tcPr>
          <w:p>
            <w:pPr>
              <w:spacing w:after="0" w:line="164" w:lineRule="exact"/>
              <w:rPr>
                <w:rFonts w:ascii="Arial" w:cs="Arial" w:eastAsia="Arial" w:hAnsi="Arial"/>
                <w:sz w:val="16"/>
                <w:szCs w:val="16"/>
                <w:color w:val="0000EE"/>
              </w:rPr>
            </w:pPr>
            <w:hyperlink r:id="rId70">
              <w:r>
                <w:rPr>
                  <w:rFonts w:ascii="Arial" w:cs="Arial" w:eastAsia="Arial" w:hAnsi="Arial"/>
                  <w:sz w:val="16"/>
                  <w:szCs w:val="16"/>
                  <w:color w:val="0000EE"/>
                </w:rPr>
                <w:t>179121).</w:t>
              </w:r>
            </w:hyperlink>
          </w:p>
        </w:tc>
        <w:tc>
          <w:tcPr>
            <w:tcW w:w="286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8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20" w:type="dxa"/>
            <w:vAlign w:val="bottom"/>
            <w:gridSpan w:val="2"/>
            <w:vMerge w:val="continue"/>
          </w:tcPr>
          <w:p>
            <w:pPr>
              <w:spacing w:after="0"/>
              <w:rPr>
                <w:sz w:val="14"/>
                <w:szCs w:val="14"/>
                <w:color w:val="auto"/>
              </w:rPr>
            </w:pPr>
          </w:p>
        </w:tc>
        <w:tc>
          <w:tcPr>
            <w:tcW w:w="7600" w:type="dxa"/>
            <w:vAlign w:val="bottom"/>
            <w:gridSpan w:val="27"/>
          </w:tcPr>
          <w:p>
            <w:pPr>
              <w:spacing w:after="0" w:line="164" w:lineRule="exact"/>
              <w:rPr>
                <w:rFonts w:ascii="Arial" w:cs="Arial" w:eastAsia="Arial" w:hAnsi="Arial"/>
                <w:sz w:val="16"/>
                <w:szCs w:val="16"/>
                <w:color w:val="0000EE"/>
              </w:rPr>
            </w:pPr>
            <w:hyperlink r:id="rId71">
              <w:r>
                <w:rPr>
                  <w:rFonts w:ascii="Arial" w:cs="Arial" w:eastAsia="Arial" w:hAnsi="Arial"/>
                  <w:sz w:val="16"/>
                  <w:szCs w:val="16"/>
                  <w:color w:val="0000EE"/>
                </w:rPr>
                <w:t>Articles of Amendment to Articles of Incorporation of Hughes Satellite Systems Corporation, dated as of</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80" w:type="dxa"/>
            <w:vAlign w:val="bottom"/>
            <w:tcBorders>
              <w:top w:val="single" w:sz="8" w:color="0000EE"/>
            </w:tcBorders>
            <w:gridSpan w:val="23"/>
          </w:tcPr>
          <w:p>
            <w:pPr>
              <w:spacing w:after="0" w:line="164" w:lineRule="exact"/>
              <w:rPr>
                <w:rFonts w:ascii="Arial" w:cs="Arial" w:eastAsia="Arial" w:hAnsi="Arial"/>
                <w:sz w:val="16"/>
                <w:szCs w:val="16"/>
                <w:color w:val="0000EE"/>
              </w:rPr>
            </w:pPr>
            <w:hyperlink r:id="rId71">
              <w:r>
                <w:rPr>
                  <w:rFonts w:ascii="Arial" w:cs="Arial" w:eastAsia="Arial" w:hAnsi="Arial"/>
                  <w:sz w:val="16"/>
                  <w:szCs w:val="16"/>
                  <w:color w:val="0000EE"/>
                </w:rPr>
                <w:t>March 1, 2017 (incorporated by reference to Exhibit 32 to EchoStar Corporation’s Current Report on</w:t>
              </w:r>
            </w:hyperlink>
          </w:p>
        </w:tc>
        <w:tc>
          <w:tcPr>
            <w:tcW w:w="1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14"/>
                <w:szCs w:val="14"/>
                <w:color w:val="auto"/>
              </w:rPr>
            </w:pPr>
          </w:p>
        </w:tc>
        <w:tc>
          <w:tcPr>
            <w:tcW w:w="7240" w:type="dxa"/>
            <w:vAlign w:val="bottom"/>
            <w:tcBorders>
              <w:top w:val="single" w:sz="8" w:color="0000EE"/>
            </w:tcBorders>
            <w:gridSpan w:val="17"/>
          </w:tcPr>
          <w:p>
            <w:pPr>
              <w:spacing w:after="0" w:line="164" w:lineRule="exact"/>
              <w:rPr>
                <w:rFonts w:ascii="Arial" w:cs="Arial" w:eastAsia="Arial" w:hAnsi="Arial"/>
                <w:sz w:val="16"/>
                <w:szCs w:val="16"/>
                <w:color w:val="0000EE"/>
              </w:rPr>
            </w:pPr>
            <w:hyperlink r:id="rId71">
              <w:r>
                <w:rPr>
                  <w:rFonts w:ascii="Arial" w:cs="Arial" w:eastAsia="Arial" w:hAnsi="Arial"/>
                  <w:sz w:val="16"/>
                  <w:szCs w:val="16"/>
                  <w:color w:val="0000EE"/>
                </w:rPr>
                <w:t>Form 8-K filed March 6, 2017, Commission File No. 001-33807).</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40" w:type="dxa"/>
            <w:vAlign w:val="bottom"/>
            <w:tcBorders>
              <w:top w:val="single" w:sz="8" w:color="0000EE"/>
            </w:tcBorders>
            <w:gridSpan w:val="6"/>
          </w:tcPr>
          <w:p>
            <w:pPr>
              <w:spacing w:after="0" w:line="164" w:lineRule="exact"/>
              <w:rPr>
                <w:rFonts w:ascii="Arial" w:cs="Arial" w:eastAsia="Arial" w:hAnsi="Arial"/>
                <w:sz w:val="16"/>
                <w:szCs w:val="16"/>
                <w:color w:val="0000EE"/>
              </w:rPr>
            </w:pPr>
            <w:hyperlink r:id="rId72">
              <w:r>
                <w:rPr>
                  <w:rFonts w:ascii="Arial" w:cs="Arial" w:eastAsia="Arial" w:hAnsi="Arial"/>
                  <w:sz w:val="16"/>
                  <w:szCs w:val="16"/>
                  <w:color w:val="0000EE"/>
                </w:rPr>
                <w:t>Bylaws of EH Holding Corporation (incorporated by reference to</w:t>
              </w:r>
            </w:hyperlink>
          </w:p>
        </w:tc>
        <w:tc>
          <w:tcPr>
            <w:tcW w:w="2960" w:type="dxa"/>
            <w:vAlign w:val="bottom"/>
            <w:gridSpan w:val="21"/>
          </w:tcPr>
          <w:p>
            <w:pPr>
              <w:ind w:left="20"/>
              <w:spacing w:after="0" w:line="164" w:lineRule="exact"/>
              <w:rPr>
                <w:rFonts w:ascii="Arial" w:cs="Arial" w:eastAsia="Arial" w:hAnsi="Arial"/>
                <w:sz w:val="16"/>
                <w:szCs w:val="16"/>
                <w:color w:val="0000EE"/>
              </w:rPr>
            </w:pPr>
            <w:hyperlink r:id="rId72">
              <w:r>
                <w:rPr>
                  <w:rFonts w:ascii="Arial" w:cs="Arial" w:eastAsia="Arial" w:hAnsi="Arial"/>
                  <w:sz w:val="16"/>
                  <w:szCs w:val="16"/>
                  <w:color w:val="0000EE"/>
                </w:rPr>
                <w:t>Exhibit 3.2 to the Company’s</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14"/>
                <w:szCs w:val="14"/>
                <w:color w:val="auto"/>
              </w:rPr>
            </w:pPr>
          </w:p>
        </w:tc>
        <w:tc>
          <w:tcPr>
            <w:tcW w:w="6740" w:type="dxa"/>
            <w:vAlign w:val="bottom"/>
            <w:tcBorders>
              <w:top w:val="single" w:sz="8" w:color="0000EE"/>
            </w:tcBorders>
            <w:gridSpan w:val="8"/>
          </w:tcPr>
          <w:p>
            <w:pPr>
              <w:spacing w:after="0" w:line="164" w:lineRule="exact"/>
              <w:rPr>
                <w:rFonts w:ascii="Arial" w:cs="Arial" w:eastAsia="Arial" w:hAnsi="Arial"/>
                <w:sz w:val="16"/>
                <w:szCs w:val="16"/>
                <w:color w:val="0000EE"/>
              </w:rPr>
            </w:pPr>
            <w:hyperlink r:id="rId72">
              <w:r>
                <w:rPr>
                  <w:rFonts w:ascii="Arial" w:cs="Arial" w:eastAsia="Arial" w:hAnsi="Arial"/>
                  <w:sz w:val="16"/>
                  <w:szCs w:val="16"/>
                  <w:color w:val="0000EE"/>
                </w:rPr>
                <w:t>Registration Statement on Form S-4, Registration No. 333-179121).</w:t>
              </w:r>
            </w:hyperlink>
          </w:p>
        </w:tc>
        <w:tc>
          <w:tcPr>
            <w:tcW w:w="36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900" w:type="dxa"/>
            <w:vAlign w:val="bottom"/>
            <w:tcBorders>
              <w:top w:val="single" w:sz="8" w:color="0000EE"/>
            </w:tcBorders>
            <w:gridSpan w:val="7"/>
          </w:tcPr>
          <w:p>
            <w:pPr>
              <w:spacing w:after="0" w:line="164" w:lineRule="exact"/>
              <w:rPr>
                <w:rFonts w:ascii="Arial" w:cs="Arial" w:eastAsia="Arial" w:hAnsi="Arial"/>
                <w:sz w:val="16"/>
                <w:szCs w:val="16"/>
                <w:color w:val="0000EE"/>
              </w:rPr>
            </w:pPr>
            <w:hyperlink r:id="rId73">
              <w:r>
                <w:rPr>
                  <w:rFonts w:ascii="Arial" w:cs="Arial" w:eastAsia="Arial" w:hAnsi="Arial"/>
                  <w:sz w:val="16"/>
                  <w:szCs w:val="16"/>
                  <w:color w:val="0000EE"/>
                </w:rPr>
                <w:t>Security Agreement, dated as of June 8, 2011, among EH Holding</w:t>
              </w:r>
            </w:hyperlink>
          </w:p>
        </w:tc>
        <w:tc>
          <w:tcPr>
            <w:tcW w:w="2700" w:type="dxa"/>
            <w:vAlign w:val="bottom"/>
            <w:gridSpan w:val="20"/>
          </w:tcPr>
          <w:p>
            <w:pPr>
              <w:spacing w:after="0" w:line="164" w:lineRule="exact"/>
              <w:rPr>
                <w:rFonts w:ascii="Arial" w:cs="Arial" w:eastAsia="Arial" w:hAnsi="Arial"/>
                <w:sz w:val="16"/>
                <w:szCs w:val="16"/>
                <w:color w:val="0000EE"/>
              </w:rPr>
            </w:pPr>
            <w:hyperlink r:id="rId73">
              <w:r>
                <w:rPr>
                  <w:rFonts w:ascii="Arial" w:cs="Arial" w:eastAsia="Arial" w:hAnsi="Arial"/>
                  <w:sz w:val="16"/>
                  <w:szCs w:val="16"/>
                  <w:color w:val="0000EE"/>
                </w:rPr>
                <w:t>Corporation (currently known as</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40" w:type="dxa"/>
            <w:vAlign w:val="bottom"/>
            <w:tcBorders>
              <w:top w:val="single" w:sz="8" w:color="0000EE"/>
            </w:tcBorders>
            <w:gridSpan w:val="15"/>
          </w:tcPr>
          <w:p>
            <w:pPr>
              <w:spacing w:after="0" w:line="164" w:lineRule="exact"/>
              <w:rPr>
                <w:rFonts w:ascii="Arial" w:cs="Arial" w:eastAsia="Arial" w:hAnsi="Arial"/>
                <w:sz w:val="16"/>
                <w:szCs w:val="16"/>
                <w:color w:val="0000EE"/>
              </w:rPr>
            </w:pPr>
            <w:hyperlink r:id="rId73">
              <w:r>
                <w:rPr>
                  <w:rFonts w:ascii="Arial" w:cs="Arial" w:eastAsia="Arial" w:hAnsi="Arial"/>
                  <w:sz w:val="16"/>
                  <w:szCs w:val="16"/>
                  <w:color w:val="0000EE"/>
                </w:rPr>
                <w:t>Hughes Satellite Systems Corporation), the guarantors listed on the signature pages thereto, and</w:t>
              </w:r>
            </w:hyperlink>
          </w:p>
        </w:tc>
        <w:tc>
          <w:tcPr>
            <w:tcW w:w="460" w:type="dxa"/>
            <w:vAlign w:val="bottom"/>
            <w:gridSpan w:val="12"/>
          </w:tcPr>
          <w:p>
            <w:pPr>
              <w:spacing w:after="0" w:line="164" w:lineRule="exact"/>
              <w:rPr>
                <w:rFonts w:ascii="Arial" w:cs="Arial" w:eastAsia="Arial" w:hAnsi="Arial"/>
                <w:sz w:val="16"/>
                <w:szCs w:val="16"/>
                <w:color w:val="0000EE"/>
              </w:rPr>
            </w:pPr>
            <w:hyperlink r:id="rId73">
              <w:r>
                <w:rPr>
                  <w:rFonts w:ascii="Arial" w:cs="Arial" w:eastAsia="Arial" w:hAnsi="Arial"/>
                  <w:sz w:val="16"/>
                  <w:szCs w:val="16"/>
                  <w:color w:val="0000EE"/>
                </w:rPr>
                <w:t>U.S.</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80" w:type="dxa"/>
            <w:vAlign w:val="bottom"/>
            <w:tcBorders>
              <w:top w:val="single" w:sz="8" w:color="0000EE"/>
            </w:tcBorders>
            <w:gridSpan w:val="20"/>
          </w:tcPr>
          <w:p>
            <w:pPr>
              <w:spacing w:after="0" w:line="164" w:lineRule="exact"/>
              <w:rPr>
                <w:rFonts w:ascii="Arial" w:cs="Arial" w:eastAsia="Arial" w:hAnsi="Arial"/>
                <w:sz w:val="16"/>
                <w:szCs w:val="16"/>
                <w:color w:val="0000EE"/>
              </w:rPr>
            </w:pPr>
            <w:hyperlink r:id="rId73">
              <w:r>
                <w:rPr>
                  <w:rFonts w:ascii="Arial" w:cs="Arial" w:eastAsia="Arial" w:hAnsi="Arial"/>
                  <w:sz w:val="16"/>
                  <w:szCs w:val="16"/>
                  <w:color w:val="0000EE"/>
                </w:rPr>
                <w:t>Bank National Association, as successor collateral agent (incorporated by reference to Exhibit 4.1 to</w:t>
              </w:r>
            </w:hyperlink>
          </w:p>
        </w:tc>
        <w:tc>
          <w:tcPr>
            <w:tcW w:w="2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60" w:type="dxa"/>
            <w:vAlign w:val="bottom"/>
            <w:tcBorders>
              <w:top w:val="single" w:sz="8" w:color="0000EE"/>
            </w:tcBorders>
            <w:gridSpan w:val="18"/>
          </w:tcPr>
          <w:p>
            <w:pPr>
              <w:spacing w:after="0" w:line="164" w:lineRule="exact"/>
              <w:rPr>
                <w:rFonts w:ascii="Arial" w:cs="Arial" w:eastAsia="Arial" w:hAnsi="Arial"/>
                <w:sz w:val="16"/>
                <w:szCs w:val="16"/>
                <w:color w:val="0000EE"/>
              </w:rPr>
            </w:pPr>
            <w:hyperlink r:id="rId73">
              <w:r>
                <w:rPr>
                  <w:rFonts w:ascii="Arial" w:cs="Arial" w:eastAsia="Arial" w:hAnsi="Arial"/>
                  <w:sz w:val="16"/>
                  <w:szCs w:val="16"/>
                  <w:color w:val="0000EE"/>
                </w:rPr>
                <w:t>EchoStar Corporation’s Current Report on Form 8-K, filed June 9, 2011, Commission File No. 001-</w:t>
              </w:r>
            </w:hyperlink>
          </w:p>
        </w:tc>
        <w:tc>
          <w:tcPr>
            <w:tcW w:w="3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tcBorders>
            <w:gridSpan w:val="3"/>
          </w:tcPr>
          <w:p>
            <w:pPr>
              <w:spacing w:after="0" w:line="164" w:lineRule="exact"/>
              <w:rPr>
                <w:rFonts w:ascii="Arial" w:cs="Arial" w:eastAsia="Arial" w:hAnsi="Arial"/>
                <w:sz w:val="16"/>
                <w:szCs w:val="16"/>
                <w:color w:val="0000EE"/>
              </w:rPr>
            </w:pPr>
            <w:hyperlink r:id="rId73">
              <w:r>
                <w:rPr>
                  <w:rFonts w:ascii="Arial" w:cs="Arial" w:eastAsia="Arial" w:hAnsi="Arial"/>
                  <w:sz w:val="16"/>
                  <w:szCs w:val="16"/>
                  <w:color w:val="0000EE"/>
                </w:rPr>
                <w:t>33807).</w:t>
              </w:r>
            </w:hyperlink>
          </w:p>
        </w:tc>
        <w:tc>
          <w:tcPr>
            <w:tcW w:w="60" w:type="dxa"/>
            <w:vAlign w:val="bottom"/>
            <w:tcBorders>
              <w:top w:val="single" w:sz="8" w:color="0000EE"/>
            </w:tcBorders>
          </w:tcPr>
          <w:p>
            <w:pPr>
              <w:spacing w:after="0"/>
              <w:rPr>
                <w:sz w:val="14"/>
                <w:szCs w:val="14"/>
                <w:color w:val="auto"/>
              </w:rPr>
            </w:pPr>
          </w:p>
        </w:tc>
        <w:tc>
          <w:tcPr>
            <w:tcW w:w="286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8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6"/>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960" w:type="dxa"/>
            <w:vAlign w:val="bottom"/>
            <w:gridSpan w:val="3"/>
          </w:tcPr>
          <w:p>
            <w:pPr>
              <w:jc w:val="right"/>
              <w:ind w:right="198"/>
              <w:spacing w:after="0"/>
              <w:rPr>
                <w:sz w:val="20"/>
                <w:szCs w:val="20"/>
                <w:color w:val="auto"/>
              </w:rPr>
            </w:pPr>
            <w:r>
              <w:rPr>
                <w:rFonts w:ascii="Arial" w:cs="Arial" w:eastAsia="Arial" w:hAnsi="Arial"/>
                <w:sz w:val="16"/>
                <w:szCs w:val="16"/>
                <w:color w:val="auto"/>
              </w:rPr>
              <w:t>46</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8" w:right="1440" w:bottom="1440" w:gutter="0" w:footer="0" w:header="0"/>
        </w:sectPr>
      </w:pPr>
    </w:p>
    <w:bookmarkStart w:id="51" w:name="page52"/>
    <w:bookmarkEnd w:id="5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80" w:type="dxa"/>
            <w:vAlign w:val="bottom"/>
            <w:gridSpan w:val="40"/>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1"/>
        </w:trPr>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Exhibit No.</w:t>
            </w:r>
          </w:p>
        </w:tc>
        <w:tc>
          <w:tcPr>
            <w:tcW w:w="1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gridSpan w:val="35"/>
          </w:tcPr>
          <w:p>
            <w:pPr>
              <w:ind w:left="3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2"/>
        </w:trPr>
        <w:tc>
          <w:tcPr>
            <w:tcW w:w="1220" w:type="dxa"/>
            <w:vAlign w:val="bottom"/>
          </w:tcPr>
          <w:p>
            <w:pPr>
              <w:jc w:val="center"/>
              <w:spacing w:after="0" w:line="152" w:lineRule="exact"/>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120" w:type="dxa"/>
            <w:vAlign w:val="bottom"/>
            <w:tcBorders>
              <w:bottom w:val="single" w:sz="8" w:color="0000EE"/>
            </w:tcBorders>
            <w:gridSpan w:val="16"/>
          </w:tcPr>
          <w:p>
            <w:pPr>
              <w:spacing w:after="0" w:line="152" w:lineRule="exact"/>
              <w:rPr>
                <w:rFonts w:ascii="Arial" w:cs="Arial" w:eastAsia="Arial" w:hAnsi="Arial"/>
                <w:sz w:val="16"/>
                <w:szCs w:val="16"/>
                <w:color w:val="0000EE"/>
              </w:rPr>
            </w:pPr>
            <w:hyperlink r:id="rId74">
              <w:r>
                <w:rPr>
                  <w:rFonts w:ascii="Arial" w:cs="Arial" w:eastAsia="Arial" w:hAnsi="Arial"/>
                  <w:sz w:val="16"/>
                  <w:szCs w:val="16"/>
                  <w:color w:val="0000EE"/>
                </w:rPr>
                <w:t>Indenture, relating to the 5.250% Senior Secured Notes, dated as of July 27, 2016, among Hughes</w:t>
              </w:r>
            </w:hyperlink>
          </w:p>
        </w:tc>
        <w:tc>
          <w:tcPr>
            <w:tcW w:w="54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80" w:type="dxa"/>
            <w:vAlign w:val="bottom"/>
            <w:gridSpan w:val="40"/>
          </w:tcPr>
          <w:p>
            <w:pPr>
              <w:spacing w:after="0" w:line="164" w:lineRule="exact"/>
              <w:rPr>
                <w:rFonts w:ascii="Arial" w:cs="Arial" w:eastAsia="Arial" w:hAnsi="Arial"/>
                <w:sz w:val="16"/>
                <w:szCs w:val="16"/>
                <w:color w:val="0000EE"/>
              </w:rPr>
            </w:pPr>
            <w:hyperlink r:id="rId74">
              <w:r>
                <w:rPr>
                  <w:rFonts w:ascii="Arial" w:cs="Arial" w:eastAsia="Arial" w:hAnsi="Arial"/>
                  <w:sz w:val="16"/>
                  <w:szCs w:val="16"/>
                  <w:color w:val="0000EE"/>
                </w:rPr>
                <w:t>Satellite Systems Corporation, the guarantors party thereto, U.S. Bank National Association, as trustee</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20" w:type="dxa"/>
            <w:vAlign w:val="bottom"/>
            <w:tcBorders>
              <w:top w:val="single" w:sz="8" w:color="0000EE"/>
            </w:tcBorders>
            <w:gridSpan w:val="27"/>
          </w:tcPr>
          <w:p>
            <w:pPr>
              <w:spacing w:after="0" w:line="164" w:lineRule="exact"/>
              <w:rPr>
                <w:rFonts w:ascii="Arial" w:cs="Arial" w:eastAsia="Arial" w:hAnsi="Arial"/>
                <w:sz w:val="16"/>
                <w:szCs w:val="16"/>
                <w:color w:val="0000EE"/>
              </w:rPr>
            </w:pPr>
            <w:hyperlink r:id="rId74">
              <w:r>
                <w:rPr>
                  <w:rFonts w:ascii="Arial" w:cs="Arial" w:eastAsia="Arial" w:hAnsi="Arial"/>
                  <w:sz w:val="16"/>
                  <w:szCs w:val="16"/>
                  <w:color w:val="0000EE"/>
                </w:rPr>
                <w:t>and successor collateral agent (incorporated by reference to Exhibit 4.1 to EchoStar Corporation’s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14"/>
                <w:szCs w:val="14"/>
                <w:color w:val="auto"/>
              </w:rPr>
            </w:pPr>
          </w:p>
        </w:tc>
        <w:tc>
          <w:tcPr>
            <w:tcW w:w="7080" w:type="dxa"/>
            <w:vAlign w:val="bottom"/>
            <w:tcBorders>
              <w:top w:val="single" w:sz="8" w:color="0000EE"/>
            </w:tcBorders>
            <w:gridSpan w:val="14"/>
          </w:tcPr>
          <w:p>
            <w:pPr>
              <w:spacing w:after="0" w:line="164" w:lineRule="exact"/>
              <w:rPr>
                <w:rFonts w:ascii="Arial" w:cs="Arial" w:eastAsia="Arial" w:hAnsi="Arial"/>
                <w:sz w:val="16"/>
                <w:szCs w:val="16"/>
                <w:color w:val="0000EE"/>
              </w:rPr>
            </w:pPr>
            <w:hyperlink r:id="rId74">
              <w:r>
                <w:rPr>
                  <w:rFonts w:ascii="Arial" w:cs="Arial" w:eastAsia="Arial" w:hAnsi="Arial"/>
                  <w:sz w:val="16"/>
                  <w:szCs w:val="16"/>
                  <w:color w:val="0000EE"/>
                </w:rPr>
                <w:t>Current Report on Form 8-K filed on July 27, 2016, Commission File No. 001-33807).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160" w:type="dxa"/>
            <w:vAlign w:val="bottom"/>
            <w:tcBorders>
              <w:top w:val="single" w:sz="8" w:color="0000EE"/>
            </w:tcBorders>
            <w:gridSpan w:val="8"/>
          </w:tcPr>
          <w:p>
            <w:pPr>
              <w:spacing w:after="0" w:line="164" w:lineRule="exact"/>
              <w:rPr>
                <w:rFonts w:ascii="Arial" w:cs="Arial" w:eastAsia="Arial" w:hAnsi="Arial"/>
                <w:sz w:val="16"/>
                <w:szCs w:val="16"/>
                <w:color w:val="0000EE"/>
              </w:rPr>
            </w:pPr>
            <w:hyperlink r:id="rId75">
              <w:r>
                <w:rPr>
                  <w:rFonts w:ascii="Arial" w:cs="Arial" w:eastAsia="Arial" w:hAnsi="Arial"/>
                  <w:sz w:val="16"/>
                  <w:szCs w:val="16"/>
                  <w:color w:val="0000EE"/>
                </w:rPr>
                <w:t>Indenture, relating to the 6.625% Senior Unsecured Notes, dated as of July 27, 2016,</w:t>
              </w:r>
            </w:hyperlink>
          </w:p>
        </w:tc>
        <w:tc>
          <w:tcPr>
            <w:tcW w:w="1520" w:type="dxa"/>
            <w:vAlign w:val="bottom"/>
            <w:gridSpan w:val="32"/>
          </w:tcPr>
          <w:p>
            <w:pPr>
              <w:jc w:val="right"/>
              <w:ind w:right="360"/>
              <w:spacing w:after="0" w:line="164" w:lineRule="exact"/>
              <w:rPr>
                <w:rFonts w:ascii="Arial" w:cs="Arial" w:eastAsia="Arial" w:hAnsi="Arial"/>
                <w:sz w:val="16"/>
                <w:szCs w:val="16"/>
                <w:color w:val="0000EE"/>
              </w:rPr>
            </w:pPr>
            <w:hyperlink r:id="rId75">
              <w:r>
                <w:rPr>
                  <w:rFonts w:ascii="Arial" w:cs="Arial" w:eastAsia="Arial" w:hAnsi="Arial"/>
                  <w:sz w:val="16"/>
                  <w:szCs w:val="16"/>
                  <w:color w:val="0000EE"/>
                </w:rPr>
                <w:t>among Hughes</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60" w:type="dxa"/>
            <w:vAlign w:val="bottom"/>
            <w:tcBorders>
              <w:top w:val="single" w:sz="8" w:color="0000EE"/>
            </w:tcBorders>
            <w:gridSpan w:val="24"/>
          </w:tcPr>
          <w:p>
            <w:pPr>
              <w:spacing w:after="0" w:line="164" w:lineRule="exact"/>
              <w:rPr>
                <w:rFonts w:ascii="Arial" w:cs="Arial" w:eastAsia="Arial" w:hAnsi="Arial"/>
                <w:sz w:val="16"/>
                <w:szCs w:val="16"/>
                <w:color w:val="0000EE"/>
              </w:rPr>
            </w:pPr>
            <w:hyperlink r:id="rId75">
              <w:r>
                <w:rPr>
                  <w:rFonts w:ascii="Arial" w:cs="Arial" w:eastAsia="Arial" w:hAnsi="Arial"/>
                  <w:sz w:val="16"/>
                  <w:szCs w:val="16"/>
                  <w:color w:val="0000EE"/>
                </w:rPr>
                <w:t>Satellite Systems Corporation, the guarantors party thereto and U.S. Bank National Association, as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60" w:type="dxa"/>
            <w:vAlign w:val="bottom"/>
            <w:tcBorders>
              <w:top w:val="single" w:sz="8" w:color="0000EE"/>
            </w:tcBorders>
            <w:gridSpan w:val="18"/>
          </w:tcPr>
          <w:p>
            <w:pPr>
              <w:spacing w:after="0" w:line="164" w:lineRule="exact"/>
              <w:rPr>
                <w:rFonts w:ascii="Arial" w:cs="Arial" w:eastAsia="Arial" w:hAnsi="Arial"/>
                <w:sz w:val="16"/>
                <w:szCs w:val="16"/>
                <w:color w:val="0000EE"/>
              </w:rPr>
            </w:pPr>
            <w:hyperlink r:id="rId75">
              <w:r>
                <w:rPr>
                  <w:rFonts w:ascii="Arial" w:cs="Arial" w:eastAsia="Arial" w:hAnsi="Arial"/>
                  <w:sz w:val="16"/>
                  <w:szCs w:val="16"/>
                  <w:color w:val="0000EE"/>
                </w:rPr>
                <w:t>trustee (incorporated by reference to Exhibit 4.2 to EchoStar Corporation’s Current Report on Form</w:t>
              </w:r>
            </w:hyperlink>
          </w:p>
        </w:tc>
        <w:tc>
          <w:tcPr>
            <w:tcW w:w="20" w:type="dxa"/>
            <w:vAlign w:val="bottom"/>
          </w:tcPr>
          <w:p>
            <w:pPr>
              <w:spacing w:after="0"/>
              <w:rPr>
                <w:sz w:val="14"/>
                <w:szCs w:val="14"/>
                <w:color w:val="auto"/>
              </w:rPr>
            </w:pPr>
          </w:p>
        </w:tc>
        <w:tc>
          <w:tcPr>
            <w:tcW w:w="500" w:type="dxa"/>
            <w:vAlign w:val="bottom"/>
            <w:gridSpan w:val="21"/>
          </w:tcPr>
          <w:p>
            <w:pPr>
              <w:ind w:left="20"/>
              <w:spacing w:after="0" w:line="164" w:lineRule="exact"/>
              <w:rPr>
                <w:rFonts w:ascii="Arial" w:cs="Arial" w:eastAsia="Arial" w:hAnsi="Arial"/>
                <w:sz w:val="16"/>
                <w:szCs w:val="16"/>
                <w:color w:val="0000EE"/>
              </w:rPr>
            </w:pPr>
            <w:hyperlink r:id="rId75">
              <w:r>
                <w:rPr>
                  <w:rFonts w:ascii="Arial" w:cs="Arial" w:eastAsia="Arial" w:hAnsi="Arial"/>
                  <w:sz w:val="16"/>
                  <w:szCs w:val="16"/>
                  <w:color w:val="0000EE"/>
                </w:rPr>
                <w:t>8-K</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8"/>
              </w:rPr>
              <w:t>4.4*</w:t>
            </w:r>
          </w:p>
        </w:tc>
        <w:tc>
          <w:tcPr>
            <w:tcW w:w="10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6"/>
          </w:tcPr>
          <w:p>
            <w:pPr>
              <w:spacing w:after="0" w:line="164" w:lineRule="exact"/>
              <w:rPr>
                <w:rFonts w:ascii="Arial" w:cs="Arial" w:eastAsia="Arial" w:hAnsi="Arial"/>
                <w:sz w:val="16"/>
                <w:szCs w:val="16"/>
                <w:color w:val="0000EE"/>
              </w:rPr>
            </w:pPr>
            <w:hyperlink r:id="rId75">
              <w:r>
                <w:rPr>
                  <w:rFonts w:ascii="Arial" w:cs="Arial" w:eastAsia="Arial" w:hAnsi="Arial"/>
                  <w:sz w:val="16"/>
                  <w:szCs w:val="16"/>
                  <w:color w:val="0000EE"/>
                </w:rPr>
                <w:t>filed on July 27, 2016, Commission File No. 001-33807).</w:t>
              </w:r>
            </w:hyperlink>
          </w:p>
        </w:tc>
        <w:tc>
          <w:tcPr>
            <w:tcW w:w="3400" w:type="dxa"/>
            <w:vAlign w:val="bottom"/>
            <w:tcBorders>
              <w:top w:val="single" w:sz="8" w:color="0000EE"/>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80" w:type="dxa"/>
            <w:vAlign w:val="bottom"/>
            <w:gridSpan w:val="40"/>
          </w:tcPr>
          <w:p>
            <w:pPr>
              <w:spacing w:after="0" w:line="164" w:lineRule="exact"/>
              <w:rPr>
                <w:rFonts w:ascii="Arial" w:cs="Arial" w:eastAsia="Arial" w:hAnsi="Arial"/>
                <w:sz w:val="16"/>
                <w:szCs w:val="16"/>
                <w:color w:val="0000EE"/>
              </w:rPr>
            </w:pPr>
            <w:hyperlink r:id="rId76">
              <w:r>
                <w:rPr>
                  <w:rFonts w:ascii="Arial" w:cs="Arial" w:eastAsia="Arial" w:hAnsi="Arial"/>
                  <w:sz w:val="16"/>
                  <w:szCs w:val="16"/>
                  <w:color w:val="0000EE"/>
                </w:rPr>
                <w:t>Additional Secured Party Joinder, dated as of July 27, 2016, among U.S. Bank National Association, as</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80" w:type="dxa"/>
            <w:vAlign w:val="bottom"/>
            <w:tcBorders>
              <w:top w:val="single" w:sz="8" w:color="0000EE"/>
              <w:bottom w:val="single" w:sz="8" w:color="0000EE"/>
            </w:tcBorders>
            <w:gridSpan w:val="19"/>
          </w:tcPr>
          <w:p>
            <w:pPr>
              <w:spacing w:after="0" w:line="164" w:lineRule="exact"/>
              <w:rPr>
                <w:rFonts w:ascii="Arial" w:cs="Arial" w:eastAsia="Arial" w:hAnsi="Arial"/>
                <w:sz w:val="16"/>
                <w:szCs w:val="16"/>
                <w:color w:val="0000EE"/>
              </w:rPr>
            </w:pPr>
            <w:hyperlink r:id="rId76">
              <w:r>
                <w:rPr>
                  <w:rFonts w:ascii="Arial" w:cs="Arial" w:eastAsia="Arial" w:hAnsi="Arial"/>
                  <w:sz w:val="16"/>
                  <w:szCs w:val="16"/>
                  <w:color w:val="0000EE"/>
                </w:rPr>
                <w:t>trustee and successor collateral agent, and Hughes Satellite Systems Corporation (incorporated by</w:t>
              </w:r>
            </w:hyperlink>
          </w:p>
        </w:tc>
        <w:tc>
          <w:tcPr>
            <w:tcW w:w="320" w:type="dxa"/>
            <w:vAlign w:val="bottom"/>
            <w:tcBorders>
              <w:top w:val="single" w:sz="8" w:color="0000EE"/>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80" w:type="dxa"/>
            <w:vAlign w:val="bottom"/>
            <w:gridSpan w:val="40"/>
          </w:tcPr>
          <w:p>
            <w:pPr>
              <w:spacing w:after="0" w:line="164" w:lineRule="exact"/>
              <w:rPr>
                <w:rFonts w:ascii="Arial" w:cs="Arial" w:eastAsia="Arial" w:hAnsi="Arial"/>
                <w:sz w:val="16"/>
                <w:szCs w:val="16"/>
                <w:color w:val="0000EE"/>
              </w:rPr>
            </w:pPr>
            <w:hyperlink r:id="rId76">
              <w:r>
                <w:rPr>
                  <w:rFonts w:ascii="Arial" w:cs="Arial" w:eastAsia="Arial" w:hAnsi="Arial"/>
                  <w:sz w:val="16"/>
                  <w:szCs w:val="16"/>
                  <w:color w:val="0000EE"/>
                </w:rPr>
                <w:t>reference to Exhibit 4.4 to EchoStar Corporation’s Current Report on Form 8-K filed on July 27, 2016,</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14"/>
                <w:szCs w:val="14"/>
                <w:color w:val="auto"/>
              </w:rPr>
            </w:pPr>
          </w:p>
        </w:tc>
        <w:tc>
          <w:tcPr>
            <w:tcW w:w="2440" w:type="dxa"/>
            <w:vAlign w:val="bottom"/>
            <w:tcBorders>
              <w:top w:val="single" w:sz="8" w:color="0000EE"/>
              <w:bottom w:val="single" w:sz="8" w:color="0000EE"/>
            </w:tcBorders>
            <w:gridSpan w:val="2"/>
          </w:tcPr>
          <w:p>
            <w:pPr>
              <w:spacing w:after="0" w:line="164" w:lineRule="exact"/>
              <w:rPr>
                <w:rFonts w:ascii="Arial" w:cs="Arial" w:eastAsia="Arial" w:hAnsi="Arial"/>
                <w:sz w:val="16"/>
                <w:szCs w:val="16"/>
                <w:color w:val="0000EE"/>
              </w:rPr>
            </w:pPr>
            <w:hyperlink r:id="rId76">
              <w:r>
                <w:rPr>
                  <w:rFonts w:ascii="Arial" w:cs="Arial" w:eastAsia="Arial" w:hAnsi="Arial"/>
                  <w:sz w:val="16"/>
                  <w:szCs w:val="16"/>
                  <w:color w:val="0000EE"/>
                </w:rPr>
                <w:t>Commission File No. 001-33807).</w:t>
              </w:r>
            </w:hyperlink>
          </w:p>
        </w:tc>
        <w:tc>
          <w:tcPr>
            <w:tcW w:w="4900" w:type="dxa"/>
            <w:vAlign w:val="bottom"/>
            <w:tcBorders>
              <w:top w:val="single" w:sz="8" w:color="0000EE"/>
            </w:tcBorders>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80" w:type="dxa"/>
            <w:vAlign w:val="bottom"/>
            <w:gridSpan w:val="40"/>
          </w:tcPr>
          <w:p>
            <w:pPr>
              <w:spacing w:after="0" w:line="164" w:lineRule="exact"/>
              <w:rPr>
                <w:rFonts w:ascii="Arial" w:cs="Arial" w:eastAsia="Arial" w:hAnsi="Arial"/>
                <w:sz w:val="16"/>
                <w:szCs w:val="16"/>
                <w:color w:val="0000EE"/>
              </w:rPr>
            </w:pPr>
            <w:hyperlink r:id="rId77">
              <w:r>
                <w:rPr>
                  <w:rFonts w:ascii="Arial" w:cs="Arial" w:eastAsia="Arial" w:hAnsi="Arial"/>
                  <w:sz w:val="16"/>
                  <w:szCs w:val="16"/>
                  <w:color w:val="0000EE"/>
                </w:rPr>
                <w:t>Supplemental Indenture relating to Hughes Satellite Systems Corporation’s 5.250% Senior Secured</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00" w:type="dxa"/>
            <w:vAlign w:val="bottom"/>
            <w:tcBorders>
              <w:top w:val="single" w:sz="8" w:color="0000EE"/>
              <w:bottom w:val="single" w:sz="8" w:color="0000EE"/>
            </w:tcBorders>
            <w:gridSpan w:val="15"/>
          </w:tcPr>
          <w:p>
            <w:pPr>
              <w:spacing w:after="0" w:line="164" w:lineRule="exact"/>
              <w:rPr>
                <w:rFonts w:ascii="Arial" w:cs="Arial" w:eastAsia="Arial" w:hAnsi="Arial"/>
                <w:sz w:val="16"/>
                <w:szCs w:val="16"/>
                <w:color w:val="0000EE"/>
              </w:rPr>
            </w:pPr>
            <w:hyperlink r:id="rId77">
              <w:r>
                <w:rPr>
                  <w:rFonts w:ascii="Arial" w:cs="Arial" w:eastAsia="Arial" w:hAnsi="Arial"/>
                  <w:sz w:val="16"/>
                  <w:szCs w:val="16"/>
                  <w:color w:val="0000EE"/>
                </w:rPr>
                <w:t>Notes due 2026, dated March 23, 2017, by and among Hughes Satellite Systems Corporation, the</w:t>
              </w:r>
            </w:hyperlink>
          </w:p>
        </w:tc>
        <w:tc>
          <w:tcPr>
            <w:tcW w:w="100" w:type="dxa"/>
            <w:vAlign w:val="bottom"/>
            <w:tcBorders>
              <w:top w:val="single" w:sz="8" w:color="0000EE"/>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80" w:type="dxa"/>
            <w:vAlign w:val="bottom"/>
            <w:gridSpan w:val="40"/>
          </w:tcPr>
          <w:p>
            <w:pPr>
              <w:spacing w:after="0" w:line="164" w:lineRule="exact"/>
              <w:rPr>
                <w:rFonts w:ascii="Arial" w:cs="Arial" w:eastAsia="Arial" w:hAnsi="Arial"/>
                <w:sz w:val="16"/>
                <w:szCs w:val="16"/>
                <w:color w:val="0000EE"/>
              </w:rPr>
            </w:pPr>
            <w:hyperlink r:id="rId77">
              <w:r>
                <w:rPr>
                  <w:rFonts w:ascii="Arial" w:cs="Arial" w:eastAsia="Arial" w:hAnsi="Arial"/>
                  <w:sz w:val="16"/>
                  <w:szCs w:val="16"/>
                  <w:color w:val="0000EE"/>
                </w:rPr>
                <w:t>guarantors and the supplemental guarantor listed on the signature pages thereto, U.S. Bank National</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20" w:type="dxa"/>
            <w:vAlign w:val="bottom"/>
            <w:tcBorders>
              <w:top w:val="single" w:sz="8" w:color="0000EE"/>
            </w:tcBorders>
            <w:gridSpan w:val="22"/>
          </w:tcPr>
          <w:p>
            <w:pPr>
              <w:spacing w:after="0" w:line="164" w:lineRule="exact"/>
              <w:rPr>
                <w:rFonts w:ascii="Arial" w:cs="Arial" w:eastAsia="Arial" w:hAnsi="Arial"/>
                <w:sz w:val="16"/>
                <w:szCs w:val="16"/>
                <w:color w:val="0000EE"/>
              </w:rPr>
            </w:pPr>
            <w:hyperlink r:id="rId77">
              <w:r>
                <w:rPr>
                  <w:rFonts w:ascii="Arial" w:cs="Arial" w:eastAsia="Arial" w:hAnsi="Arial"/>
                  <w:sz w:val="16"/>
                  <w:szCs w:val="16"/>
                  <w:color w:val="0000EE"/>
                </w:rPr>
                <w:t>Association, as trustee and successor collateral agent (incorporated by reference to Exhibit 4.19 to</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20" w:type="dxa"/>
            <w:vAlign w:val="bottom"/>
            <w:tcBorders>
              <w:top w:val="single" w:sz="8" w:color="0000EE"/>
            </w:tcBorders>
            <w:gridSpan w:val="16"/>
          </w:tcPr>
          <w:p>
            <w:pPr>
              <w:spacing w:after="0" w:line="164" w:lineRule="exact"/>
              <w:rPr>
                <w:rFonts w:ascii="Arial" w:cs="Arial" w:eastAsia="Arial" w:hAnsi="Arial"/>
                <w:sz w:val="16"/>
                <w:szCs w:val="16"/>
                <w:color w:val="0000EE"/>
              </w:rPr>
            </w:pPr>
            <w:hyperlink r:id="rId77">
              <w:r>
                <w:rPr>
                  <w:rFonts w:ascii="Arial" w:cs="Arial" w:eastAsia="Arial" w:hAnsi="Arial"/>
                  <w:sz w:val="16"/>
                  <w:szCs w:val="16"/>
                  <w:color w:val="0000EE"/>
                </w:rPr>
                <w:t>Hughes Satellite Systems Corporation’s Registration Statement on Form S-4, filed April 6, 2017,</w:t>
              </w:r>
            </w:hyperlink>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8"/>
              </w:rPr>
              <w:t>4.6*</w:t>
            </w:r>
          </w:p>
        </w:tc>
        <w:tc>
          <w:tcPr>
            <w:tcW w:w="100" w:type="dxa"/>
            <w:vAlign w:val="bottom"/>
          </w:tcPr>
          <w:p>
            <w:pPr>
              <w:spacing w:after="0"/>
              <w:rPr>
                <w:sz w:val="14"/>
                <w:szCs w:val="14"/>
                <w:color w:val="auto"/>
              </w:rPr>
            </w:pPr>
          </w:p>
        </w:tc>
        <w:tc>
          <w:tcPr>
            <w:tcW w:w="6940" w:type="dxa"/>
            <w:vAlign w:val="bottom"/>
            <w:tcBorders>
              <w:top w:val="single" w:sz="8" w:color="0000EE"/>
            </w:tcBorders>
            <w:gridSpan w:val="12"/>
          </w:tcPr>
          <w:p>
            <w:pPr>
              <w:spacing w:after="0" w:line="164" w:lineRule="exact"/>
              <w:rPr>
                <w:rFonts w:ascii="Arial" w:cs="Arial" w:eastAsia="Arial" w:hAnsi="Arial"/>
                <w:sz w:val="16"/>
                <w:szCs w:val="16"/>
                <w:color w:val="0000EE"/>
              </w:rPr>
            </w:pPr>
            <w:hyperlink r:id="rId77">
              <w:r>
                <w:rPr>
                  <w:rFonts w:ascii="Arial" w:cs="Arial" w:eastAsia="Arial" w:hAnsi="Arial"/>
                  <w:sz w:val="16"/>
                  <w:szCs w:val="16"/>
                  <w:color w:val="0000EE"/>
                </w:rPr>
                <w:t>Commission File No. 333-179121).</w:t>
              </w:r>
            </w:hyperlink>
          </w:p>
        </w:tc>
        <w:tc>
          <w:tcPr>
            <w:tcW w:w="8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16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Borders>
              <w:top w:val="single" w:sz="8" w:color="0000EE"/>
            </w:tcBorders>
            <w:gridSpan w:val="3"/>
          </w:tcPr>
          <w:p>
            <w:pPr>
              <w:spacing w:after="0" w:line="164" w:lineRule="exact"/>
              <w:rPr>
                <w:rFonts w:ascii="Arial" w:cs="Arial" w:eastAsia="Arial" w:hAnsi="Arial"/>
                <w:sz w:val="16"/>
                <w:szCs w:val="16"/>
                <w:color w:val="0000EE"/>
              </w:rPr>
            </w:pPr>
            <w:hyperlink r:id="rId78">
              <w:r>
                <w:rPr>
                  <w:rFonts w:ascii="Arial" w:cs="Arial" w:eastAsia="Arial" w:hAnsi="Arial"/>
                  <w:sz w:val="16"/>
                  <w:szCs w:val="16"/>
                  <w:color w:val="0000EE"/>
                </w:rPr>
                <w:t>Supplemental Indenture relating to</w:t>
              </w:r>
            </w:hyperlink>
          </w:p>
        </w:tc>
        <w:tc>
          <w:tcPr>
            <w:tcW w:w="5140" w:type="dxa"/>
            <w:vAlign w:val="bottom"/>
            <w:gridSpan w:val="37"/>
          </w:tcPr>
          <w:p>
            <w:pPr>
              <w:spacing w:after="0" w:line="164" w:lineRule="exact"/>
              <w:rPr>
                <w:rFonts w:ascii="Arial" w:cs="Arial" w:eastAsia="Arial" w:hAnsi="Arial"/>
                <w:sz w:val="16"/>
                <w:szCs w:val="16"/>
                <w:color w:val="0000EE"/>
              </w:rPr>
            </w:pPr>
            <w:hyperlink r:id="rId78">
              <w:r>
                <w:rPr>
                  <w:rFonts w:ascii="Arial" w:cs="Arial" w:eastAsia="Arial" w:hAnsi="Arial"/>
                  <w:sz w:val="16"/>
                  <w:szCs w:val="16"/>
                  <w:color w:val="0000EE"/>
                </w:rPr>
                <w:t>Hughes Satellite Systems Corporation’s 6.625% Senior Notes due</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0" w:type="dxa"/>
            <w:vAlign w:val="bottom"/>
            <w:tcBorders>
              <w:top w:val="single" w:sz="8" w:color="0000EE"/>
              <w:bottom w:val="single" w:sz="8" w:color="0000EE"/>
            </w:tcBorders>
            <w:gridSpan w:val="26"/>
          </w:tcPr>
          <w:p>
            <w:pPr>
              <w:spacing w:after="0" w:line="164" w:lineRule="exact"/>
              <w:rPr>
                <w:rFonts w:ascii="Arial" w:cs="Arial" w:eastAsia="Arial" w:hAnsi="Arial"/>
                <w:sz w:val="16"/>
                <w:szCs w:val="16"/>
                <w:color w:val="0000EE"/>
              </w:rPr>
            </w:pPr>
            <w:hyperlink r:id="rId78">
              <w:r>
                <w:rPr>
                  <w:rFonts w:ascii="Arial" w:cs="Arial" w:eastAsia="Arial" w:hAnsi="Arial"/>
                  <w:sz w:val="16"/>
                  <w:szCs w:val="16"/>
                  <w:color w:val="0000EE"/>
                </w:rPr>
                <w:t>2026, dated as of March 23, 2017, by and among Hughes Satellite Systems Corporation, the guarantors</w:t>
              </w:r>
            </w:hyperlink>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0" w:type="dxa"/>
            <w:vAlign w:val="bottom"/>
            <w:tcBorders>
              <w:bottom w:val="single" w:sz="8" w:color="0000EE"/>
            </w:tcBorders>
            <w:gridSpan w:val="3"/>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60" w:type="dxa"/>
            <w:vAlign w:val="bottom"/>
            <w:gridSpan w:val="34"/>
          </w:tcPr>
          <w:p>
            <w:pPr>
              <w:spacing w:after="0" w:line="164" w:lineRule="exact"/>
              <w:rPr>
                <w:rFonts w:ascii="Arial" w:cs="Arial" w:eastAsia="Arial" w:hAnsi="Arial"/>
                <w:sz w:val="16"/>
                <w:szCs w:val="16"/>
                <w:color w:val="0000EE"/>
              </w:rPr>
            </w:pPr>
            <w:hyperlink r:id="rId78">
              <w:r>
                <w:rPr>
                  <w:rFonts w:ascii="Arial" w:cs="Arial" w:eastAsia="Arial" w:hAnsi="Arial"/>
                  <w:sz w:val="16"/>
                  <w:szCs w:val="16"/>
                  <w:color w:val="0000EE"/>
                </w:rPr>
                <w:t>and the supplemental guarantor listed on the signature pages thereto and U.S. Bank National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40" w:type="dxa"/>
            <w:vAlign w:val="bottom"/>
            <w:tcBorders>
              <w:top w:val="single" w:sz="8" w:color="0000EE"/>
              <w:bottom w:val="single" w:sz="8" w:color="0000EE"/>
            </w:tcBorders>
            <w:gridSpan w:val="9"/>
          </w:tcPr>
          <w:p>
            <w:pPr>
              <w:spacing w:after="0" w:line="164" w:lineRule="exact"/>
              <w:rPr>
                <w:rFonts w:ascii="Arial" w:cs="Arial" w:eastAsia="Arial" w:hAnsi="Arial"/>
                <w:sz w:val="16"/>
                <w:szCs w:val="16"/>
                <w:color w:val="0000EE"/>
              </w:rPr>
            </w:pPr>
            <w:hyperlink r:id="rId78">
              <w:r>
                <w:rPr>
                  <w:rFonts w:ascii="Arial" w:cs="Arial" w:eastAsia="Arial" w:hAnsi="Arial"/>
                  <w:sz w:val="16"/>
                  <w:szCs w:val="16"/>
                  <w:color w:val="0000EE"/>
                </w:rPr>
                <w:t>Association, as trustee (incorporated by reference to Exhibit 4.20 to Hughes Satellite Systems</w:t>
              </w:r>
            </w:hyperlink>
          </w:p>
        </w:tc>
        <w:tc>
          <w:tcPr>
            <w:tcW w:w="40" w:type="dxa"/>
            <w:vAlign w:val="bottom"/>
            <w:tcBorders>
              <w:bottom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16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8"/>
              </w:rPr>
              <w:t>4.7*</w:t>
            </w:r>
          </w:p>
        </w:tc>
        <w:tc>
          <w:tcPr>
            <w:tcW w:w="100" w:type="dxa"/>
            <w:vAlign w:val="bottom"/>
          </w:tcPr>
          <w:p>
            <w:pPr>
              <w:spacing w:after="0"/>
              <w:rPr>
                <w:sz w:val="14"/>
                <w:szCs w:val="14"/>
                <w:color w:val="auto"/>
              </w:rPr>
            </w:pPr>
          </w:p>
        </w:tc>
        <w:tc>
          <w:tcPr>
            <w:tcW w:w="7680" w:type="dxa"/>
            <w:vAlign w:val="bottom"/>
            <w:gridSpan w:val="40"/>
          </w:tcPr>
          <w:p>
            <w:pPr>
              <w:spacing w:after="0" w:line="164" w:lineRule="exact"/>
              <w:rPr>
                <w:rFonts w:ascii="Arial" w:cs="Arial" w:eastAsia="Arial" w:hAnsi="Arial"/>
                <w:sz w:val="16"/>
                <w:szCs w:val="16"/>
                <w:color w:val="0000EE"/>
              </w:rPr>
            </w:pPr>
            <w:hyperlink r:id="rId78">
              <w:r>
                <w:rPr>
                  <w:rFonts w:ascii="Arial" w:cs="Arial" w:eastAsia="Arial" w:hAnsi="Arial"/>
                  <w:sz w:val="16"/>
                  <w:szCs w:val="16"/>
                  <w:color w:val="0000EE"/>
                </w:rPr>
                <w:t>Corporation’s Registration Statement on Form S-4, filed April 6, 2017, Commission File No. 333-179121).</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top w:val="single" w:sz="8" w:color="0000EE"/>
            </w:tcBorders>
            <w:gridSpan w:val="39"/>
          </w:tcPr>
          <w:p>
            <w:pPr>
              <w:spacing w:after="0" w:line="164" w:lineRule="exact"/>
              <w:rPr>
                <w:rFonts w:ascii="Arial" w:cs="Arial" w:eastAsia="Arial" w:hAnsi="Arial"/>
                <w:sz w:val="16"/>
                <w:szCs w:val="16"/>
                <w:color w:val="0000EE"/>
              </w:rPr>
            </w:pPr>
            <w:hyperlink r:id="rId79">
              <w:r>
                <w:rPr>
                  <w:rFonts w:ascii="Arial" w:cs="Arial" w:eastAsia="Arial" w:hAnsi="Arial"/>
                  <w:sz w:val="16"/>
                  <w:szCs w:val="16"/>
                  <w:color w:val="0000EE"/>
                </w:rPr>
                <w:t>Joinder Agreement, dated as of August 10, 2017, to the Security Agreement dated as of June 8, 2011,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40" w:type="dxa"/>
            <w:vAlign w:val="bottom"/>
            <w:tcBorders>
              <w:top w:val="single" w:sz="8" w:color="0000EE"/>
            </w:tcBorders>
            <w:gridSpan w:val="38"/>
          </w:tcPr>
          <w:p>
            <w:pPr>
              <w:spacing w:after="0" w:line="164" w:lineRule="exact"/>
              <w:rPr>
                <w:rFonts w:ascii="Arial" w:cs="Arial" w:eastAsia="Arial" w:hAnsi="Arial"/>
                <w:sz w:val="16"/>
                <w:szCs w:val="16"/>
                <w:color w:val="0000EE"/>
              </w:rPr>
            </w:pPr>
            <w:hyperlink r:id="rId79">
              <w:r>
                <w:rPr>
                  <w:rFonts w:ascii="Arial" w:cs="Arial" w:eastAsia="Arial" w:hAnsi="Arial"/>
                  <w:sz w:val="16"/>
                  <w:szCs w:val="16"/>
                  <w:color w:val="0000EE"/>
                </w:rPr>
                <w:t>and between HNS Americas, L.L.C., HNS Americas II, L.L.C. and U.S. Bank National Association, as</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00" w:type="dxa"/>
            <w:vAlign w:val="bottom"/>
            <w:tcBorders>
              <w:top w:val="single" w:sz="8" w:color="0000EE"/>
            </w:tcBorders>
            <w:gridSpan w:val="21"/>
          </w:tcPr>
          <w:p>
            <w:pPr>
              <w:spacing w:after="0" w:line="164" w:lineRule="exact"/>
              <w:rPr>
                <w:rFonts w:ascii="Arial" w:cs="Arial" w:eastAsia="Arial" w:hAnsi="Arial"/>
                <w:sz w:val="16"/>
                <w:szCs w:val="16"/>
                <w:color w:val="0000EE"/>
              </w:rPr>
            </w:pPr>
            <w:hyperlink r:id="rId79">
              <w:r>
                <w:rPr>
                  <w:rFonts w:ascii="Arial" w:cs="Arial" w:eastAsia="Arial" w:hAnsi="Arial"/>
                  <w:sz w:val="16"/>
                  <w:szCs w:val="16"/>
                  <w:color w:val="0000EE"/>
                </w:rPr>
                <w:t>successor collateral agent (incorporated by reference to Exhibit 4.23 to Hughes Satellite Systems</w:t>
              </w:r>
            </w:hyperlink>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20" w:type="dxa"/>
            <w:vAlign w:val="bottom"/>
            <w:tcBorders>
              <w:top w:val="single" w:sz="8" w:color="0000EE"/>
            </w:tcBorders>
            <w:gridSpan w:val="13"/>
          </w:tcPr>
          <w:p>
            <w:pPr>
              <w:spacing w:after="0" w:line="164" w:lineRule="exact"/>
              <w:rPr>
                <w:rFonts w:ascii="Arial" w:cs="Arial" w:eastAsia="Arial" w:hAnsi="Arial"/>
                <w:sz w:val="16"/>
                <w:szCs w:val="16"/>
                <w:color w:val="0000EE"/>
              </w:rPr>
            </w:pPr>
            <w:hyperlink r:id="rId79">
              <w:r>
                <w:rPr>
                  <w:rFonts w:ascii="Arial" w:cs="Arial" w:eastAsia="Arial" w:hAnsi="Arial"/>
                  <w:sz w:val="16"/>
                  <w:szCs w:val="16"/>
                  <w:color w:val="0000EE"/>
                </w:rPr>
                <w:t>Corporation’s Annual Report on Form 10-K for the year ended December 31, 2017, filed February</w:t>
              </w:r>
            </w:hyperlink>
          </w:p>
        </w:tc>
        <w:tc>
          <w:tcPr>
            <w:tcW w:w="420" w:type="dxa"/>
            <w:vAlign w:val="bottom"/>
            <w:gridSpan w:val="15"/>
          </w:tcPr>
          <w:p>
            <w:pPr>
              <w:jc w:val="right"/>
              <w:ind w:right="120"/>
              <w:spacing w:after="0" w:line="164" w:lineRule="exact"/>
              <w:rPr>
                <w:rFonts w:ascii="Arial" w:cs="Arial" w:eastAsia="Arial" w:hAnsi="Arial"/>
                <w:sz w:val="16"/>
                <w:szCs w:val="16"/>
                <w:color w:val="0000EE"/>
              </w:rPr>
            </w:pPr>
            <w:hyperlink r:id="rId79">
              <w:r>
                <w:rPr>
                  <w:rFonts w:ascii="Arial" w:cs="Arial" w:eastAsia="Arial" w:hAnsi="Arial"/>
                  <w:sz w:val="16"/>
                  <w:szCs w:val="16"/>
                  <w:color w:val="0000EE"/>
                </w:rPr>
                <w:t>22,</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8"/>
              </w:rPr>
              <w:t>4.8*</w:t>
            </w:r>
          </w:p>
        </w:tc>
        <w:tc>
          <w:tcPr>
            <w:tcW w:w="100" w:type="dxa"/>
            <w:vAlign w:val="bottom"/>
          </w:tcPr>
          <w:p>
            <w:pPr>
              <w:spacing w:after="0"/>
              <w:rPr>
                <w:sz w:val="14"/>
                <w:szCs w:val="14"/>
                <w:color w:val="auto"/>
              </w:rPr>
            </w:pPr>
          </w:p>
        </w:tc>
        <w:tc>
          <w:tcPr>
            <w:tcW w:w="7380" w:type="dxa"/>
            <w:vAlign w:val="bottom"/>
            <w:tcBorders>
              <w:top w:val="single" w:sz="8" w:color="0000EE"/>
            </w:tcBorders>
            <w:gridSpan w:val="25"/>
          </w:tcPr>
          <w:p>
            <w:pPr>
              <w:spacing w:after="0" w:line="164" w:lineRule="exact"/>
              <w:rPr>
                <w:rFonts w:ascii="Arial" w:cs="Arial" w:eastAsia="Arial" w:hAnsi="Arial"/>
                <w:sz w:val="16"/>
                <w:szCs w:val="16"/>
                <w:color w:val="0000EE"/>
              </w:rPr>
            </w:pPr>
            <w:hyperlink r:id="rId79">
              <w:r>
                <w:rPr>
                  <w:rFonts w:ascii="Arial" w:cs="Arial" w:eastAsia="Arial" w:hAnsi="Arial"/>
                  <w:sz w:val="16"/>
                  <w:szCs w:val="16"/>
                  <w:color w:val="0000EE"/>
                </w:rPr>
                <w:t>2018, Commission File No. 333-179121).</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tcBorders>
              <w:top w:val="single" w:sz="8" w:color="0000EE"/>
            </w:tcBorders>
            <w:gridSpan w:val="5"/>
          </w:tcPr>
          <w:p>
            <w:pPr>
              <w:spacing w:after="0" w:line="164" w:lineRule="exact"/>
              <w:rPr>
                <w:rFonts w:ascii="Arial" w:cs="Arial" w:eastAsia="Arial" w:hAnsi="Arial"/>
                <w:sz w:val="16"/>
                <w:szCs w:val="16"/>
                <w:color w:val="0000EE"/>
              </w:rPr>
            </w:pPr>
            <w:hyperlink r:id="rId80">
              <w:r>
                <w:rPr>
                  <w:rFonts w:ascii="Arial" w:cs="Arial" w:eastAsia="Arial" w:hAnsi="Arial"/>
                  <w:sz w:val="16"/>
                  <w:szCs w:val="16"/>
                  <w:color w:val="0000EE"/>
                </w:rPr>
                <w:t>Second Supplemental Indenture relating</w:t>
              </w:r>
            </w:hyperlink>
          </w:p>
        </w:tc>
        <w:tc>
          <w:tcPr>
            <w:tcW w:w="4680" w:type="dxa"/>
            <w:vAlign w:val="bottom"/>
            <w:gridSpan w:val="35"/>
          </w:tcPr>
          <w:p>
            <w:pPr>
              <w:spacing w:after="0" w:line="164" w:lineRule="exact"/>
              <w:rPr>
                <w:rFonts w:ascii="Arial" w:cs="Arial" w:eastAsia="Arial" w:hAnsi="Arial"/>
                <w:sz w:val="16"/>
                <w:szCs w:val="16"/>
                <w:color w:val="0000EE"/>
              </w:rPr>
            </w:pPr>
            <w:hyperlink r:id="rId80">
              <w:r>
                <w:rPr>
                  <w:rFonts w:ascii="Arial" w:cs="Arial" w:eastAsia="Arial" w:hAnsi="Arial"/>
                  <w:sz w:val="16"/>
                  <w:szCs w:val="16"/>
                  <w:color w:val="0000EE"/>
                </w:rPr>
                <w:t>to Hughes Satellite Systems Corporation’s 5.250% Senior</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80" w:type="dxa"/>
            <w:vAlign w:val="bottom"/>
            <w:gridSpan w:val="40"/>
          </w:tcPr>
          <w:p>
            <w:pPr>
              <w:spacing w:after="0" w:line="164" w:lineRule="exact"/>
              <w:rPr>
                <w:rFonts w:ascii="Arial" w:cs="Arial" w:eastAsia="Arial" w:hAnsi="Arial"/>
                <w:sz w:val="16"/>
                <w:szCs w:val="16"/>
                <w:color w:val="0000EE"/>
              </w:rPr>
            </w:pPr>
            <w:hyperlink r:id="rId80">
              <w:r>
                <w:rPr>
                  <w:rFonts w:ascii="Arial" w:cs="Arial" w:eastAsia="Arial" w:hAnsi="Arial"/>
                  <w:sz w:val="16"/>
                  <w:szCs w:val="16"/>
                  <w:color w:val="0000EE"/>
                </w:rPr>
                <w:t>Secured Notes due 2026, dated August 10, 2017, by and among Hughes Satellite Systems Corporation,</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80" w:type="dxa"/>
            <w:vAlign w:val="bottom"/>
            <w:tcBorders>
              <w:top w:val="single" w:sz="8" w:color="0000EE"/>
              <w:bottom w:val="single" w:sz="8" w:color="0000EE"/>
            </w:tcBorders>
            <w:gridSpan w:val="35"/>
          </w:tcPr>
          <w:p>
            <w:pPr>
              <w:spacing w:after="0" w:line="164" w:lineRule="exact"/>
              <w:rPr>
                <w:rFonts w:ascii="Arial" w:cs="Arial" w:eastAsia="Arial" w:hAnsi="Arial"/>
                <w:sz w:val="16"/>
                <w:szCs w:val="16"/>
                <w:color w:val="0000EE"/>
              </w:rPr>
            </w:pPr>
            <w:hyperlink r:id="rId80">
              <w:r>
                <w:rPr>
                  <w:rFonts w:ascii="Arial" w:cs="Arial" w:eastAsia="Arial" w:hAnsi="Arial"/>
                  <w:sz w:val="16"/>
                  <w:szCs w:val="16"/>
                  <w:color w:val="0000EE"/>
                </w:rPr>
                <w:t>the guarantors and the supplemental guarantor listed on the signature pages thereto, U.S. Bank National</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20" w:type="dxa"/>
            <w:vAlign w:val="bottom"/>
            <w:gridSpan w:val="37"/>
          </w:tcPr>
          <w:p>
            <w:pPr>
              <w:spacing w:after="0" w:line="164" w:lineRule="exact"/>
              <w:rPr>
                <w:rFonts w:ascii="Arial" w:cs="Arial" w:eastAsia="Arial" w:hAnsi="Arial"/>
                <w:sz w:val="16"/>
                <w:szCs w:val="16"/>
                <w:color w:val="0000EE"/>
              </w:rPr>
            </w:pPr>
            <w:hyperlink r:id="rId80">
              <w:r>
                <w:rPr>
                  <w:rFonts w:ascii="Arial" w:cs="Arial" w:eastAsia="Arial" w:hAnsi="Arial"/>
                  <w:sz w:val="16"/>
                  <w:szCs w:val="16"/>
                  <w:color w:val="0000EE"/>
                </w:rPr>
                <w:t>Association, as trustee and successor collateral agent (incorporated by reference to Exhibit 4.24 to</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20" w:type="dxa"/>
            <w:vAlign w:val="bottom"/>
            <w:tcBorders>
              <w:top w:val="single" w:sz="8" w:color="0000EE"/>
            </w:tcBorders>
            <w:gridSpan w:val="16"/>
          </w:tcPr>
          <w:p>
            <w:pPr>
              <w:spacing w:after="0" w:line="164" w:lineRule="exact"/>
              <w:rPr>
                <w:rFonts w:ascii="Arial" w:cs="Arial" w:eastAsia="Arial" w:hAnsi="Arial"/>
                <w:sz w:val="16"/>
                <w:szCs w:val="16"/>
                <w:color w:val="0000EE"/>
              </w:rPr>
            </w:pPr>
            <w:hyperlink r:id="rId80">
              <w:r>
                <w:rPr>
                  <w:rFonts w:ascii="Arial" w:cs="Arial" w:eastAsia="Arial" w:hAnsi="Arial"/>
                  <w:sz w:val="16"/>
                  <w:szCs w:val="16"/>
                  <w:color w:val="0000EE"/>
                </w:rPr>
                <w:t>Hughes Satellite Systems Corporation’s Annual Report on Form 10-K for the year ended December</w:t>
              </w:r>
            </w:hyperlink>
          </w:p>
        </w:tc>
        <w:tc>
          <w:tcPr>
            <w:tcW w:w="420" w:type="dxa"/>
            <w:vAlign w:val="bottom"/>
            <w:gridSpan w:val="17"/>
          </w:tcPr>
          <w:p>
            <w:pPr>
              <w:jc w:val="right"/>
              <w:ind w:right="80"/>
              <w:spacing w:after="0" w:line="164" w:lineRule="exact"/>
              <w:rPr>
                <w:rFonts w:ascii="Arial" w:cs="Arial" w:eastAsia="Arial" w:hAnsi="Arial"/>
                <w:sz w:val="16"/>
                <w:szCs w:val="16"/>
                <w:color w:val="0000EE"/>
              </w:rPr>
            </w:pPr>
            <w:hyperlink r:id="rId80">
              <w:r>
                <w:rPr>
                  <w:rFonts w:ascii="Arial" w:cs="Arial" w:eastAsia="Arial" w:hAnsi="Arial"/>
                  <w:sz w:val="16"/>
                  <w:szCs w:val="16"/>
                  <w:color w:val="0000EE"/>
                </w:rPr>
                <w:t>31,</w:t>
              </w:r>
            </w:hyperlink>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8"/>
              </w:rPr>
              <w:t>4.9*</w:t>
            </w:r>
          </w:p>
        </w:tc>
        <w:tc>
          <w:tcPr>
            <w:tcW w:w="100" w:type="dxa"/>
            <w:vAlign w:val="bottom"/>
          </w:tcPr>
          <w:p>
            <w:pPr>
              <w:spacing w:after="0"/>
              <w:rPr>
                <w:sz w:val="14"/>
                <w:szCs w:val="14"/>
                <w:color w:val="auto"/>
              </w:rPr>
            </w:pPr>
          </w:p>
        </w:tc>
        <w:tc>
          <w:tcPr>
            <w:tcW w:w="4760" w:type="dxa"/>
            <w:vAlign w:val="bottom"/>
            <w:tcBorders>
              <w:top w:val="single" w:sz="8" w:color="0000EE"/>
              <w:bottom w:val="single" w:sz="8" w:color="0000EE"/>
            </w:tcBorders>
            <w:gridSpan w:val="7"/>
          </w:tcPr>
          <w:p>
            <w:pPr>
              <w:spacing w:after="0" w:line="164" w:lineRule="exact"/>
              <w:rPr>
                <w:rFonts w:ascii="Arial" w:cs="Arial" w:eastAsia="Arial" w:hAnsi="Arial"/>
                <w:sz w:val="16"/>
                <w:szCs w:val="16"/>
                <w:color w:val="0000EE"/>
              </w:rPr>
            </w:pPr>
            <w:hyperlink r:id="rId80">
              <w:r>
                <w:rPr>
                  <w:rFonts w:ascii="Arial" w:cs="Arial" w:eastAsia="Arial" w:hAnsi="Arial"/>
                  <w:sz w:val="16"/>
                  <w:szCs w:val="16"/>
                  <w:color w:val="0000EE"/>
                </w:rPr>
                <w:t>2017, filed February 22, 2018, Commission File No. 333-179121).</w:t>
              </w:r>
            </w:hyperlink>
          </w:p>
        </w:tc>
        <w:tc>
          <w:tcPr>
            <w:tcW w:w="2760" w:type="dxa"/>
            <w:vAlign w:val="bottom"/>
            <w:tcBorders>
              <w:top w:val="single" w:sz="8" w:color="0000EE"/>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80" w:type="dxa"/>
            <w:vAlign w:val="bottom"/>
            <w:gridSpan w:val="40"/>
          </w:tcPr>
          <w:p>
            <w:pPr>
              <w:spacing w:after="0" w:line="164" w:lineRule="exact"/>
              <w:rPr>
                <w:rFonts w:ascii="Arial" w:cs="Arial" w:eastAsia="Arial" w:hAnsi="Arial"/>
                <w:sz w:val="16"/>
                <w:szCs w:val="16"/>
                <w:color w:val="0000EE"/>
              </w:rPr>
            </w:pPr>
            <w:hyperlink r:id="rId81">
              <w:r>
                <w:rPr>
                  <w:rFonts w:ascii="Arial" w:cs="Arial" w:eastAsia="Arial" w:hAnsi="Arial"/>
                  <w:sz w:val="16"/>
                  <w:szCs w:val="16"/>
                  <w:color w:val="0000EE"/>
                </w:rPr>
                <w:t>Second Supplemental Indenture relating to Hughes Satellite Systems Corporation’s 6.625% Senior</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140" w:type="dxa"/>
            <w:vAlign w:val="bottom"/>
            <w:tcBorders>
              <w:top w:val="single" w:sz="8" w:color="0000EE"/>
            </w:tcBorders>
            <w:gridSpan w:val="17"/>
          </w:tcPr>
          <w:p>
            <w:pPr>
              <w:spacing w:after="0" w:line="164" w:lineRule="exact"/>
              <w:rPr>
                <w:rFonts w:ascii="Arial" w:cs="Arial" w:eastAsia="Arial" w:hAnsi="Arial"/>
                <w:sz w:val="16"/>
                <w:szCs w:val="16"/>
                <w:color w:val="0000EE"/>
              </w:rPr>
            </w:pPr>
            <w:hyperlink r:id="rId81">
              <w:r>
                <w:rPr>
                  <w:rFonts w:ascii="Arial" w:cs="Arial" w:eastAsia="Arial" w:hAnsi="Arial"/>
                  <w:sz w:val="16"/>
                  <w:szCs w:val="16"/>
                  <w:color w:val="0000EE"/>
                </w:rPr>
                <w:t>Notes due 2026, dated as of August 10, 2017, by and among Hughes Satellite Systems Corporation,</w:t>
              </w:r>
            </w:hyperlink>
          </w:p>
        </w:tc>
        <w:tc>
          <w:tcPr>
            <w:tcW w:w="540" w:type="dxa"/>
            <w:vAlign w:val="bottom"/>
            <w:gridSpan w:val="23"/>
          </w:tcPr>
          <w:p>
            <w:pPr>
              <w:ind w:left="180"/>
              <w:spacing w:after="0" w:line="164" w:lineRule="exact"/>
              <w:rPr>
                <w:rFonts w:ascii="Arial" w:cs="Arial" w:eastAsia="Arial" w:hAnsi="Arial"/>
                <w:sz w:val="16"/>
                <w:szCs w:val="16"/>
                <w:color w:val="0000EE"/>
              </w:rPr>
            </w:pPr>
            <w:hyperlink r:id="rId81">
              <w:r>
                <w:rPr>
                  <w:rFonts w:ascii="Arial" w:cs="Arial" w:eastAsia="Arial" w:hAnsi="Arial"/>
                  <w:sz w:val="16"/>
                  <w:szCs w:val="16"/>
                  <w:color w:val="0000EE"/>
                </w:rPr>
                <w:t>the</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tcBorders>
              <w:top w:val="single" w:sz="8" w:color="0000EE"/>
            </w:tcBorders>
            <w:gridSpan w:val="36"/>
          </w:tcPr>
          <w:p>
            <w:pPr>
              <w:spacing w:after="0" w:line="164" w:lineRule="exact"/>
              <w:rPr>
                <w:rFonts w:ascii="Arial" w:cs="Arial" w:eastAsia="Arial" w:hAnsi="Arial"/>
                <w:sz w:val="16"/>
                <w:szCs w:val="16"/>
                <w:color w:val="0000EE"/>
              </w:rPr>
            </w:pPr>
            <w:hyperlink r:id="rId81">
              <w:r>
                <w:rPr>
                  <w:rFonts w:ascii="Arial" w:cs="Arial" w:eastAsia="Arial" w:hAnsi="Arial"/>
                  <w:sz w:val="16"/>
                  <w:szCs w:val="16"/>
                  <w:color w:val="0000EE"/>
                </w:rPr>
                <w:t>guarantors and the supplemental guarantor listed on the signature pages thereto and U.S. Bank National</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20" w:type="dxa"/>
            <w:vAlign w:val="bottom"/>
            <w:tcBorders>
              <w:top w:val="single" w:sz="8" w:color="0000EE"/>
            </w:tcBorders>
            <w:gridSpan w:val="37"/>
          </w:tcPr>
          <w:p>
            <w:pPr>
              <w:spacing w:after="0" w:line="164" w:lineRule="exact"/>
              <w:rPr>
                <w:rFonts w:ascii="Arial" w:cs="Arial" w:eastAsia="Arial" w:hAnsi="Arial"/>
                <w:sz w:val="16"/>
                <w:szCs w:val="16"/>
                <w:color w:val="0000EE"/>
              </w:rPr>
            </w:pPr>
            <w:hyperlink r:id="rId81">
              <w:r>
                <w:rPr>
                  <w:rFonts w:ascii="Arial" w:cs="Arial" w:eastAsia="Arial" w:hAnsi="Arial"/>
                  <w:sz w:val="16"/>
                  <w:szCs w:val="16"/>
                  <w:color w:val="0000EE"/>
                </w:rPr>
                <w:t>Association, as trustee (incorporated by reference to Exhibit 4.25 to Hughes Satellite Systems</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38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80" w:type="dxa"/>
            <w:vAlign w:val="bottom"/>
            <w:gridSpan w:val="40"/>
          </w:tcPr>
          <w:p>
            <w:pPr>
              <w:spacing w:after="0" w:line="164" w:lineRule="exact"/>
              <w:rPr>
                <w:rFonts w:ascii="Arial" w:cs="Arial" w:eastAsia="Arial" w:hAnsi="Arial"/>
                <w:sz w:val="16"/>
                <w:szCs w:val="16"/>
                <w:color w:val="0000EE"/>
              </w:rPr>
            </w:pPr>
            <w:hyperlink r:id="rId81">
              <w:r>
                <w:rPr>
                  <w:rFonts w:ascii="Arial" w:cs="Arial" w:eastAsia="Arial" w:hAnsi="Arial"/>
                  <w:sz w:val="16"/>
                  <w:szCs w:val="16"/>
                  <w:color w:val="0000EE"/>
                </w:rPr>
                <w:t>Corporation’s Annual Report on Form 10-K for the year ended December 31, 2017, filed February 22,</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4"/>
                <w:szCs w:val="14"/>
                <w:color w:val="auto"/>
              </w:rPr>
            </w:pPr>
          </w:p>
        </w:tc>
        <w:tc>
          <w:tcPr>
            <w:tcW w:w="7380" w:type="dxa"/>
            <w:vAlign w:val="bottom"/>
            <w:tcBorders>
              <w:top w:val="single" w:sz="8" w:color="0000EE"/>
            </w:tcBorders>
            <w:gridSpan w:val="25"/>
          </w:tcPr>
          <w:p>
            <w:pPr>
              <w:spacing w:after="0" w:line="164" w:lineRule="exact"/>
              <w:rPr>
                <w:rFonts w:ascii="Arial" w:cs="Arial" w:eastAsia="Arial" w:hAnsi="Arial"/>
                <w:sz w:val="16"/>
                <w:szCs w:val="16"/>
                <w:color w:val="0000EE"/>
              </w:rPr>
            </w:pPr>
            <w:hyperlink r:id="rId81">
              <w:r>
                <w:rPr>
                  <w:rFonts w:ascii="Arial" w:cs="Arial" w:eastAsia="Arial" w:hAnsi="Arial"/>
                  <w:sz w:val="16"/>
                  <w:szCs w:val="16"/>
                  <w:color w:val="0000EE"/>
                </w:rPr>
                <w:t>2018, Commission File No. 333-179121).</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Borders>
              <w:top w:val="single" w:sz="8" w:color="0000EE"/>
            </w:tcBorders>
            <w:gridSpan w:val="4"/>
          </w:tcPr>
          <w:p>
            <w:pPr>
              <w:spacing w:after="0" w:line="164" w:lineRule="exact"/>
              <w:rPr>
                <w:rFonts w:ascii="Arial" w:cs="Arial" w:eastAsia="Arial" w:hAnsi="Arial"/>
                <w:sz w:val="16"/>
                <w:szCs w:val="16"/>
                <w:color w:val="0000EE"/>
              </w:rPr>
            </w:pPr>
            <w:hyperlink r:id="rId82">
              <w:r>
                <w:rPr>
                  <w:rFonts w:ascii="Arial" w:cs="Arial" w:eastAsia="Arial" w:hAnsi="Arial"/>
                  <w:sz w:val="16"/>
                  <w:szCs w:val="16"/>
                  <w:color w:val="0000EE"/>
                </w:rPr>
                <w:t>Joinder Agreement, dated as of June 12,</w:t>
              </w:r>
            </w:hyperlink>
          </w:p>
        </w:tc>
        <w:tc>
          <w:tcPr>
            <w:tcW w:w="4700" w:type="dxa"/>
            <w:vAlign w:val="bottom"/>
            <w:gridSpan w:val="36"/>
          </w:tcPr>
          <w:p>
            <w:pPr>
              <w:ind w:left="20"/>
              <w:spacing w:after="0" w:line="164" w:lineRule="exact"/>
              <w:rPr>
                <w:rFonts w:ascii="Arial" w:cs="Arial" w:eastAsia="Arial" w:hAnsi="Arial"/>
                <w:sz w:val="16"/>
                <w:szCs w:val="16"/>
                <w:color w:val="0000EE"/>
              </w:rPr>
            </w:pPr>
            <w:hyperlink r:id="rId82">
              <w:r>
                <w:rPr>
                  <w:rFonts w:ascii="Arial" w:cs="Arial" w:eastAsia="Arial" w:hAnsi="Arial"/>
                  <w:sz w:val="16"/>
                  <w:szCs w:val="16"/>
                  <w:color w:val="0000EE"/>
                </w:rPr>
                <w:t>2019, to the Security Agreement dated as of June 8, 2011, by</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60" w:type="dxa"/>
            <w:vAlign w:val="bottom"/>
            <w:tcBorders>
              <w:top w:val="single" w:sz="8" w:color="0000EE"/>
            </w:tcBorders>
            <w:gridSpan w:val="29"/>
          </w:tcPr>
          <w:p>
            <w:pPr>
              <w:spacing w:after="0" w:line="164" w:lineRule="exact"/>
              <w:rPr>
                <w:rFonts w:ascii="Arial" w:cs="Arial" w:eastAsia="Arial" w:hAnsi="Arial"/>
                <w:sz w:val="16"/>
                <w:szCs w:val="16"/>
                <w:color w:val="0000EE"/>
              </w:rPr>
            </w:pPr>
            <w:hyperlink r:id="rId82">
              <w:r>
                <w:rPr>
                  <w:rFonts w:ascii="Arial" w:cs="Arial" w:eastAsia="Arial" w:hAnsi="Arial"/>
                  <w:sz w:val="16"/>
                  <w:szCs w:val="16"/>
                  <w:color w:val="0000EE"/>
                </w:rPr>
                <w:t>and between EchoStar BSS Corporation, EchoStar FSS L.L.C. and U.S. Bank National Association, as</w:t>
              </w:r>
            </w:hyperlink>
          </w:p>
        </w:tc>
        <w:tc>
          <w:tcPr>
            <w:tcW w:w="80" w:type="dxa"/>
            <w:vAlign w:val="bottom"/>
            <w:gridSpan w:val="4"/>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40" w:type="dxa"/>
            <w:vAlign w:val="bottom"/>
            <w:tcBorders>
              <w:top w:val="single" w:sz="8" w:color="0000EE"/>
            </w:tcBorders>
            <w:gridSpan w:val="28"/>
          </w:tcPr>
          <w:p>
            <w:pPr>
              <w:spacing w:after="0" w:line="164" w:lineRule="exact"/>
              <w:rPr>
                <w:rFonts w:ascii="Arial" w:cs="Arial" w:eastAsia="Arial" w:hAnsi="Arial"/>
                <w:sz w:val="16"/>
                <w:szCs w:val="16"/>
                <w:color w:val="0000EE"/>
              </w:rPr>
            </w:pPr>
            <w:hyperlink r:id="rId82">
              <w:r>
                <w:rPr>
                  <w:rFonts w:ascii="Arial" w:cs="Arial" w:eastAsia="Arial" w:hAnsi="Arial"/>
                  <w:sz w:val="16"/>
                  <w:szCs w:val="16"/>
                  <w:color w:val="0000EE"/>
                </w:rPr>
                <w:t>successor collateral agent (incorporated by reference to Exhibit 4.1 to Hughes Satellite System</w:t>
              </w:r>
            </w:hyperlink>
          </w:p>
        </w:tc>
        <w:tc>
          <w:tcPr>
            <w:tcW w:w="100" w:type="dxa"/>
            <w:vAlign w:val="bottom"/>
            <w:gridSpan w:val="5"/>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60" w:type="dxa"/>
            <w:vAlign w:val="bottom"/>
            <w:tcBorders>
              <w:top w:val="single" w:sz="8" w:color="0000EE"/>
              <w:bottom w:val="single" w:sz="8" w:color="0000EE"/>
            </w:tcBorders>
            <w:gridSpan w:val="11"/>
          </w:tcPr>
          <w:p>
            <w:pPr>
              <w:spacing w:after="0" w:line="164" w:lineRule="exact"/>
              <w:rPr>
                <w:rFonts w:ascii="Arial" w:cs="Arial" w:eastAsia="Arial" w:hAnsi="Arial"/>
                <w:sz w:val="16"/>
                <w:szCs w:val="16"/>
                <w:color w:val="0000EE"/>
              </w:rPr>
            </w:pPr>
            <w:hyperlink r:id="rId82">
              <w:r>
                <w:rPr>
                  <w:rFonts w:ascii="Arial" w:cs="Arial" w:eastAsia="Arial" w:hAnsi="Arial"/>
                  <w:sz w:val="16"/>
                  <w:szCs w:val="16"/>
                  <w:color w:val="0000EE"/>
                </w:rPr>
                <w:t>Corporation’s Quarterly Report on Form 10-Q for the quarter ended June 30, 2019, filed August</w:t>
              </w:r>
            </w:hyperlink>
          </w:p>
        </w:tc>
        <w:tc>
          <w:tcPr>
            <w:tcW w:w="680" w:type="dxa"/>
            <w:vAlign w:val="bottom"/>
            <w:tcBorders>
              <w:bottom w:val="single" w:sz="8" w:color="0000EE"/>
            </w:tcBorders>
            <w:gridSpan w:val="22"/>
          </w:tcPr>
          <w:p>
            <w:pPr>
              <w:jc w:val="right"/>
              <w:ind w:right="20"/>
              <w:spacing w:after="0" w:line="164" w:lineRule="exact"/>
              <w:rPr>
                <w:rFonts w:ascii="Arial" w:cs="Arial" w:eastAsia="Arial" w:hAnsi="Arial"/>
                <w:sz w:val="16"/>
                <w:szCs w:val="16"/>
                <w:color w:val="0000EE"/>
              </w:rPr>
            </w:pPr>
            <w:hyperlink r:id="rId82">
              <w:r>
                <w:rPr>
                  <w:rFonts w:ascii="Arial" w:cs="Arial" w:eastAsia="Arial" w:hAnsi="Arial"/>
                  <w:sz w:val="16"/>
                  <w:szCs w:val="16"/>
                  <w:color w:val="0000EE"/>
                </w:rPr>
                <w:t>8, 2019,</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gridSpan w:val="33"/>
          </w:tcPr>
          <w:p>
            <w:pPr>
              <w:spacing w:after="0" w:line="164" w:lineRule="exact"/>
              <w:rPr>
                <w:rFonts w:ascii="Arial" w:cs="Arial" w:eastAsia="Arial" w:hAnsi="Arial"/>
                <w:sz w:val="16"/>
                <w:szCs w:val="16"/>
                <w:color w:val="0000EE"/>
              </w:rPr>
            </w:pPr>
            <w:hyperlink r:id="rId82">
              <w:r>
                <w:rPr>
                  <w:rFonts w:ascii="Arial" w:cs="Arial" w:eastAsia="Arial" w:hAnsi="Arial"/>
                  <w:sz w:val="16"/>
                  <w:szCs w:val="16"/>
                  <w:color w:val="0000EE"/>
                </w:rPr>
                <w:t>Commission File No. 333-179121).</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596"/>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Borders>
              <w:top w:val="single" w:sz="8" w:color="0000EE"/>
            </w:tcBorders>
            <w:gridSpan w:val="2"/>
          </w:tcPr>
          <w:p>
            <w:pPr>
              <w:spacing w:after="0"/>
              <w:rPr>
                <w:sz w:val="24"/>
                <w:szCs w:val="24"/>
                <w:color w:val="auto"/>
              </w:rPr>
            </w:pPr>
          </w:p>
        </w:tc>
        <w:tc>
          <w:tcPr>
            <w:tcW w:w="1540" w:type="dxa"/>
            <w:vAlign w:val="bottom"/>
            <w:gridSpan w:val="3"/>
          </w:tcPr>
          <w:p>
            <w:pPr>
              <w:jc w:val="right"/>
              <w:ind w:right="758"/>
              <w:spacing w:after="0"/>
              <w:rPr>
                <w:sz w:val="20"/>
                <w:szCs w:val="20"/>
                <w:color w:val="auto"/>
              </w:rPr>
            </w:pPr>
            <w:r>
              <w:rPr>
                <w:rFonts w:ascii="Arial" w:cs="Arial" w:eastAsia="Arial" w:hAnsi="Arial"/>
                <w:sz w:val="16"/>
                <w:szCs w:val="16"/>
                <w:color w:val="auto"/>
              </w:rPr>
              <w:t>47</w:t>
            </w: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8" w:right="1440" w:bottom="1440" w:gutter="0" w:footer="0" w:header="0"/>
        </w:sectPr>
      </w:pPr>
    </w:p>
    <w:bookmarkStart w:id="52" w:name="page53"/>
    <w:bookmarkEnd w:id="5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40" w:type="dxa"/>
            <w:vAlign w:val="bottom"/>
            <w:gridSpan w:val="31"/>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1"/>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 No.</w:t>
            </w:r>
          </w:p>
        </w:tc>
        <w:tc>
          <w:tcPr>
            <w:tcW w:w="1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gridSpan w:val="29"/>
          </w:tcPr>
          <w:p>
            <w:pPr>
              <w:ind w:left="8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2"/>
        </w:trPr>
        <w:tc>
          <w:tcPr>
            <w:tcW w:w="1220" w:type="dxa"/>
            <w:vAlign w:val="bottom"/>
          </w:tcPr>
          <w:p>
            <w:pPr>
              <w:jc w:val="center"/>
              <w:spacing w:after="0" w:line="152" w:lineRule="exact"/>
              <w:rPr>
                <w:sz w:val="20"/>
                <w:szCs w:val="20"/>
                <w:color w:val="auto"/>
              </w:rPr>
            </w:pPr>
            <w:r>
              <w:rPr>
                <w:rFonts w:ascii="Arial" w:cs="Arial" w:eastAsia="Arial" w:hAnsi="Arial"/>
                <w:sz w:val="16"/>
                <w:szCs w:val="16"/>
                <w:color w:val="auto"/>
                <w:w w:val="96"/>
              </w:rPr>
              <w:t>4.11*</w:t>
            </w:r>
          </w:p>
        </w:tc>
        <w:tc>
          <w:tcPr>
            <w:tcW w:w="1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6940" w:type="dxa"/>
            <w:vAlign w:val="bottom"/>
            <w:tcBorders>
              <w:bottom w:val="single" w:sz="8" w:color="0000EE"/>
            </w:tcBorders>
            <w:gridSpan w:val="9"/>
          </w:tcPr>
          <w:p>
            <w:pPr>
              <w:spacing w:after="0" w:line="152" w:lineRule="exact"/>
              <w:rPr>
                <w:rFonts w:ascii="Arial" w:cs="Arial" w:eastAsia="Arial" w:hAnsi="Arial"/>
                <w:sz w:val="16"/>
                <w:szCs w:val="16"/>
                <w:color w:val="0000EE"/>
              </w:rPr>
            </w:pPr>
            <w:hyperlink r:id="rId83">
              <w:r>
                <w:rPr>
                  <w:rFonts w:ascii="Arial" w:cs="Arial" w:eastAsia="Arial" w:hAnsi="Arial"/>
                  <w:sz w:val="16"/>
                  <w:szCs w:val="16"/>
                  <w:color w:val="0000EE"/>
                </w:rPr>
                <w:t>Third Supplemental Indenture relating to Hughes Satellite Systems Corporation’s 5.250% Senior</w:t>
              </w:r>
            </w:hyperlink>
          </w:p>
        </w:tc>
        <w:tc>
          <w:tcPr>
            <w:tcW w:w="68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40" w:type="dxa"/>
            <w:vAlign w:val="bottom"/>
            <w:gridSpan w:val="31"/>
          </w:tcPr>
          <w:p>
            <w:pPr>
              <w:spacing w:after="0" w:line="164" w:lineRule="exact"/>
              <w:rPr>
                <w:rFonts w:ascii="Arial" w:cs="Arial" w:eastAsia="Arial" w:hAnsi="Arial"/>
                <w:sz w:val="16"/>
                <w:szCs w:val="16"/>
                <w:color w:val="0000EE"/>
              </w:rPr>
            </w:pPr>
            <w:hyperlink r:id="rId83">
              <w:r>
                <w:rPr>
                  <w:rFonts w:ascii="Arial" w:cs="Arial" w:eastAsia="Arial" w:hAnsi="Arial"/>
                  <w:sz w:val="16"/>
                  <w:szCs w:val="16"/>
                  <w:color w:val="0000EE"/>
                </w:rPr>
                <w:t>Secured Notes due 2026, dated June 12, 2019, by and among Hughes Satellite Systems Corporation,</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80" w:type="dxa"/>
            <w:vAlign w:val="bottom"/>
            <w:tcBorders>
              <w:top w:val="single" w:sz="8" w:color="0000EE"/>
            </w:tcBorders>
            <w:gridSpan w:val="19"/>
          </w:tcPr>
          <w:p>
            <w:pPr>
              <w:spacing w:after="0" w:line="164" w:lineRule="exact"/>
              <w:rPr>
                <w:rFonts w:ascii="Arial" w:cs="Arial" w:eastAsia="Arial" w:hAnsi="Arial"/>
                <w:sz w:val="16"/>
                <w:szCs w:val="16"/>
                <w:color w:val="0000EE"/>
              </w:rPr>
            </w:pPr>
            <w:hyperlink r:id="rId83">
              <w:r>
                <w:rPr>
                  <w:rFonts w:ascii="Arial" w:cs="Arial" w:eastAsia="Arial" w:hAnsi="Arial"/>
                  <w:sz w:val="16"/>
                  <w:szCs w:val="16"/>
                  <w:color w:val="0000EE"/>
                </w:rPr>
                <w:t>the guarantors and the supplemental guarantors listed on the signature pages thereto, U.S. Bank</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40" w:type="dxa"/>
            <w:vAlign w:val="bottom"/>
            <w:gridSpan w:val="31"/>
          </w:tcPr>
          <w:p>
            <w:pPr>
              <w:spacing w:after="0" w:line="164" w:lineRule="exact"/>
              <w:rPr>
                <w:rFonts w:ascii="Arial" w:cs="Arial" w:eastAsia="Arial" w:hAnsi="Arial"/>
                <w:sz w:val="16"/>
                <w:szCs w:val="16"/>
                <w:color w:val="0000EE"/>
              </w:rPr>
            </w:pPr>
            <w:hyperlink r:id="rId83">
              <w:r>
                <w:rPr>
                  <w:rFonts w:ascii="Arial" w:cs="Arial" w:eastAsia="Arial" w:hAnsi="Arial"/>
                  <w:sz w:val="16"/>
                  <w:szCs w:val="16"/>
                  <w:color w:val="0000EE"/>
                </w:rPr>
                <w:t>National Association, as trustee and successor collateral agent (incorporated by reference to Exhibit 4.2</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20" w:type="dxa"/>
            <w:vAlign w:val="bottom"/>
            <w:tcBorders>
              <w:top w:val="single" w:sz="8" w:color="0000EE"/>
              <w:bottom w:val="single" w:sz="8" w:color="0000EE"/>
            </w:tcBorders>
            <w:gridSpan w:val="25"/>
          </w:tcPr>
          <w:p>
            <w:pPr>
              <w:spacing w:after="0" w:line="164" w:lineRule="exact"/>
              <w:rPr>
                <w:rFonts w:ascii="Arial" w:cs="Arial" w:eastAsia="Arial" w:hAnsi="Arial"/>
                <w:sz w:val="16"/>
                <w:szCs w:val="16"/>
                <w:color w:val="0000EE"/>
              </w:rPr>
            </w:pPr>
            <w:hyperlink r:id="rId83">
              <w:r>
                <w:rPr>
                  <w:rFonts w:ascii="Arial" w:cs="Arial" w:eastAsia="Arial" w:hAnsi="Arial"/>
                  <w:sz w:val="16"/>
                  <w:szCs w:val="16"/>
                  <w:color w:val="0000EE"/>
                </w:rPr>
                <w:t>to Hughes Satellite System Corporation’s Quarterly Report on Form 10-Q for the quarter ended June 30,</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4"/>
                <w:szCs w:val="14"/>
                <w:color w:val="auto"/>
              </w:rPr>
            </w:pPr>
          </w:p>
        </w:tc>
        <w:tc>
          <w:tcPr>
            <w:tcW w:w="4520" w:type="dxa"/>
            <w:vAlign w:val="bottom"/>
            <w:tcBorders>
              <w:bottom w:val="single" w:sz="8" w:color="0000EE"/>
            </w:tcBorders>
            <w:gridSpan w:val="4"/>
          </w:tcPr>
          <w:p>
            <w:pPr>
              <w:spacing w:after="0" w:line="164" w:lineRule="exact"/>
              <w:rPr>
                <w:rFonts w:ascii="Arial" w:cs="Arial" w:eastAsia="Arial" w:hAnsi="Arial"/>
                <w:sz w:val="16"/>
                <w:szCs w:val="16"/>
                <w:color w:val="0000EE"/>
              </w:rPr>
            </w:pPr>
            <w:hyperlink r:id="rId83">
              <w:r>
                <w:rPr>
                  <w:rFonts w:ascii="Arial" w:cs="Arial" w:eastAsia="Arial" w:hAnsi="Arial"/>
                  <w:sz w:val="16"/>
                  <w:szCs w:val="16"/>
                  <w:color w:val="0000EE"/>
                </w:rPr>
                <w:t>2019, filed August 8, 2019, Commission File No. 333-179121).</w:t>
              </w:r>
            </w:hyperlink>
          </w:p>
        </w:tc>
        <w:tc>
          <w:tcPr>
            <w:tcW w:w="3060" w:type="dxa"/>
            <w:vAlign w:val="bottom"/>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40" w:type="dxa"/>
            <w:vAlign w:val="bottom"/>
            <w:gridSpan w:val="31"/>
          </w:tcPr>
          <w:p>
            <w:pPr>
              <w:spacing w:after="0" w:line="164" w:lineRule="exact"/>
              <w:rPr>
                <w:rFonts w:ascii="Arial" w:cs="Arial" w:eastAsia="Arial" w:hAnsi="Arial"/>
                <w:sz w:val="16"/>
                <w:szCs w:val="16"/>
                <w:color w:val="0000EE"/>
              </w:rPr>
            </w:pPr>
            <w:hyperlink r:id="rId84">
              <w:r>
                <w:rPr>
                  <w:rFonts w:ascii="Arial" w:cs="Arial" w:eastAsia="Arial" w:hAnsi="Arial"/>
                  <w:sz w:val="16"/>
                  <w:szCs w:val="16"/>
                  <w:color w:val="0000EE"/>
                </w:rPr>
                <w:t>Third Supplemental Indenture relating to Hughes Satellite Systems Corporation’s 6.625% Senior Notes</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40" w:type="dxa"/>
            <w:vAlign w:val="bottom"/>
            <w:tcBorders>
              <w:top w:val="single" w:sz="8" w:color="0000EE"/>
            </w:tcBorders>
            <w:gridSpan w:val="21"/>
          </w:tcPr>
          <w:p>
            <w:pPr>
              <w:spacing w:after="0" w:line="164" w:lineRule="exact"/>
              <w:rPr>
                <w:rFonts w:ascii="Arial" w:cs="Arial" w:eastAsia="Arial" w:hAnsi="Arial"/>
                <w:sz w:val="16"/>
                <w:szCs w:val="16"/>
                <w:color w:val="0000EE"/>
              </w:rPr>
            </w:pPr>
            <w:hyperlink r:id="rId84">
              <w:r>
                <w:rPr>
                  <w:rFonts w:ascii="Arial" w:cs="Arial" w:eastAsia="Arial" w:hAnsi="Arial"/>
                  <w:sz w:val="16"/>
                  <w:szCs w:val="16"/>
                  <w:color w:val="0000EE"/>
                </w:rPr>
                <w:t>due 2026, dated as of June 12, 2019, by and among Hughes Satellite Systems Corporation,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920" w:type="dxa"/>
            <w:vAlign w:val="bottom"/>
            <w:tcBorders>
              <w:top w:val="single" w:sz="8" w:color="0000EE"/>
              <w:bottom w:val="single" w:sz="8" w:color="0000EE"/>
            </w:tcBorders>
            <w:gridSpan w:val="8"/>
          </w:tcPr>
          <w:p>
            <w:pPr>
              <w:spacing w:after="0" w:line="164" w:lineRule="exact"/>
              <w:rPr>
                <w:rFonts w:ascii="Arial" w:cs="Arial" w:eastAsia="Arial" w:hAnsi="Arial"/>
                <w:sz w:val="16"/>
                <w:szCs w:val="16"/>
                <w:color w:val="0000EE"/>
              </w:rPr>
            </w:pPr>
            <w:hyperlink r:id="rId84">
              <w:r>
                <w:rPr>
                  <w:rFonts w:ascii="Arial" w:cs="Arial" w:eastAsia="Arial" w:hAnsi="Arial"/>
                  <w:sz w:val="16"/>
                  <w:szCs w:val="16"/>
                  <w:color w:val="0000EE"/>
                </w:rPr>
                <w:t>guarantors and the supplemental guarantors listed on the signature pages thereto and U.S. Bank</w:t>
              </w:r>
            </w:hyperlink>
          </w:p>
        </w:tc>
        <w:tc>
          <w:tcPr>
            <w:tcW w:w="20" w:type="dxa"/>
            <w:vAlign w:val="bottom"/>
            <w:tcBorders>
              <w:bottom w:val="single" w:sz="8" w:color="0000EE"/>
            </w:tcBorders>
          </w:tcPr>
          <w:p>
            <w:pPr>
              <w:spacing w:after="0"/>
              <w:rPr>
                <w:sz w:val="14"/>
                <w:szCs w:val="14"/>
                <w:color w:val="auto"/>
              </w:rPr>
            </w:pPr>
          </w:p>
        </w:tc>
        <w:tc>
          <w:tcPr>
            <w:tcW w:w="60" w:type="dxa"/>
            <w:vAlign w:val="bottom"/>
            <w:tcBorders>
              <w:bottom w:val="single" w:sz="8" w:color="0000EE"/>
            </w:tcBorders>
            <w:gridSpan w:val="2"/>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60" w:type="dxa"/>
            <w:vAlign w:val="bottom"/>
            <w:tcBorders>
              <w:bottom w:val="single" w:sz="8" w:color="0000EE"/>
            </w:tcBorders>
            <w:gridSpan w:val="14"/>
          </w:tcPr>
          <w:p>
            <w:pPr>
              <w:spacing w:after="0" w:line="164" w:lineRule="exact"/>
              <w:rPr>
                <w:rFonts w:ascii="Arial" w:cs="Arial" w:eastAsia="Arial" w:hAnsi="Arial"/>
                <w:sz w:val="16"/>
                <w:szCs w:val="16"/>
                <w:color w:val="0000EE"/>
              </w:rPr>
            </w:pPr>
            <w:hyperlink r:id="rId84">
              <w:r>
                <w:rPr>
                  <w:rFonts w:ascii="Arial" w:cs="Arial" w:eastAsia="Arial" w:hAnsi="Arial"/>
                  <w:sz w:val="16"/>
                  <w:szCs w:val="16"/>
                  <w:color w:val="0000EE"/>
                </w:rPr>
                <w:t>National Association, as trustee (incorporated by reference to Exhibit 4.3 to Hughes Satellite System</w:t>
              </w:r>
            </w:hyperlink>
          </w:p>
        </w:tc>
        <w:tc>
          <w:tcPr>
            <w:tcW w:w="38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40" w:type="dxa"/>
            <w:vAlign w:val="bottom"/>
            <w:gridSpan w:val="31"/>
          </w:tcPr>
          <w:p>
            <w:pPr>
              <w:spacing w:after="0" w:line="164" w:lineRule="exact"/>
              <w:rPr>
                <w:rFonts w:ascii="Arial" w:cs="Arial" w:eastAsia="Arial" w:hAnsi="Arial"/>
                <w:sz w:val="16"/>
                <w:szCs w:val="16"/>
                <w:color w:val="0000EE"/>
              </w:rPr>
            </w:pPr>
            <w:hyperlink r:id="rId84">
              <w:r>
                <w:rPr>
                  <w:rFonts w:ascii="Arial" w:cs="Arial" w:eastAsia="Arial" w:hAnsi="Arial"/>
                  <w:sz w:val="16"/>
                  <w:szCs w:val="16"/>
                  <w:color w:val="0000EE"/>
                </w:rPr>
                <w:t>Corporation’s Quarterly Report on Form 10-Q for the quarter ended June 30, 2019, filed August 8, 2019,</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4"/>
                <w:szCs w:val="14"/>
                <w:color w:val="auto"/>
              </w:rPr>
            </w:pPr>
          </w:p>
        </w:tc>
        <w:tc>
          <w:tcPr>
            <w:tcW w:w="7540" w:type="dxa"/>
            <w:vAlign w:val="bottom"/>
            <w:tcBorders>
              <w:top w:val="single" w:sz="8" w:color="0000EE"/>
            </w:tcBorders>
            <w:gridSpan w:val="26"/>
          </w:tcPr>
          <w:p>
            <w:pPr>
              <w:spacing w:after="0" w:line="164" w:lineRule="exact"/>
              <w:rPr>
                <w:rFonts w:ascii="Arial" w:cs="Arial" w:eastAsia="Arial" w:hAnsi="Arial"/>
                <w:sz w:val="16"/>
                <w:szCs w:val="16"/>
                <w:color w:val="0000EE"/>
              </w:rPr>
            </w:pPr>
            <w:hyperlink r:id="rId84">
              <w:r>
                <w:rPr>
                  <w:rFonts w:ascii="Arial" w:cs="Arial" w:eastAsia="Arial" w:hAnsi="Arial"/>
                  <w:sz w:val="16"/>
                  <w:szCs w:val="16"/>
                  <w:color w:val="0000EE"/>
                </w:rPr>
                <w:t>Commission File No. 333-179121).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Borders>
              <w:top w:val="single" w:sz="8" w:color="0000EE"/>
            </w:tcBorders>
            <w:gridSpan w:val="2"/>
          </w:tcPr>
          <w:p>
            <w:pPr>
              <w:spacing w:after="0" w:line="164" w:lineRule="exact"/>
              <w:rPr>
                <w:rFonts w:ascii="Arial" w:cs="Arial" w:eastAsia="Arial" w:hAnsi="Arial"/>
                <w:sz w:val="16"/>
                <w:szCs w:val="16"/>
                <w:color w:val="0000EE"/>
              </w:rPr>
            </w:pPr>
            <w:hyperlink r:id="rId85">
              <w:r>
                <w:rPr>
                  <w:rFonts w:ascii="Arial" w:cs="Arial" w:eastAsia="Arial" w:hAnsi="Arial"/>
                  <w:sz w:val="16"/>
                  <w:szCs w:val="16"/>
                  <w:color w:val="0000EE"/>
                </w:rPr>
                <w:t>Additional Secured Party Joinder,</w:t>
              </w:r>
            </w:hyperlink>
          </w:p>
        </w:tc>
        <w:tc>
          <w:tcPr>
            <w:tcW w:w="5100" w:type="dxa"/>
            <w:vAlign w:val="bottom"/>
            <w:gridSpan w:val="29"/>
          </w:tcPr>
          <w:p>
            <w:pPr>
              <w:spacing w:after="0" w:line="164" w:lineRule="exact"/>
              <w:rPr>
                <w:rFonts w:ascii="Arial" w:cs="Arial" w:eastAsia="Arial" w:hAnsi="Arial"/>
                <w:sz w:val="16"/>
                <w:szCs w:val="16"/>
                <w:color w:val="0000EE"/>
              </w:rPr>
            </w:pPr>
            <w:hyperlink r:id="rId85">
              <w:r>
                <w:rPr>
                  <w:rFonts w:ascii="Arial" w:cs="Arial" w:eastAsia="Arial" w:hAnsi="Arial"/>
                  <w:sz w:val="16"/>
                  <w:szCs w:val="16"/>
                  <w:color w:val="0000EE"/>
                </w:rPr>
                <w:t>dated as of February 13, 2026, to the Security Agreement dated as of</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00" w:type="dxa"/>
            <w:vAlign w:val="bottom"/>
            <w:tcBorders>
              <w:top w:val="single" w:sz="8" w:color="0000EE"/>
            </w:tcBorders>
            <w:gridSpan w:val="24"/>
          </w:tcPr>
          <w:p>
            <w:pPr>
              <w:spacing w:after="0" w:line="164" w:lineRule="exact"/>
              <w:rPr>
                <w:rFonts w:ascii="Arial" w:cs="Arial" w:eastAsia="Arial" w:hAnsi="Arial"/>
                <w:sz w:val="16"/>
                <w:szCs w:val="16"/>
                <w:color w:val="0000EE"/>
              </w:rPr>
            </w:pPr>
            <w:hyperlink r:id="rId85">
              <w:r>
                <w:rPr>
                  <w:rFonts w:ascii="Arial" w:cs="Arial" w:eastAsia="Arial" w:hAnsi="Arial"/>
                  <w:sz w:val="16"/>
                  <w:szCs w:val="16"/>
                  <w:color w:val="0000EE"/>
                </w:rPr>
                <w:t>June 8, 2011, among U.S. Bank National Association, as trustee and successor collateral agent, and</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80" w:type="dxa"/>
            <w:vAlign w:val="bottom"/>
            <w:tcBorders>
              <w:top w:val="single" w:sz="8" w:color="0000EE"/>
            </w:tcBorders>
            <w:gridSpan w:val="15"/>
          </w:tcPr>
          <w:p>
            <w:pPr>
              <w:spacing w:after="0" w:line="164" w:lineRule="exact"/>
              <w:rPr>
                <w:rFonts w:ascii="Arial" w:cs="Arial" w:eastAsia="Arial" w:hAnsi="Arial"/>
                <w:sz w:val="16"/>
                <w:szCs w:val="16"/>
                <w:color w:val="0000EE"/>
              </w:rPr>
            </w:pPr>
            <w:hyperlink r:id="rId85">
              <w:r>
                <w:rPr>
                  <w:rFonts w:ascii="Arial" w:cs="Arial" w:eastAsia="Arial" w:hAnsi="Arial"/>
                  <w:sz w:val="16"/>
                  <w:szCs w:val="16"/>
                  <w:color w:val="0000EE"/>
                </w:rPr>
                <w:t>Hughes Satellite Systems Corporation (incorporated by reference to Exhibit 4.44 to EchoStar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gridSpan w:val="3"/>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7640" w:type="dxa"/>
            <w:vAlign w:val="bottom"/>
            <w:gridSpan w:val="31"/>
          </w:tcPr>
          <w:p>
            <w:pPr>
              <w:spacing w:after="0" w:line="164" w:lineRule="exact"/>
              <w:rPr>
                <w:rFonts w:ascii="Arial" w:cs="Arial" w:eastAsia="Arial" w:hAnsi="Arial"/>
                <w:sz w:val="16"/>
                <w:szCs w:val="16"/>
                <w:color w:val="0000EE"/>
              </w:rPr>
            </w:pPr>
            <w:hyperlink r:id="rId85">
              <w:r>
                <w:rPr>
                  <w:rFonts w:ascii="Arial" w:cs="Arial" w:eastAsia="Arial" w:hAnsi="Arial"/>
                  <w:sz w:val="16"/>
                  <w:szCs w:val="16"/>
                  <w:color w:val="0000EE"/>
                </w:rPr>
                <w:t>Corporation’s Annual Report on Form 10-K for the year ended December 31, 2025, filed March 2, 2026).</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tcBorders>
              <w:top w:val="single" w:sz="8" w:color="0000EE"/>
            </w:tcBorders>
            <w:gridSpan w:val="29"/>
          </w:tcPr>
          <w:p>
            <w:pPr>
              <w:spacing w:after="0" w:line="164" w:lineRule="exact"/>
              <w:rPr>
                <w:rFonts w:ascii="Arial" w:cs="Arial" w:eastAsia="Arial" w:hAnsi="Arial"/>
                <w:sz w:val="16"/>
                <w:szCs w:val="16"/>
                <w:color w:val="0000EE"/>
              </w:rPr>
            </w:pPr>
            <w:hyperlink r:id="rId86">
              <w:r>
                <w:rPr>
                  <w:rFonts w:ascii="Arial" w:cs="Arial" w:eastAsia="Arial" w:hAnsi="Arial"/>
                  <w:sz w:val="16"/>
                  <w:szCs w:val="16"/>
                  <w:color w:val="0000EE"/>
                </w:rPr>
                <w:t>Amended and Restated EchoStar Corporation 2008 Stock Incentive Plan (the “2008 Stock Incentive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20" w:type="dxa"/>
            <w:vAlign w:val="bottom"/>
            <w:tcBorders>
              <w:top w:val="single" w:sz="8" w:color="0000EE"/>
            </w:tcBorders>
            <w:gridSpan w:val="12"/>
          </w:tcPr>
          <w:p>
            <w:pPr>
              <w:spacing w:after="0" w:line="164" w:lineRule="exact"/>
              <w:rPr>
                <w:rFonts w:ascii="Arial" w:cs="Arial" w:eastAsia="Arial" w:hAnsi="Arial"/>
                <w:sz w:val="16"/>
                <w:szCs w:val="16"/>
                <w:color w:val="0000EE"/>
              </w:rPr>
            </w:pPr>
            <w:hyperlink r:id="rId86">
              <w:r>
                <w:rPr>
                  <w:rFonts w:ascii="Arial" w:cs="Arial" w:eastAsia="Arial" w:hAnsi="Arial"/>
                  <w:sz w:val="16"/>
                  <w:szCs w:val="16"/>
                  <w:color w:val="0000EE"/>
                </w:rPr>
                <w:t>Plan”) (incorporated by reference to EchoStar Corporation’s Definitive Proxy Statement on Form 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17"/>
          </w:tcPr>
          <w:p>
            <w:pPr>
              <w:jc w:val="center"/>
              <w:ind w:right="80"/>
              <w:spacing w:after="0" w:line="164" w:lineRule="exact"/>
              <w:rPr>
                <w:rFonts w:ascii="Arial" w:cs="Arial" w:eastAsia="Arial" w:hAnsi="Arial"/>
                <w:sz w:val="16"/>
                <w:szCs w:val="16"/>
                <w:color w:val="0000EE"/>
              </w:rPr>
            </w:pPr>
            <w:hyperlink r:id="rId86">
              <w:r>
                <w:rPr>
                  <w:rFonts w:ascii="Arial" w:cs="Arial" w:eastAsia="Arial" w:hAnsi="Arial"/>
                  <w:sz w:val="16"/>
                  <w:szCs w:val="16"/>
                  <w:color w:val="0000EE"/>
                </w:rPr>
                <w:t>filed</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4"/>
                <w:szCs w:val="14"/>
                <w:color w:val="auto"/>
              </w:rPr>
            </w:pPr>
          </w:p>
        </w:tc>
        <w:tc>
          <w:tcPr>
            <w:tcW w:w="4140" w:type="dxa"/>
            <w:vAlign w:val="bottom"/>
            <w:tcBorders>
              <w:top w:val="single" w:sz="8" w:color="0000EE"/>
              <w:bottom w:val="single" w:sz="8" w:color="0000EE"/>
            </w:tcBorders>
            <w:gridSpan w:val="3"/>
          </w:tcPr>
          <w:p>
            <w:pPr>
              <w:spacing w:after="0" w:line="164" w:lineRule="exact"/>
              <w:rPr>
                <w:rFonts w:ascii="Arial" w:cs="Arial" w:eastAsia="Arial" w:hAnsi="Arial"/>
                <w:sz w:val="16"/>
                <w:szCs w:val="16"/>
                <w:color w:val="0000EE"/>
              </w:rPr>
            </w:pPr>
            <w:hyperlink r:id="rId86">
              <w:r>
                <w:rPr>
                  <w:rFonts w:ascii="Arial" w:cs="Arial" w:eastAsia="Arial" w:hAnsi="Arial"/>
                  <w:sz w:val="16"/>
                  <w:szCs w:val="16"/>
                  <w:color w:val="0000EE"/>
                </w:rPr>
                <w:t>September 18, 2014, Commission File No. 001-33807).**</w:t>
              </w:r>
            </w:hyperlink>
          </w:p>
        </w:tc>
        <w:tc>
          <w:tcPr>
            <w:tcW w:w="3480" w:type="dxa"/>
            <w:vAlign w:val="bottom"/>
            <w:tcBorders>
              <w:top w:val="single" w:sz="8" w:color="0000EE"/>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40" w:type="dxa"/>
            <w:vAlign w:val="bottom"/>
            <w:gridSpan w:val="31"/>
          </w:tcPr>
          <w:p>
            <w:pPr>
              <w:spacing w:after="0" w:line="164" w:lineRule="exact"/>
              <w:rPr>
                <w:rFonts w:ascii="Arial" w:cs="Arial" w:eastAsia="Arial" w:hAnsi="Arial"/>
                <w:sz w:val="16"/>
                <w:szCs w:val="16"/>
                <w:color w:val="0000EE"/>
              </w:rPr>
            </w:pPr>
            <w:hyperlink r:id="rId87">
              <w:r>
                <w:rPr>
                  <w:rFonts w:ascii="Arial" w:cs="Arial" w:eastAsia="Arial" w:hAnsi="Arial"/>
                  <w:sz w:val="16"/>
                  <w:szCs w:val="16"/>
                  <w:color w:val="0000EE"/>
                </w:rPr>
                <w:t>Form of Indemnification Agreement (incorporated by reference to Exhibit 10.1 to the Current Report on</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4"/>
                <w:szCs w:val="14"/>
                <w:color w:val="auto"/>
              </w:rPr>
            </w:pPr>
          </w:p>
        </w:tc>
        <w:tc>
          <w:tcPr>
            <w:tcW w:w="7400" w:type="dxa"/>
            <w:vAlign w:val="bottom"/>
            <w:tcBorders>
              <w:top w:val="single" w:sz="8" w:color="0000EE"/>
            </w:tcBorders>
            <w:gridSpan w:val="20"/>
          </w:tcPr>
          <w:p>
            <w:pPr>
              <w:spacing w:after="0" w:line="164" w:lineRule="exact"/>
              <w:rPr>
                <w:rFonts w:ascii="Arial" w:cs="Arial" w:eastAsia="Arial" w:hAnsi="Arial"/>
                <w:sz w:val="16"/>
                <w:szCs w:val="16"/>
                <w:color w:val="0000EE"/>
              </w:rPr>
            </w:pPr>
            <w:hyperlink r:id="rId87">
              <w:r>
                <w:rPr>
                  <w:rFonts w:ascii="Arial" w:cs="Arial" w:eastAsia="Arial" w:hAnsi="Arial"/>
                  <w:sz w:val="16"/>
                  <w:szCs w:val="16"/>
                  <w:color w:val="0000EE"/>
                </w:rPr>
                <w:t>Form 8-K of Hughes Communications, Inc., filed June 22, 2006, (Commission File No. 000-51784)). **</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940" w:type="dxa"/>
            <w:vAlign w:val="bottom"/>
            <w:tcBorders>
              <w:top w:val="single" w:sz="8" w:color="0000EE"/>
              <w:bottom w:val="single" w:sz="8" w:color="0000EE"/>
            </w:tcBorders>
            <w:gridSpan w:val="9"/>
          </w:tcPr>
          <w:p>
            <w:pPr>
              <w:spacing w:after="0" w:line="164" w:lineRule="exact"/>
              <w:rPr>
                <w:rFonts w:ascii="Arial" w:cs="Arial" w:eastAsia="Arial" w:hAnsi="Arial"/>
                <w:sz w:val="16"/>
                <w:szCs w:val="16"/>
                <w:color w:val="0000EE"/>
              </w:rPr>
            </w:pPr>
            <w:hyperlink r:id="rId88">
              <w:r>
                <w:rPr>
                  <w:rFonts w:ascii="Arial" w:cs="Arial" w:eastAsia="Arial" w:hAnsi="Arial"/>
                  <w:sz w:val="16"/>
                  <w:szCs w:val="16"/>
                  <w:color w:val="0000EE"/>
                </w:rPr>
                <w:t>Form of Restricted Stock Unit Agreement for 2008 Stock Incentive Plan — Executive or Director</w:t>
              </w:r>
            </w:hyperlink>
          </w:p>
        </w:tc>
        <w:tc>
          <w:tcPr>
            <w:tcW w:w="420" w:type="dxa"/>
            <w:vAlign w:val="bottom"/>
            <w:tcBorders>
              <w:top w:val="single" w:sz="8" w:color="0000EE"/>
            </w:tcBorders>
            <w:gridSpan w:val="9"/>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40" w:type="dxa"/>
            <w:vAlign w:val="bottom"/>
            <w:gridSpan w:val="31"/>
          </w:tcPr>
          <w:p>
            <w:pPr>
              <w:spacing w:after="0" w:line="164" w:lineRule="exact"/>
              <w:rPr>
                <w:rFonts w:ascii="Arial" w:cs="Arial" w:eastAsia="Arial" w:hAnsi="Arial"/>
                <w:sz w:val="16"/>
                <w:szCs w:val="16"/>
                <w:color w:val="0000EE"/>
              </w:rPr>
            </w:pPr>
            <w:hyperlink r:id="rId88">
              <w:r>
                <w:rPr>
                  <w:rFonts w:ascii="Arial" w:cs="Arial" w:eastAsia="Arial" w:hAnsi="Arial"/>
                  <w:sz w:val="16"/>
                  <w:szCs w:val="16"/>
                  <w:color w:val="0000EE"/>
                </w:rPr>
                <w:t>(incorporated by reference to Exhibit 10.1 to EchoStar Corporation’s Quarterly Report on Form 10-Q for</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4"/>
                <w:szCs w:val="14"/>
                <w:color w:val="auto"/>
              </w:rPr>
            </w:pPr>
          </w:p>
        </w:tc>
        <w:tc>
          <w:tcPr>
            <w:tcW w:w="7460" w:type="dxa"/>
            <w:vAlign w:val="bottom"/>
            <w:tcBorders>
              <w:top w:val="single" w:sz="8" w:color="0000EE"/>
            </w:tcBorders>
            <w:gridSpan w:val="22"/>
          </w:tcPr>
          <w:p>
            <w:pPr>
              <w:spacing w:after="0" w:line="164" w:lineRule="exact"/>
              <w:rPr>
                <w:rFonts w:ascii="Arial" w:cs="Arial" w:eastAsia="Arial" w:hAnsi="Arial"/>
                <w:sz w:val="16"/>
                <w:szCs w:val="16"/>
                <w:color w:val="0000EE"/>
              </w:rPr>
            </w:pPr>
            <w:hyperlink r:id="rId88">
              <w:r>
                <w:rPr>
                  <w:rFonts w:ascii="Arial" w:cs="Arial" w:eastAsia="Arial" w:hAnsi="Arial"/>
                  <w:sz w:val="16"/>
                  <w:szCs w:val="16"/>
                  <w:color w:val="0000EE"/>
                </w:rPr>
                <w:t>the quarter ended September 30, 2015, filed November 6, 2015, Commission File No. 001-33807).**</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40" w:type="dxa"/>
            <w:vAlign w:val="bottom"/>
            <w:tcBorders>
              <w:top w:val="single" w:sz="8" w:color="0000EE"/>
              <w:bottom w:val="single" w:sz="8" w:color="0000EE"/>
            </w:tcBorders>
            <w:gridSpan w:val="13"/>
          </w:tcPr>
          <w:p>
            <w:pPr>
              <w:spacing w:after="0" w:line="164" w:lineRule="exact"/>
              <w:rPr>
                <w:rFonts w:ascii="Arial" w:cs="Arial" w:eastAsia="Arial" w:hAnsi="Arial"/>
                <w:sz w:val="16"/>
                <w:szCs w:val="16"/>
                <w:color w:val="0000EE"/>
              </w:rPr>
            </w:pPr>
            <w:hyperlink r:id="rId89">
              <w:r>
                <w:rPr>
                  <w:rFonts w:ascii="Arial" w:cs="Arial" w:eastAsia="Arial" w:hAnsi="Arial"/>
                  <w:sz w:val="16"/>
                  <w:szCs w:val="16"/>
                  <w:color w:val="0000EE"/>
                </w:rPr>
                <w:t>Form of Stock Option Agreement for 2008 Stock Incentive Plan (1999) (incorporated by reference to</w:t>
              </w:r>
            </w:hyperlink>
          </w:p>
        </w:tc>
        <w:tc>
          <w:tcPr>
            <w:tcW w:w="20" w:type="dxa"/>
            <w:vAlign w:val="bottom"/>
            <w:tcBorders>
              <w:top w:val="single" w:sz="8" w:color="0000EE"/>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40" w:type="dxa"/>
            <w:vAlign w:val="bottom"/>
            <w:gridSpan w:val="31"/>
          </w:tcPr>
          <w:p>
            <w:pPr>
              <w:spacing w:after="0" w:line="164" w:lineRule="exact"/>
              <w:rPr>
                <w:rFonts w:ascii="Arial" w:cs="Arial" w:eastAsia="Arial" w:hAnsi="Arial"/>
                <w:sz w:val="16"/>
                <w:szCs w:val="16"/>
                <w:color w:val="0000EE"/>
              </w:rPr>
            </w:pPr>
            <w:hyperlink r:id="rId89">
              <w:r>
                <w:rPr>
                  <w:rFonts w:ascii="Arial" w:cs="Arial" w:eastAsia="Arial" w:hAnsi="Arial"/>
                  <w:sz w:val="16"/>
                  <w:szCs w:val="16"/>
                  <w:color w:val="0000EE"/>
                </w:rPr>
                <w:t>Exhibit 10.31 to Hughes Satellite System Corporation’s Annual Report on Form 10-K for the year ended</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7480" w:type="dxa"/>
            <w:vAlign w:val="bottom"/>
            <w:tcBorders>
              <w:top w:val="single" w:sz="8" w:color="0000EE"/>
            </w:tcBorders>
            <w:gridSpan w:val="23"/>
          </w:tcPr>
          <w:p>
            <w:pPr>
              <w:spacing w:after="0" w:line="164" w:lineRule="exact"/>
              <w:rPr>
                <w:rFonts w:ascii="Arial" w:cs="Arial" w:eastAsia="Arial" w:hAnsi="Arial"/>
                <w:sz w:val="16"/>
                <w:szCs w:val="16"/>
                <w:color w:val="0000EE"/>
              </w:rPr>
            </w:pPr>
            <w:hyperlink r:id="rId89">
              <w:r>
                <w:rPr>
                  <w:rFonts w:ascii="Arial" w:cs="Arial" w:eastAsia="Arial" w:hAnsi="Arial"/>
                  <w:sz w:val="16"/>
                  <w:szCs w:val="16"/>
                  <w:color w:val="0000EE"/>
                </w:rPr>
                <w:t>December 31, 2015, filed February 24, 2016, Commission File No. 333-179121). **</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0" w:type="dxa"/>
            <w:vAlign w:val="bottom"/>
            <w:tcBorders>
              <w:top w:val="single" w:sz="8" w:color="0000EE"/>
            </w:tcBorders>
            <w:gridSpan w:val="5"/>
          </w:tcPr>
          <w:p>
            <w:pPr>
              <w:spacing w:after="0" w:line="164" w:lineRule="exact"/>
              <w:rPr>
                <w:rFonts w:ascii="Arial" w:cs="Arial" w:eastAsia="Arial" w:hAnsi="Arial"/>
                <w:sz w:val="16"/>
                <w:szCs w:val="16"/>
                <w:color w:val="0000EE"/>
              </w:rPr>
            </w:pPr>
            <w:hyperlink r:id="rId90">
              <w:r>
                <w:rPr>
                  <w:rFonts w:ascii="Arial" w:cs="Arial" w:eastAsia="Arial" w:hAnsi="Arial"/>
                  <w:sz w:val="16"/>
                  <w:szCs w:val="16"/>
                  <w:color w:val="0000EE"/>
                </w:rPr>
                <w:t>Form of Stock Option Agreement for 2008 Stock Incentive Plan — Employee (2008)</w:t>
              </w:r>
            </w:hyperlink>
          </w:p>
        </w:tc>
        <w:tc>
          <w:tcPr>
            <w:tcW w:w="1640" w:type="dxa"/>
            <w:vAlign w:val="bottom"/>
            <w:gridSpan w:val="26"/>
          </w:tcPr>
          <w:p>
            <w:pPr>
              <w:ind w:left="100"/>
              <w:spacing w:after="0" w:line="164" w:lineRule="exact"/>
              <w:rPr>
                <w:rFonts w:ascii="Arial" w:cs="Arial" w:eastAsia="Arial" w:hAnsi="Arial"/>
                <w:sz w:val="16"/>
                <w:szCs w:val="16"/>
                <w:color w:val="0000EE"/>
              </w:rPr>
            </w:pPr>
            <w:hyperlink r:id="rId90">
              <w:r>
                <w:rPr>
                  <w:rFonts w:ascii="Arial" w:cs="Arial" w:eastAsia="Arial" w:hAnsi="Arial"/>
                  <w:sz w:val="16"/>
                  <w:szCs w:val="16"/>
                  <w:color w:val="0000EE"/>
                </w:rPr>
                <w:t>(incorporated by</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20" w:type="dxa"/>
            <w:vAlign w:val="bottom"/>
            <w:tcBorders>
              <w:top w:val="single" w:sz="8" w:color="0000EE"/>
            </w:tcBorders>
            <w:gridSpan w:val="17"/>
          </w:tcPr>
          <w:p>
            <w:pPr>
              <w:spacing w:after="0" w:line="164" w:lineRule="exact"/>
              <w:rPr>
                <w:rFonts w:ascii="Arial" w:cs="Arial" w:eastAsia="Arial" w:hAnsi="Arial"/>
                <w:sz w:val="16"/>
                <w:szCs w:val="16"/>
                <w:color w:val="0000EE"/>
              </w:rPr>
            </w:pPr>
            <w:hyperlink r:id="rId90">
              <w:r>
                <w:rPr>
                  <w:rFonts w:ascii="Arial" w:cs="Arial" w:eastAsia="Arial" w:hAnsi="Arial"/>
                  <w:sz w:val="16"/>
                  <w:szCs w:val="16"/>
                  <w:color w:val="0000EE"/>
                </w:rPr>
                <w:t>reference to Exhibit 10.32 to Hughes Satellite System Corporation’s Annual Report on Form 10-K for</w:t>
              </w:r>
            </w:hyperlink>
          </w:p>
        </w:tc>
        <w:tc>
          <w:tcPr>
            <w:tcW w:w="320" w:type="dxa"/>
            <w:vAlign w:val="bottom"/>
            <w:gridSpan w:val="14"/>
          </w:tcPr>
          <w:p>
            <w:pPr>
              <w:jc w:val="center"/>
              <w:ind w:right="100"/>
              <w:spacing w:after="0" w:line="164" w:lineRule="exact"/>
              <w:rPr>
                <w:rFonts w:ascii="Arial" w:cs="Arial" w:eastAsia="Arial" w:hAnsi="Arial"/>
                <w:sz w:val="16"/>
                <w:szCs w:val="16"/>
                <w:color w:val="0000EE"/>
                <w:w w:val="98"/>
              </w:rPr>
            </w:pPr>
            <w:hyperlink r:id="rId90">
              <w:r>
                <w:rPr>
                  <w:rFonts w:ascii="Arial" w:cs="Arial" w:eastAsia="Arial" w:hAnsi="Arial"/>
                  <w:sz w:val="16"/>
                  <w:szCs w:val="16"/>
                  <w:color w:val="0000EE"/>
                  <w:w w:val="98"/>
                </w:rPr>
                <w:t>the</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4"/>
                <w:szCs w:val="14"/>
                <w:color w:val="auto"/>
              </w:rPr>
            </w:pPr>
          </w:p>
        </w:tc>
        <w:tc>
          <w:tcPr>
            <w:tcW w:w="7560" w:type="dxa"/>
            <w:vAlign w:val="bottom"/>
            <w:tcBorders>
              <w:top w:val="single" w:sz="8" w:color="0000EE"/>
            </w:tcBorders>
            <w:gridSpan w:val="27"/>
          </w:tcPr>
          <w:p>
            <w:pPr>
              <w:spacing w:after="0" w:line="164" w:lineRule="exact"/>
              <w:rPr>
                <w:rFonts w:ascii="Arial" w:cs="Arial" w:eastAsia="Arial" w:hAnsi="Arial"/>
                <w:sz w:val="16"/>
                <w:szCs w:val="16"/>
                <w:color w:val="0000EE"/>
              </w:rPr>
            </w:pPr>
            <w:hyperlink r:id="rId90">
              <w:r>
                <w:rPr>
                  <w:rFonts w:ascii="Arial" w:cs="Arial" w:eastAsia="Arial" w:hAnsi="Arial"/>
                  <w:sz w:val="16"/>
                  <w:szCs w:val="16"/>
                  <w:color w:val="0000EE"/>
                </w:rPr>
                <w:t>year ended December 31, 2015, filed February 24, 2016, Commission File No. 333-179121). **</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60" w:type="dxa"/>
            <w:vAlign w:val="bottom"/>
            <w:tcBorders>
              <w:top w:val="single" w:sz="8" w:color="0000EE"/>
            </w:tcBorders>
            <w:gridSpan w:val="7"/>
          </w:tcPr>
          <w:p>
            <w:pPr>
              <w:spacing w:after="0" w:line="164" w:lineRule="exact"/>
              <w:rPr>
                <w:rFonts w:ascii="Arial" w:cs="Arial" w:eastAsia="Arial" w:hAnsi="Arial"/>
                <w:sz w:val="16"/>
                <w:szCs w:val="16"/>
                <w:color w:val="0000EE"/>
                <w:w w:val="99"/>
              </w:rPr>
            </w:pPr>
            <w:hyperlink r:id="rId91">
              <w:r>
                <w:rPr>
                  <w:rFonts w:ascii="Arial" w:cs="Arial" w:eastAsia="Arial" w:hAnsi="Arial"/>
                  <w:sz w:val="16"/>
                  <w:szCs w:val="16"/>
                  <w:color w:val="0000EE"/>
                  <w:w w:val="99"/>
                </w:rPr>
                <w:t>Form of Stock Option Agreement for 2008 Stock Incentive Plan — Executive (2008) (incorporated</w:t>
              </w:r>
            </w:hyperlink>
          </w:p>
        </w:tc>
        <w:tc>
          <w:tcPr>
            <w:tcW w:w="780" w:type="dxa"/>
            <w:vAlign w:val="bottom"/>
            <w:gridSpan w:val="24"/>
          </w:tcPr>
          <w:p>
            <w:pPr>
              <w:ind w:left="240"/>
              <w:spacing w:after="0" w:line="164" w:lineRule="exact"/>
              <w:rPr>
                <w:rFonts w:ascii="Arial" w:cs="Arial" w:eastAsia="Arial" w:hAnsi="Arial"/>
                <w:sz w:val="16"/>
                <w:szCs w:val="16"/>
                <w:color w:val="0000EE"/>
              </w:rPr>
            </w:pPr>
            <w:hyperlink r:id="rId91">
              <w:r>
                <w:rPr>
                  <w:rFonts w:ascii="Arial" w:cs="Arial" w:eastAsia="Arial" w:hAnsi="Arial"/>
                  <w:sz w:val="16"/>
                  <w:szCs w:val="16"/>
                  <w:color w:val="0000EE"/>
                </w:rPr>
                <w:t>by</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00" w:type="dxa"/>
            <w:vAlign w:val="bottom"/>
            <w:tcBorders>
              <w:top w:val="single" w:sz="8" w:color="0000EE"/>
            </w:tcBorders>
            <w:gridSpan w:val="16"/>
          </w:tcPr>
          <w:p>
            <w:pPr>
              <w:spacing w:after="0" w:line="164" w:lineRule="exact"/>
              <w:rPr>
                <w:rFonts w:ascii="Arial" w:cs="Arial" w:eastAsia="Arial" w:hAnsi="Arial"/>
                <w:sz w:val="16"/>
                <w:szCs w:val="16"/>
                <w:color w:val="0000EE"/>
              </w:rPr>
            </w:pPr>
            <w:hyperlink r:id="rId91">
              <w:r>
                <w:rPr>
                  <w:rFonts w:ascii="Arial" w:cs="Arial" w:eastAsia="Arial" w:hAnsi="Arial"/>
                  <w:sz w:val="16"/>
                  <w:szCs w:val="16"/>
                  <w:color w:val="0000EE"/>
                </w:rPr>
                <w:t>reference to Exhibit 10.33 to Hughes Satellite System Corporation’s Annual Report on Form 10-K for</w:t>
              </w:r>
            </w:hyperlink>
          </w:p>
        </w:tc>
        <w:tc>
          <w:tcPr>
            <w:tcW w:w="340" w:type="dxa"/>
            <w:vAlign w:val="bottom"/>
            <w:gridSpan w:val="15"/>
          </w:tcPr>
          <w:p>
            <w:pPr>
              <w:jc w:val="center"/>
              <w:ind w:right="100"/>
              <w:spacing w:after="0" w:line="164" w:lineRule="exact"/>
              <w:rPr>
                <w:rFonts w:ascii="Arial" w:cs="Arial" w:eastAsia="Arial" w:hAnsi="Arial"/>
                <w:sz w:val="16"/>
                <w:szCs w:val="16"/>
                <w:color w:val="0000EE"/>
              </w:rPr>
            </w:pPr>
            <w:hyperlink r:id="rId91">
              <w:r>
                <w:rPr>
                  <w:rFonts w:ascii="Arial" w:cs="Arial" w:eastAsia="Arial" w:hAnsi="Arial"/>
                  <w:sz w:val="16"/>
                  <w:szCs w:val="16"/>
                  <w:color w:val="0000EE"/>
                </w:rPr>
                <w:t>the</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4"/>
                <w:szCs w:val="14"/>
                <w:color w:val="auto"/>
              </w:rPr>
            </w:pPr>
          </w:p>
        </w:tc>
        <w:tc>
          <w:tcPr>
            <w:tcW w:w="7560" w:type="dxa"/>
            <w:vAlign w:val="bottom"/>
            <w:tcBorders>
              <w:top w:val="single" w:sz="8" w:color="0000EE"/>
            </w:tcBorders>
            <w:gridSpan w:val="27"/>
          </w:tcPr>
          <w:p>
            <w:pPr>
              <w:spacing w:after="0" w:line="164" w:lineRule="exact"/>
              <w:rPr>
                <w:rFonts w:ascii="Arial" w:cs="Arial" w:eastAsia="Arial" w:hAnsi="Arial"/>
                <w:sz w:val="16"/>
                <w:szCs w:val="16"/>
                <w:color w:val="0000EE"/>
              </w:rPr>
            </w:pPr>
            <w:hyperlink r:id="rId91">
              <w:r>
                <w:rPr>
                  <w:rFonts w:ascii="Arial" w:cs="Arial" w:eastAsia="Arial" w:hAnsi="Arial"/>
                  <w:sz w:val="16"/>
                  <w:szCs w:val="16"/>
                  <w:color w:val="0000EE"/>
                </w:rPr>
                <w:t>year ended December 31, 2015, filed February 24, 2016, Commission File No. 333-179121). **</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60" w:type="dxa"/>
            <w:vAlign w:val="bottom"/>
            <w:tcBorders>
              <w:top w:val="single" w:sz="8" w:color="0000EE"/>
            </w:tcBorders>
            <w:gridSpan w:val="7"/>
          </w:tcPr>
          <w:p>
            <w:pPr>
              <w:spacing w:after="0" w:line="164" w:lineRule="exact"/>
              <w:rPr>
                <w:rFonts w:ascii="Arial" w:cs="Arial" w:eastAsia="Arial" w:hAnsi="Arial"/>
                <w:sz w:val="16"/>
                <w:szCs w:val="16"/>
                <w:color w:val="0000EE"/>
                <w:w w:val="98"/>
              </w:rPr>
            </w:pPr>
            <w:hyperlink r:id="rId92">
              <w:r>
                <w:rPr>
                  <w:rFonts w:ascii="Arial" w:cs="Arial" w:eastAsia="Arial" w:hAnsi="Arial"/>
                  <w:sz w:val="16"/>
                  <w:szCs w:val="16"/>
                  <w:color w:val="0000EE"/>
                  <w:w w:val="98"/>
                </w:rPr>
                <w:t>Form of Stock Option Agreement for 2008 Stock Incentive Plan — Employee (2014) (incorporated</w:t>
              </w:r>
            </w:hyperlink>
          </w:p>
        </w:tc>
        <w:tc>
          <w:tcPr>
            <w:tcW w:w="780" w:type="dxa"/>
            <w:vAlign w:val="bottom"/>
            <w:gridSpan w:val="24"/>
          </w:tcPr>
          <w:p>
            <w:pPr>
              <w:ind w:left="260"/>
              <w:spacing w:after="0" w:line="164" w:lineRule="exact"/>
              <w:rPr>
                <w:rFonts w:ascii="Arial" w:cs="Arial" w:eastAsia="Arial" w:hAnsi="Arial"/>
                <w:sz w:val="16"/>
                <w:szCs w:val="16"/>
                <w:color w:val="0000EE"/>
              </w:rPr>
            </w:pPr>
            <w:hyperlink r:id="rId92">
              <w:r>
                <w:rPr>
                  <w:rFonts w:ascii="Arial" w:cs="Arial" w:eastAsia="Arial" w:hAnsi="Arial"/>
                  <w:sz w:val="16"/>
                  <w:szCs w:val="16"/>
                  <w:color w:val="0000EE"/>
                </w:rPr>
                <w:t>by</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20" w:type="dxa"/>
            <w:vAlign w:val="bottom"/>
            <w:tcBorders>
              <w:top w:val="single" w:sz="8" w:color="0000EE"/>
            </w:tcBorders>
            <w:gridSpan w:val="17"/>
          </w:tcPr>
          <w:p>
            <w:pPr>
              <w:spacing w:after="0" w:line="164" w:lineRule="exact"/>
              <w:rPr>
                <w:rFonts w:ascii="Arial" w:cs="Arial" w:eastAsia="Arial" w:hAnsi="Arial"/>
                <w:sz w:val="16"/>
                <w:szCs w:val="16"/>
                <w:color w:val="0000EE"/>
              </w:rPr>
            </w:pPr>
            <w:hyperlink r:id="rId92">
              <w:r>
                <w:rPr>
                  <w:rFonts w:ascii="Arial" w:cs="Arial" w:eastAsia="Arial" w:hAnsi="Arial"/>
                  <w:sz w:val="16"/>
                  <w:szCs w:val="16"/>
                  <w:color w:val="0000EE"/>
                </w:rPr>
                <w:t>reference to Exhibit 10.34 to Hughes Satellite System Corporation’s Annual Report on Form 10-K for</w:t>
              </w:r>
            </w:hyperlink>
          </w:p>
        </w:tc>
        <w:tc>
          <w:tcPr>
            <w:tcW w:w="320" w:type="dxa"/>
            <w:vAlign w:val="bottom"/>
            <w:gridSpan w:val="14"/>
          </w:tcPr>
          <w:p>
            <w:pPr>
              <w:jc w:val="center"/>
              <w:ind w:right="100"/>
              <w:spacing w:after="0" w:line="164" w:lineRule="exact"/>
              <w:rPr>
                <w:rFonts w:ascii="Arial" w:cs="Arial" w:eastAsia="Arial" w:hAnsi="Arial"/>
                <w:sz w:val="16"/>
                <w:szCs w:val="16"/>
                <w:color w:val="0000EE"/>
                <w:w w:val="98"/>
              </w:rPr>
            </w:pPr>
            <w:hyperlink r:id="rId92">
              <w:r>
                <w:rPr>
                  <w:rFonts w:ascii="Arial" w:cs="Arial" w:eastAsia="Arial" w:hAnsi="Arial"/>
                  <w:sz w:val="16"/>
                  <w:szCs w:val="16"/>
                  <w:color w:val="0000EE"/>
                  <w:w w:val="98"/>
                </w:rPr>
                <w:t>the</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4"/>
                <w:szCs w:val="14"/>
                <w:color w:val="auto"/>
              </w:rPr>
            </w:pPr>
          </w:p>
        </w:tc>
        <w:tc>
          <w:tcPr>
            <w:tcW w:w="7560" w:type="dxa"/>
            <w:vAlign w:val="bottom"/>
            <w:tcBorders>
              <w:top w:val="single" w:sz="8" w:color="0000EE"/>
            </w:tcBorders>
            <w:gridSpan w:val="27"/>
          </w:tcPr>
          <w:p>
            <w:pPr>
              <w:spacing w:after="0" w:line="164" w:lineRule="exact"/>
              <w:rPr>
                <w:rFonts w:ascii="Arial" w:cs="Arial" w:eastAsia="Arial" w:hAnsi="Arial"/>
                <w:sz w:val="16"/>
                <w:szCs w:val="16"/>
                <w:color w:val="0000EE"/>
              </w:rPr>
            </w:pPr>
            <w:hyperlink r:id="rId92">
              <w:r>
                <w:rPr>
                  <w:rFonts w:ascii="Arial" w:cs="Arial" w:eastAsia="Arial" w:hAnsi="Arial"/>
                  <w:sz w:val="16"/>
                  <w:szCs w:val="16"/>
                  <w:color w:val="0000EE"/>
                </w:rPr>
                <w:t>year ended December 31, 2015, filed February 24, 2016, Commission File No. 333-179121). **</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60" w:type="dxa"/>
            <w:vAlign w:val="bottom"/>
            <w:tcBorders>
              <w:top w:val="single" w:sz="8" w:color="0000EE"/>
            </w:tcBorders>
            <w:gridSpan w:val="7"/>
          </w:tcPr>
          <w:p>
            <w:pPr>
              <w:spacing w:after="0" w:line="164" w:lineRule="exact"/>
              <w:rPr>
                <w:rFonts w:ascii="Arial" w:cs="Arial" w:eastAsia="Arial" w:hAnsi="Arial"/>
                <w:sz w:val="16"/>
                <w:szCs w:val="16"/>
                <w:color w:val="0000EE"/>
                <w:w w:val="99"/>
              </w:rPr>
            </w:pPr>
            <w:hyperlink r:id="rId93">
              <w:r>
                <w:rPr>
                  <w:rFonts w:ascii="Arial" w:cs="Arial" w:eastAsia="Arial" w:hAnsi="Arial"/>
                  <w:sz w:val="16"/>
                  <w:szCs w:val="16"/>
                  <w:color w:val="0000EE"/>
                  <w:w w:val="99"/>
                </w:rPr>
                <w:t>Form of Stock Option Agreement for 2008 Stock Incentive Plan — Executive (2014) (incorporated</w:t>
              </w:r>
            </w:hyperlink>
          </w:p>
        </w:tc>
        <w:tc>
          <w:tcPr>
            <w:tcW w:w="780" w:type="dxa"/>
            <w:vAlign w:val="bottom"/>
            <w:gridSpan w:val="24"/>
          </w:tcPr>
          <w:p>
            <w:pPr>
              <w:ind w:left="240"/>
              <w:spacing w:after="0" w:line="164" w:lineRule="exact"/>
              <w:rPr>
                <w:rFonts w:ascii="Arial" w:cs="Arial" w:eastAsia="Arial" w:hAnsi="Arial"/>
                <w:sz w:val="16"/>
                <w:szCs w:val="16"/>
                <w:color w:val="0000EE"/>
              </w:rPr>
            </w:pPr>
            <w:hyperlink r:id="rId93">
              <w:r>
                <w:rPr>
                  <w:rFonts w:ascii="Arial" w:cs="Arial" w:eastAsia="Arial" w:hAnsi="Arial"/>
                  <w:sz w:val="16"/>
                  <w:szCs w:val="16"/>
                  <w:color w:val="0000EE"/>
                </w:rPr>
                <w:t>by</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00" w:type="dxa"/>
            <w:vAlign w:val="bottom"/>
            <w:tcBorders>
              <w:top w:val="single" w:sz="8" w:color="0000EE"/>
            </w:tcBorders>
            <w:gridSpan w:val="16"/>
          </w:tcPr>
          <w:p>
            <w:pPr>
              <w:spacing w:after="0" w:line="164" w:lineRule="exact"/>
              <w:rPr>
                <w:rFonts w:ascii="Arial" w:cs="Arial" w:eastAsia="Arial" w:hAnsi="Arial"/>
                <w:sz w:val="16"/>
                <w:szCs w:val="16"/>
                <w:color w:val="0000EE"/>
              </w:rPr>
            </w:pPr>
            <w:hyperlink r:id="rId93">
              <w:r>
                <w:rPr>
                  <w:rFonts w:ascii="Arial" w:cs="Arial" w:eastAsia="Arial" w:hAnsi="Arial"/>
                  <w:sz w:val="16"/>
                  <w:szCs w:val="16"/>
                  <w:color w:val="0000EE"/>
                </w:rPr>
                <w:t>reference to Exhibit 10.35 to Hughes Satellite System Corporation’s Annual Report on Form 10-K for</w:t>
              </w:r>
            </w:hyperlink>
          </w:p>
        </w:tc>
        <w:tc>
          <w:tcPr>
            <w:tcW w:w="340" w:type="dxa"/>
            <w:vAlign w:val="bottom"/>
            <w:gridSpan w:val="15"/>
          </w:tcPr>
          <w:p>
            <w:pPr>
              <w:jc w:val="center"/>
              <w:ind w:right="100"/>
              <w:spacing w:after="0" w:line="164" w:lineRule="exact"/>
              <w:rPr>
                <w:rFonts w:ascii="Arial" w:cs="Arial" w:eastAsia="Arial" w:hAnsi="Arial"/>
                <w:sz w:val="16"/>
                <w:szCs w:val="16"/>
                <w:color w:val="0000EE"/>
              </w:rPr>
            </w:pPr>
            <w:hyperlink r:id="rId93">
              <w:r>
                <w:rPr>
                  <w:rFonts w:ascii="Arial" w:cs="Arial" w:eastAsia="Arial" w:hAnsi="Arial"/>
                  <w:sz w:val="16"/>
                  <w:szCs w:val="16"/>
                  <w:color w:val="0000EE"/>
                </w:rPr>
                <w:t>the</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60" w:type="dxa"/>
            <w:vAlign w:val="bottom"/>
            <w:tcBorders>
              <w:top w:val="single" w:sz="8" w:color="0000EE"/>
            </w:tcBorders>
            <w:gridSpan w:val="27"/>
          </w:tcPr>
          <w:p>
            <w:pPr>
              <w:spacing w:after="0" w:line="164" w:lineRule="exact"/>
              <w:rPr>
                <w:rFonts w:ascii="Arial" w:cs="Arial" w:eastAsia="Arial" w:hAnsi="Arial"/>
                <w:sz w:val="16"/>
                <w:szCs w:val="16"/>
                <w:color w:val="0000EE"/>
              </w:rPr>
            </w:pPr>
            <w:hyperlink r:id="rId93">
              <w:r>
                <w:rPr>
                  <w:rFonts w:ascii="Arial" w:cs="Arial" w:eastAsia="Arial" w:hAnsi="Arial"/>
                  <w:sz w:val="16"/>
                  <w:szCs w:val="16"/>
                  <w:color w:val="0000EE"/>
                </w:rPr>
                <w:t>year ended December 31, 2015, filed February 24, 2016, Commission File No. 333-179121). **</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596"/>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top w:val="single" w:sz="8" w:color="0000EE"/>
            </w:tcBorders>
            <w:gridSpan w:val="2"/>
          </w:tcPr>
          <w:p>
            <w:pPr>
              <w:jc w:val="right"/>
              <w:ind w:right="818"/>
              <w:spacing w:after="0"/>
              <w:rPr>
                <w:sz w:val="20"/>
                <w:szCs w:val="20"/>
                <w:color w:val="auto"/>
              </w:rPr>
            </w:pPr>
            <w:r>
              <w:rPr>
                <w:rFonts w:ascii="Arial" w:cs="Arial" w:eastAsia="Arial" w:hAnsi="Arial"/>
                <w:sz w:val="16"/>
                <w:szCs w:val="16"/>
                <w:color w:val="auto"/>
              </w:rPr>
              <w:t>48</w:t>
            </w:r>
          </w:p>
        </w:tc>
        <w:tc>
          <w:tcPr>
            <w:tcW w:w="3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8" w:right="1440" w:bottom="1440" w:gutter="0" w:footer="0" w:header="0"/>
        </w:sectPr>
      </w:pPr>
    </w:p>
    <w:bookmarkStart w:id="53" w:name="page54"/>
    <w:bookmarkEnd w:id="5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0" w:type="dxa"/>
            <w:vAlign w:val="bottom"/>
            <w:gridSpan w:val="37"/>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1"/>
        </w:trPr>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Exhibit No.</w:t>
            </w:r>
          </w:p>
        </w:tc>
        <w:tc>
          <w:tcPr>
            <w:tcW w:w="1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gridSpan w:val="29"/>
          </w:tcPr>
          <w:p>
            <w:pPr>
              <w:ind w:left="2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2"/>
        </w:trPr>
        <w:tc>
          <w:tcPr>
            <w:tcW w:w="1220" w:type="dxa"/>
            <w:vAlign w:val="bottom"/>
          </w:tcPr>
          <w:p>
            <w:pPr>
              <w:jc w:val="center"/>
              <w:spacing w:after="0" w:line="152" w:lineRule="exact"/>
              <w:rPr>
                <w:sz w:val="20"/>
                <w:szCs w:val="20"/>
                <w:color w:val="auto"/>
              </w:rPr>
            </w:pPr>
            <w:r>
              <w:rPr>
                <w:rFonts w:ascii="Arial" w:cs="Arial" w:eastAsia="Arial" w:hAnsi="Arial"/>
                <w:sz w:val="16"/>
                <w:szCs w:val="16"/>
                <w:color w:val="auto"/>
              </w:rPr>
              <w:t>10.9*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80" w:type="dxa"/>
            <w:vAlign w:val="bottom"/>
            <w:gridSpan w:val="36"/>
          </w:tcPr>
          <w:p>
            <w:pPr>
              <w:spacing w:after="0" w:line="152" w:lineRule="exact"/>
              <w:rPr>
                <w:rFonts w:ascii="Arial" w:cs="Arial" w:eastAsia="Arial" w:hAnsi="Arial"/>
                <w:sz w:val="16"/>
                <w:szCs w:val="16"/>
                <w:color w:val="0000EE"/>
              </w:rPr>
            </w:pPr>
            <w:hyperlink r:id="rId94">
              <w:r>
                <w:rPr>
                  <w:rFonts w:ascii="Arial" w:cs="Arial" w:eastAsia="Arial" w:hAnsi="Arial"/>
                  <w:sz w:val="16"/>
                  <w:szCs w:val="16"/>
                  <w:color w:val="0000EE"/>
                </w:rPr>
                <w:t>Form of Restricted Stock Unit Agreement for 2008 Stock Incentive Plan — Executive or Director (2011)</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60" w:type="dxa"/>
            <w:vAlign w:val="bottom"/>
            <w:tcBorders>
              <w:top w:val="single" w:sz="8" w:color="0000EE"/>
              <w:bottom w:val="single" w:sz="8" w:color="0000EE"/>
            </w:tcBorders>
            <w:gridSpan w:val="29"/>
          </w:tcPr>
          <w:p>
            <w:pPr>
              <w:spacing w:after="0" w:line="164" w:lineRule="exact"/>
              <w:rPr>
                <w:rFonts w:ascii="Arial" w:cs="Arial" w:eastAsia="Arial" w:hAnsi="Arial"/>
                <w:sz w:val="16"/>
                <w:szCs w:val="16"/>
                <w:color w:val="0000EE"/>
              </w:rPr>
            </w:pPr>
            <w:hyperlink r:id="rId94">
              <w:r>
                <w:rPr>
                  <w:rFonts w:ascii="Arial" w:cs="Arial" w:eastAsia="Arial" w:hAnsi="Arial"/>
                  <w:sz w:val="16"/>
                  <w:szCs w:val="16"/>
                  <w:color w:val="0000EE"/>
                </w:rPr>
                <w:t>(incorporated by reference to Exhibit 10.36 to Hughes Satellite System Corporation’s Annual Report on</w:t>
              </w:r>
            </w:hyperlink>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80" w:type="dxa"/>
            <w:vAlign w:val="bottom"/>
            <w:gridSpan w:val="30"/>
          </w:tcPr>
          <w:p>
            <w:pPr>
              <w:spacing w:after="0" w:line="164" w:lineRule="exact"/>
              <w:rPr>
                <w:rFonts w:ascii="Arial" w:cs="Arial" w:eastAsia="Arial" w:hAnsi="Arial"/>
                <w:sz w:val="16"/>
                <w:szCs w:val="16"/>
                <w:color w:val="0000EE"/>
              </w:rPr>
            </w:pPr>
            <w:hyperlink r:id="rId94">
              <w:r>
                <w:rPr>
                  <w:rFonts w:ascii="Arial" w:cs="Arial" w:eastAsia="Arial" w:hAnsi="Arial"/>
                  <w:sz w:val="16"/>
                  <w:szCs w:val="16"/>
                  <w:color w:val="0000EE"/>
                </w:rPr>
                <w:t>Form 10-K for the year ended December 31, 2015, filed February 24, 2016, Commission File No. 333-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4"/>
                <w:szCs w:val="14"/>
                <w:color w:val="auto"/>
              </w:rPr>
            </w:pPr>
          </w:p>
        </w:tc>
        <w:tc>
          <w:tcPr>
            <w:tcW w:w="780" w:type="dxa"/>
            <w:vAlign w:val="bottom"/>
            <w:tcBorders>
              <w:top w:val="single" w:sz="8" w:color="0000EE"/>
              <w:bottom w:val="single" w:sz="8" w:color="0000EE"/>
            </w:tcBorders>
            <w:gridSpan w:val="4"/>
          </w:tcPr>
          <w:p>
            <w:pPr>
              <w:spacing w:after="0" w:line="164" w:lineRule="exact"/>
              <w:rPr>
                <w:rFonts w:ascii="Arial" w:cs="Arial" w:eastAsia="Arial" w:hAnsi="Arial"/>
                <w:sz w:val="16"/>
                <w:szCs w:val="16"/>
                <w:color w:val="0000EE"/>
              </w:rPr>
            </w:pPr>
            <w:hyperlink r:id="rId94">
              <w:r>
                <w:rPr>
                  <w:rFonts w:ascii="Arial" w:cs="Arial" w:eastAsia="Arial" w:hAnsi="Arial"/>
                  <w:sz w:val="16"/>
                  <w:szCs w:val="16"/>
                  <w:color w:val="0000EE"/>
                </w:rPr>
                <w:t>179121).**</w:t>
              </w:r>
            </w:hyperlink>
          </w:p>
        </w:tc>
        <w:tc>
          <w:tcPr>
            <w:tcW w:w="2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060" w:type="dxa"/>
            <w:vAlign w:val="bottom"/>
            <w:tcBorders>
              <w:top w:val="single" w:sz="8" w:color="0000EE"/>
            </w:tcBorders>
          </w:tcPr>
          <w:p>
            <w:pPr>
              <w:spacing w:after="0"/>
              <w:rPr>
                <w:sz w:val="14"/>
                <w:szCs w:val="14"/>
                <w:color w:val="auto"/>
              </w:rPr>
            </w:pPr>
          </w:p>
        </w:tc>
        <w:tc>
          <w:tcPr>
            <w:tcW w:w="18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spacing w:after="0" w:line="164" w:lineRule="exact"/>
              <w:rPr>
                <w:rFonts w:ascii="Arial" w:cs="Arial" w:eastAsia="Arial" w:hAnsi="Arial"/>
                <w:sz w:val="16"/>
                <w:szCs w:val="16"/>
                <w:color w:val="0000EE"/>
              </w:rPr>
            </w:pPr>
            <w:hyperlink r:id="rId95">
              <w:r>
                <w:rPr>
                  <w:rFonts w:ascii="Arial" w:cs="Arial" w:eastAsia="Arial" w:hAnsi="Arial"/>
                  <w:sz w:val="16"/>
                  <w:szCs w:val="16"/>
                  <w:color w:val="0000EE"/>
                </w:rPr>
                <w:t>EchoStar</w:t>
              </w:r>
            </w:hyperlink>
          </w:p>
        </w:tc>
        <w:tc>
          <w:tcPr>
            <w:tcW w:w="6820" w:type="dxa"/>
            <w:vAlign w:val="bottom"/>
            <w:gridSpan w:val="33"/>
          </w:tcPr>
          <w:p>
            <w:pPr>
              <w:spacing w:after="0" w:line="164" w:lineRule="exact"/>
              <w:rPr>
                <w:rFonts w:ascii="Arial" w:cs="Arial" w:eastAsia="Arial" w:hAnsi="Arial"/>
                <w:sz w:val="16"/>
                <w:szCs w:val="16"/>
                <w:color w:val="0000EE"/>
              </w:rPr>
            </w:pPr>
            <w:hyperlink r:id="rId95">
              <w:r>
                <w:rPr>
                  <w:rFonts w:ascii="Arial" w:cs="Arial" w:eastAsia="Arial" w:hAnsi="Arial"/>
                  <w:sz w:val="16"/>
                  <w:szCs w:val="16"/>
                  <w:color w:val="0000EE"/>
                </w:rPr>
                <w:t>Corporation 2017 Stock Incentive Plan (incorporated by reference to EchoStar Corporation’s</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20" w:type="dxa"/>
            <w:vAlign w:val="bottom"/>
            <w:tcBorders>
              <w:top w:val="single" w:sz="8" w:color="0000EE"/>
            </w:tcBorders>
            <w:gridSpan w:val="27"/>
          </w:tcPr>
          <w:p>
            <w:pPr>
              <w:spacing w:after="0" w:line="164" w:lineRule="exact"/>
              <w:rPr>
                <w:rFonts w:ascii="Arial" w:cs="Arial" w:eastAsia="Arial" w:hAnsi="Arial"/>
                <w:sz w:val="16"/>
                <w:szCs w:val="16"/>
                <w:color w:val="0000EE"/>
              </w:rPr>
            </w:pPr>
            <w:hyperlink r:id="rId95">
              <w:r>
                <w:rPr>
                  <w:rFonts w:ascii="Arial" w:cs="Arial" w:eastAsia="Arial" w:hAnsi="Arial"/>
                  <w:sz w:val="16"/>
                  <w:szCs w:val="16"/>
                  <w:color w:val="0000EE"/>
                </w:rPr>
                <w:t>Definitive Proxy Statement on Form 14, filed March 23, 2017, Commission File No. 001-33807).**</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jc w:val="center"/>
              <w:spacing w:after="0" w:line="164" w:lineRule="exact"/>
              <w:rPr>
                <w:sz w:val="20"/>
                <w:szCs w:val="20"/>
                <w:color w:val="auto"/>
              </w:rPr>
            </w:pPr>
            <w:r>
              <w:rPr>
                <w:rFonts w:ascii="Arial" w:cs="Arial" w:eastAsia="Arial" w:hAnsi="Arial"/>
                <w:sz w:val="16"/>
                <w:szCs w:val="16"/>
                <w:color w:val="auto"/>
                <w:w w:val="99"/>
              </w:rPr>
              <w:t>10.11*</w:t>
            </w:r>
          </w:p>
        </w:tc>
        <w:tc>
          <w:tcPr>
            <w:tcW w:w="100" w:type="dxa"/>
            <w:vAlign w:val="bottom"/>
          </w:tcPr>
          <w:p>
            <w:pPr>
              <w:spacing w:after="0"/>
              <w:rPr>
                <w:sz w:val="14"/>
                <w:szCs w:val="14"/>
                <w:color w:val="auto"/>
              </w:rPr>
            </w:pPr>
          </w:p>
        </w:tc>
        <w:tc>
          <w:tcPr>
            <w:tcW w:w="7040" w:type="dxa"/>
            <w:vAlign w:val="bottom"/>
            <w:tcBorders>
              <w:top w:val="single" w:sz="8" w:color="0000EE"/>
            </w:tcBorders>
            <w:gridSpan w:val="10"/>
          </w:tcPr>
          <w:p>
            <w:pPr>
              <w:spacing w:after="0" w:line="164" w:lineRule="exact"/>
              <w:rPr>
                <w:rFonts w:ascii="Arial" w:cs="Arial" w:eastAsia="Arial" w:hAnsi="Arial"/>
                <w:sz w:val="16"/>
                <w:szCs w:val="16"/>
                <w:color w:val="0000EE"/>
              </w:rPr>
            </w:pPr>
            <w:hyperlink r:id="rId95">
              <w:r>
                <w:rPr>
                  <w:rFonts w:ascii="Arial" w:cs="Arial" w:eastAsia="Arial" w:hAnsi="Arial"/>
                  <w:sz w:val="16"/>
                  <w:szCs w:val="16"/>
                  <w:color w:val="0000EE"/>
                </w:rPr>
                <w:t>Amended and Restated EchoStar Corporation 2017 Employee Stock Purchase Plan (incorporated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4"/>
          </w:tcPr>
          <w:p>
            <w:pPr>
              <w:ind w:left="40"/>
              <w:spacing w:after="0" w:line="164" w:lineRule="exact"/>
              <w:rPr>
                <w:rFonts w:ascii="Arial" w:cs="Arial" w:eastAsia="Arial" w:hAnsi="Arial"/>
                <w:sz w:val="16"/>
                <w:szCs w:val="16"/>
                <w:color w:val="0000EE"/>
              </w:rPr>
            </w:pPr>
            <w:hyperlink r:id="rId95">
              <w:r>
                <w:rPr>
                  <w:rFonts w:ascii="Arial" w:cs="Arial" w:eastAsia="Arial" w:hAnsi="Arial"/>
                  <w:sz w:val="16"/>
                  <w:szCs w:val="16"/>
                  <w:color w:val="0000EE"/>
                </w:rPr>
                <w:t>by</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40" w:type="dxa"/>
            <w:vAlign w:val="bottom"/>
            <w:tcBorders>
              <w:top w:val="single" w:sz="8" w:color="0000EE"/>
            </w:tcBorders>
            <w:gridSpan w:val="23"/>
          </w:tcPr>
          <w:p>
            <w:pPr>
              <w:spacing w:after="0" w:line="164" w:lineRule="exact"/>
              <w:rPr>
                <w:rFonts w:ascii="Arial" w:cs="Arial" w:eastAsia="Arial" w:hAnsi="Arial"/>
                <w:sz w:val="16"/>
                <w:szCs w:val="16"/>
                <w:color w:val="0000EE"/>
              </w:rPr>
            </w:pPr>
            <w:hyperlink r:id="rId95">
              <w:r>
                <w:rPr>
                  <w:rFonts w:ascii="Arial" w:cs="Arial" w:eastAsia="Arial" w:hAnsi="Arial"/>
                  <w:sz w:val="16"/>
                  <w:szCs w:val="16"/>
                  <w:color w:val="0000EE"/>
                </w:rPr>
                <w:t>reference to EchoStar Corporation’s Definitive Proxy Statement on Form 14, filed March 23,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4"/>
                <w:szCs w:val="14"/>
                <w:color w:val="auto"/>
              </w:rPr>
            </w:pPr>
          </w:p>
        </w:tc>
        <w:tc>
          <w:tcPr>
            <w:tcW w:w="7100" w:type="dxa"/>
            <w:vAlign w:val="bottom"/>
            <w:tcBorders>
              <w:top w:val="single" w:sz="8" w:color="0000EE"/>
            </w:tcBorders>
            <w:gridSpan w:val="13"/>
          </w:tcPr>
          <w:p>
            <w:pPr>
              <w:spacing w:after="0" w:line="164" w:lineRule="exact"/>
              <w:rPr>
                <w:rFonts w:ascii="Arial" w:cs="Arial" w:eastAsia="Arial" w:hAnsi="Arial"/>
                <w:sz w:val="16"/>
                <w:szCs w:val="16"/>
                <w:color w:val="0000EE"/>
              </w:rPr>
            </w:pPr>
            <w:hyperlink r:id="rId95">
              <w:r>
                <w:rPr>
                  <w:rFonts w:ascii="Arial" w:cs="Arial" w:eastAsia="Arial" w:hAnsi="Arial"/>
                  <w:sz w:val="16"/>
                  <w:szCs w:val="16"/>
                  <w:color w:val="0000EE"/>
                </w:rPr>
                <w:t>Commission File No. 001-33807).**</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37"/>
          </w:tcPr>
          <w:p>
            <w:pPr>
              <w:spacing w:after="0" w:line="164" w:lineRule="exact"/>
              <w:rPr>
                <w:rFonts w:ascii="Arial" w:cs="Arial" w:eastAsia="Arial" w:hAnsi="Arial"/>
                <w:sz w:val="16"/>
                <w:szCs w:val="16"/>
                <w:color w:val="0000EE"/>
              </w:rPr>
            </w:pPr>
            <w:hyperlink r:id="rId96">
              <w:r>
                <w:rPr>
                  <w:rFonts w:ascii="Arial" w:cs="Arial" w:eastAsia="Arial" w:hAnsi="Arial"/>
                  <w:sz w:val="16"/>
                  <w:szCs w:val="16"/>
                  <w:color w:val="0000EE"/>
                </w:rPr>
                <w:t>Amendment No. 1 to EchoStar Corporation 2017 Amended and Restated Employee Stock Purchase</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60" w:type="dxa"/>
            <w:vAlign w:val="bottom"/>
            <w:tcBorders>
              <w:top w:val="single" w:sz="8" w:color="0000EE"/>
              <w:bottom w:val="single" w:sz="8" w:color="0000EE"/>
            </w:tcBorders>
            <w:gridSpan w:val="11"/>
          </w:tcPr>
          <w:p>
            <w:pPr>
              <w:spacing w:after="0" w:line="164" w:lineRule="exact"/>
              <w:rPr>
                <w:rFonts w:ascii="Arial" w:cs="Arial" w:eastAsia="Arial" w:hAnsi="Arial"/>
                <w:sz w:val="16"/>
                <w:szCs w:val="16"/>
                <w:color w:val="0000EE"/>
              </w:rPr>
            </w:pPr>
            <w:hyperlink r:id="rId96">
              <w:r>
                <w:rPr>
                  <w:rFonts w:ascii="Arial" w:cs="Arial" w:eastAsia="Arial" w:hAnsi="Arial"/>
                  <w:sz w:val="16"/>
                  <w:szCs w:val="16"/>
                  <w:color w:val="0000EE"/>
                </w:rPr>
                <w:t>Plan dated October 20, 2022 (incorporated by reference to Exhibit 10.5 to EchoStar Corporation’s</w:t>
              </w:r>
            </w:hyperlink>
          </w:p>
        </w:tc>
        <w:tc>
          <w:tcPr>
            <w:tcW w:w="220" w:type="dxa"/>
            <w:vAlign w:val="bottom"/>
            <w:tcBorders>
              <w:top w:val="single" w:sz="8" w:color="0000EE"/>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37"/>
          </w:tcPr>
          <w:p>
            <w:pPr>
              <w:spacing w:after="0" w:line="164" w:lineRule="exact"/>
              <w:rPr>
                <w:rFonts w:ascii="Arial" w:cs="Arial" w:eastAsia="Arial" w:hAnsi="Arial"/>
                <w:sz w:val="16"/>
                <w:szCs w:val="16"/>
                <w:color w:val="0000EE"/>
              </w:rPr>
            </w:pPr>
            <w:hyperlink r:id="rId96">
              <w:r>
                <w:rPr>
                  <w:rFonts w:ascii="Arial" w:cs="Arial" w:eastAsia="Arial" w:hAnsi="Arial"/>
                  <w:sz w:val="16"/>
                  <w:szCs w:val="16"/>
                  <w:color w:val="0000EE"/>
                </w:rPr>
                <w:t>Quarterly Report on Form 10-Q for the quarter ended September 30, 2022, filed November 3, 2022,</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4"/>
                <w:szCs w:val="14"/>
                <w:color w:val="auto"/>
              </w:rPr>
            </w:pPr>
          </w:p>
        </w:tc>
        <w:tc>
          <w:tcPr>
            <w:tcW w:w="7200" w:type="dxa"/>
            <w:vAlign w:val="bottom"/>
            <w:tcBorders>
              <w:top w:val="single" w:sz="8" w:color="0000EE"/>
            </w:tcBorders>
            <w:gridSpan w:val="16"/>
          </w:tcPr>
          <w:p>
            <w:pPr>
              <w:spacing w:after="0" w:line="164" w:lineRule="exact"/>
              <w:rPr>
                <w:rFonts w:ascii="Arial" w:cs="Arial" w:eastAsia="Arial" w:hAnsi="Arial"/>
                <w:sz w:val="16"/>
                <w:szCs w:val="16"/>
                <w:color w:val="0000EE"/>
              </w:rPr>
            </w:pPr>
            <w:hyperlink r:id="rId96">
              <w:r>
                <w:rPr>
                  <w:rFonts w:ascii="Arial" w:cs="Arial" w:eastAsia="Arial" w:hAnsi="Arial"/>
                  <w:sz w:val="16"/>
                  <w:szCs w:val="16"/>
                  <w:color w:val="0000EE"/>
                </w:rPr>
                <w:t>Commission File No. 001-33807)**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560" w:type="dxa"/>
            <w:vAlign w:val="bottom"/>
            <w:tcBorders>
              <w:bottom w:val="single" w:sz="8" w:color="0000EE"/>
            </w:tcBorders>
            <w:gridSpan w:val="34"/>
          </w:tcPr>
          <w:p>
            <w:pPr>
              <w:spacing w:after="0" w:line="164" w:lineRule="exact"/>
              <w:rPr>
                <w:rFonts w:ascii="Arial" w:cs="Arial" w:eastAsia="Arial" w:hAnsi="Arial"/>
                <w:sz w:val="16"/>
                <w:szCs w:val="16"/>
                <w:color w:val="0000EE"/>
              </w:rPr>
            </w:pPr>
            <w:hyperlink r:id="rId97">
              <w:r>
                <w:rPr>
                  <w:rFonts w:ascii="Arial" w:cs="Arial" w:eastAsia="Arial" w:hAnsi="Arial"/>
                  <w:sz w:val="16"/>
                  <w:szCs w:val="16"/>
                  <w:color w:val="0000EE"/>
                </w:rPr>
                <w:t>EchoStar Non-Qualified Plan -- Executive Plan and Adoption Agreement, as amended (incorporated by</w:t>
              </w:r>
            </w:hyperlink>
          </w:p>
        </w:tc>
        <w:tc>
          <w:tcPr>
            <w:tcW w:w="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37"/>
          </w:tcPr>
          <w:p>
            <w:pPr>
              <w:spacing w:after="0" w:line="164" w:lineRule="exact"/>
              <w:rPr>
                <w:rFonts w:ascii="Arial" w:cs="Arial" w:eastAsia="Arial" w:hAnsi="Arial"/>
                <w:sz w:val="16"/>
                <w:szCs w:val="16"/>
                <w:color w:val="0000EE"/>
              </w:rPr>
            </w:pPr>
            <w:hyperlink r:id="rId97">
              <w:r>
                <w:rPr>
                  <w:rFonts w:ascii="Arial" w:cs="Arial" w:eastAsia="Arial" w:hAnsi="Arial"/>
                  <w:sz w:val="16"/>
                  <w:szCs w:val="16"/>
                  <w:color w:val="0000EE"/>
                </w:rPr>
                <w:t>reference to Exhibit 10.1 to EchoStar Corporation’s Quarterly Report on Form 10-Q for the quarter ended</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4"/>
                <w:szCs w:val="14"/>
                <w:color w:val="auto"/>
              </w:rPr>
            </w:pPr>
          </w:p>
        </w:tc>
        <w:tc>
          <w:tcPr>
            <w:tcW w:w="7580" w:type="dxa"/>
            <w:vAlign w:val="bottom"/>
            <w:tcBorders>
              <w:top w:val="single" w:sz="8" w:color="0000EE"/>
            </w:tcBorders>
            <w:gridSpan w:val="36"/>
          </w:tcPr>
          <w:p>
            <w:pPr>
              <w:spacing w:after="0" w:line="164" w:lineRule="exact"/>
              <w:rPr>
                <w:rFonts w:ascii="Arial" w:cs="Arial" w:eastAsia="Arial" w:hAnsi="Arial"/>
                <w:sz w:val="16"/>
                <w:szCs w:val="16"/>
                <w:color w:val="0000EE"/>
              </w:rPr>
            </w:pPr>
            <w:hyperlink r:id="rId97">
              <w:r>
                <w:rPr>
                  <w:rFonts w:ascii="Arial" w:cs="Arial" w:eastAsia="Arial" w:hAnsi="Arial"/>
                  <w:sz w:val="16"/>
                  <w:szCs w:val="16"/>
                  <w:color w:val="0000EE"/>
                </w:rPr>
                <w:t>June 30, 2017, filed August 9, 2017, Commission File No. 001-33807).**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37"/>
          </w:tcPr>
          <w:p>
            <w:pPr>
              <w:spacing w:after="0" w:line="164" w:lineRule="exact"/>
              <w:rPr>
                <w:rFonts w:ascii="Arial" w:cs="Arial" w:eastAsia="Arial" w:hAnsi="Arial"/>
                <w:sz w:val="16"/>
                <w:szCs w:val="16"/>
                <w:color w:val="0000EE"/>
              </w:rPr>
            </w:pPr>
            <w:hyperlink r:id="rId98">
              <w:r>
                <w:rPr>
                  <w:rFonts w:ascii="Arial" w:cs="Arial" w:eastAsia="Arial" w:hAnsi="Arial"/>
                  <w:sz w:val="16"/>
                  <w:szCs w:val="16"/>
                  <w:color w:val="0000EE"/>
                </w:rPr>
                <w:t>Form of Stock Option Agreement for the EchoStar Corporation 2017 Stock Incentive Plan - Employee</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60" w:type="dxa"/>
            <w:vAlign w:val="bottom"/>
            <w:tcBorders>
              <w:top w:val="single" w:sz="8" w:color="0000EE"/>
              <w:bottom w:val="single" w:sz="8" w:color="0000EE"/>
            </w:tcBorders>
            <w:gridSpan w:val="24"/>
          </w:tcPr>
          <w:p>
            <w:pPr>
              <w:spacing w:after="0" w:line="164" w:lineRule="exact"/>
              <w:rPr>
                <w:rFonts w:ascii="Arial" w:cs="Arial" w:eastAsia="Arial" w:hAnsi="Arial"/>
                <w:sz w:val="16"/>
                <w:szCs w:val="16"/>
                <w:color w:val="0000EE"/>
              </w:rPr>
            </w:pPr>
            <w:hyperlink r:id="rId98">
              <w:r>
                <w:rPr>
                  <w:rFonts w:ascii="Arial" w:cs="Arial" w:eastAsia="Arial" w:hAnsi="Arial"/>
                  <w:sz w:val="16"/>
                  <w:szCs w:val="16"/>
                  <w:color w:val="0000EE"/>
                </w:rPr>
                <w:t>(2017) (incorporated by reference to Exhibit 10.2 to EchoStar Corporation’s Quarterly Report on Form</w:t>
              </w:r>
            </w:hyperlink>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4"/>
                <w:szCs w:val="14"/>
                <w:color w:val="auto"/>
              </w:rPr>
            </w:pPr>
          </w:p>
        </w:tc>
        <w:tc>
          <w:tcPr>
            <w:tcW w:w="7380" w:type="dxa"/>
            <w:vAlign w:val="bottom"/>
            <w:gridSpan w:val="25"/>
          </w:tcPr>
          <w:p>
            <w:pPr>
              <w:spacing w:after="0" w:line="164" w:lineRule="exact"/>
              <w:rPr>
                <w:rFonts w:ascii="Arial" w:cs="Arial" w:eastAsia="Arial" w:hAnsi="Arial"/>
                <w:sz w:val="16"/>
                <w:szCs w:val="16"/>
                <w:color w:val="0000EE"/>
              </w:rPr>
            </w:pPr>
            <w:hyperlink r:id="rId98">
              <w:r>
                <w:rPr>
                  <w:rFonts w:ascii="Arial" w:cs="Arial" w:eastAsia="Arial" w:hAnsi="Arial"/>
                  <w:sz w:val="16"/>
                  <w:szCs w:val="16"/>
                  <w:color w:val="0000EE"/>
                </w:rPr>
                <w:t>10-Q for the quarter ended June 30, 2017, filed August 9, 2017, Commission File No. 001-33807).**</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20" w:type="dxa"/>
            <w:vAlign w:val="bottom"/>
            <w:tcBorders>
              <w:top w:val="single" w:sz="8" w:color="0000EE"/>
              <w:bottom w:val="single" w:sz="8" w:color="0000EE"/>
            </w:tcBorders>
            <w:gridSpan w:val="17"/>
          </w:tcPr>
          <w:p>
            <w:pPr>
              <w:spacing w:after="0" w:line="164" w:lineRule="exact"/>
              <w:rPr>
                <w:rFonts w:ascii="Arial" w:cs="Arial" w:eastAsia="Arial" w:hAnsi="Arial"/>
                <w:sz w:val="16"/>
                <w:szCs w:val="16"/>
                <w:color w:val="0000EE"/>
              </w:rPr>
            </w:pPr>
            <w:hyperlink r:id="rId99">
              <w:r>
                <w:rPr>
                  <w:rFonts w:ascii="Arial" w:cs="Arial" w:eastAsia="Arial" w:hAnsi="Arial"/>
                  <w:sz w:val="16"/>
                  <w:szCs w:val="16"/>
                  <w:color w:val="0000EE"/>
                </w:rPr>
                <w:t>Form of Stock Option Agreement for the EchoStar Corporation 2017 Stock Incentive Plan - Executive</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20" w:type="dxa"/>
            <w:vAlign w:val="bottom"/>
            <w:gridSpan w:val="22"/>
          </w:tcPr>
          <w:p>
            <w:pPr>
              <w:spacing w:after="0" w:line="164" w:lineRule="exact"/>
              <w:rPr>
                <w:rFonts w:ascii="Arial" w:cs="Arial" w:eastAsia="Arial" w:hAnsi="Arial"/>
                <w:sz w:val="16"/>
                <w:szCs w:val="16"/>
                <w:color w:val="0000EE"/>
              </w:rPr>
            </w:pPr>
            <w:hyperlink r:id="rId99">
              <w:r>
                <w:rPr>
                  <w:rFonts w:ascii="Arial" w:cs="Arial" w:eastAsia="Arial" w:hAnsi="Arial"/>
                  <w:sz w:val="16"/>
                  <w:szCs w:val="16"/>
                  <w:color w:val="0000EE"/>
                </w:rPr>
                <w:t>(2017) (incorporated by reference to Exhibit 10.3 to EchoStar Corporation’s Quarterly Report on Form</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4"/>
                <w:szCs w:val="14"/>
                <w:color w:val="auto"/>
              </w:rPr>
            </w:pPr>
          </w:p>
        </w:tc>
        <w:tc>
          <w:tcPr>
            <w:tcW w:w="7380" w:type="dxa"/>
            <w:vAlign w:val="bottom"/>
            <w:tcBorders>
              <w:top w:val="single" w:sz="8" w:color="0000EE"/>
            </w:tcBorders>
            <w:gridSpan w:val="25"/>
          </w:tcPr>
          <w:p>
            <w:pPr>
              <w:spacing w:after="0" w:line="164" w:lineRule="exact"/>
              <w:rPr>
                <w:rFonts w:ascii="Arial" w:cs="Arial" w:eastAsia="Arial" w:hAnsi="Arial"/>
                <w:sz w:val="16"/>
                <w:szCs w:val="16"/>
                <w:color w:val="0000EE"/>
              </w:rPr>
            </w:pPr>
            <w:hyperlink r:id="rId99">
              <w:r>
                <w:rPr>
                  <w:rFonts w:ascii="Arial" w:cs="Arial" w:eastAsia="Arial" w:hAnsi="Arial"/>
                  <w:sz w:val="16"/>
                  <w:szCs w:val="16"/>
                  <w:color w:val="0000EE"/>
                </w:rPr>
                <w:t>10-Q for the quarter ended June 30, 2017, filed August 9, 2017, Commission File No. 001-33807). **</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300" w:type="dxa"/>
            <w:vAlign w:val="bottom"/>
            <w:tcBorders>
              <w:top w:val="single" w:sz="8" w:color="0000EE"/>
            </w:tcBorders>
            <w:gridSpan w:val="21"/>
          </w:tcPr>
          <w:p>
            <w:pPr>
              <w:spacing w:after="0" w:line="164" w:lineRule="exact"/>
              <w:rPr>
                <w:rFonts w:ascii="Arial" w:cs="Arial" w:eastAsia="Arial" w:hAnsi="Arial"/>
                <w:sz w:val="16"/>
                <w:szCs w:val="16"/>
                <w:color w:val="0000EE"/>
              </w:rPr>
            </w:pPr>
            <w:hyperlink r:id="rId100">
              <w:r>
                <w:rPr>
                  <w:rFonts w:ascii="Arial" w:cs="Arial" w:eastAsia="Arial" w:hAnsi="Arial"/>
                  <w:sz w:val="16"/>
                  <w:szCs w:val="16"/>
                  <w:color w:val="0000EE"/>
                </w:rPr>
                <w:t>Form of Restricted Stock Unit Agreement for the EchoStar Corporation 2017 Stock Incentive Plan -</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9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37"/>
          </w:tcPr>
          <w:p>
            <w:pPr>
              <w:spacing w:after="0" w:line="164" w:lineRule="exact"/>
              <w:rPr>
                <w:rFonts w:ascii="Arial" w:cs="Arial" w:eastAsia="Arial" w:hAnsi="Arial"/>
                <w:sz w:val="16"/>
                <w:szCs w:val="16"/>
                <w:color w:val="0000EE"/>
              </w:rPr>
            </w:pPr>
            <w:hyperlink r:id="rId100">
              <w:r>
                <w:rPr>
                  <w:rFonts w:ascii="Arial" w:cs="Arial" w:eastAsia="Arial" w:hAnsi="Arial"/>
                  <w:sz w:val="16"/>
                  <w:szCs w:val="16"/>
                  <w:color w:val="0000EE"/>
                </w:rPr>
                <w:t>Executive (2017) (incorporated by reference to Exhibit 10.5 to EchoStar Corporation’s Quarterly Report</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20" w:type="dxa"/>
            <w:vAlign w:val="bottom"/>
            <w:tcBorders>
              <w:top w:val="single" w:sz="8" w:color="0000EE"/>
            </w:tcBorders>
            <w:gridSpan w:val="32"/>
          </w:tcPr>
          <w:p>
            <w:pPr>
              <w:spacing w:after="0" w:line="164" w:lineRule="exact"/>
              <w:rPr>
                <w:rFonts w:ascii="Arial" w:cs="Arial" w:eastAsia="Arial" w:hAnsi="Arial"/>
                <w:sz w:val="16"/>
                <w:szCs w:val="16"/>
                <w:color w:val="0000EE"/>
              </w:rPr>
            </w:pPr>
            <w:hyperlink r:id="rId100">
              <w:r>
                <w:rPr>
                  <w:rFonts w:ascii="Arial" w:cs="Arial" w:eastAsia="Arial" w:hAnsi="Arial"/>
                  <w:sz w:val="16"/>
                  <w:szCs w:val="16"/>
                  <w:color w:val="0000EE"/>
                </w:rPr>
                <w:t>on Form 10-Q for the quarter ended June 30, 2017, filed August 9, 2017, Commission File No. 001-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4"/>
                <w:szCs w:val="14"/>
                <w:color w:val="auto"/>
              </w:rPr>
            </w:pPr>
          </w:p>
        </w:tc>
        <w:tc>
          <w:tcPr>
            <w:tcW w:w="680" w:type="dxa"/>
            <w:vAlign w:val="bottom"/>
            <w:tcBorders>
              <w:top w:val="single" w:sz="8" w:color="0000EE"/>
              <w:bottom w:val="single" w:sz="8" w:color="0000EE"/>
            </w:tcBorders>
            <w:gridSpan w:val="3"/>
          </w:tcPr>
          <w:p>
            <w:pPr>
              <w:spacing w:after="0" w:line="164" w:lineRule="exact"/>
              <w:rPr>
                <w:rFonts w:ascii="Arial" w:cs="Arial" w:eastAsia="Arial" w:hAnsi="Arial"/>
                <w:sz w:val="16"/>
                <w:szCs w:val="16"/>
                <w:color w:val="0000EE"/>
                <w:w w:val="98"/>
              </w:rPr>
            </w:pPr>
            <w:hyperlink r:id="rId100">
              <w:r>
                <w:rPr>
                  <w:rFonts w:ascii="Arial" w:cs="Arial" w:eastAsia="Arial" w:hAnsi="Arial"/>
                  <w:sz w:val="16"/>
                  <w:szCs w:val="16"/>
                  <w:color w:val="0000EE"/>
                  <w:w w:val="98"/>
                </w:rPr>
                <w:t>33807).**</w:t>
              </w:r>
            </w:hyperlink>
          </w:p>
        </w:tc>
        <w:tc>
          <w:tcPr>
            <w:tcW w:w="1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060" w:type="dxa"/>
            <w:vAlign w:val="bottom"/>
            <w:tcBorders>
              <w:top w:val="single" w:sz="8" w:color="0000EE"/>
            </w:tcBorders>
          </w:tcPr>
          <w:p>
            <w:pPr>
              <w:spacing w:after="0"/>
              <w:rPr>
                <w:sz w:val="14"/>
                <w:szCs w:val="14"/>
                <w:color w:val="auto"/>
              </w:rPr>
            </w:pPr>
          </w:p>
        </w:tc>
        <w:tc>
          <w:tcPr>
            <w:tcW w:w="18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spacing w:after="0" w:line="164" w:lineRule="exact"/>
              <w:rPr>
                <w:rFonts w:ascii="Arial" w:cs="Arial" w:eastAsia="Arial" w:hAnsi="Arial"/>
                <w:sz w:val="16"/>
                <w:szCs w:val="16"/>
                <w:color w:val="0000EE"/>
              </w:rPr>
            </w:pPr>
            <w:hyperlink r:id="rId101">
              <w:r>
                <w:rPr>
                  <w:rFonts w:ascii="Arial" w:cs="Arial" w:eastAsia="Arial" w:hAnsi="Arial"/>
                  <w:sz w:val="16"/>
                  <w:szCs w:val="16"/>
                  <w:color w:val="0000EE"/>
                </w:rPr>
                <w:t>Form of</w:t>
              </w:r>
            </w:hyperlink>
          </w:p>
        </w:tc>
        <w:tc>
          <w:tcPr>
            <w:tcW w:w="6920" w:type="dxa"/>
            <w:vAlign w:val="bottom"/>
            <w:gridSpan w:val="34"/>
          </w:tcPr>
          <w:p>
            <w:pPr>
              <w:spacing w:after="0" w:line="164" w:lineRule="exact"/>
              <w:rPr>
                <w:rFonts w:ascii="Arial" w:cs="Arial" w:eastAsia="Arial" w:hAnsi="Arial"/>
                <w:sz w:val="16"/>
                <w:szCs w:val="16"/>
                <w:color w:val="0000EE"/>
              </w:rPr>
            </w:pPr>
            <w:hyperlink r:id="rId101">
              <w:r>
                <w:rPr>
                  <w:rFonts w:ascii="Arial" w:cs="Arial" w:eastAsia="Arial" w:hAnsi="Arial"/>
                  <w:sz w:val="16"/>
                  <w:szCs w:val="16"/>
                  <w:color w:val="0000EE"/>
                </w:rPr>
                <w:t>Stock Option Agreement for the EchoStar Corporation 2017 Stock Incentive Plan — Employee</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00" w:type="dxa"/>
            <w:vAlign w:val="bottom"/>
            <w:tcBorders>
              <w:top w:val="single" w:sz="8" w:color="0000EE"/>
            </w:tcBorders>
            <w:gridSpan w:val="31"/>
          </w:tcPr>
          <w:p>
            <w:pPr>
              <w:spacing w:after="0" w:line="164" w:lineRule="exact"/>
              <w:rPr>
                <w:rFonts w:ascii="Arial" w:cs="Arial" w:eastAsia="Arial" w:hAnsi="Arial"/>
                <w:sz w:val="16"/>
                <w:szCs w:val="16"/>
                <w:color w:val="0000EE"/>
              </w:rPr>
            </w:pPr>
            <w:hyperlink r:id="rId101">
              <w:r>
                <w:rPr>
                  <w:rFonts w:ascii="Arial" w:cs="Arial" w:eastAsia="Arial" w:hAnsi="Arial"/>
                  <w:sz w:val="16"/>
                  <w:szCs w:val="16"/>
                  <w:color w:val="0000EE"/>
                </w:rPr>
                <w:t>(2022) (incorporated by reference to Exhibit 10.1 to EchoStar Corporation’s Quarterly Report on Form</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80" w:type="dxa"/>
            <w:vAlign w:val="bottom"/>
            <w:tcBorders>
              <w:top w:val="single" w:sz="8" w:color="0000EE"/>
            </w:tcBorders>
            <w:gridSpan w:val="25"/>
          </w:tcPr>
          <w:p>
            <w:pPr>
              <w:spacing w:after="0" w:line="164" w:lineRule="exact"/>
              <w:rPr>
                <w:rFonts w:ascii="Arial" w:cs="Arial" w:eastAsia="Arial" w:hAnsi="Arial"/>
                <w:sz w:val="16"/>
                <w:szCs w:val="16"/>
                <w:color w:val="0000EE"/>
              </w:rPr>
            </w:pPr>
            <w:hyperlink r:id="rId101">
              <w:r>
                <w:rPr>
                  <w:rFonts w:ascii="Arial" w:cs="Arial" w:eastAsia="Arial" w:hAnsi="Arial"/>
                  <w:sz w:val="16"/>
                  <w:szCs w:val="16"/>
                  <w:color w:val="0000EE"/>
                </w:rPr>
                <w:t>10-Q for the quarter ended September 30, 2022, filed November 3, 2022, Commission File No. 001-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4"/>
                <w:szCs w:val="14"/>
                <w:color w:val="auto"/>
              </w:rPr>
            </w:pPr>
          </w:p>
        </w:tc>
        <w:tc>
          <w:tcPr>
            <w:tcW w:w="640" w:type="dxa"/>
            <w:vAlign w:val="bottom"/>
            <w:tcBorders>
              <w:top w:val="single" w:sz="8" w:color="0000EE"/>
              <w:bottom w:val="single" w:sz="8" w:color="0000EE"/>
            </w:tcBorders>
            <w:gridSpan w:val="2"/>
          </w:tcPr>
          <w:p>
            <w:pPr>
              <w:spacing w:after="0" w:line="164" w:lineRule="exact"/>
              <w:rPr>
                <w:rFonts w:ascii="Arial" w:cs="Arial" w:eastAsia="Arial" w:hAnsi="Arial"/>
                <w:sz w:val="16"/>
                <w:szCs w:val="16"/>
                <w:color w:val="0000EE"/>
                <w:w w:val="99"/>
              </w:rPr>
            </w:pPr>
            <w:hyperlink r:id="rId101">
              <w:r>
                <w:rPr>
                  <w:rFonts w:ascii="Arial" w:cs="Arial" w:eastAsia="Arial" w:hAnsi="Arial"/>
                  <w:sz w:val="16"/>
                  <w:szCs w:val="16"/>
                  <w:color w:val="0000EE"/>
                  <w:w w:val="99"/>
                </w:rPr>
                <w:t>33807)</w:t>
              </w:r>
              <w:r>
                <w:rPr>
                  <w:rFonts w:ascii="Arial" w:cs="Arial" w:eastAsia="Arial" w:hAnsi="Arial"/>
                  <w:sz w:val="16"/>
                  <w:szCs w:val="16"/>
                  <w:u w:val="single" w:color="auto"/>
                  <w:color w:val="0000EE"/>
                  <w:w w:val="99"/>
                </w:rPr>
                <w:t>**</w:t>
              </w:r>
            </w:hyperlink>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060" w:type="dxa"/>
            <w:vAlign w:val="bottom"/>
            <w:tcBorders>
              <w:top w:val="single" w:sz="8" w:color="0000EE"/>
            </w:tcBorders>
          </w:tcPr>
          <w:p>
            <w:pPr>
              <w:spacing w:after="0"/>
              <w:rPr>
                <w:sz w:val="14"/>
                <w:szCs w:val="14"/>
                <w:color w:val="auto"/>
              </w:rPr>
            </w:pPr>
          </w:p>
        </w:tc>
        <w:tc>
          <w:tcPr>
            <w:tcW w:w="18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line="164" w:lineRule="exact"/>
              <w:rPr>
                <w:rFonts w:ascii="Arial" w:cs="Arial" w:eastAsia="Arial" w:hAnsi="Arial"/>
                <w:sz w:val="16"/>
                <w:szCs w:val="16"/>
                <w:color w:val="0000EE"/>
              </w:rPr>
            </w:pPr>
            <w:hyperlink r:id="rId102">
              <w:r>
                <w:rPr>
                  <w:rFonts w:ascii="Arial" w:cs="Arial" w:eastAsia="Arial" w:hAnsi="Arial"/>
                  <w:sz w:val="16"/>
                  <w:szCs w:val="16"/>
                  <w:color w:val="0000EE"/>
                </w:rPr>
                <w:t>Form of</w:t>
              </w:r>
            </w:hyperlink>
          </w:p>
        </w:tc>
        <w:tc>
          <w:tcPr>
            <w:tcW w:w="6960" w:type="dxa"/>
            <w:vAlign w:val="bottom"/>
            <w:gridSpan w:val="35"/>
          </w:tcPr>
          <w:p>
            <w:pPr>
              <w:spacing w:after="0" w:line="164" w:lineRule="exact"/>
              <w:rPr>
                <w:rFonts w:ascii="Arial" w:cs="Arial" w:eastAsia="Arial" w:hAnsi="Arial"/>
                <w:sz w:val="16"/>
                <w:szCs w:val="16"/>
                <w:color w:val="0000EE"/>
              </w:rPr>
            </w:pPr>
            <w:hyperlink r:id="rId102">
              <w:r>
                <w:rPr>
                  <w:rFonts w:ascii="Arial" w:cs="Arial" w:eastAsia="Arial" w:hAnsi="Arial"/>
                  <w:sz w:val="16"/>
                  <w:szCs w:val="16"/>
                  <w:color w:val="0000EE"/>
                </w:rPr>
                <w:t>Stock Option Agreement for the EchoStar Corporation 2017 Stock Incentive Plan — Executive</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40" w:type="dxa"/>
            <w:vAlign w:val="bottom"/>
            <w:tcBorders>
              <w:top w:val="single" w:sz="8" w:color="0000EE"/>
            </w:tcBorders>
            <w:gridSpan w:val="28"/>
          </w:tcPr>
          <w:p>
            <w:pPr>
              <w:spacing w:after="0" w:line="164" w:lineRule="exact"/>
              <w:rPr>
                <w:rFonts w:ascii="Arial" w:cs="Arial" w:eastAsia="Arial" w:hAnsi="Arial"/>
                <w:sz w:val="16"/>
                <w:szCs w:val="16"/>
                <w:color w:val="0000EE"/>
              </w:rPr>
            </w:pPr>
            <w:hyperlink r:id="rId102">
              <w:r>
                <w:rPr>
                  <w:rFonts w:ascii="Arial" w:cs="Arial" w:eastAsia="Arial" w:hAnsi="Arial"/>
                  <w:sz w:val="16"/>
                  <w:szCs w:val="16"/>
                  <w:color w:val="0000EE"/>
                </w:rPr>
                <w:t>(2022) (incorporated by reference to Exhibit 10.2 to EchoStar Corporation’s Quarterly Report on Form</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80" w:type="dxa"/>
            <w:vAlign w:val="bottom"/>
            <w:tcBorders>
              <w:top w:val="single" w:sz="8" w:color="0000EE"/>
            </w:tcBorders>
            <w:gridSpan w:val="25"/>
          </w:tcPr>
          <w:p>
            <w:pPr>
              <w:spacing w:after="0" w:line="164" w:lineRule="exact"/>
              <w:rPr>
                <w:rFonts w:ascii="Arial" w:cs="Arial" w:eastAsia="Arial" w:hAnsi="Arial"/>
                <w:sz w:val="16"/>
                <w:szCs w:val="16"/>
                <w:color w:val="0000EE"/>
              </w:rPr>
            </w:pPr>
            <w:hyperlink r:id="rId102">
              <w:r>
                <w:rPr>
                  <w:rFonts w:ascii="Arial" w:cs="Arial" w:eastAsia="Arial" w:hAnsi="Arial"/>
                  <w:sz w:val="16"/>
                  <w:szCs w:val="16"/>
                  <w:color w:val="0000EE"/>
                </w:rPr>
                <w:t>10-Q for the quarter ended September 30, 2022, filed November 3, 2022, Commission File No. 001-</w:t>
              </w:r>
            </w:hyperlink>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4"/>
                <w:szCs w:val="14"/>
                <w:color w:val="auto"/>
              </w:rPr>
            </w:pPr>
          </w:p>
        </w:tc>
        <w:tc>
          <w:tcPr>
            <w:tcW w:w="680" w:type="dxa"/>
            <w:vAlign w:val="bottom"/>
            <w:tcBorders>
              <w:top w:val="single" w:sz="8" w:color="0000EE"/>
              <w:bottom w:val="single" w:sz="8" w:color="0000EE"/>
            </w:tcBorders>
            <w:gridSpan w:val="3"/>
          </w:tcPr>
          <w:p>
            <w:pPr>
              <w:spacing w:after="0" w:line="164" w:lineRule="exact"/>
              <w:rPr>
                <w:rFonts w:ascii="Arial" w:cs="Arial" w:eastAsia="Arial" w:hAnsi="Arial"/>
                <w:sz w:val="16"/>
                <w:szCs w:val="16"/>
                <w:color w:val="0000EE"/>
                <w:w w:val="98"/>
              </w:rPr>
            </w:pPr>
            <w:hyperlink r:id="rId102">
              <w:r>
                <w:rPr>
                  <w:rFonts w:ascii="Arial" w:cs="Arial" w:eastAsia="Arial" w:hAnsi="Arial"/>
                  <w:sz w:val="16"/>
                  <w:szCs w:val="16"/>
                  <w:color w:val="0000EE"/>
                  <w:w w:val="98"/>
                </w:rPr>
                <w:t>33807) **</w:t>
              </w:r>
            </w:hyperlink>
          </w:p>
        </w:tc>
        <w:tc>
          <w:tcPr>
            <w:tcW w:w="1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060" w:type="dxa"/>
            <w:vAlign w:val="bottom"/>
            <w:tcBorders>
              <w:top w:val="single" w:sz="8" w:color="0000EE"/>
            </w:tcBorders>
          </w:tcPr>
          <w:p>
            <w:pPr>
              <w:spacing w:after="0"/>
              <w:rPr>
                <w:sz w:val="14"/>
                <w:szCs w:val="14"/>
                <w:color w:val="auto"/>
              </w:rPr>
            </w:pPr>
          </w:p>
        </w:tc>
        <w:tc>
          <w:tcPr>
            <w:tcW w:w="18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0000EE"/>
            </w:tcBorders>
            <w:gridSpan w:val="3"/>
          </w:tcPr>
          <w:p>
            <w:pPr>
              <w:spacing w:after="0" w:line="164" w:lineRule="exact"/>
              <w:rPr>
                <w:rFonts w:ascii="Arial" w:cs="Arial" w:eastAsia="Arial" w:hAnsi="Arial"/>
                <w:sz w:val="16"/>
                <w:szCs w:val="16"/>
                <w:color w:val="0000EE"/>
              </w:rPr>
            </w:pPr>
            <w:hyperlink r:id="rId103">
              <w:r>
                <w:rPr>
                  <w:rFonts w:ascii="Arial" w:cs="Arial" w:eastAsia="Arial" w:hAnsi="Arial"/>
                  <w:sz w:val="16"/>
                  <w:szCs w:val="16"/>
                  <w:color w:val="0000EE"/>
                </w:rPr>
                <w:t>Form of</w:t>
              </w:r>
            </w:hyperlink>
          </w:p>
        </w:tc>
        <w:tc>
          <w:tcPr>
            <w:tcW w:w="6400" w:type="dxa"/>
            <w:vAlign w:val="bottom"/>
            <w:tcBorders>
              <w:bottom w:val="single" w:sz="8" w:color="0000EE"/>
            </w:tcBorders>
            <w:gridSpan w:val="9"/>
          </w:tcPr>
          <w:p>
            <w:pPr>
              <w:spacing w:after="0" w:line="164" w:lineRule="exact"/>
              <w:rPr>
                <w:rFonts w:ascii="Arial" w:cs="Arial" w:eastAsia="Arial" w:hAnsi="Arial"/>
                <w:sz w:val="16"/>
                <w:szCs w:val="16"/>
                <w:color w:val="0000EE"/>
              </w:rPr>
            </w:pPr>
            <w:hyperlink r:id="rId103">
              <w:r>
                <w:rPr>
                  <w:rFonts w:ascii="Arial" w:cs="Arial" w:eastAsia="Arial" w:hAnsi="Arial"/>
                  <w:sz w:val="16"/>
                  <w:szCs w:val="16"/>
                  <w:color w:val="0000EE"/>
                </w:rPr>
                <w:t>Non-Employee Director Stock Option Agreement for the EchoStar Corporation 2017 Non-</w:t>
              </w:r>
            </w:hyperlink>
          </w:p>
        </w:tc>
        <w:tc>
          <w:tcPr>
            <w:tcW w:w="52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0" w:type="dxa"/>
            <w:vAlign w:val="bottom"/>
            <w:tcBorders>
              <w:bottom w:val="single" w:sz="8" w:color="0000EE"/>
            </w:tcBorders>
            <w:gridSpan w:val="26"/>
          </w:tcPr>
          <w:p>
            <w:pPr>
              <w:spacing w:after="0" w:line="164" w:lineRule="exact"/>
              <w:rPr>
                <w:rFonts w:ascii="Arial" w:cs="Arial" w:eastAsia="Arial" w:hAnsi="Arial"/>
                <w:sz w:val="16"/>
                <w:szCs w:val="16"/>
                <w:color w:val="0000EE"/>
              </w:rPr>
            </w:pPr>
            <w:hyperlink r:id="rId103">
              <w:r>
                <w:rPr>
                  <w:rFonts w:ascii="Arial" w:cs="Arial" w:eastAsia="Arial" w:hAnsi="Arial"/>
                  <w:sz w:val="16"/>
                  <w:szCs w:val="16"/>
                  <w:color w:val="0000EE"/>
                </w:rPr>
                <w:t>Employee Director Stock Incentive Plan (2022) (incorporated by reference to Exhibit 10.3 to EchoStar</w:t>
              </w:r>
            </w:hyperlink>
          </w:p>
        </w:tc>
        <w:tc>
          <w:tcPr>
            <w:tcW w:w="2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37"/>
          </w:tcPr>
          <w:p>
            <w:pPr>
              <w:spacing w:after="0" w:line="164" w:lineRule="exact"/>
              <w:rPr>
                <w:rFonts w:ascii="Arial" w:cs="Arial" w:eastAsia="Arial" w:hAnsi="Arial"/>
                <w:sz w:val="16"/>
                <w:szCs w:val="16"/>
                <w:color w:val="0000EE"/>
              </w:rPr>
            </w:pPr>
            <w:hyperlink r:id="rId103">
              <w:r>
                <w:rPr>
                  <w:rFonts w:ascii="Arial" w:cs="Arial" w:eastAsia="Arial" w:hAnsi="Arial"/>
                  <w:sz w:val="16"/>
                  <w:szCs w:val="16"/>
                  <w:color w:val="0000EE"/>
                </w:rPr>
                <w:t>Corporation’s Quarterly Report on Form 10-Q for the quarter ended September 30, 2022, filed November</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8"/>
          </w:tcPr>
          <w:p>
            <w:pPr>
              <w:spacing w:after="0" w:line="164" w:lineRule="exact"/>
              <w:rPr>
                <w:rFonts w:ascii="Arial" w:cs="Arial" w:eastAsia="Arial" w:hAnsi="Arial"/>
                <w:sz w:val="16"/>
                <w:szCs w:val="16"/>
                <w:color w:val="0000EE"/>
              </w:rPr>
            </w:pPr>
            <w:hyperlink r:id="rId103">
              <w:r>
                <w:rPr>
                  <w:rFonts w:ascii="Arial" w:cs="Arial" w:eastAsia="Arial" w:hAnsi="Arial"/>
                  <w:sz w:val="16"/>
                  <w:szCs w:val="16"/>
                  <w:color w:val="0000EE"/>
                </w:rPr>
                <w:t>3, 2022, Commission File No. 001-33807)**</w:t>
              </w:r>
            </w:hyperlink>
          </w:p>
        </w:tc>
        <w:tc>
          <w:tcPr>
            <w:tcW w:w="4420" w:type="dxa"/>
            <w:vAlign w:val="bottom"/>
            <w:tcBorders>
              <w:top w:val="single" w:sz="8" w:color="0000EE"/>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60" w:type="dxa"/>
            <w:vAlign w:val="bottom"/>
            <w:tcBorders>
              <w:bottom w:val="single" w:sz="8" w:color="0000EE"/>
            </w:tcBorders>
            <w:gridSpan w:val="19"/>
          </w:tcPr>
          <w:p>
            <w:pPr>
              <w:spacing w:after="0" w:line="164" w:lineRule="exact"/>
              <w:rPr>
                <w:rFonts w:ascii="Arial" w:cs="Arial" w:eastAsia="Arial" w:hAnsi="Arial"/>
                <w:sz w:val="16"/>
                <w:szCs w:val="16"/>
                <w:color w:val="0000EE"/>
              </w:rPr>
            </w:pPr>
            <w:hyperlink r:id="rId104">
              <w:r>
                <w:rPr>
                  <w:rFonts w:ascii="Arial" w:cs="Arial" w:eastAsia="Arial" w:hAnsi="Arial"/>
                  <w:sz w:val="16"/>
                  <w:szCs w:val="16"/>
                  <w:color w:val="0000EE"/>
                </w:rPr>
                <w:t>Form of Restricted Stock Unit Agreement for the EchoStar Corporation 2017 Stock Incentive Plan —</w:t>
              </w:r>
            </w:hyperlink>
          </w:p>
        </w:tc>
        <w:tc>
          <w:tcPr>
            <w:tcW w:w="34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37"/>
          </w:tcPr>
          <w:p>
            <w:pPr>
              <w:spacing w:after="0" w:line="164" w:lineRule="exact"/>
              <w:rPr>
                <w:rFonts w:ascii="Arial" w:cs="Arial" w:eastAsia="Arial" w:hAnsi="Arial"/>
                <w:sz w:val="16"/>
                <w:szCs w:val="16"/>
                <w:color w:val="0000EE"/>
              </w:rPr>
            </w:pPr>
            <w:hyperlink r:id="rId104">
              <w:r>
                <w:rPr>
                  <w:rFonts w:ascii="Arial" w:cs="Arial" w:eastAsia="Arial" w:hAnsi="Arial"/>
                  <w:sz w:val="16"/>
                  <w:szCs w:val="16"/>
                  <w:color w:val="0000EE"/>
                </w:rPr>
                <w:t>Executive (2022) (incorporated by reference to Exhibit 10.4 to EchoStar Corporation’s Quarterly Report</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Borders>
              <w:top w:val="single" w:sz="8" w:color="0000EE"/>
              <w:bottom w:val="single" w:sz="8" w:color="0000EE"/>
            </w:tcBorders>
            <w:gridSpan w:val="33"/>
          </w:tcPr>
          <w:p>
            <w:pPr>
              <w:spacing w:after="0" w:line="164" w:lineRule="exact"/>
              <w:rPr>
                <w:rFonts w:ascii="Arial" w:cs="Arial" w:eastAsia="Arial" w:hAnsi="Arial"/>
                <w:sz w:val="16"/>
                <w:szCs w:val="16"/>
                <w:color w:val="0000EE"/>
              </w:rPr>
            </w:pPr>
            <w:hyperlink r:id="rId104">
              <w:r>
                <w:rPr>
                  <w:rFonts w:ascii="Arial" w:cs="Arial" w:eastAsia="Arial" w:hAnsi="Arial"/>
                  <w:sz w:val="16"/>
                  <w:szCs w:val="16"/>
                  <w:color w:val="0000EE"/>
                </w:rPr>
                <w:t>on Form 10-Q for the quarter ended September 30, 2022, filed November 3, 2022, Commission File No.</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4"/>
                <w:szCs w:val="14"/>
                <w:color w:val="auto"/>
              </w:rPr>
            </w:pPr>
          </w:p>
        </w:tc>
        <w:tc>
          <w:tcPr>
            <w:tcW w:w="1020" w:type="dxa"/>
            <w:vAlign w:val="bottom"/>
            <w:tcBorders>
              <w:bottom w:val="single" w:sz="8" w:color="0000EE"/>
            </w:tcBorders>
            <w:gridSpan w:val="5"/>
          </w:tcPr>
          <w:p>
            <w:pPr>
              <w:spacing w:after="0" w:line="164" w:lineRule="exact"/>
              <w:rPr>
                <w:rFonts w:ascii="Arial" w:cs="Arial" w:eastAsia="Arial" w:hAnsi="Arial"/>
                <w:sz w:val="16"/>
                <w:szCs w:val="16"/>
                <w:color w:val="0000EE"/>
              </w:rPr>
            </w:pPr>
            <w:hyperlink r:id="rId104">
              <w:r>
                <w:rPr>
                  <w:rFonts w:ascii="Arial" w:cs="Arial" w:eastAsia="Arial" w:hAnsi="Arial"/>
                  <w:sz w:val="16"/>
                  <w:szCs w:val="16"/>
                  <w:color w:val="0000EE"/>
                </w:rPr>
                <w:t>001-33807) **</w:t>
              </w:r>
            </w:hyperlink>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37"/>
          </w:tcPr>
          <w:p>
            <w:pPr>
              <w:spacing w:after="0" w:line="164" w:lineRule="exact"/>
              <w:rPr>
                <w:rFonts w:ascii="Arial" w:cs="Arial" w:eastAsia="Arial" w:hAnsi="Arial"/>
                <w:sz w:val="16"/>
                <w:szCs w:val="16"/>
                <w:color w:val="0000EE"/>
              </w:rPr>
            </w:pPr>
            <w:hyperlink r:id="rId105">
              <w:r>
                <w:rPr>
                  <w:rFonts w:ascii="Arial" w:cs="Arial" w:eastAsia="Arial" w:hAnsi="Arial"/>
                  <w:sz w:val="16"/>
                  <w:szCs w:val="16"/>
                  <w:color w:val="0000EE"/>
                </w:rPr>
                <w:t>Amendment to EchoStar Non-Qualified Plan-Executive Plan and Adoption Agreement, dated November</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0" w:type="dxa"/>
            <w:vAlign w:val="bottom"/>
            <w:tcBorders>
              <w:top w:val="single" w:sz="8" w:color="0000EE"/>
              <w:bottom w:val="single" w:sz="8" w:color="0000EE"/>
            </w:tcBorders>
            <w:gridSpan w:val="26"/>
          </w:tcPr>
          <w:p>
            <w:pPr>
              <w:spacing w:after="0" w:line="164" w:lineRule="exact"/>
              <w:rPr>
                <w:rFonts w:ascii="Arial" w:cs="Arial" w:eastAsia="Arial" w:hAnsi="Arial"/>
                <w:sz w:val="16"/>
                <w:szCs w:val="16"/>
                <w:color w:val="0000EE"/>
              </w:rPr>
            </w:pPr>
            <w:hyperlink r:id="rId105">
              <w:r>
                <w:rPr>
                  <w:rFonts w:ascii="Arial" w:cs="Arial" w:eastAsia="Arial" w:hAnsi="Arial"/>
                  <w:sz w:val="16"/>
                  <w:szCs w:val="16"/>
                  <w:color w:val="0000EE"/>
                </w:rPr>
                <w:t>1, 2018 (incorporated by reference to Exhibit 10.30 to Hughes Satellite Systems Corporation’s Annual</w:t>
              </w:r>
            </w:hyperlink>
          </w:p>
        </w:tc>
        <w:tc>
          <w:tcPr>
            <w:tcW w:w="180" w:type="dxa"/>
            <w:vAlign w:val="bottom"/>
            <w:tcBorders>
              <w:top w:val="single" w:sz="8" w:color="0000EE"/>
            </w:tcBorders>
            <w:gridSpan w:val="9"/>
          </w:tcPr>
          <w:p>
            <w:pPr>
              <w:spacing w:after="0"/>
              <w:rPr>
                <w:sz w:val="14"/>
                <w:szCs w:val="14"/>
                <w:color w:val="auto"/>
              </w:rPr>
            </w:pPr>
          </w:p>
        </w:tc>
        <w:tc>
          <w:tcPr>
            <w:tcW w:w="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37"/>
          </w:tcPr>
          <w:p>
            <w:pPr>
              <w:spacing w:after="0" w:line="164" w:lineRule="exact"/>
              <w:rPr>
                <w:rFonts w:ascii="Arial" w:cs="Arial" w:eastAsia="Arial" w:hAnsi="Arial"/>
                <w:sz w:val="16"/>
                <w:szCs w:val="16"/>
                <w:color w:val="0000EE"/>
              </w:rPr>
            </w:pPr>
            <w:hyperlink r:id="rId105">
              <w:r>
                <w:rPr>
                  <w:rFonts w:ascii="Arial" w:cs="Arial" w:eastAsia="Arial" w:hAnsi="Arial"/>
                  <w:sz w:val="16"/>
                  <w:szCs w:val="16"/>
                  <w:color w:val="0000EE"/>
                </w:rPr>
                <w:t>Report on Form 10-K for the year ended December 31, 2018, filed February 21, 2019, Commission File</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60" w:type="dxa"/>
            <w:vAlign w:val="bottom"/>
            <w:tcBorders>
              <w:top w:val="single" w:sz="8" w:color="0000EE"/>
            </w:tcBorders>
            <w:gridSpan w:val="34"/>
          </w:tcPr>
          <w:p>
            <w:pPr>
              <w:spacing w:after="0" w:line="164" w:lineRule="exact"/>
              <w:rPr>
                <w:rFonts w:ascii="Arial" w:cs="Arial" w:eastAsia="Arial" w:hAnsi="Arial"/>
                <w:sz w:val="16"/>
                <w:szCs w:val="16"/>
                <w:color w:val="0000EE"/>
              </w:rPr>
            </w:pPr>
            <w:hyperlink r:id="rId105">
              <w:r>
                <w:rPr>
                  <w:rFonts w:ascii="Arial" w:cs="Arial" w:eastAsia="Arial" w:hAnsi="Arial"/>
                  <w:sz w:val="16"/>
                  <w:szCs w:val="16"/>
                  <w:color w:val="0000EE"/>
                </w:rPr>
                <w:t>No. 333-179121).**</w:t>
              </w:r>
            </w:hyperlink>
          </w:p>
        </w:tc>
        <w:tc>
          <w:tcPr>
            <w:tcW w:w="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596"/>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top w:val="single" w:sz="8" w:color="0000EE"/>
            </w:tcBorders>
            <w:gridSpan w:val="5"/>
          </w:tcPr>
          <w:p>
            <w:pPr>
              <w:spacing w:after="0"/>
              <w:rPr>
                <w:sz w:val="24"/>
                <w:szCs w:val="24"/>
                <w:color w:val="auto"/>
              </w:rPr>
            </w:pPr>
          </w:p>
        </w:tc>
        <w:tc>
          <w:tcPr>
            <w:tcW w:w="3820" w:type="dxa"/>
            <w:vAlign w:val="bottom"/>
            <w:gridSpan w:val="3"/>
          </w:tcPr>
          <w:p>
            <w:pPr>
              <w:jc w:val="right"/>
              <w:ind w:right="1898"/>
              <w:spacing w:after="0"/>
              <w:rPr>
                <w:sz w:val="20"/>
                <w:szCs w:val="20"/>
                <w:color w:val="auto"/>
              </w:rPr>
            </w:pPr>
            <w:r>
              <w:rPr>
                <w:rFonts w:ascii="Arial" w:cs="Arial" w:eastAsia="Arial" w:hAnsi="Arial"/>
                <w:sz w:val="16"/>
                <w:szCs w:val="16"/>
                <w:color w:val="auto"/>
              </w:rPr>
              <w:t>49</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8" w:right="1440" w:bottom="1440" w:gutter="0" w:footer="0" w:header="0"/>
        </w:sectPr>
      </w:pPr>
    </w:p>
    <w:bookmarkStart w:id="54" w:name="page55"/>
    <w:bookmarkEnd w:id="5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20" w:type="dxa"/>
            <w:vAlign w:val="bottom"/>
            <w:gridSpan w:val="28"/>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1"/>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 No.</w:t>
            </w:r>
          </w:p>
        </w:tc>
        <w:tc>
          <w:tcPr>
            <w:tcW w:w="1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23"/>
          </w:tcPr>
          <w:p>
            <w:pPr>
              <w:ind w:left="2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2"/>
        </w:trPr>
        <w:tc>
          <w:tcPr>
            <w:tcW w:w="1220" w:type="dxa"/>
            <w:vAlign w:val="bottom"/>
          </w:tcPr>
          <w:p>
            <w:pPr>
              <w:jc w:val="center"/>
              <w:spacing w:after="0" w:line="152" w:lineRule="exact"/>
              <w:rPr>
                <w:sz w:val="20"/>
                <w:szCs w:val="20"/>
                <w:color w:val="auto"/>
              </w:rPr>
            </w:pPr>
            <w:r>
              <w:rPr>
                <w:rFonts w:ascii="Arial" w:cs="Arial" w:eastAsia="Arial" w:hAnsi="Arial"/>
                <w:sz w:val="16"/>
                <w:szCs w:val="16"/>
                <w:color w:val="auto"/>
              </w:rPr>
              <w:t>10.22*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0" w:type="dxa"/>
            <w:vAlign w:val="bottom"/>
            <w:gridSpan w:val="27"/>
          </w:tcPr>
          <w:p>
            <w:pPr>
              <w:spacing w:after="0" w:line="152" w:lineRule="exact"/>
              <w:rPr>
                <w:rFonts w:ascii="Arial" w:cs="Arial" w:eastAsia="Arial" w:hAnsi="Arial"/>
                <w:sz w:val="16"/>
                <w:szCs w:val="16"/>
                <w:color w:val="0000EE"/>
              </w:rPr>
            </w:pPr>
            <w:hyperlink r:id="rId106">
              <w:r>
                <w:rPr>
                  <w:rFonts w:ascii="Arial" w:cs="Arial" w:eastAsia="Arial" w:hAnsi="Arial"/>
                  <w:sz w:val="16"/>
                  <w:szCs w:val="16"/>
                  <w:color w:val="0000EE"/>
                </w:rPr>
                <w:t>Amended and Restated EchoStar Corporation Executive Officer Bonus Incentive Plan, dated as of April</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80" w:type="dxa"/>
            <w:vAlign w:val="bottom"/>
            <w:tcBorders>
              <w:top w:val="single" w:sz="8" w:color="0000EE"/>
              <w:bottom w:val="single" w:sz="8" w:color="0000EE"/>
            </w:tcBorders>
            <w:gridSpan w:val="22"/>
          </w:tcPr>
          <w:p>
            <w:pPr>
              <w:spacing w:after="0" w:line="164" w:lineRule="exact"/>
              <w:rPr>
                <w:rFonts w:ascii="Arial" w:cs="Arial" w:eastAsia="Arial" w:hAnsi="Arial"/>
                <w:sz w:val="16"/>
                <w:szCs w:val="16"/>
                <w:color w:val="0000EE"/>
              </w:rPr>
            </w:pPr>
            <w:hyperlink r:id="rId106">
              <w:r>
                <w:rPr>
                  <w:rFonts w:ascii="Arial" w:cs="Arial" w:eastAsia="Arial" w:hAnsi="Arial"/>
                  <w:sz w:val="16"/>
                  <w:szCs w:val="16"/>
                  <w:color w:val="0000EE"/>
                </w:rPr>
                <w:t>30, 2019 (incorporated by reference to Exhibit 10.1 to Hughes Satellite Systems Corporation’s Quarterly</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20" w:type="dxa"/>
            <w:vAlign w:val="bottom"/>
            <w:gridSpan w:val="24"/>
          </w:tcPr>
          <w:p>
            <w:pPr>
              <w:spacing w:after="0" w:line="164" w:lineRule="exact"/>
              <w:rPr>
                <w:rFonts w:ascii="Arial" w:cs="Arial" w:eastAsia="Arial" w:hAnsi="Arial"/>
                <w:sz w:val="16"/>
                <w:szCs w:val="16"/>
                <w:color w:val="0000EE"/>
              </w:rPr>
            </w:pPr>
            <w:hyperlink r:id="rId106">
              <w:r>
                <w:rPr>
                  <w:rFonts w:ascii="Arial" w:cs="Arial" w:eastAsia="Arial" w:hAnsi="Arial"/>
                  <w:sz w:val="16"/>
                  <w:szCs w:val="16"/>
                  <w:color w:val="0000EE"/>
                </w:rPr>
                <w:t>Report on Form 10-Q for the quarter ended June 30, 2019, filed August 8, 2019, Commission File No.</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4"/>
                <w:szCs w:val="14"/>
                <w:color w:val="auto"/>
              </w:rPr>
            </w:pPr>
          </w:p>
        </w:tc>
        <w:tc>
          <w:tcPr>
            <w:tcW w:w="2120" w:type="dxa"/>
            <w:vAlign w:val="bottom"/>
            <w:tcBorders>
              <w:top w:val="single" w:sz="8" w:color="0000EE"/>
            </w:tcBorders>
            <w:gridSpan w:val="4"/>
          </w:tcPr>
          <w:p>
            <w:pPr>
              <w:spacing w:after="0" w:line="164" w:lineRule="exact"/>
              <w:rPr>
                <w:rFonts w:ascii="Arial" w:cs="Arial" w:eastAsia="Arial" w:hAnsi="Arial"/>
                <w:sz w:val="16"/>
                <w:szCs w:val="16"/>
                <w:color w:val="0000EE"/>
              </w:rPr>
            </w:pPr>
            <w:hyperlink r:id="rId106">
              <w:r>
                <w:rPr>
                  <w:rFonts w:ascii="Arial" w:cs="Arial" w:eastAsia="Arial" w:hAnsi="Arial"/>
                  <w:sz w:val="16"/>
                  <w:szCs w:val="16"/>
                  <w:color w:val="0000EE"/>
                </w:rPr>
                <w:t>333-179121).**</w:t>
              </w:r>
            </w:hyperlink>
          </w:p>
        </w:tc>
        <w:tc>
          <w:tcPr>
            <w:tcW w:w="104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0000EE"/>
            </w:tcBorders>
            <w:gridSpan w:val="3"/>
          </w:tcPr>
          <w:p>
            <w:pPr>
              <w:spacing w:after="0" w:line="164" w:lineRule="exact"/>
              <w:rPr>
                <w:rFonts w:ascii="Arial" w:cs="Arial" w:eastAsia="Arial" w:hAnsi="Arial"/>
                <w:sz w:val="16"/>
                <w:szCs w:val="16"/>
                <w:color w:val="0000EE"/>
              </w:rPr>
            </w:pPr>
            <w:hyperlink r:id="rId107">
              <w:r>
                <w:rPr>
                  <w:rFonts w:ascii="Arial" w:cs="Arial" w:eastAsia="Arial" w:hAnsi="Arial"/>
                  <w:sz w:val="16"/>
                  <w:szCs w:val="16"/>
                  <w:color w:val="0000EE"/>
                </w:rPr>
                <w:t>Amendment to</w:t>
              </w:r>
            </w:hyperlink>
          </w:p>
        </w:tc>
        <w:tc>
          <w:tcPr>
            <w:tcW w:w="6520" w:type="dxa"/>
            <w:vAlign w:val="bottom"/>
            <w:gridSpan w:val="25"/>
          </w:tcPr>
          <w:p>
            <w:pPr>
              <w:ind w:left="20"/>
              <w:spacing w:after="0" w:line="164" w:lineRule="exact"/>
              <w:rPr>
                <w:rFonts w:ascii="Arial" w:cs="Arial" w:eastAsia="Arial" w:hAnsi="Arial"/>
                <w:sz w:val="16"/>
                <w:szCs w:val="16"/>
                <w:color w:val="0000EE"/>
              </w:rPr>
            </w:pPr>
            <w:hyperlink r:id="rId107">
              <w:r>
                <w:rPr>
                  <w:rFonts w:ascii="Arial" w:cs="Arial" w:eastAsia="Arial" w:hAnsi="Arial"/>
                  <w:sz w:val="16"/>
                  <w:szCs w:val="16"/>
                  <w:color w:val="0000EE"/>
                </w:rPr>
                <w:t>EchoStar Non-Qualified Plan – Executive Plan and Adoption Agreement, dated October</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60" w:type="dxa"/>
            <w:vAlign w:val="bottom"/>
            <w:tcBorders>
              <w:top w:val="single" w:sz="8" w:color="0000EE"/>
            </w:tcBorders>
            <w:gridSpan w:val="21"/>
          </w:tcPr>
          <w:p>
            <w:pPr>
              <w:spacing w:after="0" w:line="164" w:lineRule="exact"/>
              <w:rPr>
                <w:rFonts w:ascii="Arial" w:cs="Arial" w:eastAsia="Arial" w:hAnsi="Arial"/>
                <w:sz w:val="16"/>
                <w:szCs w:val="16"/>
                <w:color w:val="0000EE"/>
              </w:rPr>
            </w:pPr>
            <w:hyperlink r:id="rId107">
              <w:r>
                <w:rPr>
                  <w:rFonts w:ascii="Arial" w:cs="Arial" w:eastAsia="Arial" w:hAnsi="Arial"/>
                  <w:sz w:val="16"/>
                  <w:szCs w:val="16"/>
                  <w:color w:val="0000EE"/>
                </w:rPr>
                <w:t>21, 2019 (incorporated by reference to Exhibit 10.1 to EchoStar Corporation’s Quarterly Report on Form</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20" w:type="dxa"/>
            <w:vAlign w:val="bottom"/>
            <w:tcBorders>
              <w:top w:val="single" w:sz="8" w:color="0000EE"/>
            </w:tcBorders>
            <w:gridSpan w:val="24"/>
          </w:tcPr>
          <w:p>
            <w:pPr>
              <w:spacing w:after="0" w:line="164" w:lineRule="exact"/>
              <w:rPr>
                <w:rFonts w:ascii="Arial" w:cs="Arial" w:eastAsia="Arial" w:hAnsi="Arial"/>
                <w:sz w:val="16"/>
                <w:szCs w:val="16"/>
                <w:color w:val="0000EE"/>
              </w:rPr>
            </w:pPr>
            <w:hyperlink r:id="rId107">
              <w:r>
                <w:rPr>
                  <w:rFonts w:ascii="Arial" w:cs="Arial" w:eastAsia="Arial" w:hAnsi="Arial"/>
                  <w:sz w:val="16"/>
                  <w:szCs w:val="16"/>
                  <w:color w:val="0000EE"/>
                </w:rPr>
                <w:t>10-Q for the quarter ended September 30, 2020, filed November 5, 2020, Commission File No. 333-</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4"/>
                <w:szCs w:val="14"/>
                <w:color w:val="auto"/>
              </w:rPr>
            </w:pPr>
          </w:p>
        </w:tc>
        <w:tc>
          <w:tcPr>
            <w:tcW w:w="820" w:type="dxa"/>
            <w:vAlign w:val="bottom"/>
            <w:tcBorders>
              <w:top w:val="single" w:sz="8" w:color="0000EE"/>
              <w:bottom w:val="single" w:sz="8" w:color="0000EE"/>
            </w:tcBorders>
            <w:gridSpan w:val="2"/>
          </w:tcPr>
          <w:p>
            <w:pPr>
              <w:spacing w:after="0" w:line="164" w:lineRule="exact"/>
              <w:rPr>
                <w:rFonts w:ascii="Arial" w:cs="Arial" w:eastAsia="Arial" w:hAnsi="Arial"/>
                <w:sz w:val="16"/>
                <w:szCs w:val="16"/>
                <w:color w:val="0000EE"/>
                <w:w w:val="99"/>
              </w:rPr>
            </w:pPr>
            <w:hyperlink r:id="rId107">
              <w:r>
                <w:rPr>
                  <w:rFonts w:ascii="Arial" w:cs="Arial" w:eastAsia="Arial" w:hAnsi="Arial"/>
                  <w:sz w:val="16"/>
                  <w:szCs w:val="16"/>
                  <w:color w:val="0000EE"/>
                  <w:w w:val="99"/>
                </w:rPr>
                <w:t>179121). **</w:t>
              </w:r>
            </w:hyperlink>
          </w:p>
        </w:tc>
        <w:tc>
          <w:tcPr>
            <w:tcW w:w="280" w:type="dxa"/>
            <w:vAlign w:val="bottom"/>
            <w:tcBorders>
              <w:top w:val="single" w:sz="8" w:color="0000EE"/>
            </w:tcBorders>
          </w:tcPr>
          <w:p>
            <w:pPr>
              <w:spacing w:after="0"/>
              <w:rPr>
                <w:sz w:val="14"/>
                <w:szCs w:val="14"/>
                <w:color w:val="auto"/>
              </w:rPr>
            </w:pPr>
          </w:p>
        </w:tc>
        <w:tc>
          <w:tcPr>
            <w:tcW w:w="102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1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line="164" w:lineRule="exact"/>
              <w:rPr>
                <w:rFonts w:ascii="Arial" w:cs="Arial" w:eastAsia="Arial" w:hAnsi="Arial"/>
                <w:sz w:val="16"/>
                <w:szCs w:val="16"/>
                <w:color w:val="0000EE"/>
                <w:w w:val="92"/>
              </w:rPr>
            </w:pPr>
            <w:hyperlink r:id="rId108">
              <w:r>
                <w:rPr>
                  <w:rFonts w:ascii="Arial" w:cs="Arial" w:eastAsia="Arial" w:hAnsi="Arial"/>
                  <w:sz w:val="16"/>
                  <w:szCs w:val="16"/>
                  <w:color w:val="0000EE"/>
                  <w:w w:val="92"/>
                </w:rPr>
                <w:t>Amendment</w:t>
              </w:r>
            </w:hyperlink>
          </w:p>
        </w:tc>
        <w:tc>
          <w:tcPr>
            <w:tcW w:w="6800" w:type="dxa"/>
            <w:vAlign w:val="bottom"/>
            <w:gridSpan w:val="26"/>
          </w:tcPr>
          <w:p>
            <w:pPr>
              <w:ind w:left="120"/>
              <w:spacing w:after="0" w:line="164" w:lineRule="exact"/>
              <w:rPr>
                <w:rFonts w:ascii="Arial" w:cs="Arial" w:eastAsia="Arial" w:hAnsi="Arial"/>
                <w:sz w:val="16"/>
                <w:szCs w:val="16"/>
                <w:color w:val="0000EE"/>
              </w:rPr>
            </w:pPr>
            <w:hyperlink r:id="rId108">
              <w:r>
                <w:rPr>
                  <w:rFonts w:ascii="Arial" w:cs="Arial" w:eastAsia="Arial" w:hAnsi="Arial"/>
                  <w:sz w:val="16"/>
                  <w:szCs w:val="16"/>
                  <w:color w:val="0000EE"/>
                </w:rPr>
                <w:t>No. 1 to EchoStar Corporation 2017 Non-Employee Director Stock Incentive Plan</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0" w:type="dxa"/>
            <w:vAlign w:val="bottom"/>
            <w:tcBorders>
              <w:top w:val="single" w:sz="8" w:color="0000EE"/>
            </w:tcBorders>
            <w:gridSpan w:val="14"/>
          </w:tcPr>
          <w:p>
            <w:pPr>
              <w:spacing w:after="0" w:line="164" w:lineRule="exact"/>
              <w:rPr>
                <w:rFonts w:ascii="Arial" w:cs="Arial" w:eastAsia="Arial" w:hAnsi="Arial"/>
                <w:sz w:val="16"/>
                <w:szCs w:val="16"/>
                <w:color w:val="0000EE"/>
              </w:rPr>
            </w:pPr>
            <w:hyperlink r:id="rId108">
              <w:r>
                <w:rPr>
                  <w:rFonts w:ascii="Arial" w:cs="Arial" w:eastAsia="Arial" w:hAnsi="Arial"/>
                  <w:sz w:val="16"/>
                  <w:szCs w:val="16"/>
                  <w:color w:val="0000EE"/>
                </w:rPr>
                <w:t>(incorporated by reference to EchoStar Corporation’s Definitive Proxy Statement on Schedule</w:t>
              </w:r>
            </w:hyperlink>
          </w:p>
        </w:tc>
        <w:tc>
          <w:tcPr>
            <w:tcW w:w="820" w:type="dxa"/>
            <w:vAlign w:val="bottom"/>
            <w:gridSpan w:val="14"/>
          </w:tcPr>
          <w:p>
            <w:pPr>
              <w:spacing w:after="0" w:line="164" w:lineRule="exact"/>
              <w:rPr>
                <w:rFonts w:ascii="Arial" w:cs="Arial" w:eastAsia="Arial" w:hAnsi="Arial"/>
                <w:sz w:val="16"/>
                <w:szCs w:val="16"/>
                <w:color w:val="0000EE"/>
              </w:rPr>
            </w:pPr>
            <w:hyperlink r:id="rId108">
              <w:r>
                <w:rPr>
                  <w:rFonts w:ascii="Arial" w:cs="Arial" w:eastAsia="Arial" w:hAnsi="Arial"/>
                  <w:sz w:val="16"/>
                  <w:szCs w:val="16"/>
                  <w:color w:val="0000EE"/>
                </w:rPr>
                <w:t>14A, filed</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00" w:type="dxa"/>
            <w:vAlign w:val="bottom"/>
            <w:tcBorders>
              <w:top w:val="single" w:sz="8" w:color="0000EE"/>
            </w:tcBorders>
            <w:gridSpan w:val="23"/>
          </w:tcPr>
          <w:p>
            <w:pPr>
              <w:spacing w:after="0" w:line="164" w:lineRule="exact"/>
              <w:rPr>
                <w:rFonts w:ascii="Arial" w:cs="Arial" w:eastAsia="Arial" w:hAnsi="Arial"/>
                <w:sz w:val="16"/>
                <w:szCs w:val="16"/>
                <w:color w:val="0000EE"/>
              </w:rPr>
            </w:pPr>
            <w:hyperlink r:id="rId108">
              <w:r>
                <w:rPr>
                  <w:rFonts w:ascii="Arial" w:cs="Arial" w:eastAsia="Arial" w:hAnsi="Arial"/>
                  <w:sz w:val="16"/>
                  <w:szCs w:val="16"/>
                  <w:color w:val="0000EE"/>
                </w:rPr>
                <w:t>March 17, 2021, Commission File No. 001 33807). **</w:t>
              </w:r>
            </w:hyperlink>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jc w:val="center"/>
              <w:spacing w:after="0" w:line="164" w:lineRule="exact"/>
              <w:rPr>
                <w:sz w:val="20"/>
                <w:szCs w:val="20"/>
                <w:color w:val="auto"/>
              </w:rPr>
            </w:pPr>
            <w:r>
              <w:rPr>
                <w:rFonts w:ascii="Arial" w:cs="Arial" w:eastAsia="Arial" w:hAnsi="Arial"/>
                <w:sz w:val="16"/>
                <w:szCs w:val="16"/>
                <w:color w:val="auto"/>
              </w:rPr>
              <w:t>10.25*</w:t>
            </w:r>
          </w:p>
        </w:tc>
        <w:tc>
          <w:tcPr>
            <w:tcW w:w="100" w:type="dxa"/>
            <w:vAlign w:val="bottom"/>
          </w:tcPr>
          <w:p>
            <w:pPr>
              <w:spacing w:after="0"/>
              <w:rPr>
                <w:sz w:val="14"/>
                <w:szCs w:val="14"/>
                <w:color w:val="auto"/>
              </w:rPr>
            </w:pPr>
          </w:p>
        </w:tc>
        <w:tc>
          <w:tcPr>
            <w:tcW w:w="3820" w:type="dxa"/>
            <w:vAlign w:val="bottom"/>
            <w:tcBorders>
              <w:top w:val="single" w:sz="8" w:color="0000EE"/>
            </w:tcBorders>
            <w:gridSpan w:val="7"/>
          </w:tcPr>
          <w:p>
            <w:pPr>
              <w:spacing w:after="0" w:line="164" w:lineRule="exact"/>
              <w:rPr>
                <w:rFonts w:ascii="Arial" w:cs="Arial" w:eastAsia="Arial" w:hAnsi="Arial"/>
                <w:sz w:val="16"/>
                <w:szCs w:val="16"/>
                <w:color w:val="0000EE"/>
                <w:w w:val="98"/>
              </w:rPr>
            </w:pPr>
            <w:hyperlink r:id="rId109">
              <w:r>
                <w:rPr>
                  <w:rFonts w:ascii="Arial" w:cs="Arial" w:eastAsia="Arial" w:hAnsi="Arial"/>
                  <w:sz w:val="16"/>
                  <w:szCs w:val="16"/>
                  <w:color w:val="0000EE"/>
                  <w:w w:val="98"/>
                </w:rPr>
                <w:t>Second Amended and Restated EchoStar Corporation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40" w:type="dxa"/>
            <w:vAlign w:val="bottom"/>
            <w:gridSpan w:val="19"/>
          </w:tcPr>
          <w:p>
            <w:pPr>
              <w:jc w:val="center"/>
              <w:spacing w:after="0" w:line="164" w:lineRule="exact"/>
              <w:rPr>
                <w:rFonts w:ascii="Arial" w:cs="Arial" w:eastAsia="Arial" w:hAnsi="Arial"/>
                <w:sz w:val="16"/>
                <w:szCs w:val="16"/>
                <w:color w:val="0000EE"/>
              </w:rPr>
            </w:pPr>
            <w:hyperlink r:id="rId109">
              <w:r>
                <w:rPr>
                  <w:rFonts w:ascii="Arial" w:cs="Arial" w:eastAsia="Arial" w:hAnsi="Arial"/>
                  <w:sz w:val="16"/>
                  <w:szCs w:val="16"/>
                  <w:color w:val="0000EE"/>
                </w:rPr>
                <w:t>Executive Officer Bonus Incentive Plan, dated as</w:t>
              </w:r>
            </w:hyperlink>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60" w:type="dxa"/>
            <w:vAlign w:val="bottom"/>
            <w:tcBorders>
              <w:top w:val="single" w:sz="8" w:color="0000EE"/>
              <w:bottom w:val="single" w:sz="8" w:color="0000EE"/>
            </w:tcBorders>
            <w:gridSpan w:val="13"/>
          </w:tcPr>
          <w:p>
            <w:pPr>
              <w:spacing w:after="0" w:line="164" w:lineRule="exact"/>
              <w:rPr>
                <w:rFonts w:ascii="Arial" w:cs="Arial" w:eastAsia="Arial" w:hAnsi="Arial"/>
                <w:sz w:val="16"/>
                <w:szCs w:val="16"/>
                <w:color w:val="0000EE"/>
              </w:rPr>
            </w:pPr>
            <w:hyperlink r:id="rId109">
              <w:r>
                <w:rPr>
                  <w:rFonts w:ascii="Arial" w:cs="Arial" w:eastAsia="Arial" w:hAnsi="Arial"/>
                  <w:sz w:val="16"/>
                  <w:szCs w:val="16"/>
                  <w:color w:val="0000EE"/>
                </w:rPr>
                <w:t>of November 2, 2021 (incorporated by reference to Exhibit 10.22 to Hughes Satellite Systems</w:t>
              </w:r>
            </w:hyperlink>
          </w:p>
        </w:tc>
        <w:tc>
          <w:tcPr>
            <w:tcW w:w="780" w:type="dxa"/>
            <w:vAlign w:val="bottom"/>
            <w:tcBorders>
              <w:top w:val="single" w:sz="8" w:color="0000EE"/>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20" w:type="dxa"/>
            <w:vAlign w:val="bottom"/>
            <w:gridSpan w:val="28"/>
          </w:tcPr>
          <w:p>
            <w:pPr>
              <w:spacing w:after="0" w:line="164" w:lineRule="exact"/>
              <w:rPr>
                <w:rFonts w:ascii="Arial" w:cs="Arial" w:eastAsia="Arial" w:hAnsi="Arial"/>
                <w:sz w:val="16"/>
                <w:szCs w:val="16"/>
                <w:color w:val="0000EE"/>
              </w:rPr>
            </w:pPr>
            <w:hyperlink r:id="rId109">
              <w:r>
                <w:rPr>
                  <w:rFonts w:ascii="Arial" w:cs="Arial" w:eastAsia="Arial" w:hAnsi="Arial"/>
                  <w:sz w:val="16"/>
                  <w:szCs w:val="16"/>
                  <w:color w:val="0000EE"/>
                </w:rPr>
                <w:t>Corporation’s Annual Report on Form 10-K for the year ended December 31, 2021, filed February 24,</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9"/>
              </w:rPr>
              <w:t>10.26</w:t>
            </w:r>
          </w:p>
        </w:tc>
        <w:tc>
          <w:tcPr>
            <w:tcW w:w="100" w:type="dxa"/>
            <w:vAlign w:val="bottom"/>
          </w:tcPr>
          <w:p>
            <w:pPr>
              <w:spacing w:after="0"/>
              <w:rPr>
                <w:sz w:val="14"/>
                <w:szCs w:val="14"/>
                <w:color w:val="auto"/>
              </w:rPr>
            </w:pPr>
          </w:p>
        </w:tc>
        <w:tc>
          <w:tcPr>
            <w:tcW w:w="7320" w:type="dxa"/>
            <w:vAlign w:val="bottom"/>
            <w:tcBorders>
              <w:top w:val="single" w:sz="8" w:color="0000EE"/>
            </w:tcBorders>
            <w:gridSpan w:val="18"/>
          </w:tcPr>
          <w:p>
            <w:pPr>
              <w:spacing w:after="0" w:line="164" w:lineRule="exact"/>
              <w:rPr>
                <w:rFonts w:ascii="Arial" w:cs="Arial" w:eastAsia="Arial" w:hAnsi="Arial"/>
                <w:sz w:val="16"/>
                <w:szCs w:val="16"/>
                <w:color w:val="0000EE"/>
              </w:rPr>
            </w:pPr>
            <w:hyperlink r:id="rId109">
              <w:r>
                <w:rPr>
                  <w:rFonts w:ascii="Arial" w:cs="Arial" w:eastAsia="Arial" w:hAnsi="Arial"/>
                  <w:sz w:val="16"/>
                  <w:szCs w:val="16"/>
                  <w:color w:val="0000EE"/>
                </w:rPr>
                <w:t>2022, Commission File No. 333-179121). **</w:t>
              </w:r>
            </w:hyperlink>
          </w:p>
        </w:tc>
        <w:tc>
          <w:tcPr>
            <w:tcW w:w="120" w:type="dxa"/>
            <w:vAlign w:val="bottom"/>
            <w:gridSpan w:val="2"/>
          </w:tcPr>
          <w:p>
            <w:pPr>
              <w:spacing w:after="0"/>
              <w:rPr>
                <w:sz w:val="14"/>
                <w:szCs w:val="14"/>
                <w:color w:val="auto"/>
              </w:rPr>
            </w:pPr>
          </w:p>
        </w:tc>
        <w:tc>
          <w:tcPr>
            <w:tcW w:w="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tcBorders>
              <w:top w:val="single" w:sz="8" w:color="0000EE"/>
            </w:tcBorders>
            <w:gridSpan w:val="5"/>
          </w:tcPr>
          <w:p>
            <w:pPr>
              <w:spacing w:after="0" w:line="164" w:lineRule="exact"/>
              <w:rPr>
                <w:rFonts w:ascii="Arial" w:cs="Arial" w:eastAsia="Arial" w:hAnsi="Arial"/>
                <w:sz w:val="16"/>
                <w:szCs w:val="16"/>
                <w:color w:val="0000EE"/>
                <w:w w:val="99"/>
              </w:rPr>
            </w:pPr>
            <w:hyperlink r:id="rId110">
              <w:r>
                <w:rPr>
                  <w:rFonts w:ascii="Arial" w:cs="Arial" w:eastAsia="Arial" w:hAnsi="Arial"/>
                  <w:sz w:val="16"/>
                  <w:szCs w:val="16"/>
                  <w:color w:val="0000EE"/>
                  <w:w w:val="99"/>
                </w:rPr>
                <w:t>Amended and Restated Support Agreement,</w:t>
              </w:r>
            </w:hyperlink>
          </w:p>
        </w:tc>
        <w:tc>
          <w:tcPr>
            <w:tcW w:w="4460" w:type="dxa"/>
            <w:vAlign w:val="bottom"/>
            <w:gridSpan w:val="23"/>
          </w:tcPr>
          <w:p>
            <w:pPr>
              <w:ind w:left="120"/>
              <w:spacing w:after="0" w:line="164" w:lineRule="exact"/>
              <w:rPr>
                <w:rFonts w:ascii="Arial" w:cs="Arial" w:eastAsia="Arial" w:hAnsi="Arial"/>
                <w:sz w:val="16"/>
                <w:szCs w:val="16"/>
                <w:color w:val="0000EE"/>
              </w:rPr>
            </w:pPr>
            <w:hyperlink r:id="rId110">
              <w:r>
                <w:rPr>
                  <w:rFonts w:ascii="Arial" w:cs="Arial" w:eastAsia="Arial" w:hAnsi="Arial"/>
                  <w:sz w:val="16"/>
                  <w:szCs w:val="16"/>
                  <w:color w:val="0000EE"/>
                </w:rPr>
                <w:t>dated as of October 2, 2023, by and among EchoStar,</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20" w:type="dxa"/>
            <w:vAlign w:val="bottom"/>
            <w:gridSpan w:val="28"/>
          </w:tcPr>
          <w:p>
            <w:pPr>
              <w:spacing w:after="0" w:line="164" w:lineRule="exact"/>
              <w:rPr>
                <w:rFonts w:ascii="Arial" w:cs="Arial" w:eastAsia="Arial" w:hAnsi="Arial"/>
                <w:sz w:val="16"/>
                <w:szCs w:val="16"/>
                <w:color w:val="0000EE"/>
              </w:rPr>
            </w:pPr>
            <w:hyperlink r:id="rId110">
              <w:r>
                <w:rPr>
                  <w:rFonts w:ascii="Arial" w:cs="Arial" w:eastAsia="Arial" w:hAnsi="Arial"/>
                  <w:sz w:val="16"/>
                  <w:szCs w:val="16"/>
                  <w:color w:val="0000EE"/>
                </w:rPr>
                <w:t>DISH Network, and the Ergen Stockholders (incorporated by reference to Exhibit 10.1 to the Company’s</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9"/>
              </w:rPr>
              <w:t>19*</w:t>
            </w:r>
          </w:p>
        </w:tc>
        <w:tc>
          <w:tcPr>
            <w:tcW w:w="100" w:type="dxa"/>
            <w:vAlign w:val="bottom"/>
          </w:tcPr>
          <w:p>
            <w:pPr>
              <w:spacing w:after="0"/>
              <w:rPr>
                <w:sz w:val="14"/>
                <w:szCs w:val="14"/>
                <w:color w:val="auto"/>
              </w:rPr>
            </w:pPr>
          </w:p>
        </w:tc>
        <w:tc>
          <w:tcPr>
            <w:tcW w:w="7520" w:type="dxa"/>
            <w:vAlign w:val="bottom"/>
            <w:tcBorders>
              <w:top w:val="single" w:sz="8" w:color="0000EE"/>
            </w:tcBorders>
            <w:gridSpan w:val="24"/>
          </w:tcPr>
          <w:p>
            <w:pPr>
              <w:spacing w:after="0" w:line="164" w:lineRule="exact"/>
              <w:rPr>
                <w:rFonts w:ascii="Arial" w:cs="Arial" w:eastAsia="Arial" w:hAnsi="Arial"/>
                <w:sz w:val="16"/>
                <w:szCs w:val="16"/>
                <w:color w:val="0000EE"/>
              </w:rPr>
            </w:pPr>
            <w:hyperlink r:id="rId110">
              <w:r>
                <w:rPr>
                  <w:rFonts w:ascii="Arial" w:cs="Arial" w:eastAsia="Arial" w:hAnsi="Arial"/>
                  <w:sz w:val="16"/>
                  <w:szCs w:val="16"/>
                  <w:color w:val="0000EE"/>
                </w:rPr>
                <w:t>Current Report on Form 8-K filed on October 03, 2023.)+</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120" w:type="dxa"/>
            <w:vAlign w:val="bottom"/>
            <w:tcBorders>
              <w:top w:val="single" w:sz="8" w:color="0000EE"/>
            </w:tcBorders>
            <w:gridSpan w:val="10"/>
          </w:tcPr>
          <w:p>
            <w:pPr>
              <w:spacing w:after="0" w:line="164" w:lineRule="exact"/>
              <w:rPr>
                <w:rFonts w:ascii="Arial" w:cs="Arial" w:eastAsia="Arial" w:hAnsi="Arial"/>
                <w:sz w:val="16"/>
                <w:szCs w:val="16"/>
                <w:color w:val="0000EE"/>
                <w:w w:val="97"/>
              </w:rPr>
            </w:pPr>
            <w:hyperlink r:id="rId111">
              <w:r>
                <w:rPr>
                  <w:rFonts w:ascii="Arial" w:cs="Arial" w:eastAsia="Arial" w:hAnsi="Arial"/>
                  <w:sz w:val="16"/>
                  <w:szCs w:val="16"/>
                  <w:color w:val="0000EE"/>
                  <w:w w:val="97"/>
                </w:rPr>
                <w:t>EchoStar Corporation’s Insider Trading Policy (incorporated</w:t>
              </w:r>
            </w:hyperlink>
          </w:p>
        </w:tc>
        <w:tc>
          <w:tcPr>
            <w:tcW w:w="3500" w:type="dxa"/>
            <w:vAlign w:val="bottom"/>
            <w:gridSpan w:val="18"/>
          </w:tcPr>
          <w:p>
            <w:pPr>
              <w:jc w:val="center"/>
              <w:ind w:right="280"/>
              <w:spacing w:after="0" w:line="164" w:lineRule="exact"/>
              <w:rPr>
                <w:rFonts w:ascii="Arial" w:cs="Arial" w:eastAsia="Arial" w:hAnsi="Arial"/>
                <w:sz w:val="16"/>
                <w:szCs w:val="16"/>
                <w:color w:val="0000EE"/>
              </w:rPr>
            </w:pPr>
            <w:hyperlink r:id="rId111">
              <w:r>
                <w:rPr>
                  <w:rFonts w:ascii="Arial" w:cs="Arial" w:eastAsia="Arial" w:hAnsi="Arial"/>
                  <w:sz w:val="16"/>
                  <w:szCs w:val="16"/>
                  <w:color w:val="0000EE"/>
                </w:rPr>
                <w:t>by reference to Exhibit 19 to EchoStar</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22 (H)</w:t>
            </w:r>
          </w:p>
        </w:tc>
        <w:tc>
          <w:tcPr>
            <w:tcW w:w="100" w:type="dxa"/>
            <w:vAlign w:val="bottom"/>
          </w:tcPr>
          <w:p>
            <w:pPr>
              <w:spacing w:after="0"/>
              <w:rPr>
                <w:sz w:val="14"/>
                <w:szCs w:val="14"/>
                <w:color w:val="auto"/>
              </w:rPr>
            </w:pPr>
          </w:p>
        </w:tc>
        <w:tc>
          <w:tcPr>
            <w:tcW w:w="7100" w:type="dxa"/>
            <w:vAlign w:val="bottom"/>
            <w:tcBorders>
              <w:top w:val="single" w:sz="8" w:color="0000EE"/>
            </w:tcBorders>
            <w:gridSpan w:val="15"/>
          </w:tcPr>
          <w:p>
            <w:pPr>
              <w:spacing w:after="0" w:line="164" w:lineRule="exact"/>
              <w:rPr>
                <w:rFonts w:ascii="Arial" w:cs="Arial" w:eastAsia="Arial" w:hAnsi="Arial"/>
                <w:sz w:val="16"/>
                <w:szCs w:val="16"/>
                <w:color w:val="0000EE"/>
              </w:rPr>
            </w:pPr>
            <w:hyperlink r:id="rId111">
              <w:r>
                <w:rPr>
                  <w:rFonts w:ascii="Arial" w:cs="Arial" w:eastAsia="Arial" w:hAnsi="Arial"/>
                  <w:sz w:val="16"/>
                  <w:szCs w:val="16"/>
                  <w:color w:val="0000EE"/>
                </w:rPr>
                <w:t>Corporation’s Annual Report on Form 10-K for the year ended December 31, 2025, filed March 2,</w:t>
              </w:r>
            </w:hyperlink>
          </w:p>
        </w:tc>
        <w:tc>
          <w:tcPr>
            <w:tcW w:w="520" w:type="dxa"/>
            <w:vAlign w:val="bottom"/>
            <w:gridSpan w:val="13"/>
          </w:tcPr>
          <w:p>
            <w:pPr>
              <w:jc w:val="right"/>
              <w:ind w:right="20"/>
              <w:spacing w:after="0" w:line="164" w:lineRule="exact"/>
              <w:rPr>
                <w:rFonts w:ascii="Arial" w:cs="Arial" w:eastAsia="Arial" w:hAnsi="Arial"/>
                <w:sz w:val="16"/>
                <w:szCs w:val="16"/>
                <w:color w:val="0000EE"/>
                <w:w w:val="94"/>
              </w:rPr>
            </w:pPr>
            <w:hyperlink r:id="rId111">
              <w:r>
                <w:rPr>
                  <w:rFonts w:ascii="Arial" w:cs="Arial" w:eastAsia="Arial" w:hAnsi="Arial"/>
                  <w:sz w:val="16"/>
                  <w:szCs w:val="16"/>
                  <w:color w:val="0000EE"/>
                  <w:w w:val="94"/>
                </w:rPr>
                <w:t>2026)).</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Borders>
              <w:top w:val="single" w:sz="8" w:color="0000EE"/>
              <w:bottom w:val="single" w:sz="8" w:color="0000EE"/>
            </w:tcBorders>
            <w:gridSpan w:val="4"/>
          </w:tcPr>
          <w:p>
            <w:pPr>
              <w:spacing w:after="0" w:line="164" w:lineRule="exact"/>
              <w:rPr>
                <w:sz w:val="20"/>
                <w:szCs w:val="20"/>
                <w:color w:val="auto"/>
              </w:rPr>
            </w:pPr>
            <w:r>
              <w:rPr>
                <w:rFonts w:ascii="Arial" w:cs="Arial" w:eastAsia="Arial" w:hAnsi="Arial"/>
                <w:sz w:val="16"/>
                <w:szCs w:val="16"/>
                <w:color w:val="0000EE"/>
              </w:rPr>
              <w:t>List of Subsidiary Guarantors</w:t>
            </w:r>
          </w:p>
        </w:tc>
        <w:tc>
          <w:tcPr>
            <w:tcW w:w="5480" w:type="dxa"/>
            <w:vAlign w:val="bottom"/>
            <w:tcBorders>
              <w:top w:val="single" w:sz="8" w:color="0000EE"/>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jc w:val="center"/>
              <w:spacing w:after="0" w:line="164" w:lineRule="exact"/>
              <w:rPr>
                <w:sz w:val="20"/>
                <w:szCs w:val="20"/>
                <w:color w:val="auto"/>
              </w:rPr>
            </w:pPr>
            <w:r>
              <w:rPr>
                <w:rFonts w:ascii="Arial" w:cs="Arial" w:eastAsia="Arial" w:hAnsi="Arial"/>
                <w:sz w:val="16"/>
                <w:szCs w:val="16"/>
                <w:color w:val="auto"/>
              </w:rPr>
              <w:t>31.1 (H)</w:t>
            </w:r>
          </w:p>
        </w:tc>
        <w:tc>
          <w:tcPr>
            <w:tcW w:w="100" w:type="dxa"/>
            <w:vAlign w:val="bottom"/>
          </w:tcPr>
          <w:p>
            <w:pPr>
              <w:spacing w:after="0"/>
              <w:rPr>
                <w:sz w:val="14"/>
                <w:szCs w:val="14"/>
                <w:color w:val="auto"/>
              </w:rPr>
            </w:pPr>
          </w:p>
        </w:tc>
        <w:tc>
          <w:tcPr>
            <w:tcW w:w="7620" w:type="dxa"/>
            <w:vAlign w:val="bottom"/>
            <w:gridSpan w:val="28"/>
          </w:tcPr>
          <w:p>
            <w:pPr>
              <w:spacing w:after="0" w:line="164" w:lineRule="exact"/>
              <w:rPr>
                <w:sz w:val="20"/>
                <w:szCs w:val="20"/>
                <w:color w:val="auto"/>
              </w:rPr>
            </w:pPr>
            <w:r>
              <w:rPr>
                <w:rFonts w:ascii="Arial" w:cs="Arial" w:eastAsia="Arial" w:hAnsi="Arial"/>
                <w:sz w:val="16"/>
                <w:szCs w:val="16"/>
                <w:color w:val="0000EE"/>
              </w:rPr>
              <w:t>Section 302 Certification of Chief Executive Officer</w:t>
            </w:r>
          </w:p>
        </w:tc>
        <w:tc>
          <w:tcPr>
            <w:tcW w:w="0" w:type="dxa"/>
            <w:vAlign w:val="bottom"/>
          </w:tcPr>
          <w:p>
            <w:pPr>
              <w:spacing w:after="0"/>
              <w:rPr>
                <w:sz w:val="1"/>
                <w:szCs w:val="1"/>
                <w:color w:val="auto"/>
              </w:rPr>
            </w:pPr>
          </w:p>
        </w:tc>
      </w:tr>
      <w:tr>
        <w:trPr>
          <w:trHeight w:val="20"/>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31.2 (H)</w:t>
            </w:r>
          </w:p>
        </w:tc>
        <w:tc>
          <w:tcPr>
            <w:tcW w:w="100" w:type="dxa"/>
            <w:vAlign w:val="bottom"/>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20" w:type="dxa"/>
            <w:vAlign w:val="bottom"/>
            <w:gridSpan w:val="28"/>
          </w:tcPr>
          <w:p>
            <w:pPr>
              <w:spacing w:after="0" w:line="164" w:lineRule="exact"/>
              <w:rPr>
                <w:sz w:val="20"/>
                <w:szCs w:val="20"/>
                <w:color w:val="auto"/>
              </w:rPr>
            </w:pPr>
            <w:r>
              <w:rPr>
                <w:rFonts w:ascii="Arial" w:cs="Arial" w:eastAsia="Arial" w:hAnsi="Arial"/>
                <w:sz w:val="16"/>
                <w:szCs w:val="16"/>
                <w:color w:val="0000EE"/>
              </w:rPr>
              <w:t>Section 302 Certification of Principal Financial Officer</w:t>
            </w:r>
          </w:p>
        </w:tc>
        <w:tc>
          <w:tcPr>
            <w:tcW w:w="0" w:type="dxa"/>
            <w:vAlign w:val="bottom"/>
          </w:tcPr>
          <w:p>
            <w:pPr>
              <w:spacing w:after="0"/>
              <w:rPr>
                <w:sz w:val="1"/>
                <w:szCs w:val="1"/>
                <w:color w:val="auto"/>
              </w:rPr>
            </w:pPr>
          </w:p>
        </w:tc>
      </w:tr>
      <w:tr>
        <w:trPr>
          <w:trHeight w:val="164"/>
        </w:trPr>
        <w:tc>
          <w:tcPr>
            <w:tcW w:w="1220" w:type="dxa"/>
            <w:vAlign w:val="bottom"/>
          </w:tcPr>
          <w:p>
            <w:pPr>
              <w:jc w:val="center"/>
              <w:spacing w:after="0" w:line="164" w:lineRule="exact"/>
              <w:rPr>
                <w:sz w:val="20"/>
                <w:szCs w:val="20"/>
                <w:color w:val="auto"/>
              </w:rPr>
            </w:pPr>
            <w:r>
              <w:rPr>
                <w:rFonts w:ascii="Arial" w:cs="Arial" w:eastAsia="Arial" w:hAnsi="Arial"/>
                <w:sz w:val="16"/>
                <w:szCs w:val="16"/>
                <w:color w:val="auto"/>
              </w:rPr>
              <w:t>32.1 (H)</w:t>
            </w:r>
          </w:p>
        </w:tc>
        <w:tc>
          <w:tcPr>
            <w:tcW w:w="100" w:type="dxa"/>
            <w:vAlign w:val="bottom"/>
          </w:tcPr>
          <w:p>
            <w:pPr>
              <w:spacing w:after="0"/>
              <w:rPr>
                <w:sz w:val="14"/>
                <w:szCs w:val="14"/>
                <w:color w:val="auto"/>
              </w:rPr>
            </w:pPr>
          </w:p>
        </w:tc>
        <w:tc>
          <w:tcPr>
            <w:tcW w:w="3860" w:type="dxa"/>
            <w:vAlign w:val="bottom"/>
            <w:tcBorders>
              <w:top w:val="single" w:sz="8" w:color="0000EE"/>
            </w:tcBorders>
            <w:gridSpan w:val="8"/>
          </w:tcPr>
          <w:p>
            <w:pPr>
              <w:spacing w:after="0" w:line="164" w:lineRule="exact"/>
              <w:rPr>
                <w:sz w:val="20"/>
                <w:szCs w:val="20"/>
                <w:color w:val="auto"/>
              </w:rPr>
            </w:pPr>
            <w:r>
              <w:rPr>
                <w:rFonts w:ascii="Arial" w:cs="Arial" w:eastAsia="Arial" w:hAnsi="Arial"/>
                <w:sz w:val="16"/>
                <w:szCs w:val="16"/>
                <w:color w:val="0000EE"/>
              </w:rPr>
              <w:t>Section 906 Certification of Chief Executive Officer</w:t>
            </w:r>
          </w:p>
        </w:tc>
        <w:tc>
          <w:tcPr>
            <w:tcW w:w="2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4"/>
          </w:tcPr>
          <w:p>
            <w:pPr>
              <w:spacing w:after="0"/>
              <w:rPr>
                <w:sz w:val="14"/>
                <w:szCs w:val="14"/>
                <w:color w:val="auto"/>
              </w:rPr>
            </w:pPr>
          </w:p>
        </w:tc>
        <w:tc>
          <w:tcPr>
            <w:tcW w:w="260" w:type="dxa"/>
            <w:vAlign w:val="bottom"/>
            <w:gridSpan w:val="4"/>
          </w:tcPr>
          <w:p>
            <w:pPr>
              <w:spacing w:after="0"/>
              <w:rPr>
                <w:sz w:val="14"/>
                <w:szCs w:val="14"/>
                <w:color w:val="auto"/>
              </w:rPr>
            </w:pPr>
          </w:p>
        </w:tc>
        <w:tc>
          <w:tcPr>
            <w:tcW w:w="1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32.2 (H)</w:t>
            </w:r>
          </w:p>
        </w:tc>
        <w:tc>
          <w:tcPr>
            <w:tcW w:w="100" w:type="dxa"/>
            <w:vAlign w:val="bottom"/>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tcBorders>
              <w:bottom w:val="single" w:sz="8" w:color="0000EE"/>
            </w:tcBorders>
            <w:gridSpan w:val="9"/>
          </w:tcPr>
          <w:p>
            <w:pPr>
              <w:spacing w:after="0" w:line="164" w:lineRule="exact"/>
              <w:rPr>
                <w:sz w:val="20"/>
                <w:szCs w:val="20"/>
                <w:color w:val="auto"/>
              </w:rPr>
            </w:pPr>
            <w:r>
              <w:rPr>
                <w:rFonts w:ascii="Arial" w:cs="Arial" w:eastAsia="Arial" w:hAnsi="Arial"/>
                <w:sz w:val="16"/>
                <w:szCs w:val="16"/>
                <w:color w:val="0000EE"/>
              </w:rPr>
              <w:t>Section 906 Certification of Principal Financial Officer</w:t>
            </w:r>
          </w:p>
        </w:tc>
        <w:tc>
          <w:tcPr>
            <w:tcW w:w="374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jc w:val="center"/>
              <w:spacing w:after="0" w:line="164" w:lineRule="exact"/>
              <w:rPr>
                <w:sz w:val="20"/>
                <w:szCs w:val="20"/>
                <w:color w:val="auto"/>
              </w:rPr>
            </w:pPr>
            <w:r>
              <w:rPr>
                <w:rFonts w:ascii="Arial" w:cs="Arial" w:eastAsia="Arial" w:hAnsi="Arial"/>
                <w:sz w:val="16"/>
                <w:szCs w:val="16"/>
                <w:color w:val="auto"/>
              </w:rPr>
              <w:t>99.1*</w:t>
            </w:r>
          </w:p>
        </w:tc>
        <w:tc>
          <w:tcPr>
            <w:tcW w:w="100" w:type="dxa"/>
            <w:vAlign w:val="bottom"/>
          </w:tcPr>
          <w:p>
            <w:pPr>
              <w:spacing w:after="0"/>
              <w:rPr>
                <w:sz w:val="14"/>
                <w:szCs w:val="14"/>
                <w:color w:val="auto"/>
              </w:rPr>
            </w:pPr>
          </w:p>
        </w:tc>
        <w:tc>
          <w:tcPr>
            <w:tcW w:w="7180" w:type="dxa"/>
            <w:vAlign w:val="bottom"/>
            <w:tcBorders>
              <w:bottom w:val="single" w:sz="8" w:color="0000EE"/>
            </w:tcBorders>
            <w:gridSpan w:val="16"/>
          </w:tcPr>
          <w:p>
            <w:pPr>
              <w:spacing w:after="0" w:line="164" w:lineRule="exact"/>
              <w:rPr>
                <w:rFonts w:ascii="Arial" w:cs="Arial" w:eastAsia="Arial" w:hAnsi="Arial"/>
                <w:sz w:val="16"/>
                <w:szCs w:val="16"/>
                <w:color w:val="0000EE"/>
              </w:rPr>
            </w:pPr>
            <w:hyperlink r:id="rId112">
              <w:r>
                <w:rPr>
                  <w:rFonts w:ascii="Arial" w:cs="Arial" w:eastAsia="Arial" w:hAnsi="Arial"/>
                  <w:sz w:val="16"/>
                  <w:szCs w:val="16"/>
                  <w:color w:val="0000EE"/>
                </w:rPr>
                <w:t>Letter to EchoStar regarding review of compliance with its federal obligations to provide 5G service</w:t>
              </w:r>
            </w:hyperlink>
          </w:p>
        </w:tc>
        <w:tc>
          <w:tcPr>
            <w:tcW w:w="4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20" w:type="dxa"/>
            <w:vAlign w:val="bottom"/>
            <w:gridSpan w:val="28"/>
          </w:tcPr>
          <w:p>
            <w:pPr>
              <w:spacing w:after="0" w:line="164" w:lineRule="exact"/>
              <w:rPr>
                <w:rFonts w:ascii="Arial" w:cs="Arial" w:eastAsia="Arial" w:hAnsi="Arial"/>
                <w:sz w:val="16"/>
                <w:szCs w:val="16"/>
                <w:color w:val="0000EE"/>
              </w:rPr>
            </w:pPr>
            <w:hyperlink r:id="rId112">
              <w:r>
                <w:rPr>
                  <w:rFonts w:ascii="Arial" w:cs="Arial" w:eastAsia="Arial" w:hAnsi="Arial"/>
                  <w:sz w:val="16"/>
                  <w:szCs w:val="16"/>
                  <w:color w:val="0000EE"/>
                </w:rPr>
                <w:t>throughout the United States, dated May 9, 2025 (incorporate by reference from Exhibit 99.1 to EchoStar</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4"/>
                <w:szCs w:val="14"/>
                <w:color w:val="auto"/>
              </w:rPr>
            </w:pPr>
          </w:p>
        </w:tc>
        <w:tc>
          <w:tcPr>
            <w:tcW w:w="7580" w:type="dxa"/>
            <w:vAlign w:val="bottom"/>
            <w:tcBorders>
              <w:top w:val="single" w:sz="8" w:color="0000EE"/>
            </w:tcBorders>
            <w:gridSpan w:val="26"/>
          </w:tcPr>
          <w:p>
            <w:pPr>
              <w:spacing w:after="0" w:line="164" w:lineRule="exact"/>
              <w:rPr>
                <w:rFonts w:ascii="Arial" w:cs="Arial" w:eastAsia="Arial" w:hAnsi="Arial"/>
                <w:sz w:val="16"/>
                <w:szCs w:val="16"/>
                <w:color w:val="0000EE"/>
              </w:rPr>
            </w:pPr>
            <w:hyperlink r:id="rId112">
              <w:r>
                <w:rPr>
                  <w:rFonts w:ascii="Arial" w:cs="Arial" w:eastAsia="Arial" w:hAnsi="Arial"/>
                  <w:sz w:val="16"/>
                  <w:szCs w:val="16"/>
                  <w:color w:val="0000EE"/>
                </w:rPr>
                <w:t>Corporation’s Current Report on Form 8-K filed May 13, 2025)</w:t>
              </w:r>
              <w:r>
                <w:rPr>
                  <w:rFonts w:ascii="Arial" w:cs="Arial" w:eastAsia="Arial" w:hAnsi="Arial"/>
                  <w:sz w:val="16"/>
                  <w:szCs w:val="16"/>
                  <w:color w:val="000000"/>
                </w:rPr>
                <w:t>.</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gridSpan w:val="11"/>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180" w:type="dxa"/>
            <w:vAlign w:val="bottom"/>
            <w:tcBorders>
              <w:bottom w:val="single" w:sz="8" w:color="0000EE"/>
            </w:tcBorders>
            <w:gridSpan w:val="16"/>
          </w:tcPr>
          <w:p>
            <w:pPr>
              <w:spacing w:after="0" w:line="164" w:lineRule="exact"/>
              <w:rPr>
                <w:rFonts w:ascii="Arial" w:cs="Arial" w:eastAsia="Arial" w:hAnsi="Arial"/>
                <w:sz w:val="16"/>
                <w:szCs w:val="16"/>
                <w:color w:val="0000EE"/>
              </w:rPr>
            </w:pPr>
            <w:hyperlink r:id="rId113">
              <w:r>
                <w:rPr>
                  <w:rFonts w:ascii="Arial" w:cs="Arial" w:eastAsia="Arial" w:hAnsi="Arial"/>
                  <w:sz w:val="16"/>
                  <w:szCs w:val="16"/>
                  <w:color w:val="0000EE"/>
                </w:rPr>
                <w:t>Letter to EchoStar regarding review of compliance with its federal obligations to provide 5G service</w:t>
              </w:r>
            </w:hyperlink>
          </w:p>
        </w:tc>
        <w:tc>
          <w:tcPr>
            <w:tcW w:w="4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20" w:type="dxa"/>
            <w:vAlign w:val="bottom"/>
            <w:gridSpan w:val="28"/>
          </w:tcPr>
          <w:p>
            <w:pPr>
              <w:spacing w:after="0" w:line="164" w:lineRule="exact"/>
              <w:rPr>
                <w:rFonts w:ascii="Arial" w:cs="Arial" w:eastAsia="Arial" w:hAnsi="Arial"/>
                <w:sz w:val="16"/>
                <w:szCs w:val="16"/>
                <w:color w:val="0000EE"/>
              </w:rPr>
            </w:pPr>
            <w:hyperlink r:id="rId113">
              <w:r>
                <w:rPr>
                  <w:rFonts w:ascii="Arial" w:cs="Arial" w:eastAsia="Arial" w:hAnsi="Arial"/>
                  <w:sz w:val="16"/>
                  <w:szCs w:val="16"/>
                  <w:color w:val="0000EE"/>
                </w:rPr>
                <w:t>throughout the United States, dated September 8, 2025 (incorporated by reference from Exhibit 99.1 to</w:t>
              </w:r>
            </w:hyperlink>
          </w:p>
        </w:tc>
        <w:tc>
          <w:tcPr>
            <w:tcW w:w="0" w:type="dxa"/>
            <w:vAlign w:val="bottom"/>
          </w:tcPr>
          <w:p>
            <w:pPr>
              <w:spacing w:after="0"/>
              <w:rPr>
                <w:sz w:val="1"/>
                <w:szCs w:val="1"/>
                <w:color w:val="auto"/>
              </w:rPr>
            </w:pPr>
          </w:p>
        </w:tc>
      </w:tr>
      <w:tr>
        <w:trPr>
          <w:trHeight w:val="164"/>
        </w:trPr>
        <w:tc>
          <w:tcPr>
            <w:tcW w:w="1220" w:type="dxa"/>
            <w:vAlign w:val="bottom"/>
            <w:vMerge w:val="restart"/>
          </w:tcPr>
          <w:p>
            <w:pPr>
              <w:jc w:val="center"/>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14"/>
                <w:szCs w:val="14"/>
                <w:color w:val="auto"/>
              </w:rPr>
            </w:pPr>
          </w:p>
        </w:tc>
        <w:tc>
          <w:tcPr>
            <w:tcW w:w="5660" w:type="dxa"/>
            <w:vAlign w:val="bottom"/>
            <w:tcBorders>
              <w:top w:val="single" w:sz="8" w:color="0000EE"/>
              <w:bottom w:val="single" w:sz="8" w:color="0000EE"/>
            </w:tcBorders>
            <w:gridSpan w:val="12"/>
          </w:tcPr>
          <w:p>
            <w:pPr>
              <w:spacing w:after="0" w:line="164" w:lineRule="exact"/>
              <w:rPr>
                <w:rFonts w:ascii="Arial" w:cs="Arial" w:eastAsia="Arial" w:hAnsi="Arial"/>
                <w:sz w:val="16"/>
                <w:szCs w:val="16"/>
                <w:color w:val="0000EE"/>
              </w:rPr>
            </w:pPr>
            <w:hyperlink r:id="rId113">
              <w:r>
                <w:rPr>
                  <w:rFonts w:ascii="Arial" w:cs="Arial" w:eastAsia="Arial" w:hAnsi="Arial"/>
                  <w:sz w:val="16"/>
                  <w:szCs w:val="16"/>
                  <w:color w:val="0000EE"/>
                </w:rPr>
                <w:t>EchoStar Corporation’s Current Report on Form 8-K filed September 9, 2025.)</w:t>
              </w:r>
            </w:hyperlink>
          </w:p>
        </w:tc>
        <w:tc>
          <w:tcPr>
            <w:tcW w:w="1780" w:type="dxa"/>
            <w:vAlign w:val="bottom"/>
            <w:tcBorders>
              <w:top w:val="single" w:sz="8" w:color="0000EE"/>
            </w:tcBorders>
            <w:gridSpan w:val="8"/>
          </w:tcPr>
          <w:p>
            <w:pPr>
              <w:spacing w:after="0"/>
              <w:rPr>
                <w:sz w:val="14"/>
                <w:szCs w:val="14"/>
                <w:color w:val="auto"/>
              </w:rPr>
            </w:pPr>
          </w:p>
        </w:tc>
        <w:tc>
          <w:tcPr>
            <w:tcW w:w="1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20" w:type="dxa"/>
            <w:vAlign w:val="bottom"/>
            <w:gridSpan w:val="28"/>
          </w:tcPr>
          <w:p>
            <w:pPr>
              <w:spacing w:after="0" w:line="171" w:lineRule="exact"/>
              <w:rPr>
                <w:sz w:val="20"/>
                <w:szCs w:val="20"/>
                <w:color w:val="auto"/>
              </w:rPr>
            </w:pPr>
            <w:r>
              <w:rPr>
                <w:rFonts w:ascii="Arial" w:cs="Arial" w:eastAsia="Arial" w:hAnsi="Arial"/>
                <w:sz w:val="16"/>
                <w:szCs w:val="16"/>
                <w:color w:val="auto"/>
              </w:rPr>
              <w:t>XBRL Instance Document. The instance document does not appear in the Interactive Data File because</w:t>
            </w: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20" w:type="dxa"/>
            <w:vAlign w:val="bottom"/>
            <w:gridSpan w:val="28"/>
          </w:tcPr>
          <w:p>
            <w:pPr>
              <w:spacing w:after="0"/>
              <w:rPr>
                <w:sz w:val="20"/>
                <w:szCs w:val="20"/>
                <w:color w:val="auto"/>
              </w:rPr>
            </w:pPr>
            <w:r>
              <w:rPr>
                <w:rFonts w:ascii="Arial" w:cs="Arial" w:eastAsia="Arial" w:hAnsi="Arial"/>
                <w:sz w:val="16"/>
                <w:szCs w:val="16"/>
                <w:color w:val="auto"/>
              </w:rPr>
              <w:t>its XBRL tags are embedded within the Inline XBRL document.</w:t>
            </w:r>
          </w:p>
        </w:tc>
        <w:tc>
          <w:tcPr>
            <w:tcW w:w="0" w:type="dxa"/>
            <w:vAlign w:val="bottom"/>
          </w:tcPr>
          <w:p>
            <w:pPr>
              <w:spacing w:after="0"/>
              <w:rPr>
                <w:sz w:val="1"/>
                <w:szCs w:val="1"/>
                <w:color w:val="auto"/>
              </w:rPr>
            </w:pPr>
          </w:p>
        </w:tc>
      </w:tr>
      <w:tr>
        <w:trPr>
          <w:trHeight w:val="184"/>
        </w:trPr>
        <w:tc>
          <w:tcPr>
            <w:tcW w:w="1220" w:type="dxa"/>
            <w:vAlign w:val="bottom"/>
          </w:tcPr>
          <w:p>
            <w:pPr>
              <w:jc w:val="center"/>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15"/>
                <w:szCs w:val="15"/>
                <w:color w:val="auto"/>
              </w:rPr>
            </w:pPr>
          </w:p>
        </w:tc>
        <w:tc>
          <w:tcPr>
            <w:tcW w:w="7620" w:type="dxa"/>
            <w:vAlign w:val="bottom"/>
            <w:gridSpan w:val="28"/>
          </w:tcPr>
          <w:p>
            <w:pPr>
              <w:spacing w:after="0"/>
              <w:rPr>
                <w:sz w:val="20"/>
                <w:szCs w:val="20"/>
                <w:color w:val="auto"/>
              </w:rPr>
            </w:pPr>
            <w:r>
              <w:rPr>
                <w:rFonts w:ascii="Arial" w:cs="Arial" w:eastAsia="Arial" w:hAnsi="Arial"/>
                <w:sz w:val="16"/>
                <w:szCs w:val="16"/>
                <w:color w:val="auto"/>
              </w:rPr>
              <w:t>XBRL Taxonomy Extension Schema.</w:t>
            </w:r>
          </w:p>
        </w:tc>
        <w:tc>
          <w:tcPr>
            <w:tcW w:w="0" w:type="dxa"/>
            <w:vAlign w:val="bottom"/>
          </w:tcPr>
          <w:p>
            <w:pPr>
              <w:spacing w:after="0"/>
              <w:rPr>
                <w:sz w:val="1"/>
                <w:szCs w:val="1"/>
                <w:color w:val="auto"/>
              </w:rPr>
            </w:pPr>
          </w:p>
        </w:tc>
      </w:tr>
      <w:tr>
        <w:trPr>
          <w:trHeight w:val="184"/>
        </w:trPr>
        <w:tc>
          <w:tcPr>
            <w:tcW w:w="1220" w:type="dxa"/>
            <w:vAlign w:val="bottom"/>
          </w:tcPr>
          <w:p>
            <w:pPr>
              <w:jc w:val="center"/>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15"/>
                <w:szCs w:val="15"/>
                <w:color w:val="auto"/>
              </w:rPr>
            </w:pPr>
          </w:p>
        </w:tc>
        <w:tc>
          <w:tcPr>
            <w:tcW w:w="7620" w:type="dxa"/>
            <w:vAlign w:val="bottom"/>
            <w:gridSpan w:val="28"/>
          </w:tcPr>
          <w:p>
            <w:pPr>
              <w:spacing w:after="0"/>
              <w:rPr>
                <w:sz w:val="20"/>
                <w:szCs w:val="20"/>
                <w:color w:val="auto"/>
              </w:rPr>
            </w:pPr>
            <w:r>
              <w:rPr>
                <w:rFonts w:ascii="Arial" w:cs="Arial" w:eastAsia="Arial" w:hAnsi="Arial"/>
                <w:sz w:val="16"/>
                <w:szCs w:val="16"/>
                <w:color w:val="auto"/>
              </w:rPr>
              <w:t>XBRL Taxonomy Extension Calculation Linkbase.</w:t>
            </w:r>
          </w:p>
        </w:tc>
        <w:tc>
          <w:tcPr>
            <w:tcW w:w="0" w:type="dxa"/>
            <w:vAlign w:val="bottom"/>
          </w:tcPr>
          <w:p>
            <w:pPr>
              <w:spacing w:after="0"/>
              <w:rPr>
                <w:sz w:val="1"/>
                <w:szCs w:val="1"/>
                <w:color w:val="auto"/>
              </w:rPr>
            </w:pPr>
          </w:p>
        </w:tc>
      </w:tr>
      <w:tr>
        <w:trPr>
          <w:trHeight w:val="184"/>
        </w:trPr>
        <w:tc>
          <w:tcPr>
            <w:tcW w:w="1220" w:type="dxa"/>
            <w:vAlign w:val="bottom"/>
          </w:tcPr>
          <w:p>
            <w:pPr>
              <w:jc w:val="center"/>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15"/>
                <w:szCs w:val="15"/>
                <w:color w:val="auto"/>
              </w:rPr>
            </w:pPr>
          </w:p>
        </w:tc>
        <w:tc>
          <w:tcPr>
            <w:tcW w:w="7620" w:type="dxa"/>
            <w:vAlign w:val="bottom"/>
            <w:gridSpan w:val="28"/>
          </w:tcPr>
          <w:p>
            <w:pPr>
              <w:spacing w:after="0"/>
              <w:rPr>
                <w:sz w:val="20"/>
                <w:szCs w:val="20"/>
                <w:color w:val="auto"/>
              </w:rPr>
            </w:pPr>
            <w:r>
              <w:rPr>
                <w:rFonts w:ascii="Arial" w:cs="Arial" w:eastAsia="Arial" w:hAnsi="Arial"/>
                <w:sz w:val="16"/>
                <w:szCs w:val="16"/>
                <w:color w:val="auto"/>
              </w:rPr>
              <w:t>XBRL Taxonomy Extension Definition Linkbase.</w:t>
            </w:r>
          </w:p>
        </w:tc>
        <w:tc>
          <w:tcPr>
            <w:tcW w:w="0" w:type="dxa"/>
            <w:vAlign w:val="bottom"/>
          </w:tcPr>
          <w:p>
            <w:pPr>
              <w:spacing w:after="0"/>
              <w:rPr>
                <w:sz w:val="1"/>
                <w:szCs w:val="1"/>
                <w:color w:val="auto"/>
              </w:rPr>
            </w:pPr>
          </w:p>
        </w:tc>
      </w:tr>
      <w:tr>
        <w:trPr>
          <w:trHeight w:val="184"/>
        </w:trPr>
        <w:tc>
          <w:tcPr>
            <w:tcW w:w="1220" w:type="dxa"/>
            <w:vAlign w:val="bottom"/>
          </w:tcPr>
          <w:p>
            <w:pPr>
              <w:jc w:val="center"/>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15"/>
                <w:szCs w:val="15"/>
                <w:color w:val="auto"/>
              </w:rPr>
            </w:pPr>
          </w:p>
        </w:tc>
        <w:tc>
          <w:tcPr>
            <w:tcW w:w="7620" w:type="dxa"/>
            <w:vAlign w:val="bottom"/>
            <w:gridSpan w:val="28"/>
          </w:tcPr>
          <w:p>
            <w:pPr>
              <w:spacing w:after="0"/>
              <w:rPr>
                <w:sz w:val="20"/>
                <w:szCs w:val="20"/>
                <w:color w:val="auto"/>
              </w:rPr>
            </w:pPr>
            <w:r>
              <w:rPr>
                <w:rFonts w:ascii="Arial" w:cs="Arial" w:eastAsia="Arial" w:hAnsi="Arial"/>
                <w:sz w:val="16"/>
                <w:szCs w:val="16"/>
                <w:color w:val="auto"/>
              </w:rPr>
              <w:t>XBRL Taxonomy Extension Label Linkbase.</w:t>
            </w:r>
          </w:p>
        </w:tc>
        <w:tc>
          <w:tcPr>
            <w:tcW w:w="0" w:type="dxa"/>
            <w:vAlign w:val="bottom"/>
          </w:tcPr>
          <w:p>
            <w:pPr>
              <w:spacing w:after="0"/>
              <w:rPr>
                <w:sz w:val="1"/>
                <w:szCs w:val="1"/>
                <w:color w:val="auto"/>
              </w:rPr>
            </w:pPr>
          </w:p>
        </w:tc>
      </w:tr>
      <w:tr>
        <w:trPr>
          <w:trHeight w:val="200"/>
        </w:trPr>
        <w:tc>
          <w:tcPr>
            <w:tcW w:w="1220" w:type="dxa"/>
            <w:vAlign w:val="bottom"/>
          </w:tcPr>
          <w:p>
            <w:pPr>
              <w:jc w:val="center"/>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17"/>
                <w:szCs w:val="17"/>
                <w:color w:val="auto"/>
              </w:rPr>
            </w:pPr>
          </w:p>
        </w:tc>
        <w:tc>
          <w:tcPr>
            <w:tcW w:w="7620" w:type="dxa"/>
            <w:vAlign w:val="bottom"/>
            <w:gridSpan w:val="28"/>
          </w:tcPr>
          <w:p>
            <w:pPr>
              <w:spacing w:after="0"/>
              <w:rPr>
                <w:sz w:val="20"/>
                <w:szCs w:val="20"/>
                <w:color w:val="auto"/>
              </w:rPr>
            </w:pPr>
            <w:r>
              <w:rPr>
                <w:rFonts w:ascii="Arial" w:cs="Arial" w:eastAsia="Arial" w:hAnsi="Arial"/>
                <w:sz w:val="16"/>
                <w:szCs w:val="16"/>
                <w:color w:val="auto"/>
              </w:rPr>
              <w:t>XBRL Taxonomy Extension Presentation Linkbase.</w:t>
            </w:r>
          </w:p>
        </w:tc>
        <w:tc>
          <w:tcPr>
            <w:tcW w:w="0" w:type="dxa"/>
            <w:vAlign w:val="bottom"/>
          </w:tcPr>
          <w:p>
            <w:pPr>
              <w:spacing w:after="0"/>
              <w:rPr>
                <w:sz w:val="1"/>
                <w:szCs w:val="1"/>
                <w:color w:val="auto"/>
              </w:rPr>
            </w:pPr>
          </w:p>
        </w:tc>
      </w:tr>
    </w:tbl>
    <w:p>
      <w:pPr>
        <w:ind w:left="1360" w:hanging="841"/>
        <w:spacing w:after="0"/>
        <w:tabs>
          <w:tab w:leader="none" w:pos="13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Cover Page Interactive Data File, formatted in iXBRL and contained in Exhibit 101.</w:t>
      </w:r>
    </w:p>
    <w:p>
      <w:pPr>
        <w:spacing w:after="0" w:line="179" w:lineRule="exact"/>
        <w:rPr>
          <w:rFonts w:ascii="Arial" w:cs="Arial" w:eastAsia="Arial" w:hAnsi="Arial"/>
          <w:sz w:val="16"/>
          <w:szCs w:val="16"/>
          <w:color w:val="auto"/>
        </w:rPr>
      </w:pPr>
    </w:p>
    <w:p>
      <w:pPr>
        <w:ind w:left="640" w:hanging="59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-167640</wp:posOffset>
            </wp:positionV>
            <wp:extent cx="141668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4">
                      <a:extLst>
                        <a:ext uri="{28A0092B-C50C-407E-A947-70E740481C1C}"/>
                      </a:extLst>
                    </a:blip>
                    <a:srcRect/>
                    <a:stretch>
                      <a:fillRect/>
                    </a:stretch>
                  </pic:blipFill>
                  <pic:spPr bwMode="auto">
                    <a:xfrm>
                      <a:off x="0" y="0"/>
                      <a:ext cx="1416685" cy="7620"/>
                    </a:xfrm>
                    <a:prstGeom prst="rect">
                      <a:avLst/>
                    </a:prstGeom>
                    <a:noFill/>
                  </pic:spPr>
                </pic:pic>
              </a:graphicData>
            </a:graphic>
          </wp:anchor>
        </w:drawing>
      </w:r>
    </w:p>
    <w:p>
      <w:pPr>
        <w:ind w:left="640" w:hanging="59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w:t>
      </w:r>
    </w:p>
    <w:p>
      <w:pPr>
        <w:ind w:left="640" w:hanging="59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w:t>
      </w:r>
    </w:p>
    <w:p>
      <w:pPr>
        <w:ind w:left="640" w:right="459" w:hanging="598"/>
        <w:spacing w:after="0" w:line="245"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Schedules, annexes and/or exhibits have been omitted pursuant to Item 601(a)(5) of Regulation S-K. The Company hereby undertakes to furnish supplemental copies of any of the omitted schedules, annexes and/or exhibits upon request by the SEC; provided, that the Company may request confidential treatment pursuant to Rule 24b-2 of the Securities Exchange Act of 1934, as amended (the “Exchange Act”) for any schedules so furnished.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55" w:name="page56"/>
    <w:bookmarkEnd w:id="5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16.  FORM 10-K SUMMARY</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56" w:name="page57"/>
    <w:bookmarkEnd w:id="5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96" w:lineRule="exact"/>
        <w:rPr>
          <w:sz w:val="20"/>
          <w:szCs w:val="20"/>
          <w:color w:val="auto"/>
        </w:rPr>
      </w:pPr>
    </w:p>
    <w:p>
      <w:pPr>
        <w:ind w:left="40" w:right="119"/>
        <w:spacing w:after="0" w:line="281"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HUGHES SATELLITE SYSTEMS CORPORATION</w:t>
      </w:r>
    </w:p>
    <w:p>
      <w:pPr>
        <w:spacing w:after="0" w:line="368"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10795</wp:posOffset>
            </wp:positionV>
            <wp:extent cx="305117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7">
                      <a:extLst>
                        <a:ext uri="{28A0092B-C50C-407E-A947-70E740481C1C}"/>
                      </a:extLst>
                    </a:blip>
                    <a:srcRect/>
                    <a:stretch>
                      <a:fillRect/>
                    </a:stretch>
                  </pic:blipFill>
                  <pic:spPr bwMode="auto">
                    <a:xfrm>
                      <a:off x="0" y="0"/>
                      <a:ext cx="3051175" cy="7620"/>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Hamid Akhavan</w:t>
      </w:r>
    </w:p>
    <w:p>
      <w:pPr>
        <w:ind w:left="4160"/>
        <w:spacing w:after="0"/>
        <w:rPr>
          <w:sz w:val="20"/>
          <w:szCs w:val="20"/>
          <w:color w:val="auto"/>
        </w:rPr>
      </w:pPr>
      <w:r>
        <w:rPr>
          <w:rFonts w:ascii="Arial" w:cs="Arial" w:eastAsia="Arial" w:hAnsi="Arial"/>
          <w:sz w:val="16"/>
          <w:szCs w:val="16"/>
          <w:color w:val="auto"/>
        </w:rPr>
        <w:t>Chief Executive Officer and President</w:t>
      </w:r>
    </w:p>
    <w:p>
      <w:pPr>
        <w:ind w:left="4160"/>
        <w:spacing w:after="0"/>
        <w:rPr>
          <w:sz w:val="20"/>
          <w:szCs w:val="20"/>
          <w:color w:val="auto"/>
        </w:rPr>
      </w:pPr>
      <w:r>
        <w:rPr>
          <w:rFonts w:ascii="Arial" w:cs="Arial" w:eastAsia="Arial" w:hAnsi="Arial"/>
          <w:sz w:val="16"/>
          <w:szCs w:val="16"/>
          <w:i w:val="1"/>
          <w:iCs w:val="1"/>
          <w:color w:val="auto"/>
        </w:rPr>
        <w:t>(Principal Executive Officer)</w:t>
      </w:r>
    </w:p>
    <w:p>
      <w:pPr>
        <w:spacing w:after="0" w:line="170" w:lineRule="exact"/>
        <w:rPr>
          <w:sz w:val="20"/>
          <w:szCs w:val="20"/>
          <w:color w:val="auto"/>
        </w:rPr>
      </w:pPr>
    </w:p>
    <w:p>
      <w:pPr>
        <w:ind w:left="4160"/>
        <w:spacing w:after="0"/>
        <w:rPr>
          <w:sz w:val="20"/>
          <w:szCs w:val="20"/>
          <w:color w:val="auto"/>
        </w:rPr>
      </w:pPr>
      <w:r>
        <w:rPr>
          <w:rFonts w:ascii="Arial" w:cs="Arial" w:eastAsia="Arial" w:hAnsi="Arial"/>
          <w:sz w:val="16"/>
          <w:szCs w:val="16"/>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9525</wp:posOffset>
            </wp:positionV>
            <wp:extent cx="305117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8">
                      <a:extLst>
                        <a:ext uri="{28A0092B-C50C-407E-A947-70E740481C1C}"/>
                      </a:extLst>
                    </a:blip>
                    <a:srcRect/>
                    <a:stretch>
                      <a:fillRect/>
                    </a:stretch>
                  </pic:blipFill>
                  <pic:spPr bwMode="auto">
                    <a:xfrm>
                      <a:off x="0" y="0"/>
                      <a:ext cx="3051175" cy="7620"/>
                    </a:xfrm>
                    <a:prstGeom prst="rect">
                      <a:avLst/>
                    </a:prstGeom>
                    <a:noFill/>
                  </pic:spPr>
                </pic:pic>
              </a:graphicData>
            </a:graphic>
          </wp:anchor>
        </w:drawing>
      </w:r>
    </w:p>
    <w:p>
      <w:pPr>
        <w:spacing w:after="0" w:line="6"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Paul W. Orban</w:t>
      </w:r>
    </w:p>
    <w:p>
      <w:pPr>
        <w:ind w:left="4160"/>
        <w:spacing w:after="0"/>
        <w:rPr>
          <w:sz w:val="20"/>
          <w:szCs w:val="20"/>
          <w:color w:val="auto"/>
        </w:rPr>
      </w:pPr>
      <w:r>
        <w:rPr>
          <w:rFonts w:ascii="Arial" w:cs="Arial" w:eastAsia="Arial" w:hAnsi="Arial"/>
          <w:sz w:val="16"/>
          <w:szCs w:val="16"/>
          <w:color w:val="auto"/>
        </w:rPr>
        <w:t>Executive Vice President and Chief Financial Officer</w:t>
      </w:r>
    </w:p>
    <w:p>
      <w:pPr>
        <w:ind w:left="4160"/>
        <w:spacing w:after="0"/>
        <w:rPr>
          <w:sz w:val="20"/>
          <w:szCs w:val="20"/>
          <w:color w:val="auto"/>
        </w:rPr>
      </w:pPr>
      <w:r>
        <w:rPr>
          <w:rFonts w:ascii="Arial" w:cs="Arial" w:eastAsia="Arial" w:hAnsi="Arial"/>
          <w:sz w:val="16"/>
          <w:szCs w:val="16"/>
          <w:i w:val="1"/>
          <w:iCs w:val="1"/>
          <w:color w:val="auto"/>
        </w:rPr>
        <w:t>(Principal Financial Officer and Principal Accounting Officer)</w:t>
      </w:r>
    </w:p>
    <w:p>
      <w:pPr>
        <w:ind w:left="40"/>
        <w:spacing w:after="0"/>
        <w:rPr>
          <w:sz w:val="20"/>
          <w:szCs w:val="20"/>
          <w:color w:val="auto"/>
        </w:rPr>
      </w:pPr>
      <w:r>
        <w:rPr>
          <w:rFonts w:ascii="Arial" w:cs="Arial" w:eastAsia="Arial" w:hAnsi="Arial"/>
          <w:sz w:val="16"/>
          <w:szCs w:val="16"/>
          <w:color w:val="auto"/>
        </w:rPr>
        <w:t>Date: March 31, 2026</w:t>
      </w:r>
    </w:p>
    <w:p>
      <w:pPr>
        <w:spacing w:after="0" w:line="168" w:lineRule="exact"/>
        <w:rPr>
          <w:sz w:val="20"/>
          <w:szCs w:val="20"/>
          <w:color w:val="auto"/>
        </w:rPr>
      </w:pPr>
    </w:p>
    <w:p>
      <w:pPr>
        <w:ind w:left="40" w:right="299"/>
        <w:spacing w:after="0" w:line="281"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1980" w:type="dxa"/>
            <w:vAlign w:val="bottom"/>
          </w:tcPr>
          <w:p>
            <w:pPr>
              <w:ind w:left="620"/>
              <w:spacing w:after="0"/>
              <w:rPr>
                <w:sz w:val="20"/>
                <w:szCs w:val="20"/>
                <w:color w:val="auto"/>
              </w:rPr>
            </w:pPr>
            <w:r>
              <w:rPr>
                <w:rFonts w:ascii="Arial" w:cs="Arial" w:eastAsia="Arial" w:hAnsi="Arial"/>
                <w:sz w:val="16"/>
                <w:szCs w:val="16"/>
                <w:b w:val="1"/>
                <w:bCs w:val="1"/>
                <w:color w:val="auto"/>
              </w:rPr>
              <w:t>Signature</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5000" w:type="dxa"/>
            <w:vAlign w:val="bottom"/>
          </w:tcPr>
          <w:p>
            <w:pPr>
              <w:ind w:left="2320"/>
              <w:spacing w:after="0"/>
              <w:rPr>
                <w:sz w:val="20"/>
                <w:szCs w:val="20"/>
                <w:color w:val="auto"/>
              </w:rPr>
            </w:pPr>
            <w:r>
              <w:rPr>
                <w:rFonts w:ascii="Arial" w:cs="Arial" w:eastAsia="Arial" w:hAnsi="Arial"/>
                <w:sz w:val="16"/>
                <w:szCs w:val="16"/>
                <w:b w:val="1"/>
                <w:bCs w:val="1"/>
                <w:color w:val="auto"/>
              </w:rPr>
              <w:t>Title</w:t>
            </w:r>
          </w:p>
        </w:tc>
        <w:tc>
          <w:tcPr>
            <w:tcW w:w="50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ind w:left="280"/>
              <w:spacing w:after="0"/>
              <w:rPr>
                <w:sz w:val="20"/>
                <w:szCs w:val="20"/>
                <w:color w:val="auto"/>
              </w:rPr>
            </w:pPr>
            <w:r>
              <w:rPr>
                <w:rFonts w:ascii="Arial" w:cs="Arial" w:eastAsia="Arial" w:hAnsi="Arial"/>
                <w:sz w:val="16"/>
                <w:szCs w:val="16"/>
                <w:b w:val="1"/>
                <w:bCs w:val="1"/>
                <w:color w:val="auto"/>
              </w:rPr>
              <w:t>Date</w:t>
            </w:r>
          </w:p>
        </w:tc>
      </w:tr>
      <w:tr>
        <w:trPr>
          <w:trHeight w:val="20"/>
        </w:trPr>
        <w:tc>
          <w:tcPr>
            <w:tcW w:w="1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r>
      <w:tr>
        <w:trPr>
          <w:trHeight w:val="360"/>
        </w:trPr>
        <w:tc>
          <w:tcPr>
            <w:tcW w:w="1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Hamid Akhavan</w:t>
            </w:r>
          </w:p>
        </w:tc>
        <w:tc>
          <w:tcPr>
            <w:tcW w:w="240" w:type="dxa"/>
            <w:vAlign w:val="bottom"/>
          </w:tcPr>
          <w:p>
            <w:pPr>
              <w:spacing w:after="0"/>
              <w:rPr>
                <w:sz w:val="24"/>
                <w:szCs w:val="24"/>
                <w:color w:val="auto"/>
              </w:rPr>
            </w:pPr>
          </w:p>
        </w:tc>
        <w:tc>
          <w:tcPr>
            <w:tcW w:w="502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President</w:t>
            </w:r>
          </w:p>
        </w:tc>
        <w:tc>
          <w:tcPr>
            <w:tcW w:w="2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6"/>
                <w:szCs w:val="16"/>
                <w:color w:val="auto"/>
              </w:rPr>
              <w:t>March 31, 2026</w:t>
            </w:r>
          </w:p>
        </w:tc>
      </w:tr>
      <w:tr>
        <w:trPr>
          <w:trHeight w:val="208"/>
        </w:trPr>
        <w:tc>
          <w:tcPr>
            <w:tcW w:w="1980" w:type="dxa"/>
            <w:vAlign w:val="bottom"/>
          </w:tcPr>
          <w:p>
            <w:pPr>
              <w:spacing w:after="0"/>
              <w:rPr>
                <w:sz w:val="20"/>
                <w:szCs w:val="20"/>
                <w:color w:val="auto"/>
              </w:rPr>
            </w:pPr>
            <w:r>
              <w:rPr>
                <w:rFonts w:ascii="Arial" w:cs="Arial" w:eastAsia="Arial" w:hAnsi="Arial"/>
                <w:sz w:val="16"/>
                <w:szCs w:val="16"/>
                <w:color w:val="auto"/>
              </w:rPr>
              <w:t>Hamid Akhavan</w:t>
            </w:r>
          </w:p>
        </w:tc>
        <w:tc>
          <w:tcPr>
            <w:tcW w:w="24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6"/>
        </w:trPr>
        <w:tc>
          <w:tcPr>
            <w:tcW w:w="1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Paul W. Orban</w:t>
            </w:r>
          </w:p>
        </w:tc>
        <w:tc>
          <w:tcPr>
            <w:tcW w:w="240" w:type="dxa"/>
            <w:vAlign w:val="bottom"/>
          </w:tcPr>
          <w:p>
            <w:pPr>
              <w:spacing w:after="0"/>
              <w:rPr>
                <w:sz w:val="24"/>
                <w:szCs w:val="24"/>
                <w:color w:val="auto"/>
              </w:rPr>
            </w:pPr>
          </w:p>
        </w:tc>
        <w:tc>
          <w:tcPr>
            <w:tcW w:w="502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 Financial Officer</w:t>
            </w:r>
          </w:p>
        </w:tc>
        <w:tc>
          <w:tcPr>
            <w:tcW w:w="2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6"/>
                <w:szCs w:val="16"/>
                <w:color w:val="auto"/>
              </w:rPr>
              <w:t>March 31, 2026</w:t>
            </w:r>
          </w:p>
        </w:tc>
      </w:tr>
      <w:tr>
        <w:trPr>
          <w:trHeight w:val="208"/>
        </w:trPr>
        <w:tc>
          <w:tcPr>
            <w:tcW w:w="1980" w:type="dxa"/>
            <w:vAlign w:val="bottom"/>
          </w:tcPr>
          <w:p>
            <w:pPr>
              <w:spacing w:after="0"/>
              <w:rPr>
                <w:sz w:val="20"/>
                <w:szCs w:val="20"/>
                <w:color w:val="auto"/>
              </w:rPr>
            </w:pPr>
            <w:r>
              <w:rPr>
                <w:rFonts w:ascii="Arial" w:cs="Arial" w:eastAsia="Arial" w:hAnsi="Arial"/>
                <w:sz w:val="16"/>
                <w:szCs w:val="16"/>
                <w:color w:val="auto"/>
              </w:rPr>
              <w:t>Paul W. Orban</w:t>
            </w:r>
          </w:p>
        </w:tc>
        <w:tc>
          <w:tcPr>
            <w:tcW w:w="240" w:type="dxa"/>
            <w:vAlign w:val="bottom"/>
          </w:tcPr>
          <w:p>
            <w:pPr>
              <w:spacing w:after="0"/>
              <w:rPr>
                <w:sz w:val="18"/>
                <w:szCs w:val="18"/>
                <w:color w:val="auto"/>
              </w:rPr>
            </w:pPr>
          </w:p>
        </w:tc>
        <w:tc>
          <w:tcPr>
            <w:tcW w:w="5020" w:type="dxa"/>
            <w:vAlign w:val="bottom"/>
            <w:gridSpan w:val="2"/>
          </w:tcPr>
          <w:p>
            <w:pPr>
              <w:ind w:left="20"/>
              <w:spacing w:after="0"/>
              <w:rPr>
                <w:sz w:val="20"/>
                <w:szCs w:val="20"/>
                <w:color w:val="auto"/>
              </w:rPr>
            </w:pPr>
            <w:r>
              <w:rPr>
                <w:rFonts w:ascii="Arial" w:cs="Arial" w:eastAsia="Arial" w:hAnsi="Arial"/>
                <w:sz w:val="16"/>
                <w:szCs w:val="16"/>
                <w:i w:val="1"/>
                <w:iCs w:val="1"/>
                <w:color w:val="auto"/>
              </w:rPr>
              <w:t>(Principal Financial Officer and Principal Accounting Officer)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6"/>
        </w:trPr>
        <w:tc>
          <w:tcPr>
            <w:tcW w:w="1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Charles W. Ergen</w:t>
            </w:r>
          </w:p>
        </w:tc>
        <w:tc>
          <w:tcPr>
            <w:tcW w:w="240" w:type="dxa"/>
            <w:vAlign w:val="bottom"/>
          </w:tcPr>
          <w:p>
            <w:pPr>
              <w:spacing w:after="0"/>
              <w:rPr>
                <w:sz w:val="24"/>
                <w:szCs w:val="24"/>
                <w:color w:val="auto"/>
              </w:rPr>
            </w:pPr>
          </w:p>
        </w:tc>
        <w:tc>
          <w:tcPr>
            <w:tcW w:w="5020" w:type="dxa"/>
            <w:vAlign w:val="bottom"/>
            <w:gridSpan w:val="2"/>
          </w:tcPr>
          <w:p>
            <w:pPr>
              <w:ind w:left="20"/>
              <w:spacing w:after="0"/>
              <w:rPr>
                <w:sz w:val="20"/>
                <w:szCs w:val="20"/>
                <w:color w:val="auto"/>
              </w:rPr>
            </w:pPr>
            <w:r>
              <w:rPr>
                <w:rFonts w:ascii="Arial" w:cs="Arial" w:eastAsia="Arial" w:hAnsi="Arial"/>
                <w:sz w:val="16"/>
                <w:szCs w:val="16"/>
                <w:color w:val="auto"/>
              </w:rPr>
              <w:t>Chairman</w:t>
            </w:r>
          </w:p>
        </w:tc>
        <w:tc>
          <w:tcPr>
            <w:tcW w:w="2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6"/>
                <w:szCs w:val="16"/>
                <w:color w:val="auto"/>
              </w:rPr>
              <w:t>March 31, 2026</w:t>
            </w:r>
          </w:p>
        </w:tc>
      </w:tr>
      <w:tr>
        <w:trPr>
          <w:trHeight w:val="208"/>
        </w:trPr>
        <w:tc>
          <w:tcPr>
            <w:tcW w:w="1980" w:type="dxa"/>
            <w:vAlign w:val="bottom"/>
          </w:tcPr>
          <w:p>
            <w:pPr>
              <w:spacing w:after="0"/>
              <w:rPr>
                <w:sz w:val="20"/>
                <w:szCs w:val="20"/>
                <w:color w:val="auto"/>
              </w:rPr>
            </w:pPr>
            <w:r>
              <w:rPr>
                <w:rFonts w:ascii="Arial" w:cs="Arial" w:eastAsia="Arial" w:hAnsi="Arial"/>
                <w:sz w:val="16"/>
                <w:szCs w:val="16"/>
                <w:color w:val="auto"/>
              </w:rPr>
              <w:t>Charles W. Ergen</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6"/>
        </w:trPr>
        <w:tc>
          <w:tcPr>
            <w:tcW w:w="1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Paul Gaske</w:t>
            </w:r>
          </w:p>
        </w:tc>
        <w:tc>
          <w:tcPr>
            <w:tcW w:w="240" w:type="dxa"/>
            <w:vAlign w:val="bottom"/>
          </w:tcPr>
          <w:p>
            <w:pPr>
              <w:spacing w:after="0"/>
              <w:rPr>
                <w:sz w:val="24"/>
                <w:szCs w:val="24"/>
                <w:color w:val="auto"/>
              </w:rPr>
            </w:pPr>
          </w:p>
        </w:tc>
        <w:tc>
          <w:tcPr>
            <w:tcW w:w="5020" w:type="dxa"/>
            <w:vAlign w:val="bottom"/>
            <w:gridSpan w:val="2"/>
          </w:tcPr>
          <w:p>
            <w:pPr>
              <w:ind w:left="20"/>
              <w:spacing w:after="0"/>
              <w:rPr>
                <w:sz w:val="20"/>
                <w:szCs w:val="20"/>
                <w:color w:val="auto"/>
              </w:rPr>
            </w:pPr>
            <w:r>
              <w:rPr>
                <w:rFonts w:ascii="Arial" w:cs="Arial" w:eastAsia="Arial" w:hAnsi="Arial"/>
                <w:sz w:val="16"/>
                <w:szCs w:val="16"/>
                <w:color w:val="auto"/>
              </w:rPr>
              <w:t>Chief Operating Officer, Hughes, and Director</w:t>
            </w:r>
          </w:p>
        </w:tc>
        <w:tc>
          <w:tcPr>
            <w:tcW w:w="22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6"/>
                <w:szCs w:val="16"/>
                <w:color w:val="auto"/>
              </w:rPr>
              <w:t>March 31, 2026</w:t>
            </w:r>
          </w:p>
        </w:tc>
      </w:tr>
      <w:tr>
        <w:trPr>
          <w:trHeight w:val="208"/>
        </w:trPr>
        <w:tc>
          <w:tcPr>
            <w:tcW w:w="1980" w:type="dxa"/>
            <w:vAlign w:val="bottom"/>
          </w:tcPr>
          <w:p>
            <w:pPr>
              <w:spacing w:after="0"/>
              <w:rPr>
                <w:sz w:val="20"/>
                <w:szCs w:val="20"/>
                <w:color w:val="auto"/>
              </w:rPr>
            </w:pPr>
            <w:r>
              <w:rPr>
                <w:rFonts w:ascii="Arial" w:cs="Arial" w:eastAsia="Arial" w:hAnsi="Arial"/>
                <w:sz w:val="16"/>
                <w:szCs w:val="16"/>
                <w:color w:val="auto"/>
              </w:rPr>
              <w:t>Paul Gaske</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9">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57" w:name="page58"/>
    <w:bookmarkEnd w:id="57"/>
    <w:tbl>
      <w:tblPr>
        <w:tblLayout w:type="fixed"/>
        <w:tblInd w:w="40" w:type="dxa"/>
        <w:tblCellMar>
          <w:top w:w="0" w:type="dxa"/>
          <w:left w:w="0" w:type="dxa"/>
          <w:bottom w:w="0" w:type="dxa"/>
          <w:right w:w="0" w:type="dxa"/>
        </w:tblCellMar>
      </w:tblPr>
      <w:tr>
        <w:trPr>
          <w:trHeight w:val="184"/>
        </w:trPr>
        <w:tc>
          <w:tcPr>
            <w:tcW w:w="8200" w:type="dxa"/>
            <w:vAlign w:val="bottom"/>
            <w:gridSpan w:val="8"/>
          </w:tcPr>
          <w:p>
            <w:pPr>
              <w:spacing w:after="0"/>
              <w:rPr>
                <w:sz w:val="20"/>
                <w:szCs w:val="20"/>
                <w:color w:val="auto"/>
              </w:rPr>
            </w:pPr>
            <w:r>
              <w:rPr>
                <w:rFonts w:ascii="Arial" w:cs="Arial" w:eastAsia="Arial" w:hAnsi="Arial"/>
                <w:sz w:val="16"/>
                <w:szCs w:val="16"/>
                <w:color w:val="0000EE"/>
              </w:rPr>
              <w:t>Table of Contents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6"/>
        </w:trPr>
        <w:tc>
          <w:tcPr>
            <w:tcW w:w="128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6060" w:type="dxa"/>
            <w:vAlign w:val="bottom"/>
            <w:gridSpan w:val="6"/>
          </w:tcPr>
          <w:p>
            <w:pPr>
              <w:jc w:val="center"/>
              <w:ind w:right="1420"/>
              <w:spacing w:after="0"/>
              <w:rPr>
                <w:sz w:val="20"/>
                <w:szCs w:val="20"/>
                <w:color w:val="auto"/>
              </w:rPr>
            </w:pPr>
            <w:r>
              <w:rPr>
                <w:rFonts w:ascii="Arial" w:cs="Arial" w:eastAsia="Arial" w:hAnsi="Arial"/>
                <w:sz w:val="16"/>
                <w:szCs w:val="16"/>
                <w:b w:val="1"/>
                <w:bCs w:val="1"/>
                <w:color w:val="auto"/>
              </w:rPr>
              <w:t>INDEX TO 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200" w:type="dxa"/>
            <w:vAlign w:val="bottom"/>
            <w:gridSpan w:val="8"/>
          </w:tcPr>
          <w:p>
            <w:pPr>
              <w:spacing w:after="0"/>
              <w:rPr>
                <w:sz w:val="20"/>
                <w:szCs w:val="20"/>
                <w:color w:val="auto"/>
              </w:rPr>
            </w:pPr>
            <w:r>
              <w:rPr>
                <w:rFonts w:ascii="Arial" w:cs="Arial" w:eastAsia="Arial" w:hAnsi="Arial"/>
                <w:sz w:val="16"/>
                <w:szCs w:val="16"/>
                <w:b w:val="1"/>
                <w:bCs w:val="1"/>
                <w:color w:val="auto"/>
              </w:rPr>
              <w:t>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5"/>
        </w:trPr>
        <w:tc>
          <w:tcPr>
            <w:tcW w:w="8200" w:type="dxa"/>
            <w:vAlign w:val="bottom"/>
            <w:gridSpan w:val="8"/>
          </w:tcPr>
          <w:p>
            <w:pPr>
              <w:spacing w:after="0"/>
              <w:rPr>
                <w:sz w:val="20"/>
                <w:szCs w:val="20"/>
                <w:color w:val="auto"/>
              </w:rPr>
            </w:pPr>
            <w:r>
              <w:rPr>
                <w:rFonts w:ascii="Arial" w:cs="Arial" w:eastAsia="Arial" w:hAnsi="Arial"/>
                <w:sz w:val="16"/>
                <w:szCs w:val="16"/>
                <w:color w:val="0000EE"/>
              </w:rPr>
              <w:t xml:space="preserve">Report of KPMG LLP, Independent Registered Public Accounting Firm </w:t>
            </w:r>
            <w:r>
              <w:rPr>
                <w:rFonts w:ascii="Arial" w:cs="Arial" w:eastAsia="Arial" w:hAnsi="Arial"/>
                <w:sz w:val="16"/>
                <w:szCs w:val="16"/>
                <w:color w:val="000000"/>
              </w:rPr>
              <w:t>(PCAOB ID: 185)</w:t>
            </w:r>
          </w:p>
        </w:tc>
        <w:tc>
          <w:tcPr>
            <w:tcW w:w="720" w:type="dxa"/>
            <w:vAlign w:val="bottom"/>
          </w:tcPr>
          <w:p>
            <w:pPr>
              <w:ind w:left="480"/>
              <w:spacing w:after="0"/>
              <w:rPr>
                <w:sz w:val="20"/>
                <w:szCs w:val="20"/>
                <w:color w:val="auto"/>
              </w:rPr>
            </w:pPr>
            <w:r>
              <w:rPr>
                <w:rFonts w:ascii="Arial" w:cs="Arial" w:eastAsia="Arial" w:hAnsi="Arial"/>
                <w:sz w:val="16"/>
                <w:szCs w:val="16"/>
                <w:color w:val="auto"/>
                <w:w w:val="91"/>
              </w:rPr>
              <w:t>F-2</w:t>
            </w:r>
          </w:p>
        </w:tc>
        <w:tc>
          <w:tcPr>
            <w:tcW w:w="0" w:type="dxa"/>
            <w:vAlign w:val="bottom"/>
          </w:tcPr>
          <w:p>
            <w:pPr>
              <w:spacing w:after="0"/>
              <w:rPr>
                <w:sz w:val="1"/>
                <w:szCs w:val="1"/>
                <w:color w:val="auto"/>
              </w:rPr>
            </w:pPr>
          </w:p>
        </w:tc>
      </w:tr>
      <w:tr>
        <w:trPr>
          <w:trHeight w:val="164"/>
        </w:trPr>
        <w:tc>
          <w:tcPr>
            <w:tcW w:w="5060" w:type="dxa"/>
            <w:vAlign w:val="bottom"/>
            <w:tcBorders>
              <w:top w:val="single" w:sz="8" w:color="0000EE"/>
            </w:tcBorders>
            <w:gridSpan w:val="6"/>
          </w:tcPr>
          <w:p>
            <w:pPr>
              <w:spacing w:after="0" w:line="164" w:lineRule="exact"/>
              <w:rPr>
                <w:sz w:val="20"/>
                <w:szCs w:val="20"/>
                <w:color w:val="auto"/>
              </w:rPr>
            </w:pPr>
            <w:r>
              <w:rPr>
                <w:rFonts w:ascii="Arial" w:cs="Arial" w:eastAsia="Arial" w:hAnsi="Arial"/>
                <w:sz w:val="16"/>
                <w:szCs w:val="16"/>
                <w:color w:val="0000EE"/>
              </w:rPr>
              <w:t>Consolidated Balance Sheets</w:t>
            </w:r>
          </w:p>
        </w:tc>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20" w:type="dxa"/>
            <w:vAlign w:val="bottom"/>
          </w:tcPr>
          <w:p>
            <w:pPr>
              <w:ind w:left="480"/>
              <w:spacing w:after="0" w:line="164" w:lineRule="exact"/>
              <w:rPr>
                <w:sz w:val="20"/>
                <w:szCs w:val="20"/>
                <w:color w:val="auto"/>
              </w:rPr>
            </w:pPr>
            <w:r>
              <w:rPr>
                <w:rFonts w:ascii="Arial" w:cs="Arial" w:eastAsia="Arial" w:hAnsi="Arial"/>
                <w:sz w:val="16"/>
                <w:szCs w:val="16"/>
                <w:color w:val="auto"/>
                <w:w w:val="91"/>
              </w:rPr>
              <w:t>F-5</w:t>
            </w:r>
          </w:p>
        </w:tc>
        <w:tc>
          <w:tcPr>
            <w:tcW w:w="0" w:type="dxa"/>
            <w:vAlign w:val="bottom"/>
          </w:tcPr>
          <w:p>
            <w:pPr>
              <w:spacing w:after="0"/>
              <w:rPr>
                <w:sz w:val="1"/>
                <w:szCs w:val="1"/>
                <w:color w:val="auto"/>
              </w:rPr>
            </w:pPr>
          </w:p>
        </w:tc>
      </w:tr>
      <w:tr>
        <w:trPr>
          <w:trHeight w:val="164"/>
        </w:trPr>
        <w:tc>
          <w:tcPr>
            <w:tcW w:w="2140" w:type="dxa"/>
            <w:vAlign w:val="bottom"/>
            <w:tcBorders>
              <w:top w:val="single" w:sz="8" w:color="0000EE"/>
            </w:tcBorders>
            <w:gridSpan w:val="2"/>
          </w:tcPr>
          <w:p>
            <w:pPr>
              <w:spacing w:after="0" w:line="164" w:lineRule="exact"/>
              <w:rPr>
                <w:sz w:val="20"/>
                <w:szCs w:val="20"/>
                <w:color w:val="auto"/>
              </w:rPr>
            </w:pPr>
            <w:r>
              <w:rPr>
                <w:rFonts w:ascii="Arial" w:cs="Arial" w:eastAsia="Arial" w:hAnsi="Arial"/>
                <w:sz w:val="16"/>
                <w:szCs w:val="16"/>
                <w:color w:val="0000EE"/>
              </w:rPr>
              <w:t>Consolidated Statements of</w:t>
            </w:r>
          </w:p>
        </w:tc>
        <w:tc>
          <w:tcPr>
            <w:tcW w:w="6060" w:type="dxa"/>
            <w:vAlign w:val="bottom"/>
            <w:gridSpan w:val="6"/>
          </w:tcPr>
          <w:p>
            <w:pPr>
              <w:spacing w:after="0" w:line="164" w:lineRule="exact"/>
              <w:rPr>
                <w:sz w:val="20"/>
                <w:szCs w:val="20"/>
                <w:color w:val="auto"/>
              </w:rPr>
            </w:pPr>
            <w:r>
              <w:rPr>
                <w:rFonts w:ascii="Arial" w:cs="Arial" w:eastAsia="Arial" w:hAnsi="Arial"/>
                <w:sz w:val="16"/>
                <w:szCs w:val="16"/>
                <w:color w:val="0000EE"/>
              </w:rPr>
              <w:t>Operations and Comprehensive Income (Loss)</w:t>
            </w:r>
          </w:p>
        </w:tc>
        <w:tc>
          <w:tcPr>
            <w:tcW w:w="720" w:type="dxa"/>
            <w:vAlign w:val="bottom"/>
          </w:tcPr>
          <w:p>
            <w:pPr>
              <w:ind w:left="480"/>
              <w:spacing w:after="0" w:line="164" w:lineRule="exact"/>
              <w:rPr>
                <w:sz w:val="20"/>
                <w:szCs w:val="20"/>
                <w:color w:val="auto"/>
              </w:rPr>
            </w:pPr>
            <w:r>
              <w:rPr>
                <w:rFonts w:ascii="Arial" w:cs="Arial" w:eastAsia="Arial" w:hAnsi="Arial"/>
                <w:sz w:val="16"/>
                <w:szCs w:val="16"/>
                <w:color w:val="auto"/>
                <w:w w:val="91"/>
              </w:rPr>
              <w:t>F-6</w:t>
            </w:r>
          </w:p>
        </w:tc>
        <w:tc>
          <w:tcPr>
            <w:tcW w:w="0" w:type="dxa"/>
            <w:vAlign w:val="bottom"/>
          </w:tcPr>
          <w:p>
            <w:pPr>
              <w:spacing w:after="0"/>
              <w:rPr>
                <w:sz w:val="1"/>
                <w:szCs w:val="1"/>
                <w:color w:val="auto"/>
              </w:rPr>
            </w:pPr>
          </w:p>
        </w:tc>
      </w:tr>
      <w:tr>
        <w:trPr>
          <w:trHeight w:val="164"/>
        </w:trPr>
        <w:tc>
          <w:tcPr>
            <w:tcW w:w="5440" w:type="dxa"/>
            <w:vAlign w:val="bottom"/>
            <w:tcBorders>
              <w:top w:val="single" w:sz="8" w:color="0000EE"/>
            </w:tcBorders>
            <w:gridSpan w:val="7"/>
          </w:tcPr>
          <w:p>
            <w:pPr>
              <w:spacing w:after="0" w:line="164" w:lineRule="exact"/>
              <w:rPr>
                <w:sz w:val="20"/>
                <w:szCs w:val="20"/>
                <w:color w:val="auto"/>
              </w:rPr>
            </w:pPr>
            <w:r>
              <w:rPr>
                <w:rFonts w:ascii="Arial" w:cs="Arial" w:eastAsia="Arial" w:hAnsi="Arial"/>
                <w:sz w:val="16"/>
                <w:szCs w:val="16"/>
                <w:color w:val="0000EE"/>
              </w:rPr>
              <w:t>Consolidated Statements of Changes in Stockholder’s Equity (Deficit)</w:t>
            </w:r>
          </w:p>
        </w:tc>
        <w:tc>
          <w:tcPr>
            <w:tcW w:w="2760" w:type="dxa"/>
            <w:vAlign w:val="bottom"/>
          </w:tcPr>
          <w:p>
            <w:pPr>
              <w:spacing w:after="0"/>
              <w:rPr>
                <w:sz w:val="14"/>
                <w:szCs w:val="14"/>
                <w:color w:val="auto"/>
              </w:rPr>
            </w:pPr>
          </w:p>
        </w:tc>
        <w:tc>
          <w:tcPr>
            <w:tcW w:w="720" w:type="dxa"/>
            <w:vAlign w:val="bottom"/>
          </w:tcPr>
          <w:p>
            <w:pPr>
              <w:ind w:left="480"/>
              <w:spacing w:after="0" w:line="164" w:lineRule="exact"/>
              <w:rPr>
                <w:sz w:val="20"/>
                <w:szCs w:val="20"/>
                <w:color w:val="auto"/>
              </w:rPr>
            </w:pPr>
            <w:r>
              <w:rPr>
                <w:rFonts w:ascii="Arial" w:cs="Arial" w:eastAsia="Arial" w:hAnsi="Arial"/>
                <w:sz w:val="16"/>
                <w:szCs w:val="16"/>
                <w:color w:val="auto"/>
                <w:w w:val="91"/>
              </w:rPr>
              <w:t>F-7</w:t>
            </w:r>
          </w:p>
        </w:tc>
        <w:tc>
          <w:tcPr>
            <w:tcW w:w="0" w:type="dxa"/>
            <w:vAlign w:val="bottom"/>
          </w:tcPr>
          <w:p>
            <w:pPr>
              <w:spacing w:after="0"/>
              <w:rPr>
                <w:sz w:val="1"/>
                <w:szCs w:val="1"/>
                <w:color w:val="auto"/>
              </w:rPr>
            </w:pPr>
          </w:p>
        </w:tc>
      </w:tr>
      <w:tr>
        <w:trPr>
          <w:trHeight w:val="164"/>
        </w:trPr>
        <w:tc>
          <w:tcPr>
            <w:tcW w:w="5020" w:type="dxa"/>
            <w:vAlign w:val="bottom"/>
            <w:tcBorders>
              <w:top w:val="single" w:sz="8" w:color="0000EE"/>
            </w:tcBorders>
            <w:gridSpan w:val="5"/>
          </w:tcPr>
          <w:p>
            <w:pPr>
              <w:spacing w:after="0" w:line="164" w:lineRule="exact"/>
              <w:rPr>
                <w:sz w:val="20"/>
                <w:szCs w:val="20"/>
                <w:color w:val="auto"/>
              </w:rPr>
            </w:pPr>
            <w:r>
              <w:rPr>
                <w:rFonts w:ascii="Arial" w:cs="Arial" w:eastAsia="Arial" w:hAnsi="Arial"/>
                <w:sz w:val="16"/>
                <w:szCs w:val="16"/>
                <w:color w:val="0000EE"/>
              </w:rPr>
              <w:t>Consolidated Statements of Cash Flows</w:t>
            </w:r>
          </w:p>
        </w:tc>
        <w:tc>
          <w:tcPr>
            <w:tcW w:w="3180" w:type="dxa"/>
            <w:vAlign w:val="bottom"/>
            <w:gridSpan w:val="3"/>
          </w:tcPr>
          <w:p>
            <w:pPr>
              <w:spacing w:after="0"/>
              <w:rPr>
                <w:sz w:val="14"/>
                <w:szCs w:val="14"/>
                <w:color w:val="auto"/>
              </w:rPr>
            </w:pPr>
          </w:p>
        </w:tc>
        <w:tc>
          <w:tcPr>
            <w:tcW w:w="720" w:type="dxa"/>
            <w:vAlign w:val="bottom"/>
          </w:tcPr>
          <w:p>
            <w:pPr>
              <w:ind w:left="480"/>
              <w:spacing w:after="0" w:line="164" w:lineRule="exact"/>
              <w:rPr>
                <w:sz w:val="20"/>
                <w:szCs w:val="20"/>
                <w:color w:val="auto"/>
              </w:rPr>
            </w:pPr>
            <w:r>
              <w:rPr>
                <w:rFonts w:ascii="Arial" w:cs="Arial" w:eastAsia="Arial" w:hAnsi="Arial"/>
                <w:sz w:val="16"/>
                <w:szCs w:val="16"/>
                <w:color w:val="auto"/>
                <w:w w:val="91"/>
              </w:rPr>
              <w:t>F-8</w:t>
            </w:r>
          </w:p>
        </w:tc>
        <w:tc>
          <w:tcPr>
            <w:tcW w:w="0" w:type="dxa"/>
            <w:vAlign w:val="bottom"/>
          </w:tcPr>
          <w:p>
            <w:pPr>
              <w:spacing w:after="0"/>
              <w:rPr>
                <w:sz w:val="1"/>
                <w:szCs w:val="1"/>
                <w:color w:val="auto"/>
              </w:rPr>
            </w:pPr>
          </w:p>
        </w:tc>
      </w:tr>
      <w:tr>
        <w:trPr>
          <w:trHeight w:val="20"/>
        </w:trPr>
        <w:tc>
          <w:tcPr>
            <w:tcW w:w="29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720" w:type="dxa"/>
            <w:vAlign w:val="bottom"/>
            <w:vMerge w:val="restart"/>
          </w:tcPr>
          <w:p>
            <w:pPr>
              <w:ind w:left="480"/>
              <w:spacing w:after="0"/>
              <w:rPr>
                <w:sz w:val="20"/>
                <w:szCs w:val="20"/>
                <w:color w:val="auto"/>
              </w:rPr>
            </w:pPr>
            <w:r>
              <w:rPr>
                <w:rFonts w:ascii="Arial" w:cs="Arial" w:eastAsia="Arial" w:hAnsi="Arial"/>
                <w:sz w:val="16"/>
                <w:szCs w:val="16"/>
                <w:color w:val="auto"/>
                <w:w w:val="91"/>
              </w:rPr>
              <w:t>F-8</w:t>
            </w:r>
          </w:p>
        </w:tc>
        <w:tc>
          <w:tcPr>
            <w:tcW w:w="0" w:type="dxa"/>
            <w:vAlign w:val="bottom"/>
          </w:tcPr>
          <w:p>
            <w:pPr>
              <w:spacing w:after="0" w:line="20" w:lineRule="exact"/>
              <w:rPr>
                <w:sz w:val="1"/>
                <w:szCs w:val="1"/>
                <w:color w:val="auto"/>
              </w:rPr>
            </w:pPr>
          </w:p>
        </w:tc>
      </w:tr>
      <w:tr>
        <w:trPr>
          <w:trHeight w:val="164"/>
        </w:trPr>
        <w:tc>
          <w:tcPr>
            <w:tcW w:w="8200" w:type="dxa"/>
            <w:vAlign w:val="bottom"/>
            <w:gridSpan w:val="8"/>
          </w:tcPr>
          <w:p>
            <w:pPr>
              <w:spacing w:after="0" w:line="164" w:lineRule="exact"/>
              <w:rPr>
                <w:sz w:val="20"/>
                <w:szCs w:val="20"/>
                <w:color w:val="auto"/>
              </w:rPr>
            </w:pPr>
            <w:r>
              <w:rPr>
                <w:rFonts w:ascii="Arial" w:cs="Arial" w:eastAsia="Arial" w:hAnsi="Arial"/>
                <w:sz w:val="16"/>
                <w:szCs w:val="16"/>
                <w:color w:val="0000EE"/>
              </w:rPr>
              <w:t>Notes to Consolidated Financial Statements</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04"/>
        </w:trPr>
        <w:tc>
          <w:tcPr>
            <w:tcW w:w="12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020" w:type="dxa"/>
            <w:vAlign w:val="bottom"/>
            <w:gridSpan w:val="4"/>
          </w:tcPr>
          <w:p>
            <w:pPr>
              <w:jc w:val="center"/>
              <w:ind w:right="2460"/>
              <w:spacing w:after="0"/>
              <w:rPr>
                <w:sz w:val="20"/>
                <w:szCs w:val="20"/>
                <w:color w:val="auto"/>
              </w:rPr>
            </w:pPr>
            <w:r>
              <w:rPr>
                <w:rFonts w:ascii="Arial" w:cs="Arial" w:eastAsia="Arial" w:hAnsi="Arial"/>
                <w:sz w:val="16"/>
                <w:szCs w:val="16"/>
                <w:color w:val="auto"/>
                <w:w w:val="99"/>
              </w:rPr>
              <w:t>F-1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1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0" w:right="1440" w:bottom="1440" w:gutter="0" w:footer="0" w:header="0"/>
        </w:sectPr>
      </w:pPr>
    </w:p>
    <w:bookmarkStart w:id="58" w:name="page59"/>
    <w:bookmarkEnd w:id="5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7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the Shareholder and the Board of Directors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Hughes Satellite Systems Corporation: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Opinion on the Consolidated Financial Statements</w:t>
      </w:r>
    </w:p>
    <w:p>
      <w:pPr>
        <w:spacing w:after="0" w:line="194"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We have audited the accompanying consolidated balance sheets of Hughes Satellite Systems Corporation and subsidiaries (the Company) as of December 31, 2025 and 2024, the related consolidated statements of operations and comprehensive income (loss), changes in stockholder’s equity (deficit),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Going Concern</w:t>
      </w:r>
    </w:p>
    <w:p>
      <w:pPr>
        <w:spacing w:after="0" w:line="194"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significant debts maturing in 2026 and does not currently have the necessary cash on hand, projected cash flows, or committed financing to fund its obligations for at least twelve months from the issuance of these consolidated financial statements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Basis for Opinion</w:t>
      </w:r>
    </w:p>
    <w:p>
      <w:pPr>
        <w:spacing w:after="0" w:line="19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94"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59" w:name="page60"/>
    <w:bookmarkEnd w:id="5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Sufficiency of audit evidence over revenue</w:t>
      </w:r>
    </w:p>
    <w:p>
      <w:pPr>
        <w:spacing w:after="0" w:line="182"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As discussed in Note 13 to the consolidated financial statements, the Company reported $1.4 billion in total revenue for the Hughes segment for the year ended December 31, 2025. The Hughes segment has multiple revenue streams and certain aspects of the Company’s processes and information technology (IT) systems differ among the revenue streams.</w:t>
      </w:r>
    </w:p>
    <w:p>
      <w:pPr>
        <w:spacing w:after="0" w:line="137"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We identified the evaluation of sufficiency of audit evidence over certain revenue streams as a critical audit matter. Specifically, subjective auditor judgment was required to evaluate that revenue data was captured and aggregated throughout these various IT applications. Additionally, IT professionals with specialized skills and knowledge were required to evaluate the nature and extent of evidence obtained over certain revenue streams.</w:t>
      </w:r>
    </w:p>
    <w:p>
      <w:pPr>
        <w:spacing w:after="0" w:line="143"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6"/>
          <w:szCs w:val="16"/>
          <w:color w:val="auto"/>
        </w:rPr>
        <w:t>The following are the primary procedures we performed to address this critical audit matter. We applied auditor judgment to determine the nature and extent of procedures to be performed over revenue. For certain revenue streams where procedures were performed, we evaluated the design and tested the operating effectiveness of certain internal controls related to the Company’s revenue recognition process, including recording of revenue. We also evaluated the design and tested the operating effectiveness of certain general IT and application controls. We involved IT professionals with specialized skills and knowledge, who assisted in testing certain IT applications used by the Company in its revenue recognition processes and the transfer of relevant revenue data between certain systems used in the revenue recognition processes. For a sample of revenue transactions, we assessed the recorded amounts by comparing to underlying documentation, including contracts or payment and transaction support. We evaluated the sufficiency of audit evidence obtained by assessing the results of the procedures performed, including the appropriateness of the nature and extent of such evidence.</w:t>
      </w:r>
    </w:p>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Valuation of the Hughes Asset Group</w:t>
      </w:r>
    </w:p>
    <w:p>
      <w:pPr>
        <w:spacing w:after="0" w:line="182"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As discussed in Notes 1, 2, and 7 to the consolidated financial statements, the Company reviews its long-lived assets for impairment whenever events or changes in circumstances indicate that the carrying amount of an asset or asset group may not be recoverable. In the fourth quarter, the Company identified changes in circumstances that indicated that the carrying amount of the Hughes Asset Group may not be recoverable. This asset group consists of the Hughes satellite fleet, ROU lease assets and certain other long-lived assets and finite-lived intangible assets. As such, the Company determined that indicators of impairment existed for the Hughes Asset Group and performed a quantitative impairment test. To estimate the fair value of the Hughes Asset Group, the Company used an income approach and measured impairment as the amount by which the fair value was below the carrying value. The Company recorded a partial impairment of the Hughes Asset Group of $1.012 billion for the year ended December 31, 2025.</w:t>
      </w:r>
    </w:p>
    <w:p>
      <w:pPr>
        <w:spacing w:after="0" w:line="148"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We identified the valuation of the Hughes Asset Group as a critical audit matter. Evaluating the discount rate used to determine the estimated fair value of the Hughes Asset Group involved a high degree of subjective auditor judgment and the use of professionals with specialized skills and knowledge, as minor changes in this assumption could have had a significant impact on the measurement of the fair value estimate.</w:t>
      </w:r>
    </w:p>
    <w:p>
      <w:pPr>
        <w:spacing w:after="0" w:line="143"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valuation of the Hughes Asset Group. This included controls over the discount rate used in the discounted cash flow model. We involved valuation professionals with specialized skills and knowledge, who assisted in evaluating the discount rate assumption used by management to estimate the fair value of the Hughes Asset Group by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1">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60" w:name="page61"/>
    <w:bookmarkEnd w:id="6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59"/>
        <w:spacing w:after="0" w:line="260" w:lineRule="auto"/>
        <w:rPr>
          <w:sz w:val="20"/>
          <w:szCs w:val="20"/>
          <w:color w:val="auto"/>
        </w:rPr>
      </w:pPr>
      <w:r>
        <w:rPr>
          <w:rFonts w:ascii="Arial" w:cs="Arial" w:eastAsia="Arial" w:hAnsi="Arial"/>
          <w:sz w:val="16"/>
          <w:szCs w:val="16"/>
          <w:color w:val="auto"/>
        </w:rPr>
        <w:t>comparing it to an independently developed discount rate range using publicly available market data for comparable entities.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 KPMG LLP</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have served as the Company’s auditor since 2011.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McLean, Virginia</w:t>
      </w:r>
    </w:p>
    <w:p>
      <w:pPr>
        <w:ind w:left="40"/>
        <w:spacing w:after="0"/>
        <w:rPr>
          <w:sz w:val="20"/>
          <w:szCs w:val="20"/>
          <w:color w:val="auto"/>
        </w:rPr>
      </w:pPr>
      <w:r>
        <w:rPr>
          <w:rFonts w:ascii="Arial" w:cs="Arial" w:eastAsia="Arial" w:hAnsi="Arial"/>
          <w:sz w:val="16"/>
          <w:szCs w:val="16"/>
          <w:color w:val="auto"/>
        </w:rPr>
        <w:t>March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2">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61" w:name="page62"/>
    <w:bookmarkEnd w:id="6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jc w:val="center"/>
        <w:ind w:right="19"/>
        <w:spacing w:after="0"/>
        <w:rPr>
          <w:sz w:val="20"/>
          <w:szCs w:val="20"/>
          <w:color w:val="auto"/>
        </w:rPr>
      </w:pPr>
      <w:r>
        <w:rPr>
          <w:rFonts w:ascii="Arial" w:cs="Arial" w:eastAsia="Arial" w:hAnsi="Arial"/>
          <w:sz w:val="16"/>
          <w:szCs w:val="16"/>
          <w:color w:val="auto"/>
        </w:rPr>
        <w:t>(Dollars in thousands, except 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5"/>
              <w:spacing w:after="0" w:line="148" w:lineRule="exact"/>
              <w:rPr>
                <w:sz w:val="20"/>
                <w:szCs w:val="20"/>
                <w:color w:val="auto"/>
              </w:rPr>
            </w:pPr>
            <w:r>
              <w:rPr>
                <w:rFonts w:ascii="Arial" w:cs="Arial" w:eastAsia="Arial" w:hAnsi="Arial"/>
                <w:sz w:val="13"/>
                <w:szCs w:val="13"/>
                <w:b w:val="1"/>
                <w:bCs w:val="1"/>
                <w:color w:val="auto"/>
              </w:rPr>
              <w:t>2025</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5"/>
              <w:spacing w:after="0" w:line="148" w:lineRule="exact"/>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Assets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spacing w:after="0" w:line="148" w:lineRule="exact"/>
              <w:rPr>
                <w:sz w:val="20"/>
                <w:szCs w:val="20"/>
                <w:color w:val="auto"/>
              </w:rPr>
            </w:pPr>
            <w:r>
              <w:rPr>
                <w:rFonts w:ascii="Arial" w:cs="Arial" w:eastAsia="Arial" w:hAnsi="Arial"/>
                <w:sz w:val="13"/>
                <w:szCs w:val="13"/>
                <w:i w:val="1"/>
                <w:iCs w:val="1"/>
                <w:color w:val="auto"/>
              </w:rPr>
              <w:t>Current Assets: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115"/>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118,765</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73"/>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204,198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ind w:left="80"/>
              <w:spacing w:after="0" w:line="148" w:lineRule="exact"/>
              <w:rPr>
                <w:sz w:val="20"/>
                <w:szCs w:val="20"/>
                <w:color w:val="auto"/>
              </w:rPr>
            </w:pPr>
            <w:r>
              <w:rPr>
                <w:rFonts w:ascii="Arial" w:cs="Arial" w:eastAsia="Arial" w:hAnsi="Arial"/>
                <w:sz w:val="13"/>
                <w:szCs w:val="13"/>
                <w:color w:val="auto"/>
              </w:rPr>
              <w:t>Marketable investment securities</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Trade accounts receivable and contract assets, net of allowance for credit losses of $17,559 and</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$11,314, respectively</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311,723</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275,247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ind w:left="80"/>
              <w:spacing w:after="0" w:line="148" w:lineRule="exact"/>
              <w:rPr>
                <w:sz w:val="20"/>
                <w:szCs w:val="20"/>
                <w:color w:val="auto"/>
              </w:rPr>
            </w:pPr>
            <w:r>
              <w:rPr>
                <w:rFonts w:ascii="Arial" w:cs="Arial" w:eastAsia="Arial" w:hAnsi="Arial"/>
                <w:sz w:val="13"/>
                <w:szCs w:val="13"/>
                <w:color w:val="auto"/>
              </w:rPr>
              <w:t>Prepaids and other assets</w:t>
            </w:r>
          </w:p>
        </w:tc>
        <w:tc>
          <w:tcPr>
            <w:tcW w:w="26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62,018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63,684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Inventory</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182,401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151,043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80"/>
              <w:spacing w:after="0" w:line="148" w:lineRule="exact"/>
              <w:rPr>
                <w:sz w:val="20"/>
                <w:szCs w:val="20"/>
                <w:color w:val="auto"/>
              </w:rPr>
            </w:pPr>
            <w:r>
              <w:rPr>
                <w:rFonts w:ascii="Arial" w:cs="Arial" w:eastAsia="Arial" w:hAnsi="Arial"/>
                <w:sz w:val="13"/>
                <w:szCs w:val="13"/>
                <w:color w:val="auto"/>
              </w:rPr>
              <w:t>Other current assets</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72,511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48,034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747,418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742,206</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6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280" w:type="dxa"/>
            <w:vAlign w:val="bottom"/>
            <w:shd w:val="clear" w:color="auto" w:fill="CCEEFF"/>
          </w:tcPr>
          <w:p>
            <w:pPr>
              <w:spacing w:after="0" w:line="148" w:lineRule="exact"/>
              <w:rPr>
                <w:sz w:val="20"/>
                <w:szCs w:val="20"/>
                <w:color w:val="auto"/>
              </w:rPr>
            </w:pPr>
            <w:r>
              <w:rPr>
                <w:rFonts w:ascii="Arial" w:cs="Arial" w:eastAsia="Arial" w:hAnsi="Arial"/>
                <w:sz w:val="13"/>
                <w:szCs w:val="13"/>
                <w:i w:val="1"/>
                <w:iCs w:val="1"/>
                <w:color w:val="auto"/>
              </w:rPr>
              <w:t>Noncurrent Assets: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ind w:left="80"/>
              <w:spacing w:after="0" w:line="148" w:lineRule="exact"/>
              <w:rPr>
                <w:sz w:val="20"/>
                <w:szCs w:val="20"/>
                <w:color w:val="auto"/>
              </w:rPr>
            </w:pPr>
            <w:r>
              <w:rPr>
                <w:rFonts w:ascii="Arial" w:cs="Arial" w:eastAsia="Arial" w:hAnsi="Arial"/>
                <w:sz w:val="13"/>
                <w:szCs w:val="13"/>
                <w:color w:val="auto"/>
              </w:rPr>
              <w:t>Property and equipment, net</w:t>
            </w:r>
          </w:p>
        </w:tc>
        <w:tc>
          <w:tcPr>
            <w:tcW w:w="26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442,203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1,097,190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Operating lease assets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313,066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939,896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ind w:left="80"/>
              <w:spacing w:after="0" w:line="148" w:lineRule="exact"/>
              <w:rPr>
                <w:sz w:val="20"/>
                <w:szCs w:val="20"/>
                <w:color w:val="auto"/>
              </w:rPr>
            </w:pPr>
            <w:r>
              <w:rPr>
                <w:rFonts w:ascii="Arial" w:cs="Arial" w:eastAsia="Arial" w:hAnsi="Arial"/>
                <w:sz w:val="13"/>
                <w:szCs w:val="13"/>
                <w:color w:val="auto"/>
              </w:rPr>
              <w:t>Regulatory authorizations, net</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404,698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Intangible assets, net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4,118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11,082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ind w:left="80"/>
              <w:spacing w:after="0" w:line="148" w:lineRule="exact"/>
              <w:rPr>
                <w:sz w:val="20"/>
                <w:szCs w:val="20"/>
                <w:color w:val="auto"/>
              </w:rPr>
            </w:pPr>
            <w:r>
              <w:rPr>
                <w:rFonts w:ascii="Arial" w:cs="Arial" w:eastAsia="Arial" w:hAnsi="Arial"/>
                <w:sz w:val="13"/>
                <w:szCs w:val="13"/>
                <w:color w:val="auto"/>
              </w:rPr>
              <w:t>Other investments</w:t>
            </w:r>
          </w:p>
        </w:tc>
        <w:tc>
          <w:tcPr>
            <w:tcW w:w="26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22,144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23,516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Deferred tax assets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220,589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7,017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80"/>
              <w:spacing w:after="0" w:line="148" w:lineRule="exact"/>
              <w:rPr>
                <w:sz w:val="20"/>
                <w:szCs w:val="20"/>
                <w:color w:val="auto"/>
              </w:rPr>
            </w:pPr>
            <w:r>
              <w:rPr>
                <w:rFonts w:ascii="Arial" w:cs="Arial" w:eastAsia="Arial" w:hAnsi="Arial"/>
                <w:sz w:val="13"/>
                <w:szCs w:val="13"/>
                <w:color w:val="auto"/>
              </w:rPr>
              <w:t>Other noncurrent assets, net</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247,704</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245,772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noncurrent assets</w:t>
            </w: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1,249,824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2,729,171</w:t>
            </w:r>
          </w:p>
        </w:tc>
        <w:tc>
          <w:tcPr>
            <w:tcW w:w="0" w:type="dxa"/>
            <w:vAlign w:val="bottom"/>
          </w:tcPr>
          <w:p>
            <w:pPr>
              <w:spacing w:after="0"/>
              <w:rPr>
                <w:sz w:val="1"/>
                <w:szCs w:val="1"/>
                <w:color w:val="auto"/>
              </w:rPr>
            </w:pPr>
          </w:p>
        </w:tc>
      </w:tr>
      <w:tr>
        <w:trPr>
          <w:trHeight w:val="179"/>
        </w:trPr>
        <w:tc>
          <w:tcPr>
            <w:tcW w:w="6300" w:type="dxa"/>
            <w:vAlign w:val="bottom"/>
            <w:gridSpan w:val="2"/>
          </w:tcPr>
          <w:p>
            <w:pPr>
              <w:spacing w:after="0" w:line="139" w:lineRule="exact"/>
              <w:rPr>
                <w:sz w:val="20"/>
                <w:szCs w:val="20"/>
                <w:color w:val="auto"/>
              </w:rPr>
            </w:pPr>
            <w:r>
              <w:rPr>
                <w:rFonts w:ascii="Arial" w:cs="Arial" w:eastAsia="Arial" w:hAnsi="Arial"/>
                <w:sz w:val="13"/>
                <w:szCs w:val="13"/>
                <w:color w:val="auto"/>
              </w:rPr>
              <w:t>Total assets</w:t>
            </w:r>
          </w:p>
        </w:tc>
        <w:tc>
          <w:tcPr>
            <w:tcW w:w="26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1,997,242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jc w:val="right"/>
              <w:ind w:right="173"/>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3,471,377</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62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280" w:type="dxa"/>
            <w:vAlign w:val="bottom"/>
          </w:tcPr>
          <w:p>
            <w:pPr>
              <w:spacing w:after="0" w:line="148" w:lineRule="exact"/>
              <w:rPr>
                <w:sz w:val="20"/>
                <w:szCs w:val="20"/>
                <w:color w:val="auto"/>
              </w:rPr>
            </w:pPr>
            <w:r>
              <w:rPr>
                <w:rFonts w:ascii="Arial" w:cs="Arial" w:eastAsia="Arial" w:hAnsi="Arial"/>
                <w:sz w:val="13"/>
                <w:szCs w:val="13"/>
                <w:b w:val="1"/>
                <w:bCs w:val="1"/>
                <w:color w:val="auto"/>
              </w:rPr>
              <w:t>Liabilities and Stockholder's Equity (Deficit)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spacing w:after="0" w:line="148" w:lineRule="exact"/>
              <w:rPr>
                <w:sz w:val="20"/>
                <w:szCs w:val="20"/>
                <w:color w:val="auto"/>
              </w:rPr>
            </w:pPr>
            <w:r>
              <w:rPr>
                <w:rFonts w:ascii="Arial" w:cs="Arial" w:eastAsia="Arial" w:hAnsi="Arial"/>
                <w:sz w:val="13"/>
                <w:szCs w:val="13"/>
                <w:i w:val="1"/>
                <w:iCs w:val="1"/>
                <w:color w:val="auto"/>
              </w:rPr>
              <w:t>Current Liabilities: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ind w:left="80"/>
              <w:spacing w:after="0" w:line="148" w:lineRule="exact"/>
              <w:rPr>
                <w:sz w:val="20"/>
                <w:szCs w:val="20"/>
                <w:color w:val="auto"/>
              </w:rPr>
            </w:pPr>
            <w:r>
              <w:rPr>
                <w:rFonts w:ascii="Arial" w:cs="Arial" w:eastAsia="Arial" w:hAnsi="Arial"/>
                <w:sz w:val="13"/>
                <w:szCs w:val="13"/>
                <w:color w:val="auto"/>
              </w:rPr>
              <w:t>Trade accounts payable</w:t>
            </w:r>
          </w:p>
        </w:tc>
        <w:tc>
          <w:tcPr>
            <w:tcW w:w="260" w:type="dxa"/>
            <w:vAlign w:val="bottom"/>
          </w:tcPr>
          <w:p>
            <w:pPr>
              <w:jc w:val="right"/>
              <w:ind w:right="115"/>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90,258</w:t>
            </w:r>
          </w:p>
        </w:tc>
        <w:tc>
          <w:tcPr>
            <w:tcW w:w="220" w:type="dxa"/>
            <w:vAlign w:val="bottom"/>
          </w:tcPr>
          <w:p>
            <w:pPr>
              <w:spacing w:after="0"/>
              <w:rPr>
                <w:sz w:val="12"/>
                <w:szCs w:val="12"/>
                <w:color w:val="auto"/>
              </w:rPr>
            </w:pPr>
          </w:p>
        </w:tc>
        <w:tc>
          <w:tcPr>
            <w:tcW w:w="260" w:type="dxa"/>
            <w:vAlign w:val="bottom"/>
            <w:gridSpan w:val="2"/>
          </w:tcPr>
          <w:p>
            <w:pPr>
              <w:jc w:val="right"/>
              <w:ind w:right="173"/>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99,519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Contract liabilities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76,580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81,558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ind w:left="80"/>
              <w:spacing w:after="0" w:line="148" w:lineRule="exact"/>
              <w:rPr>
                <w:sz w:val="20"/>
                <w:szCs w:val="20"/>
                <w:color w:val="auto"/>
              </w:rPr>
            </w:pPr>
            <w:r>
              <w:rPr>
                <w:rFonts w:ascii="Arial" w:cs="Arial" w:eastAsia="Arial" w:hAnsi="Arial"/>
                <w:sz w:val="13"/>
                <w:szCs w:val="13"/>
                <w:color w:val="auto"/>
              </w:rPr>
              <w:t>Accrued interest</w:t>
            </w:r>
          </w:p>
        </w:tc>
        <w:tc>
          <w:tcPr>
            <w:tcW w:w="26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38,613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38,845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Accrued compensation</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39,423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34,904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ind w:left="80"/>
              <w:spacing w:after="0" w:line="148" w:lineRule="exact"/>
              <w:rPr>
                <w:sz w:val="20"/>
                <w:szCs w:val="20"/>
                <w:color w:val="auto"/>
              </w:rPr>
            </w:pPr>
            <w:r>
              <w:rPr>
                <w:rFonts w:ascii="Arial" w:cs="Arial" w:eastAsia="Arial" w:hAnsi="Arial"/>
                <w:sz w:val="13"/>
                <w:szCs w:val="13"/>
                <w:color w:val="auto"/>
              </w:rPr>
              <w:t>Accrued expenses</w:t>
            </w:r>
          </w:p>
        </w:tc>
        <w:tc>
          <w:tcPr>
            <w:tcW w:w="26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61,713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55,019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Operating lease liabilities</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176,615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72,393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ind w:left="80"/>
              <w:spacing w:after="0" w:line="148" w:lineRule="exact"/>
              <w:rPr>
                <w:sz w:val="20"/>
                <w:szCs w:val="20"/>
                <w:color w:val="auto"/>
              </w:rPr>
            </w:pPr>
            <w:r>
              <w:rPr>
                <w:rFonts w:ascii="Arial" w:cs="Arial" w:eastAsia="Arial" w:hAnsi="Arial"/>
                <w:sz w:val="13"/>
                <w:szCs w:val="13"/>
                <w:color w:val="auto"/>
              </w:rPr>
              <w:t>Other current liabilities</w:t>
            </w:r>
          </w:p>
        </w:tc>
        <w:tc>
          <w:tcPr>
            <w:tcW w:w="26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43,827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48,242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Current portion of debt and other notes payable (Note 9)</w:t>
            </w: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1,508,730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9,548</w:t>
            </w:r>
          </w:p>
        </w:tc>
        <w:tc>
          <w:tcPr>
            <w:tcW w:w="0" w:type="dxa"/>
            <w:vAlign w:val="bottom"/>
          </w:tcPr>
          <w:p>
            <w:pPr>
              <w:spacing w:after="0"/>
              <w:rPr>
                <w:sz w:val="1"/>
                <w:szCs w:val="1"/>
                <w:color w:val="auto"/>
              </w:rPr>
            </w:pPr>
          </w:p>
        </w:tc>
      </w:tr>
      <w:tr>
        <w:trPr>
          <w:trHeight w:val="139"/>
        </w:trPr>
        <w:tc>
          <w:tcPr>
            <w:tcW w:w="6300" w:type="dxa"/>
            <w:vAlign w:val="bottom"/>
            <w:gridSpan w:val="2"/>
          </w:tcPr>
          <w:p>
            <w:pPr>
              <w:spacing w:after="0" w:line="139" w:lineRule="exact"/>
              <w:rPr>
                <w:sz w:val="20"/>
                <w:szCs w:val="20"/>
                <w:color w:val="auto"/>
              </w:rPr>
            </w:pPr>
            <w:r>
              <w:rPr>
                <w:rFonts w:ascii="Arial" w:cs="Arial" w:eastAsia="Arial" w:hAnsi="Arial"/>
                <w:sz w:val="13"/>
                <w:szCs w:val="13"/>
                <w:color w:val="auto"/>
              </w:rPr>
              <w:t>Total current liabilities</w:t>
            </w:r>
          </w:p>
        </w:tc>
        <w:tc>
          <w:tcPr>
            <w:tcW w:w="260" w:type="dxa"/>
            <w:vAlign w:val="bottom"/>
          </w:tcPr>
          <w:p>
            <w:pPr>
              <w:spacing w:after="0"/>
              <w:rPr>
                <w:sz w:val="12"/>
                <w:szCs w:val="12"/>
                <w:color w:val="auto"/>
              </w:rPr>
            </w:pPr>
          </w:p>
        </w:tc>
        <w:tc>
          <w:tcPr>
            <w:tcW w:w="940" w:type="dxa"/>
            <w:vAlign w:val="bottom"/>
          </w:tcPr>
          <w:p>
            <w:pPr>
              <w:jc w:val="right"/>
              <w:spacing w:after="0" w:line="139" w:lineRule="exact"/>
              <w:rPr>
                <w:sz w:val="20"/>
                <w:szCs w:val="20"/>
                <w:color w:val="auto"/>
              </w:rPr>
            </w:pPr>
            <w:r>
              <w:rPr>
                <w:rFonts w:ascii="Arial" w:cs="Arial" w:eastAsia="Arial" w:hAnsi="Arial"/>
                <w:sz w:val="13"/>
                <w:szCs w:val="13"/>
                <w:color w:val="auto"/>
              </w:rPr>
              <w:t>2,035,759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39" w:lineRule="exact"/>
              <w:rPr>
                <w:sz w:val="20"/>
                <w:szCs w:val="20"/>
                <w:color w:val="auto"/>
              </w:rPr>
            </w:pPr>
            <w:r>
              <w:rPr>
                <w:rFonts w:ascii="Arial" w:cs="Arial" w:eastAsia="Arial" w:hAnsi="Arial"/>
                <w:sz w:val="13"/>
                <w:szCs w:val="13"/>
                <w:color w:val="auto"/>
              </w:rPr>
              <w:t>440,028</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6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280" w:type="dxa"/>
            <w:vAlign w:val="bottom"/>
          </w:tcPr>
          <w:p>
            <w:pPr>
              <w:spacing w:after="0" w:line="148" w:lineRule="exact"/>
              <w:rPr>
                <w:sz w:val="20"/>
                <w:szCs w:val="20"/>
                <w:color w:val="auto"/>
              </w:rPr>
            </w:pPr>
            <w:r>
              <w:rPr>
                <w:rFonts w:ascii="Arial" w:cs="Arial" w:eastAsia="Arial" w:hAnsi="Arial"/>
                <w:sz w:val="13"/>
                <w:szCs w:val="13"/>
                <w:i w:val="1"/>
                <w:iCs w:val="1"/>
                <w:color w:val="auto"/>
              </w:rPr>
              <w:t>Long-Term Obligations, Net of Current Portion:</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Long-term debt and other notes payable, net of current portion (Note 9)</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27,129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1,533,717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ind w:left="80"/>
              <w:spacing w:after="0" w:line="148" w:lineRule="exact"/>
              <w:rPr>
                <w:sz w:val="20"/>
                <w:szCs w:val="20"/>
                <w:color w:val="auto"/>
              </w:rPr>
            </w:pPr>
            <w:r>
              <w:rPr>
                <w:rFonts w:ascii="Arial" w:cs="Arial" w:eastAsia="Arial" w:hAnsi="Arial"/>
                <w:sz w:val="13"/>
                <w:szCs w:val="13"/>
                <w:color w:val="auto"/>
              </w:rPr>
              <w:t>Deferred tax liabilities, net</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191,559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Operating lease liabilities, noncurrent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708,958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830,629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80"/>
              <w:spacing w:after="0" w:line="148" w:lineRule="exact"/>
              <w:rPr>
                <w:sz w:val="20"/>
                <w:szCs w:val="20"/>
                <w:color w:val="auto"/>
              </w:rPr>
            </w:pPr>
            <w:r>
              <w:rPr>
                <w:rFonts w:ascii="Arial" w:cs="Arial" w:eastAsia="Arial" w:hAnsi="Arial"/>
                <w:sz w:val="13"/>
                <w:szCs w:val="13"/>
                <w:color w:val="auto"/>
              </w:rPr>
              <w:t>Other noncurrent liabilities</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78,013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85,385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long-term obligations, net of current portion</w:t>
            </w: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814,100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2,641,290</w:t>
            </w:r>
          </w:p>
        </w:tc>
        <w:tc>
          <w:tcPr>
            <w:tcW w:w="0" w:type="dxa"/>
            <w:vAlign w:val="bottom"/>
          </w:tcPr>
          <w:p>
            <w:pPr>
              <w:spacing w:after="0"/>
              <w:rPr>
                <w:sz w:val="1"/>
                <w:szCs w:val="1"/>
                <w:color w:val="auto"/>
              </w:rPr>
            </w:pPr>
          </w:p>
        </w:tc>
      </w:tr>
      <w:tr>
        <w:trPr>
          <w:trHeight w:val="139"/>
        </w:trPr>
        <w:tc>
          <w:tcPr>
            <w:tcW w:w="6300" w:type="dxa"/>
            <w:vAlign w:val="bottom"/>
            <w:gridSpan w:val="2"/>
          </w:tcPr>
          <w:p>
            <w:pPr>
              <w:spacing w:after="0" w:line="139" w:lineRule="exact"/>
              <w:rPr>
                <w:sz w:val="20"/>
                <w:szCs w:val="20"/>
                <w:color w:val="auto"/>
              </w:rPr>
            </w:pPr>
            <w:r>
              <w:rPr>
                <w:rFonts w:ascii="Arial" w:cs="Arial" w:eastAsia="Arial" w:hAnsi="Arial"/>
                <w:sz w:val="13"/>
                <w:szCs w:val="13"/>
                <w:color w:val="auto"/>
              </w:rPr>
              <w:t>Total liabilities</w:t>
            </w:r>
          </w:p>
        </w:tc>
        <w:tc>
          <w:tcPr>
            <w:tcW w:w="260" w:type="dxa"/>
            <w:vAlign w:val="bottom"/>
          </w:tcPr>
          <w:p>
            <w:pPr>
              <w:spacing w:after="0"/>
              <w:rPr>
                <w:sz w:val="12"/>
                <w:szCs w:val="12"/>
                <w:color w:val="auto"/>
              </w:rPr>
            </w:pPr>
          </w:p>
        </w:tc>
        <w:tc>
          <w:tcPr>
            <w:tcW w:w="940" w:type="dxa"/>
            <w:vAlign w:val="bottom"/>
          </w:tcPr>
          <w:p>
            <w:pPr>
              <w:jc w:val="right"/>
              <w:spacing w:after="0" w:line="139" w:lineRule="exact"/>
              <w:rPr>
                <w:sz w:val="20"/>
                <w:szCs w:val="20"/>
                <w:color w:val="auto"/>
              </w:rPr>
            </w:pPr>
            <w:r>
              <w:rPr>
                <w:rFonts w:ascii="Arial" w:cs="Arial" w:eastAsia="Arial" w:hAnsi="Arial"/>
                <w:sz w:val="13"/>
                <w:szCs w:val="13"/>
                <w:color w:val="auto"/>
              </w:rPr>
              <w:t>2,849,859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39" w:lineRule="exact"/>
              <w:rPr>
                <w:sz w:val="20"/>
                <w:szCs w:val="20"/>
                <w:color w:val="auto"/>
              </w:rPr>
            </w:pPr>
            <w:r>
              <w:rPr>
                <w:rFonts w:ascii="Arial" w:cs="Arial" w:eastAsia="Arial" w:hAnsi="Arial"/>
                <w:sz w:val="13"/>
                <w:szCs w:val="13"/>
                <w:color w:val="auto"/>
              </w:rPr>
              <w:t>3,081,318</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6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280" w:type="dxa"/>
            <w:vAlign w:val="bottom"/>
          </w:tcPr>
          <w:p>
            <w:pPr>
              <w:spacing w:after="0" w:line="148" w:lineRule="exact"/>
              <w:rPr>
                <w:sz w:val="20"/>
                <w:szCs w:val="20"/>
                <w:color w:val="auto"/>
              </w:rPr>
            </w:pPr>
            <w:r>
              <w:rPr>
                <w:rFonts w:ascii="Arial" w:cs="Arial" w:eastAsia="Arial" w:hAnsi="Arial"/>
                <w:sz w:val="13"/>
                <w:szCs w:val="13"/>
                <w:color w:val="auto"/>
              </w:rPr>
              <w:t>Commitments and Contingencies (Note 9)</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6280" w:type="dxa"/>
            <w:vAlign w:val="bottom"/>
          </w:tcPr>
          <w:p>
            <w:pPr>
              <w:spacing w:after="0" w:line="148" w:lineRule="exact"/>
              <w:rPr>
                <w:sz w:val="20"/>
                <w:szCs w:val="20"/>
                <w:color w:val="auto"/>
              </w:rPr>
            </w:pPr>
            <w:r>
              <w:rPr>
                <w:rFonts w:ascii="Arial" w:cs="Arial" w:eastAsia="Arial" w:hAnsi="Arial"/>
                <w:sz w:val="13"/>
                <w:szCs w:val="13"/>
                <w:i w:val="1"/>
                <w:iCs w:val="1"/>
                <w:color w:val="auto"/>
              </w:rPr>
              <w:t>Stockholder's Equity (Deficit):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Common stock, $0.01 par value, 1,000,000 shares authorized, 1,078 shares issued and outstanding at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80" w:type="dxa"/>
            <w:vAlign w:val="bottom"/>
            <w:shd w:val="clear" w:color="auto" w:fill="CCEEFF"/>
          </w:tcPr>
          <w:p>
            <w:pPr>
              <w:ind w:left="80"/>
              <w:spacing w:after="0"/>
              <w:rPr>
                <w:sz w:val="20"/>
                <w:szCs w:val="20"/>
                <w:color w:val="auto"/>
              </w:rPr>
            </w:pPr>
            <w:r>
              <w:rPr>
                <w:rFonts w:ascii="Arial" w:cs="Arial" w:eastAsia="Arial" w:hAnsi="Arial"/>
                <w:sz w:val="13"/>
                <w:szCs w:val="13"/>
                <w:color w:val="auto"/>
              </w:rPr>
              <w:t>both December 31, 2025 and 2024</w:t>
            </w:r>
          </w:p>
        </w:tc>
        <w:tc>
          <w:tcPr>
            <w:tcW w:w="2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ind w:left="80"/>
              <w:spacing w:after="0" w:line="148" w:lineRule="exact"/>
              <w:rPr>
                <w:sz w:val="20"/>
                <w:szCs w:val="20"/>
                <w:color w:val="auto"/>
              </w:rPr>
            </w:pPr>
            <w:r>
              <w:rPr>
                <w:rFonts w:ascii="Arial" w:cs="Arial" w:eastAsia="Arial" w:hAnsi="Arial"/>
                <w:sz w:val="13"/>
                <w:szCs w:val="13"/>
                <w:color w:val="auto"/>
              </w:rPr>
              <w:t>Additional paid-in capital</w:t>
            </w:r>
          </w:p>
        </w:tc>
        <w:tc>
          <w:tcPr>
            <w:tcW w:w="26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1,504,364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1,487,758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Accumulated other comprehensive income (loss)</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(168,706)</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(190,810)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Pr>
          <w:p>
            <w:pPr>
              <w:ind w:left="80"/>
              <w:spacing w:after="0" w:line="148" w:lineRule="exact"/>
              <w:rPr>
                <w:sz w:val="20"/>
                <w:szCs w:val="20"/>
                <w:color w:val="auto"/>
              </w:rPr>
            </w:pPr>
            <w:r>
              <w:rPr>
                <w:rFonts w:ascii="Arial" w:cs="Arial" w:eastAsia="Arial" w:hAnsi="Arial"/>
                <w:sz w:val="13"/>
                <w:szCs w:val="13"/>
                <w:color w:val="auto"/>
              </w:rPr>
              <w:t>Accumulated earnings (deficit)</w:t>
            </w:r>
          </w:p>
        </w:tc>
        <w:tc>
          <w:tcPr>
            <w:tcW w:w="260" w:type="dxa"/>
            <w:vAlign w:val="bottom"/>
          </w:tcPr>
          <w:p>
            <w:pPr>
              <w:spacing w:after="0"/>
              <w:rPr>
                <w:sz w:val="12"/>
                <w:szCs w:val="12"/>
                <w:color w:val="auto"/>
              </w:rPr>
            </w:pPr>
          </w:p>
        </w:tc>
        <w:tc>
          <w:tcPr>
            <w:tcW w:w="116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(2,232,193)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(958,518)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8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3"/>
                <w:szCs w:val="13"/>
                <w:color w:val="auto"/>
              </w:rPr>
              <w:t>Total HSSC stockholder's equity (deficit)</w:t>
            </w: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(896,535)</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338,430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80"/>
              <w:spacing w:after="0" w:line="148" w:lineRule="exact"/>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43,918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51,629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stockholder's equity (deficit)</w:t>
            </w: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(852,617)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390,059</w:t>
            </w:r>
          </w:p>
        </w:tc>
        <w:tc>
          <w:tcPr>
            <w:tcW w:w="0" w:type="dxa"/>
            <w:vAlign w:val="bottom"/>
          </w:tcPr>
          <w:p>
            <w:pPr>
              <w:spacing w:after="0"/>
              <w:rPr>
                <w:sz w:val="1"/>
                <w:szCs w:val="1"/>
                <w:color w:val="auto"/>
              </w:rPr>
            </w:pPr>
          </w:p>
        </w:tc>
      </w:tr>
      <w:tr>
        <w:trPr>
          <w:trHeight w:val="139"/>
        </w:trPr>
        <w:tc>
          <w:tcPr>
            <w:tcW w:w="6300" w:type="dxa"/>
            <w:vAlign w:val="bottom"/>
            <w:gridSpan w:val="2"/>
          </w:tcPr>
          <w:p>
            <w:pPr>
              <w:spacing w:after="0" w:line="139" w:lineRule="exact"/>
              <w:rPr>
                <w:sz w:val="20"/>
                <w:szCs w:val="20"/>
                <w:color w:val="auto"/>
              </w:rPr>
            </w:pPr>
            <w:r>
              <w:rPr>
                <w:rFonts w:ascii="Arial" w:cs="Arial" w:eastAsia="Arial" w:hAnsi="Arial"/>
                <w:sz w:val="13"/>
                <w:szCs w:val="13"/>
                <w:color w:val="auto"/>
              </w:rPr>
              <w:t>Total liabilities and stockholder's equity (deficit)</w:t>
            </w:r>
          </w:p>
        </w:tc>
        <w:tc>
          <w:tcPr>
            <w:tcW w:w="26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1,997,242</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73"/>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3,471,377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62" w:name="page63"/>
    <w:bookmarkEnd w:id="6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1500" w:right="960"/>
        <w:spacing w:after="0" w:line="267" w:lineRule="auto"/>
        <w:rPr>
          <w:sz w:val="20"/>
          <w:szCs w:val="20"/>
          <w:color w:val="auto"/>
        </w:rPr>
      </w:pPr>
      <w:r>
        <w:rPr>
          <w:rFonts w:ascii="Arial" w:cs="Arial" w:eastAsia="Arial" w:hAnsi="Arial"/>
          <w:sz w:val="16"/>
          <w:szCs w:val="16"/>
          <w:b w:val="1"/>
          <w:bCs w:val="1"/>
          <w:color w:val="auto"/>
        </w:rPr>
        <w:t xml:space="preserve">HUGHES SATELLITE SYSTEMS CORPORATION CONSOLIDATED STATEMENTS OF OPERATIONS AND COMPREHENSIVE INCOME (LOSS) </w:t>
      </w:r>
      <w:r>
        <w:rPr>
          <w:rFonts w:ascii="Arial" w:cs="Arial" w:eastAsia="Arial" w:hAnsi="Arial"/>
          <w:sz w:val="16"/>
          <w:szCs w:val="16"/>
          <w:color w:val="auto"/>
        </w:rPr>
        <w:t>(Dollars in thousands)</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00" w:type="dxa"/>
            <w:vAlign w:val="bottom"/>
            <w:gridSpan w:val="9"/>
          </w:tcPr>
          <w:p>
            <w:pPr>
              <w:ind w:left="360"/>
              <w:spacing w:after="0"/>
              <w:rPr>
                <w:sz w:val="20"/>
                <w:szCs w:val="20"/>
                <w:color w:val="auto"/>
              </w:rPr>
            </w:pPr>
            <w:r>
              <w:rPr>
                <w:rFonts w:ascii="Arial" w:cs="Arial" w:eastAsia="Arial" w:hAnsi="Arial"/>
                <w:sz w:val="13"/>
                <w:szCs w:val="13"/>
                <w:b w:val="1"/>
                <w:bCs w:val="1"/>
                <w:color w:val="auto"/>
              </w:rPr>
              <w:t>For the Years Ended 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20" w:type="dxa"/>
            <w:vAlign w:val="bottom"/>
          </w:tcPr>
          <w:p>
            <w:pPr>
              <w:ind w:left="220"/>
              <w:spacing w:after="0" w:line="148" w:lineRule="exact"/>
              <w:rPr>
                <w:sz w:val="20"/>
                <w:szCs w:val="20"/>
                <w:color w:val="auto"/>
              </w:rPr>
            </w:pPr>
            <w:r>
              <w:rPr>
                <w:rFonts w:ascii="Arial" w:cs="Arial" w:eastAsia="Arial" w:hAnsi="Arial"/>
                <w:sz w:val="13"/>
                <w:szCs w:val="13"/>
                <w:b w:val="1"/>
                <w:bCs w:val="1"/>
                <w:color w:val="auto"/>
              </w:rPr>
              <w:t>​​​</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5"/>
              <w:spacing w:after="0" w:line="148" w:lineRule="exact"/>
              <w:rPr>
                <w:sz w:val="20"/>
                <w:szCs w:val="20"/>
                <w:color w:val="auto"/>
              </w:rPr>
            </w:pPr>
            <w:r>
              <w:rPr>
                <w:rFonts w:ascii="Arial" w:cs="Arial" w:eastAsia="Arial" w:hAnsi="Arial"/>
                <w:sz w:val="13"/>
                <w:szCs w:val="13"/>
                <w:b w:val="1"/>
                <w:bCs w:val="1"/>
                <w:color w:val="auto"/>
              </w:rPr>
              <w:t>2025</w:t>
            </w: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ind w:right="151"/>
              <w:spacing w:after="0" w:line="148"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tcPr>
          <w:p>
            <w:pPr>
              <w:jc w:val="right"/>
              <w:ind w:right="275"/>
              <w:spacing w:after="0" w:line="148"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5"/>
              <w:spacing w:after="0" w:line="148" w:lineRule="exact"/>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Revenue:</w:t>
            </w:r>
          </w:p>
        </w:tc>
        <w:tc>
          <w:tcPr>
            <w:tcW w:w="3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tcPr>
          <w:p>
            <w:pPr>
              <w:spacing w:after="0" w:line="148" w:lineRule="exact"/>
              <w:rPr>
                <w:sz w:val="20"/>
                <w:szCs w:val="20"/>
                <w:color w:val="auto"/>
              </w:rPr>
            </w:pPr>
            <w:r>
              <w:rPr>
                <w:rFonts w:ascii="Arial" w:cs="Arial" w:eastAsia="Arial" w:hAnsi="Arial"/>
                <w:sz w:val="13"/>
                <w:szCs w:val="13"/>
                <w:color w:val="auto"/>
              </w:rPr>
              <w:t>Service revenue</w:t>
            </w:r>
          </w:p>
        </w:tc>
        <w:tc>
          <w:tcPr>
            <w:tcW w:w="500" w:type="dxa"/>
            <w:vAlign w:val="bottom"/>
            <w:gridSpan w:val="2"/>
          </w:tcPr>
          <w:p>
            <w:pPr>
              <w:jc w:val="right"/>
              <w:ind w:right="71"/>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1,085,219</w:t>
            </w:r>
          </w:p>
        </w:tc>
        <w:tc>
          <w:tcPr>
            <w:tcW w:w="40" w:type="dxa"/>
            <w:vAlign w:val="bottom"/>
          </w:tcPr>
          <w:p>
            <w:pPr>
              <w:spacing w:after="0"/>
              <w:rPr>
                <w:sz w:val="12"/>
                <w:szCs w:val="12"/>
                <w:color w:val="auto"/>
              </w:rPr>
            </w:pPr>
          </w:p>
        </w:tc>
        <w:tc>
          <w:tcPr>
            <w:tcW w:w="340" w:type="dxa"/>
            <w:vAlign w:val="bottom"/>
            <w:gridSpan w:val="2"/>
          </w:tcPr>
          <w:p>
            <w:pPr>
              <w:jc w:val="right"/>
              <w:ind w:right="91"/>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1,210,840</w:t>
            </w:r>
          </w:p>
        </w:tc>
        <w:tc>
          <w:tcPr>
            <w:tcW w:w="18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1,448,489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Equipment sales and other revenue</w:t>
            </w:r>
          </w:p>
        </w:tc>
        <w:tc>
          <w:tcPr>
            <w:tcW w:w="3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350,686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349,533</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299,367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340" w:type="dxa"/>
            <w:vAlign w:val="bottom"/>
            <w:gridSpan w:val="2"/>
          </w:tcPr>
          <w:p>
            <w:pPr>
              <w:spacing w:after="0" w:line="139" w:lineRule="exact"/>
              <w:rPr>
                <w:sz w:val="20"/>
                <w:szCs w:val="20"/>
                <w:color w:val="auto"/>
              </w:rPr>
            </w:pPr>
            <w:r>
              <w:rPr>
                <w:rFonts w:ascii="Arial" w:cs="Arial" w:eastAsia="Arial" w:hAnsi="Arial"/>
                <w:sz w:val="13"/>
                <w:szCs w:val="13"/>
                <w:color w:val="auto"/>
              </w:rPr>
              <w:t>Total revenue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auto"/>
              </w:rPr>
              <w:t>1,435,905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Arial" w:cs="Arial" w:eastAsia="Arial" w:hAnsi="Arial"/>
                <w:sz w:val="13"/>
                <w:szCs w:val="13"/>
                <w:color w:val="auto"/>
              </w:rPr>
              <w:t>1,560,373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auto"/>
              </w:rPr>
              <w:t>1,747,856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5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5320" w:type="dxa"/>
            <w:vAlign w:val="bottom"/>
          </w:tcPr>
          <w:p>
            <w:pPr>
              <w:spacing w:after="0" w:line="148" w:lineRule="exact"/>
              <w:rPr>
                <w:sz w:val="20"/>
                <w:szCs w:val="20"/>
                <w:color w:val="auto"/>
              </w:rPr>
            </w:pPr>
            <w:r>
              <w:rPr>
                <w:rFonts w:ascii="Arial" w:cs="Arial" w:eastAsia="Arial" w:hAnsi="Arial"/>
                <w:sz w:val="13"/>
                <w:szCs w:val="13"/>
                <w:b w:val="1"/>
                <w:bCs w:val="1"/>
                <w:color w:val="auto"/>
              </w:rPr>
              <w:t>Costs and Expenses (exclusive of depreciation and amortization):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services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637,624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681,021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540,945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tcPr>
          <w:p>
            <w:pPr>
              <w:spacing w:after="0" w:line="148" w:lineRule="exact"/>
              <w:rPr>
                <w:sz w:val="20"/>
                <w:szCs w:val="20"/>
                <w:color w:val="auto"/>
              </w:rPr>
            </w:pPr>
            <w:r>
              <w:rPr>
                <w:rFonts w:ascii="Arial" w:cs="Arial" w:eastAsia="Arial" w:hAnsi="Arial"/>
                <w:sz w:val="13"/>
                <w:szCs w:val="13"/>
                <w:color w:val="auto"/>
              </w:rPr>
              <w:t>Cost of sales - equipment and other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316,475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307,742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239,336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322,172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375,538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439,984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tcPr>
          <w:p>
            <w:pPr>
              <w:spacing w:after="0" w:line="148" w:lineRule="exact"/>
              <w:rPr>
                <w:sz w:val="20"/>
                <w:szCs w:val="20"/>
                <w:color w:val="auto"/>
              </w:rPr>
            </w:pPr>
            <w:r>
              <w:rPr>
                <w:rFonts w:ascii="Arial" w:cs="Arial" w:eastAsia="Arial" w:hAnsi="Arial"/>
                <w:sz w:val="13"/>
                <w:szCs w:val="13"/>
                <w:color w:val="auto"/>
              </w:rPr>
              <w:t>Depreciation and amortization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333,003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365,902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389,632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Impairments and other (Note 1)</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1,422,982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532,940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340" w:type="dxa"/>
            <w:vAlign w:val="bottom"/>
            <w:gridSpan w:val="2"/>
          </w:tcPr>
          <w:p>
            <w:pPr>
              <w:spacing w:after="0" w:line="139" w:lineRule="exact"/>
              <w:rPr>
                <w:sz w:val="20"/>
                <w:szCs w:val="20"/>
                <w:color w:val="auto"/>
              </w:rPr>
            </w:pPr>
            <w:r>
              <w:rPr>
                <w:rFonts w:ascii="Arial" w:cs="Arial" w:eastAsia="Arial" w:hAnsi="Arial"/>
                <w:sz w:val="13"/>
                <w:szCs w:val="13"/>
                <w:color w:val="auto"/>
              </w:rPr>
              <w:t>Total costs and expenses</w:t>
            </w: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3,032,256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1,730,203</w:t>
            </w: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2,142,837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5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5320" w:type="dxa"/>
            <w:vAlign w:val="bottom"/>
          </w:tcPr>
          <w:p>
            <w:pPr>
              <w:spacing w:after="0" w:line="148" w:lineRule="exact"/>
              <w:rPr>
                <w:sz w:val="20"/>
                <w:szCs w:val="20"/>
                <w:color w:val="auto"/>
              </w:rPr>
            </w:pPr>
            <w:r>
              <w:rPr>
                <w:rFonts w:ascii="Arial" w:cs="Arial" w:eastAsia="Arial" w:hAnsi="Arial"/>
                <w:sz w:val="13"/>
                <w:szCs w:val="13"/>
                <w:color w:val="auto"/>
              </w:rPr>
              <w:t>Operating income (loss)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(1,596,351)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(169,830)</w:t>
            </w:r>
          </w:p>
        </w:tc>
        <w:tc>
          <w:tcPr>
            <w:tcW w:w="2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(394,981)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5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5320" w:type="dxa"/>
            <w:vAlign w:val="bottom"/>
          </w:tcPr>
          <w:p>
            <w:pPr>
              <w:spacing w:after="0" w:line="148" w:lineRule="exact"/>
              <w:rPr>
                <w:sz w:val="20"/>
                <w:szCs w:val="20"/>
                <w:color w:val="auto"/>
              </w:rPr>
            </w:pPr>
            <w:r>
              <w:rPr>
                <w:rFonts w:ascii="Arial" w:cs="Arial" w:eastAsia="Arial" w:hAnsi="Arial"/>
                <w:sz w:val="13"/>
                <w:szCs w:val="13"/>
                <w:b w:val="1"/>
                <w:bCs w:val="1"/>
                <w:color w:val="auto"/>
              </w:rPr>
              <w:t>Other Income (Expense):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Interest income</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9,217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25,393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85,036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tcPr>
          <w:p>
            <w:pPr>
              <w:spacing w:after="0" w:line="148" w:lineRule="exact"/>
              <w:rPr>
                <w:sz w:val="20"/>
                <w:szCs w:val="20"/>
                <w:color w:val="auto"/>
              </w:rPr>
            </w:pPr>
            <w:r>
              <w:rPr>
                <w:rFonts w:ascii="Arial" w:cs="Arial" w:eastAsia="Arial" w:hAnsi="Arial"/>
                <w:sz w:val="13"/>
                <w:szCs w:val="13"/>
                <w:color w:val="auto"/>
              </w:rPr>
              <w:t>Interest expense, net of amounts capitalized (Note 2)</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(102,218)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(98,802)</w:t>
            </w:r>
          </w:p>
        </w:tc>
        <w:tc>
          <w:tcPr>
            <w:tcW w:w="2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(89,569)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net (Note 5)</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6,906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(9,024)</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(32,798)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340" w:type="dxa"/>
            <w:vAlign w:val="bottom"/>
            <w:gridSpan w:val="2"/>
          </w:tcPr>
          <w:p>
            <w:pPr>
              <w:spacing w:after="0" w:line="139" w:lineRule="exact"/>
              <w:rPr>
                <w:sz w:val="20"/>
                <w:szCs w:val="20"/>
                <w:color w:val="auto"/>
              </w:rPr>
            </w:pPr>
            <w:r>
              <w:rPr>
                <w:rFonts w:ascii="Arial" w:cs="Arial" w:eastAsia="Arial" w:hAnsi="Arial"/>
                <w:sz w:val="13"/>
                <w:szCs w:val="13"/>
                <w:color w:val="auto"/>
              </w:rPr>
              <w:t>Total other income (expense)</w:t>
            </w: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(86,095)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(82,433)</w:t>
            </w: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(37,331)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5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5320" w:type="dxa"/>
            <w:vAlign w:val="bottom"/>
          </w:tcPr>
          <w:p>
            <w:pPr>
              <w:spacing w:after="0" w:line="148" w:lineRule="exact"/>
              <w:rPr>
                <w:sz w:val="20"/>
                <w:szCs w:val="20"/>
                <w:color w:val="auto"/>
              </w:rPr>
            </w:pPr>
            <w:r>
              <w:rPr>
                <w:rFonts w:ascii="Arial" w:cs="Arial" w:eastAsia="Arial" w:hAnsi="Arial"/>
                <w:sz w:val="13"/>
                <w:szCs w:val="13"/>
                <w:color w:val="auto"/>
              </w:rPr>
              <w:t>Income (loss) before income taxes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(1,682,446)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(252,263)</w:t>
            </w:r>
          </w:p>
        </w:tc>
        <w:tc>
          <w:tcPr>
            <w:tcW w:w="2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(432,312)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tax benefit (provision), net</w:t>
            </w:r>
          </w:p>
        </w:tc>
        <w:tc>
          <w:tcPr>
            <w:tcW w:w="3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398,940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34,153</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(46,126)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340" w:type="dxa"/>
            <w:vAlign w:val="bottom"/>
            <w:gridSpan w:val="2"/>
          </w:tcPr>
          <w:p>
            <w:pPr>
              <w:spacing w:after="0" w:line="139" w:lineRule="exact"/>
              <w:rPr>
                <w:sz w:val="20"/>
                <w:szCs w:val="20"/>
                <w:color w:val="auto"/>
              </w:rPr>
            </w:pPr>
            <w:r>
              <w:rPr>
                <w:rFonts w:ascii="Arial" w:cs="Arial" w:eastAsia="Arial" w:hAnsi="Arial"/>
                <w:sz w:val="13"/>
                <w:szCs w:val="13"/>
                <w:color w:val="auto"/>
              </w:rPr>
              <w:t>Net income (loss)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auto"/>
              </w:rPr>
              <w:t>(1,283,506)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Arial" w:cs="Arial" w:eastAsia="Arial" w:hAnsi="Arial"/>
                <w:sz w:val="13"/>
                <w:szCs w:val="13"/>
                <w:color w:val="auto"/>
              </w:rPr>
              <w:t>(218,110)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auto"/>
              </w:rPr>
              <w:t>(478,438)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Less: Net income (loss) attributable to noncontrolling interests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(9,831)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(8,707)</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(16,569)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340" w:type="dxa"/>
            <w:vAlign w:val="bottom"/>
            <w:gridSpan w:val="2"/>
          </w:tcPr>
          <w:p>
            <w:pPr>
              <w:spacing w:after="0" w:line="139" w:lineRule="exact"/>
              <w:rPr>
                <w:sz w:val="20"/>
                <w:szCs w:val="20"/>
                <w:color w:val="auto"/>
              </w:rPr>
            </w:pPr>
            <w:r>
              <w:rPr>
                <w:rFonts w:ascii="Arial" w:cs="Arial" w:eastAsia="Arial" w:hAnsi="Arial"/>
                <w:sz w:val="13"/>
                <w:szCs w:val="13"/>
                <w:color w:val="auto"/>
              </w:rPr>
              <w:t>Net income (loss) attributable to HSSC</w:t>
            </w:r>
          </w:p>
        </w:tc>
        <w:tc>
          <w:tcPr>
            <w:tcW w:w="3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(1,273,675)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(209,403)</w:t>
            </w:r>
          </w:p>
        </w:tc>
        <w:tc>
          <w:tcPr>
            <w:tcW w:w="1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(461,869)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3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5320" w:type="dxa"/>
            <w:vAlign w:val="bottom"/>
          </w:tcPr>
          <w:p>
            <w:pPr>
              <w:spacing w:after="0" w:line="148" w:lineRule="exact"/>
              <w:rPr>
                <w:sz w:val="20"/>
                <w:szCs w:val="20"/>
                <w:color w:val="auto"/>
              </w:rPr>
            </w:pPr>
            <w:r>
              <w:rPr>
                <w:rFonts w:ascii="Arial" w:cs="Arial" w:eastAsia="Arial" w:hAnsi="Arial"/>
                <w:sz w:val="13"/>
                <w:szCs w:val="13"/>
                <w:b w:val="1"/>
                <w:bCs w:val="1"/>
                <w:color w:val="auto"/>
              </w:rPr>
              <w:t>Comprehensive Income (Loss):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500" w:type="dxa"/>
            <w:vAlign w:val="bottom"/>
            <w:gridSpan w:val="2"/>
            <w:shd w:val="clear" w:color="auto" w:fill="CCEEFF"/>
          </w:tcPr>
          <w:p>
            <w:pPr>
              <w:jc w:val="right"/>
              <w:ind w:right="71"/>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(1,283,506)</w:t>
            </w:r>
          </w:p>
        </w:tc>
        <w:tc>
          <w:tcPr>
            <w:tcW w:w="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91"/>
              <w:spacing w:after="0" w:line="14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(218,110)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(478,438)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340" w:type="dxa"/>
            <w:vAlign w:val="bottom"/>
            <w:gridSpan w:val="2"/>
          </w:tcPr>
          <w:p>
            <w:pPr>
              <w:spacing w:after="0" w:line="139" w:lineRule="exact"/>
              <w:rPr>
                <w:sz w:val="20"/>
                <w:szCs w:val="20"/>
                <w:color w:val="auto"/>
              </w:rPr>
            </w:pPr>
            <w:r>
              <w:rPr>
                <w:rFonts w:ascii="Arial" w:cs="Arial" w:eastAsia="Arial" w:hAnsi="Arial"/>
                <w:sz w:val="13"/>
                <w:szCs w:val="13"/>
                <w:i w:val="1"/>
                <w:iCs w:val="1"/>
                <w:color w:val="auto"/>
              </w:rPr>
              <w:t>Other comprehensive income (loss):</w:t>
            </w: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Foreign currency translation adjustments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24,224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(45,589)</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tcPr>
          <w:p>
            <w:pPr>
              <w:ind w:left="80"/>
              <w:spacing w:after="0" w:line="148" w:lineRule="exact"/>
              <w:rPr>
                <w:sz w:val="20"/>
                <w:szCs w:val="20"/>
                <w:color w:val="auto"/>
              </w:rPr>
            </w:pPr>
            <w:r>
              <w:rPr>
                <w:rFonts w:ascii="Arial" w:cs="Arial" w:eastAsia="Arial" w:hAnsi="Arial"/>
                <w:sz w:val="13"/>
                <w:szCs w:val="13"/>
                <w:color w:val="auto"/>
              </w:rPr>
              <w:t>Unrealized gains (losses) on available-for-sale debt securities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182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Recognition of previously unrealized (gains) losses on available-for-sale debt securities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included in net income (loss)</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(207)</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tcPr>
          <w:p>
            <w:pPr>
              <w:ind w:left="80"/>
              <w:spacing w:after="0" w:line="148" w:lineRule="exact"/>
              <w:rPr>
                <w:sz w:val="20"/>
                <w:szCs w:val="20"/>
                <w:color w:val="auto"/>
              </w:rPr>
            </w:pPr>
            <w:r>
              <w:rPr>
                <w:rFonts w:ascii="Arial" w:cs="Arial" w:eastAsia="Arial" w:hAnsi="Arial"/>
                <w:sz w:val="13"/>
                <w:szCs w:val="13"/>
                <w:color w:val="auto"/>
              </w:rPr>
              <w:t>Other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3"/>
                <w:szCs w:val="13"/>
                <w:i w:val="1"/>
                <w:iCs w:val="1"/>
                <w:color w:val="auto"/>
              </w:rPr>
              <w:t>Total other comprehensive income (loss), net of tax</w:t>
            </w:r>
          </w:p>
        </w:tc>
        <w:tc>
          <w:tcPr>
            <w:tcW w:w="3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24,224</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(45,614)</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21,343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340" w:type="dxa"/>
            <w:vAlign w:val="bottom"/>
            <w:gridSpan w:val="2"/>
          </w:tcPr>
          <w:p>
            <w:pPr>
              <w:spacing w:after="0" w:line="139" w:lineRule="exact"/>
              <w:rPr>
                <w:sz w:val="20"/>
                <w:szCs w:val="20"/>
                <w:color w:val="auto"/>
              </w:rPr>
            </w:pPr>
            <w:r>
              <w:rPr>
                <w:rFonts w:ascii="Arial" w:cs="Arial" w:eastAsia="Arial" w:hAnsi="Arial"/>
                <w:sz w:val="13"/>
                <w:szCs w:val="13"/>
                <w:color w:val="auto"/>
              </w:rPr>
              <w:t>Comprehensive income (loss):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auto"/>
              </w:rPr>
              <w:t>(1,259,282)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Arial" w:cs="Arial" w:eastAsia="Arial" w:hAnsi="Arial"/>
                <w:sz w:val="13"/>
                <w:szCs w:val="13"/>
                <w:color w:val="auto"/>
              </w:rPr>
              <w:t>(263,724)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auto"/>
              </w:rPr>
              <w:t>(457,095)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Less: Comprehensive income (loss) attributable to noncontrolling interests</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(7,711)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(16,002)</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(12,919)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340" w:type="dxa"/>
            <w:vAlign w:val="bottom"/>
            <w:gridSpan w:val="2"/>
          </w:tcPr>
          <w:p>
            <w:pPr>
              <w:spacing w:after="0" w:line="139" w:lineRule="exact"/>
              <w:rPr>
                <w:sz w:val="20"/>
                <w:szCs w:val="20"/>
                <w:color w:val="auto"/>
              </w:rPr>
            </w:pPr>
            <w:r>
              <w:rPr>
                <w:rFonts w:ascii="Arial" w:cs="Arial" w:eastAsia="Arial" w:hAnsi="Arial"/>
                <w:sz w:val="13"/>
                <w:szCs w:val="13"/>
                <w:color w:val="auto"/>
              </w:rPr>
              <w:t>Comprehensive income (loss) attributable to HSSC</w:t>
            </w:r>
          </w:p>
        </w:tc>
        <w:tc>
          <w:tcPr>
            <w:tcW w:w="3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(1,251,571)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(247,722)</w:t>
            </w: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(444,176)</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63" w:name="page64"/>
    <w:bookmarkEnd w:id="6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1500" w:right="1120"/>
        <w:spacing w:after="0" w:line="267" w:lineRule="auto"/>
        <w:rPr>
          <w:sz w:val="20"/>
          <w:szCs w:val="20"/>
          <w:color w:val="auto"/>
        </w:rPr>
      </w:pPr>
      <w:r>
        <w:rPr>
          <w:rFonts w:ascii="Arial" w:cs="Arial" w:eastAsia="Arial" w:hAnsi="Arial"/>
          <w:sz w:val="16"/>
          <w:szCs w:val="16"/>
          <w:b w:val="1"/>
          <w:bCs w:val="1"/>
          <w:color w:val="auto"/>
        </w:rPr>
        <w:t xml:space="preserve">HUGHES SATELLITE SYSTEMS CORPORATION CONSOLIDATED STATEMENTS OF CHANGES IN STOCKHOLDER’S EQUITY (DEFICIT) </w:t>
      </w:r>
      <w:r>
        <w:rPr>
          <w:rFonts w:ascii="Arial" w:cs="Arial" w:eastAsia="Arial" w:hAnsi="Arial"/>
          <w:sz w:val="16"/>
          <w:szCs w:val="16"/>
          <w:color w:val="auto"/>
        </w:rPr>
        <w:t>(In thousands)</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7"/>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95"/>
              <w:spacing w:after="0" w:line="148"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000" w:type="dxa"/>
            <w:vAlign w:val="bottom"/>
            <w:gridSpan w:val="3"/>
          </w:tcPr>
          <w:p>
            <w:pPr>
              <w:jc w:val="center"/>
              <w:ind w:right="60"/>
              <w:spacing w:after="0" w:line="148"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7"/>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95"/>
              <w:spacing w:after="0" w:line="148"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2"/>
                <w:szCs w:val="12"/>
                <w:color w:val="auto"/>
              </w:rPr>
            </w:pPr>
          </w:p>
        </w:tc>
        <w:tc>
          <w:tcPr>
            <w:tcW w:w="1140" w:type="dxa"/>
            <w:vAlign w:val="bottom"/>
            <w:gridSpan w:val="3"/>
          </w:tcPr>
          <w:p>
            <w:pPr>
              <w:jc w:val="center"/>
              <w:ind w:right="40"/>
              <w:spacing w:after="0" w:line="148"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2"/>
                <w:szCs w:val="12"/>
                <w:color w:val="auto"/>
              </w:rPr>
            </w:pPr>
          </w:p>
        </w:tc>
        <w:tc>
          <w:tcPr>
            <w:tcW w:w="1080" w:type="dxa"/>
            <w:vAlign w:val="bottom"/>
            <w:gridSpan w:val="3"/>
          </w:tcPr>
          <w:p>
            <w:pPr>
              <w:jc w:val="center"/>
              <w:ind w:right="40"/>
              <w:spacing w:after="0" w:line="148" w:lineRule="exact"/>
              <w:rPr>
                <w:sz w:val="20"/>
                <w:szCs w:val="20"/>
                <w:color w:val="auto"/>
              </w:rPr>
            </w:pPr>
            <w:r>
              <w:rPr>
                <w:rFonts w:ascii="Arial" w:cs="Arial" w:eastAsia="Arial" w:hAnsi="Arial"/>
                <w:sz w:val="13"/>
                <w:szCs w:val="13"/>
                <w:b w:val="1"/>
                <w:bCs w:val="1"/>
                <w:color w:val="auto"/>
                <w:w w:val="99"/>
              </w:rPr>
              <w:t>Noncontrolling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5"/>
        </w:trPr>
        <w:tc>
          <w:tcPr>
            <w:tcW w:w="3060" w:type="dxa"/>
            <w:vAlign w:val="bottom"/>
          </w:tcPr>
          <w:p>
            <w:pPr>
              <w:spacing w:after="0"/>
              <w:rPr>
                <w:sz w:val="13"/>
                <w:szCs w:val="13"/>
                <w:color w:val="auto"/>
              </w:rPr>
            </w:pPr>
          </w:p>
        </w:tc>
        <w:tc>
          <w:tcPr>
            <w:tcW w:w="320" w:type="dxa"/>
            <w:vAlign w:val="bottom"/>
            <w:gridSpan w:val="2"/>
          </w:tcPr>
          <w:p>
            <w:pPr>
              <w:jc w:val="right"/>
              <w:ind w:right="31"/>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95"/>
              <w:spacing w:after="0"/>
              <w:rPr>
                <w:sz w:val="20"/>
                <w:szCs w:val="20"/>
                <w:color w:val="auto"/>
              </w:rPr>
            </w:pPr>
            <w:r>
              <w:rPr>
                <w:rFonts w:ascii="Arial" w:cs="Arial" w:eastAsia="Arial" w:hAnsi="Arial"/>
                <w:sz w:val="13"/>
                <w:szCs w:val="13"/>
                <w:b w:val="1"/>
                <w:bCs w:val="1"/>
                <w:color w:val="auto"/>
              </w:rPr>
              <w:t>Capital</w:t>
            </w:r>
          </w:p>
        </w:tc>
        <w:tc>
          <w:tcPr>
            <w:tcW w:w="260" w:type="dxa"/>
            <w:vAlign w:val="bottom"/>
            <w:gridSpan w:val="2"/>
          </w:tcPr>
          <w:p>
            <w:pPr>
              <w:jc w:val="right"/>
              <w:ind w:right="15"/>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Income (Loss)</w:t>
            </w:r>
          </w:p>
        </w:tc>
        <w:tc>
          <w:tcPr>
            <w:tcW w:w="260" w:type="dxa"/>
            <w:vAlign w:val="bottom"/>
            <w:gridSpan w:val="2"/>
          </w:tcPr>
          <w:p>
            <w:pPr>
              <w:jc w:val="right"/>
              <w:ind w:right="55"/>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(Deficit)</w:t>
            </w:r>
          </w:p>
        </w:tc>
        <w:tc>
          <w:tcPr>
            <w:tcW w:w="280" w:type="dxa"/>
            <w:vAlign w:val="bottom"/>
            <w:gridSpan w:val="2"/>
          </w:tcPr>
          <w:p>
            <w:pPr>
              <w:jc w:val="right"/>
              <w:ind w:right="81"/>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Interests</w:t>
            </w:r>
          </w:p>
        </w:tc>
        <w:tc>
          <w:tcPr>
            <w:tcW w:w="300" w:type="dxa"/>
            <w:vAlign w:val="bottom"/>
            <w:gridSpan w:val="2"/>
          </w:tcPr>
          <w:p>
            <w:pPr>
              <w:jc w:val="right"/>
              <w:ind w:right="10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255"/>
              <w:spacing w:after="0"/>
              <w:rPr>
                <w:sz w:val="20"/>
                <w:szCs w:val="20"/>
                <w:color w:val="auto"/>
              </w:rPr>
            </w:pPr>
            <w:r>
              <w:rPr>
                <w:rFonts w:ascii="Arial" w:cs="Arial" w:eastAsia="Arial" w:hAnsi="Arial"/>
                <w:sz w:val="13"/>
                <w:szCs w:val="13"/>
                <w:b w:val="1"/>
                <w:bCs w:val="1"/>
                <w:color w:val="auto"/>
              </w:rPr>
              <w:t>Total</w:t>
            </w:r>
          </w:p>
        </w:tc>
      </w:tr>
      <w:tr>
        <w:trPr>
          <w:trHeight w:val="139"/>
        </w:trPr>
        <w:tc>
          <w:tcPr>
            <w:tcW w:w="30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Balance, December 31, 2022</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1,479,857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(170,184)</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741,754</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21"/>
              <w:spacing w:after="0" w:line="13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96,436</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43"/>
              <w:spacing w:after="0" w:line="13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2,147,863</w:t>
            </w:r>
          </w:p>
        </w:tc>
      </w:tr>
      <w:tr>
        <w:trPr>
          <w:trHeight w:val="139"/>
        </w:trPr>
        <w:tc>
          <w:tcPr>
            <w:tcW w:w="3060" w:type="dxa"/>
            <w:vAlign w:val="bottom"/>
          </w:tcPr>
          <w:p>
            <w:pPr>
              <w:ind w:left="100"/>
              <w:spacing w:after="0" w:line="139" w:lineRule="exact"/>
              <w:rPr>
                <w:sz w:val="20"/>
                <w:szCs w:val="20"/>
                <w:color w:val="auto"/>
              </w:rPr>
            </w:pPr>
            <w:r>
              <w:rPr>
                <w:rFonts w:ascii="Arial" w:cs="Arial" w:eastAsia="Arial" w:hAnsi="Arial"/>
                <w:sz w:val="13"/>
                <w:szCs w:val="13"/>
                <w:color w:val="auto"/>
              </w:rPr>
              <w:t>Non-cash, stock-based 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4,207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auto"/>
              </w:rPr>
              <w:t>4,207</w:t>
            </w:r>
          </w:p>
        </w:tc>
      </w:tr>
      <w:tr>
        <w:trPr>
          <w:trHeight w:val="147"/>
        </w:trPr>
        <w:tc>
          <w:tcPr>
            <w:tcW w:w="30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Other comprehensive income (loss)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17,693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21,343</w:t>
            </w:r>
          </w:p>
        </w:tc>
      </w:tr>
      <w:tr>
        <w:trPr>
          <w:trHeight w:val="147"/>
        </w:trPr>
        <w:tc>
          <w:tcPr>
            <w:tcW w:w="3060" w:type="dxa"/>
            <w:vAlign w:val="bottom"/>
          </w:tcPr>
          <w:p>
            <w:pPr>
              <w:ind w:left="100"/>
              <w:spacing w:after="0" w:line="148" w:lineRule="exact"/>
              <w:rPr>
                <w:sz w:val="20"/>
                <w:szCs w:val="20"/>
                <w:color w:val="auto"/>
              </w:rPr>
            </w:pPr>
            <w:r>
              <w:rPr>
                <w:rFonts w:ascii="Arial" w:cs="Arial" w:eastAsia="Arial" w:hAnsi="Arial"/>
                <w:sz w:val="13"/>
                <w:szCs w:val="13"/>
                <w:color w:val="auto"/>
              </w:rPr>
              <w:t>Deconsolidation of Hughes Systique Corporation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(15,448)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(15,448)</w:t>
            </w:r>
          </w:p>
        </w:tc>
      </w:tr>
      <w:tr>
        <w:trPr>
          <w:trHeight w:val="147"/>
        </w:trPr>
        <w:tc>
          <w:tcPr>
            <w:tcW w:w="30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Net income (loss)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(461,869)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(16,569)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(478,438)</w:t>
            </w:r>
          </w:p>
        </w:tc>
      </w:tr>
      <w:tr>
        <w:trPr>
          <w:trHeight w:val="147"/>
        </w:trPr>
        <w:tc>
          <w:tcPr>
            <w:tcW w:w="3060" w:type="dxa"/>
            <w:vAlign w:val="bottom"/>
          </w:tcPr>
          <w:p>
            <w:pPr>
              <w:ind w:left="100"/>
              <w:spacing w:after="0" w:line="148" w:lineRule="exact"/>
              <w:rPr>
                <w:sz w:val="20"/>
                <w:szCs w:val="20"/>
                <w:color w:val="auto"/>
              </w:rPr>
            </w:pPr>
            <w:r>
              <w:rPr>
                <w:rFonts w:ascii="Arial" w:cs="Arial" w:eastAsia="Arial" w:hAnsi="Arial"/>
                <w:sz w:val="13"/>
                <w:szCs w:val="13"/>
                <w:color w:val="auto"/>
              </w:rPr>
              <w:t>Other, net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(438)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(438)</w:t>
            </w:r>
          </w:p>
        </w:tc>
      </w:tr>
      <w:tr>
        <w:trPr>
          <w:trHeight w:val="139"/>
        </w:trPr>
        <w:tc>
          <w:tcPr>
            <w:tcW w:w="30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Balance, December 31, 2023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1,484,064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(152,491)</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279,885</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67,631</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1,679,089</w:t>
            </w:r>
          </w:p>
        </w:tc>
      </w:tr>
      <w:tr>
        <w:trPr>
          <w:trHeight w:val="139"/>
        </w:trPr>
        <w:tc>
          <w:tcPr>
            <w:tcW w:w="3060" w:type="dxa"/>
            <w:vAlign w:val="bottom"/>
          </w:tcPr>
          <w:p>
            <w:pPr>
              <w:ind w:left="100"/>
              <w:spacing w:after="0" w:line="139" w:lineRule="exact"/>
              <w:rPr>
                <w:sz w:val="20"/>
                <w:szCs w:val="20"/>
                <w:color w:val="auto"/>
              </w:rPr>
            </w:pPr>
            <w:r>
              <w:rPr>
                <w:rFonts w:ascii="Arial" w:cs="Arial" w:eastAsia="Arial" w:hAnsi="Arial"/>
                <w:sz w:val="13"/>
                <w:szCs w:val="13"/>
                <w:color w:val="auto"/>
              </w:rPr>
              <w:t>Non-cash, stock-based 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3,694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auto"/>
              </w:rPr>
              <w:t>3,694</w:t>
            </w:r>
          </w:p>
        </w:tc>
      </w:tr>
      <w:tr>
        <w:trPr>
          <w:trHeight w:val="147"/>
        </w:trPr>
        <w:tc>
          <w:tcPr>
            <w:tcW w:w="30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Other comprehensive income (loss)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(38,319)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(7,295)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(45,614)</w:t>
            </w:r>
          </w:p>
        </w:tc>
      </w:tr>
      <w:tr>
        <w:trPr>
          <w:trHeight w:val="147"/>
        </w:trPr>
        <w:tc>
          <w:tcPr>
            <w:tcW w:w="3060" w:type="dxa"/>
            <w:vAlign w:val="bottom"/>
          </w:tcPr>
          <w:p>
            <w:pPr>
              <w:ind w:left="100"/>
              <w:spacing w:after="0" w:line="148" w:lineRule="exact"/>
              <w:rPr>
                <w:sz w:val="20"/>
                <w:szCs w:val="20"/>
                <w:color w:val="auto"/>
              </w:rPr>
            </w:pPr>
            <w:r>
              <w:rPr>
                <w:rFonts w:ascii="Arial" w:cs="Arial" w:eastAsia="Arial" w:hAnsi="Arial"/>
                <w:sz w:val="13"/>
                <w:szCs w:val="13"/>
                <w:color w:val="auto"/>
              </w:rPr>
              <w:t>Dividends to EchoStar Corporation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(1,029,000)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(1,029,000)</w:t>
            </w:r>
          </w:p>
        </w:tc>
      </w:tr>
      <w:tr>
        <w:trPr>
          <w:trHeight w:val="147"/>
        </w:trPr>
        <w:tc>
          <w:tcPr>
            <w:tcW w:w="30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Net income (loss)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(209,403)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(8,707)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(218,110)</w:t>
            </w:r>
          </w:p>
        </w:tc>
      </w:tr>
      <w:tr>
        <w:trPr>
          <w:trHeight w:val="147"/>
        </w:trPr>
        <w:tc>
          <w:tcPr>
            <w:tcW w:w="3060" w:type="dxa"/>
            <w:vAlign w:val="bottom"/>
          </w:tcPr>
          <w:p>
            <w:pPr>
              <w:ind w:left="100"/>
              <w:spacing w:after="0" w:line="148" w:lineRule="exact"/>
              <w:rPr>
                <w:sz w:val="20"/>
                <w:szCs w:val="20"/>
                <w:color w:val="auto"/>
              </w:rPr>
            </w:pPr>
            <w:r>
              <w:rPr>
                <w:rFonts w:ascii="Arial" w:cs="Arial" w:eastAsia="Arial" w:hAnsi="Arial"/>
                <w:sz w:val="13"/>
                <w:szCs w:val="13"/>
                <w:color w:val="auto"/>
              </w:rPr>
              <w:t>Other, net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r>
      <w:tr>
        <w:trPr>
          <w:trHeight w:val="139"/>
        </w:trPr>
        <w:tc>
          <w:tcPr>
            <w:tcW w:w="30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Balance, December 31, 2024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1,487,758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(190,810)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(958,518)</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51,629</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390,059</w:t>
            </w:r>
          </w:p>
        </w:tc>
      </w:tr>
      <w:tr>
        <w:trPr>
          <w:trHeight w:val="139"/>
        </w:trPr>
        <w:tc>
          <w:tcPr>
            <w:tcW w:w="3060" w:type="dxa"/>
            <w:vAlign w:val="bottom"/>
          </w:tcPr>
          <w:p>
            <w:pPr>
              <w:ind w:left="100"/>
              <w:spacing w:after="0" w:line="139" w:lineRule="exact"/>
              <w:rPr>
                <w:sz w:val="20"/>
                <w:szCs w:val="20"/>
                <w:color w:val="auto"/>
              </w:rPr>
            </w:pPr>
            <w:r>
              <w:rPr>
                <w:rFonts w:ascii="Arial" w:cs="Arial" w:eastAsia="Arial" w:hAnsi="Arial"/>
                <w:sz w:val="13"/>
                <w:szCs w:val="13"/>
                <w:color w:val="auto"/>
              </w:rPr>
              <w:t>Non-cash, stock-based 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auto"/>
              </w:rPr>
              <w:t>16,606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3"/>
                <w:szCs w:val="13"/>
                <w:color w:val="auto"/>
              </w:rPr>
              <w:t>16,606</w:t>
            </w:r>
          </w:p>
        </w:tc>
      </w:tr>
      <w:tr>
        <w:trPr>
          <w:trHeight w:val="147"/>
        </w:trPr>
        <w:tc>
          <w:tcPr>
            <w:tcW w:w="30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Other comprehensive income (loss)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22,104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2,120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24,224</w:t>
            </w:r>
          </w:p>
        </w:tc>
      </w:tr>
      <w:tr>
        <w:trPr>
          <w:trHeight w:val="147"/>
        </w:trPr>
        <w:tc>
          <w:tcPr>
            <w:tcW w:w="3060" w:type="dxa"/>
            <w:vAlign w:val="bottom"/>
          </w:tcPr>
          <w:p>
            <w:pPr>
              <w:ind w:left="100"/>
              <w:spacing w:after="0" w:line="148" w:lineRule="exact"/>
              <w:rPr>
                <w:sz w:val="20"/>
                <w:szCs w:val="20"/>
                <w:color w:val="auto"/>
              </w:rPr>
            </w:pPr>
            <w:r>
              <w:rPr>
                <w:rFonts w:ascii="Arial" w:cs="Arial" w:eastAsia="Arial" w:hAnsi="Arial"/>
                <w:sz w:val="13"/>
                <w:szCs w:val="13"/>
                <w:color w:val="auto"/>
              </w:rPr>
              <w:t>Net income (loss)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(1,273,675)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(9,831)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(1,283,506)</w:t>
            </w:r>
          </w:p>
        </w:tc>
      </w:tr>
      <w:tr>
        <w:trPr>
          <w:trHeight w:val="139"/>
        </w:trPr>
        <w:tc>
          <w:tcPr>
            <w:tcW w:w="306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Balance, December 31, 2025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1,504,364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(168,706)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(2,232,193)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21"/>
              <w:spacing w:after="0" w:line="13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43,918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43"/>
              <w:spacing w:after="0" w:line="13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(852,617)</w:t>
            </w:r>
          </w:p>
        </w:tc>
      </w:tr>
      <w:tr>
        <w:trPr>
          <w:trHeight w:val="20"/>
        </w:trPr>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64" w:name="page65"/>
    <w:bookmarkEnd w:id="6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jc w:val="center"/>
        <w:ind w:right="19"/>
        <w:spacing w:after="0"/>
        <w:rPr>
          <w:sz w:val="20"/>
          <w:szCs w:val="20"/>
          <w:color w:val="auto"/>
        </w:rPr>
      </w:pPr>
      <w:r>
        <w:rPr>
          <w:rFonts w:ascii="Arial" w:cs="Arial" w:eastAsia="Arial" w:hAnsi="Arial"/>
          <w:sz w:val="16"/>
          <w:szCs w:val="16"/>
          <w:color w:val="auto"/>
        </w:rPr>
        <w:t>(In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8"/>
          </w:tcPr>
          <w:p>
            <w:pPr>
              <w:jc w:val="right"/>
              <w:ind w:right="315"/>
              <w:spacing w:after="0"/>
              <w:rPr>
                <w:sz w:val="20"/>
                <w:szCs w:val="20"/>
                <w:color w:val="auto"/>
              </w:rPr>
            </w:pPr>
            <w:r>
              <w:rPr>
                <w:rFonts w:ascii="Arial" w:cs="Arial" w:eastAsia="Arial" w:hAnsi="Arial"/>
                <w:sz w:val="13"/>
                <w:szCs w:val="13"/>
                <w:b w:val="1"/>
                <w:bCs w:val="1"/>
                <w:color w:val="auto"/>
              </w:rPr>
              <w:t>For the Years Ended 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480" w:type="dxa"/>
            <w:vAlign w:val="bottom"/>
            <w:gridSpan w:val="2"/>
          </w:tcPr>
          <w:p>
            <w:pPr>
              <w:jc w:val="right"/>
              <w:ind w:right="55"/>
              <w:spacing w:after="0" w:line="148" w:lineRule="exact"/>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215"/>
              <w:spacing w:after="0" w:line="148" w:lineRule="exact"/>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12"/>
                <w:szCs w:val="12"/>
                <w:color w:val="auto"/>
              </w:rPr>
            </w:pPr>
          </w:p>
        </w:tc>
        <w:tc>
          <w:tcPr>
            <w:tcW w:w="260" w:type="dxa"/>
            <w:vAlign w:val="bottom"/>
            <w:gridSpan w:val="2"/>
          </w:tcPr>
          <w:p>
            <w:pPr>
              <w:jc w:val="right"/>
              <w:ind w:right="55"/>
              <w:spacing w:after="0" w:line="148" w:lineRule="exact"/>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235"/>
              <w:spacing w:after="0" w:line="148"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15"/>
              <w:spacing w:after="0" w:line="148" w:lineRule="exact"/>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68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color w:val="auto"/>
              </w:rPr>
              <w:t>Net income (loss)</w:t>
            </w:r>
          </w:p>
        </w:tc>
        <w:tc>
          <w:tcPr>
            <w:tcW w:w="4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(1,283,506)</w:t>
            </w:r>
          </w:p>
        </w:tc>
        <w:tc>
          <w:tcPr>
            <w:tcW w:w="2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(218,110)</w:t>
            </w: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(478,438)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i w:val="1"/>
                <w:iCs w:val="1"/>
                <w:color w:val="auto"/>
              </w:rPr>
              <w:t>Adjustments to reconcile net income (loss) to net cash flows from operating activities: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333,003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365,902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389,632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Impairments and other (Note 1)</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1,422,982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532,940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color w:val="auto"/>
              </w:rPr>
              <w:t>Realized and unrealized losses (gains) and impairments on investments and other</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(204)</w:t>
            </w: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33,155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Non-cash, stock-based compensation</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16,606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color w:val="auto"/>
              </w:rPr>
              <w:t>Deferred tax expense (benefit)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(404,779)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(60,766)</w:t>
            </w: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(36,697)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Equity in (earnings) losses of affiliates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(628)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5,121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4,264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color w:val="auto"/>
              </w:rPr>
              <w:t>Changes in allowance for credit losses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6,245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(9,086)</w:t>
            </w: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5,041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Foreign currency transaction losses (gains), net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(6,489)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3,901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color w:val="auto"/>
              </w:rPr>
              <w:t>Amortization of debt issuance costs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936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882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832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Noncurrent assets and noncurrent liabilities, net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(19,767)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25,660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99,030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color w:val="auto"/>
              </w:rPr>
              <w:t>Other, net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(939)</w:t>
            </w: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(21,354)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Changes in operating assets and operating liabilities, net: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ind w:left="180"/>
              <w:spacing w:after="0" w:line="148" w:lineRule="exact"/>
              <w:rPr>
                <w:sz w:val="20"/>
                <w:szCs w:val="20"/>
                <w:color w:val="auto"/>
              </w:rPr>
            </w:pPr>
            <w:r>
              <w:rPr>
                <w:rFonts w:ascii="Arial" w:cs="Arial" w:eastAsia="Arial" w:hAnsi="Arial"/>
                <w:sz w:val="13"/>
                <w:szCs w:val="13"/>
                <w:color w:val="auto"/>
              </w:rPr>
              <w:t>Trade accounts receivable and contract assets, net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(40,021)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(39,677)</w:t>
            </w: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(7,464)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Other current assets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(54,660)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(59,455)</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(28,638)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ind w:left="180"/>
              <w:spacing w:after="0" w:line="148" w:lineRule="exact"/>
              <w:rPr>
                <w:sz w:val="20"/>
                <w:szCs w:val="20"/>
                <w:color w:val="auto"/>
              </w:rPr>
            </w:pPr>
            <w:r>
              <w:rPr>
                <w:rFonts w:ascii="Arial" w:cs="Arial" w:eastAsia="Arial" w:hAnsi="Arial"/>
                <w:sz w:val="13"/>
                <w:szCs w:val="13"/>
                <w:color w:val="auto"/>
              </w:rPr>
              <w:t>Trade accounts payable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(8,355)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10,183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(4,505)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Contract liabilities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(4,978)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(34,629)</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ind w:left="180"/>
              <w:spacing w:after="0" w:line="148" w:lineRule="exact"/>
              <w:rPr>
                <w:sz w:val="20"/>
                <w:szCs w:val="20"/>
                <w:color w:val="auto"/>
              </w:rPr>
            </w:pPr>
            <w:r>
              <w:rPr>
                <w:rFonts w:ascii="Arial" w:cs="Arial" w:eastAsia="Arial" w:hAnsi="Arial"/>
                <w:sz w:val="13"/>
                <w:szCs w:val="13"/>
                <w:color w:val="auto"/>
              </w:rPr>
              <w:t>Accrued expenses and other liabilities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100,244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(240,892)</w:t>
            </w: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(28,190)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68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Net cash flows from operating activities</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56,791</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(248,415)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452,552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color w:val="auto"/>
              </w:rPr>
              <w:t>Purchases of marketable investment securities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(30,261)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(964,388)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Sales and maturities of marketable investment securities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30,305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414,323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1,373,313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color w:val="auto"/>
              </w:rPr>
              <w:t>Purchases of property and equipment (Note 7)</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(114,431)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(205,330)</w:t>
            </w: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(190,129)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Expenditures for externally marketed software</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(20,775)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(24,945)</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(30,164)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color w:val="auto"/>
              </w:rPr>
              <w:t>Deconsolidation of Hughes Systique Corporation (Note 15)</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(17,296)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Return of equity investment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color w:val="auto"/>
              </w:rPr>
              <w:t>Dividend received from unconsolidated affiliate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2,000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5,500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net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(2,209)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7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Net cash flows from investing activities</w:t>
            </w: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(135,371)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209,548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171,336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56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Payment of in-orbit incentive obligations</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(6,143)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(1,480)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(3,889)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color w:val="auto"/>
              </w:rPr>
              <w:t>Dividends to EchoStar Corporation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(1,029,000)</w:t>
            </w: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net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(2,096)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7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Net cash flows from financing activities</w:t>
            </w: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(8,239)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(1,027,353)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(3,611)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56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b w:val="1"/>
                <w:bCs w:val="1"/>
                <w:color w:val="auto"/>
              </w:rPr>
              <w:t>Effect of exchange rates on cash and cash equivalents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2,526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(5,708)</w:t>
            </w: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2,991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5680" w:type="dxa"/>
            <w:vAlign w:val="bottom"/>
          </w:tcPr>
          <w:p>
            <w:pPr>
              <w:spacing w:after="0" w:line="148" w:lineRule="exact"/>
              <w:rPr>
                <w:sz w:val="20"/>
                <w:szCs w:val="20"/>
                <w:color w:val="auto"/>
              </w:rPr>
            </w:pPr>
            <w:r>
              <w:rPr>
                <w:rFonts w:ascii="Arial" w:cs="Arial" w:eastAsia="Arial" w:hAnsi="Arial"/>
                <w:sz w:val="13"/>
                <w:szCs w:val="13"/>
                <w:b w:val="1"/>
                <w:bCs w:val="1"/>
                <w:color w:val="auto"/>
              </w:rPr>
              <w:t>Net increase (decrease) in cash, cash equivalents, restricted cash and cash equivalents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(84,293)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(1,071,928)</w:t>
            </w:r>
          </w:p>
        </w:tc>
        <w:tc>
          <w:tcPr>
            <w:tcW w:w="8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623,268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Cash and cash equivalents, including restricted amounts, beginning of period (Note 5)</w:t>
            </w:r>
          </w:p>
        </w:tc>
        <w:tc>
          <w:tcPr>
            <w:tcW w:w="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205,813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1,277,741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654,473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700" w:type="dxa"/>
            <w:vAlign w:val="bottom"/>
            <w:gridSpan w:val="2"/>
          </w:tcPr>
          <w:p>
            <w:pPr>
              <w:spacing w:after="0" w:line="139" w:lineRule="exact"/>
              <w:rPr>
                <w:sz w:val="20"/>
                <w:szCs w:val="20"/>
                <w:color w:val="auto"/>
              </w:rPr>
            </w:pPr>
            <w:r>
              <w:rPr>
                <w:rFonts w:ascii="Arial" w:cs="Arial" w:eastAsia="Arial" w:hAnsi="Arial"/>
                <w:sz w:val="13"/>
                <w:szCs w:val="13"/>
                <w:color w:val="auto"/>
              </w:rPr>
              <w:t>Cash and cash equivalents, including restricted amounts, end of period (Note 5)</w:t>
            </w:r>
          </w:p>
        </w:tc>
        <w:tc>
          <w:tcPr>
            <w:tcW w:w="3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121,520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205,813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1,277,741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65" w:name="page66"/>
    <w:bookmarkEnd w:id="6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HUGHES SATELLITE SYSTEMS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80" w:lineRule="exact"/>
        <w:rPr>
          <w:sz w:val="20"/>
          <w:szCs w:val="20"/>
          <w:color w:val="auto"/>
        </w:rPr>
      </w:pPr>
    </w:p>
    <w:p>
      <w:pPr>
        <w:ind w:left="40" w:right="5519" w:firstLine="2"/>
        <w:spacing w:after="0" w:line="495" w:lineRule="auto"/>
        <w:tabs>
          <w:tab w:leader="none" w:pos="628"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Business Activities Principal Business</w:t>
      </w:r>
    </w:p>
    <w:p>
      <w:pPr>
        <w:spacing w:after="0" w:line="1" w:lineRule="exact"/>
        <w:rPr>
          <w:sz w:val="20"/>
          <w:szCs w:val="20"/>
          <w:color w:val="auto"/>
        </w:rPr>
      </w:pPr>
    </w:p>
    <w:p>
      <w:pPr>
        <w:jc w:val="both"/>
        <w:ind w:left="40" w:right="99"/>
        <w:spacing w:after="0" w:line="245" w:lineRule="auto"/>
        <w:rPr>
          <w:sz w:val="20"/>
          <w:szCs w:val="20"/>
          <w:color w:val="auto"/>
        </w:rPr>
      </w:pPr>
      <w:r>
        <w:rPr>
          <w:rFonts w:ascii="Arial" w:cs="Arial" w:eastAsia="Arial" w:hAnsi="Arial"/>
          <w:sz w:val="16"/>
          <w:szCs w:val="16"/>
          <w:color w:val="auto"/>
        </w:rPr>
        <w:t>Hughes Satellite Systems Corporation (which, together with its subsidiaries, is referred to as “HSSC,” the “Company,” “we,” “us” and “our”) is a holding company and a subsidiary of EchoStar Corporation (“EchoStar” and “parent”). We were formed as a Colorado corporation in March 2011 to facilitate the acquisition by EchoStar (the “Hughes Acquisition”) of Hughes Communications, Inc. and its subsidiaries and related financing transactions. In connection with our formation, EchoStar contributed the assets and liabilities of its satellite services business to us, including the principal operating subsidiary of its satellite services business, EchoStar Satellite Services L.L.C. Substantially all of the voting power of the shares of EchoStar is owned beneficially by Charles W. Ergen, our Chairman, and by certain entities established for the benefit of his family.</w:t>
      </w:r>
    </w:p>
    <w:p>
      <w:pPr>
        <w:spacing w:after="0" w:line="352" w:lineRule="exact"/>
        <w:rPr>
          <w:sz w:val="20"/>
          <w:szCs w:val="20"/>
          <w:color w:val="auto"/>
        </w:rPr>
      </w:pPr>
    </w:p>
    <w:p>
      <w:pPr>
        <w:jc w:val="both"/>
        <w:ind w:left="40" w:right="119"/>
        <w:spacing w:after="0" w:line="313" w:lineRule="auto"/>
        <w:rPr>
          <w:sz w:val="20"/>
          <w:szCs w:val="20"/>
          <w:color w:val="auto"/>
        </w:rPr>
      </w:pPr>
      <w:r>
        <w:rPr>
          <w:rFonts w:ascii="Arial" w:cs="Arial" w:eastAsia="Arial" w:hAnsi="Arial"/>
          <w:sz w:val="16"/>
          <w:szCs w:val="16"/>
          <w:color w:val="auto"/>
        </w:rPr>
        <w:t>We manage our business activities on a consolidated basis and operate as a single operating segment: Hughes. See Note 13 for information regarding our segment reporting.</w:t>
      </w:r>
    </w:p>
    <w:p>
      <w:pPr>
        <w:spacing w:after="0" w:line="133" w:lineRule="exact"/>
        <w:rPr>
          <w:sz w:val="20"/>
          <w:szCs w:val="20"/>
          <w:color w:val="auto"/>
        </w:rPr>
      </w:pPr>
    </w:p>
    <w:p>
      <w:pPr>
        <w:jc w:val="both"/>
        <w:ind w:left="40" w:right="159"/>
        <w:spacing w:after="0" w:line="270" w:lineRule="auto"/>
        <w:rPr>
          <w:sz w:val="20"/>
          <w:szCs w:val="20"/>
          <w:color w:val="auto"/>
        </w:rPr>
      </w:pPr>
      <w:r>
        <w:rPr>
          <w:rFonts w:ascii="Arial" w:cs="Arial" w:eastAsia="Arial" w:hAnsi="Arial"/>
          <w:sz w:val="16"/>
          <w:szCs w:val="16"/>
          <w:color w:val="auto"/>
        </w:rPr>
        <w:t>We offer broadband satellite technologies and broadband internet products and services to consumer customers. We provide broadband network technologies, managed services, equipment, hardware, satellite services and communications solutions to government and enterprise customers. We have leveraged the EchoStar XXIV satellite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 Revenue in our satellite services business depends largely on our ability to make continuous use of our available satellite capacity on behalf of existing customers and our ability to enter into commercial relationships with new customers. We currently lease all of the capacity of EchoStar XXIV from our parent EchoStar, effective December 31, 2023. As of December 31, 2025, we had 739,000 Broadband subscribers.</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Developments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FCC Review</w:t>
      </w:r>
    </w:p>
    <w:p>
      <w:pPr>
        <w:spacing w:after="0" w:line="218" w:lineRule="exact"/>
        <w:rPr>
          <w:sz w:val="20"/>
          <w:szCs w:val="20"/>
          <w:color w:val="auto"/>
        </w:rPr>
      </w:pPr>
    </w:p>
    <w:p>
      <w:pPr>
        <w:jc w:val="both"/>
        <w:ind w:left="40" w:right="179"/>
        <w:spacing w:after="0" w:line="273" w:lineRule="auto"/>
        <w:rPr>
          <w:sz w:val="20"/>
          <w:szCs w:val="20"/>
          <w:color w:val="auto"/>
        </w:rPr>
      </w:pPr>
      <w:r>
        <w:rPr>
          <w:rFonts w:ascii="Arial" w:cs="Arial" w:eastAsia="Arial" w:hAnsi="Arial"/>
          <w:sz w:val="16"/>
          <w:szCs w:val="16"/>
          <w:color w:val="auto"/>
        </w:rPr>
        <w:t xml:space="preserve">In the third quarter of 2025, our parent, EchoStar resolved the review by the Federal Communications Commission (the “FCC”) into EchoStar’s compliance with its build-out milestones and other obligations regarding EchoStar’s federal spectrum licenses. EchoStar previously </w:t>
      </w:r>
      <w:r>
        <w:rPr>
          <w:rFonts w:ascii="Arial" w:cs="Arial" w:eastAsia="Arial" w:hAnsi="Arial"/>
          <w:sz w:val="16"/>
          <w:szCs w:val="16"/>
          <w:color w:val="222222"/>
        </w:rPr>
        <w:t>received a letter from the FCC on May 9, 2025, indicating that the FCC was</w:t>
      </w:r>
      <w:r>
        <w:rPr>
          <w:rFonts w:ascii="Arial" w:cs="Arial" w:eastAsia="Arial" w:hAnsi="Arial"/>
          <w:sz w:val="16"/>
          <w:szCs w:val="16"/>
          <w:color w:val="auto"/>
        </w:rPr>
        <w:t xml:space="preserve"> </w:t>
      </w:r>
      <w:r>
        <w:rPr>
          <w:rFonts w:ascii="Arial" w:cs="Arial" w:eastAsia="Arial" w:hAnsi="Arial"/>
          <w:sz w:val="16"/>
          <w:szCs w:val="16"/>
          <w:color w:val="222222"/>
        </w:rPr>
        <w:t>beginning a review of their compliance with certain obligations to provide 5G broadband service and raising certain questions regarding the September 2024 buildout extension granted by the FCC and mobile-satellite service (“MSS”) utilization in the 2 GHz band (the “May 9 Letter”). EchoStar responded to the FCC’s subsequent public notices with filings on May 27, 2025 and June 6, 2025</w:t>
      </w:r>
      <w:r>
        <w:rPr>
          <w:rFonts w:ascii="Arial" w:cs="Arial" w:eastAsia="Arial" w:hAnsi="Arial"/>
          <w:sz w:val="16"/>
          <w:szCs w:val="16"/>
          <w:color w:val="000000"/>
        </w:rPr>
        <w:t>.</w:t>
      </w:r>
    </w:p>
    <w:p>
      <w:pPr>
        <w:spacing w:after="0" w:line="153" w:lineRule="exact"/>
        <w:rPr>
          <w:sz w:val="20"/>
          <w:szCs w:val="20"/>
          <w:color w:val="auto"/>
        </w:rPr>
      </w:pPr>
    </w:p>
    <w:p>
      <w:pPr>
        <w:jc w:val="both"/>
        <w:ind w:left="40" w:right="159"/>
        <w:spacing w:after="0" w:line="278" w:lineRule="auto"/>
        <w:rPr>
          <w:sz w:val="20"/>
          <w:szCs w:val="20"/>
          <w:color w:val="auto"/>
        </w:rPr>
      </w:pPr>
      <w:r>
        <w:rPr>
          <w:rFonts w:ascii="Arial" w:cs="Arial" w:eastAsia="Arial" w:hAnsi="Arial"/>
          <w:sz w:val="16"/>
          <w:szCs w:val="16"/>
          <w:color w:val="auto"/>
        </w:rPr>
        <w:t>During the second quarter and the beginning of the third quarter of 2025, the potential ramifications of the FCC review to EchoStar’s business required them to, among other things, reevaluate the deployment of their resources and as a result, EchoStar elected not to make interest payments on a certain portion of their long-term senior notes on their respective scheduled due dates. EchoStar subsequently made such payments, including interest on the defaulted interest, within the applicable 30-day grace periods. See Note 10 in the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7">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66" w:name="page67"/>
    <w:bookmarkEnd w:id="6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179"/>
        <w:spacing w:after="0" w:line="323" w:lineRule="auto"/>
        <w:rPr>
          <w:sz w:val="20"/>
          <w:szCs w:val="20"/>
          <w:color w:val="auto"/>
        </w:rPr>
      </w:pPr>
      <w:r>
        <w:rPr>
          <w:rFonts w:ascii="Arial" w:cs="Arial" w:eastAsia="Arial" w:hAnsi="Arial"/>
          <w:sz w:val="16"/>
          <w:szCs w:val="16"/>
          <w:color w:val="auto"/>
        </w:rPr>
        <w:t>Notes to EchoStar’s Consolidated Financial Statements in their Annual Report on Form 10-K for the year ended December 31, 2025 for further information</w:t>
      </w:r>
      <w:r>
        <w:rPr>
          <w:rFonts w:ascii="Arial" w:cs="Arial" w:eastAsia="Arial" w:hAnsi="Arial"/>
          <w:sz w:val="16"/>
          <w:szCs w:val="16"/>
          <w:b w:val="1"/>
          <w:bCs w:val="1"/>
          <w:color w:val="auto"/>
        </w:rPr>
        <w:t>.</w:t>
      </w:r>
    </w:p>
    <w:p>
      <w:pPr>
        <w:spacing w:after="0" w:line="105" w:lineRule="exact"/>
        <w:rPr>
          <w:sz w:val="20"/>
          <w:szCs w:val="20"/>
          <w:color w:val="auto"/>
        </w:rPr>
      </w:pPr>
    </w:p>
    <w:p>
      <w:pPr>
        <w:jc w:val="both"/>
        <w:ind w:left="40" w:right="159"/>
        <w:spacing w:after="0" w:line="269" w:lineRule="auto"/>
        <w:rPr>
          <w:sz w:val="20"/>
          <w:szCs w:val="20"/>
          <w:color w:val="auto"/>
        </w:rPr>
      </w:pPr>
      <w:r>
        <w:rPr>
          <w:rFonts w:ascii="Arial" w:cs="Arial" w:eastAsia="Arial" w:hAnsi="Arial"/>
          <w:sz w:val="16"/>
          <w:szCs w:val="16"/>
          <w:color w:val="auto"/>
        </w:rPr>
        <w:t>The FCC review introduced the possibility of reversing prior FCC grants of authority to EchoStar. The FCC made it clear that it viewed EchoStar’s spectrum as being underutilized and deemed their continued ownership of such spectrum licenses inconsistent with the public interest, and that they must sell a material amount of spectrum licenses or face a wide-ranging license revocation. Accordingly, as a result of these unforeseeable actions by the FCC that were outside of EchoStar’s control, they entered into the AT&amp;T Transactions, as defined in EchoStar’s Annual Report on Form 10-K for the year ended December 31, 2025 and the SpaceX Transactions, as defined below, whereby EchoStar agreed to sell a material amount of their spectrum licenses for cash and an Amended Equity Amount, as defined below. In August 2025, following these transactions, EchoStar began the abandonment and decommission process for certain portions of their 5G Network as defined in EchoStar’s Annual Report on Form 10-K for the year ended December 31, 2025 that will not be utilized in their Hybrid MNO business as defined in EchoStar’s Annual Report on Form 10-K for the year ended December 31, 2025. Furthermore, EchoStar believes the FCC’s actions and the resulting AT&amp;T Transactions and SpaceX Transactions constitute one or more force majeure events under certain of their 5G Network-related contracts.</w:t>
      </w:r>
    </w:p>
    <w:p>
      <w:pPr>
        <w:spacing w:after="0" w:line="173" w:lineRule="exact"/>
        <w:rPr>
          <w:sz w:val="20"/>
          <w:szCs w:val="20"/>
          <w:color w:val="auto"/>
        </w:rPr>
      </w:pPr>
    </w:p>
    <w:p>
      <w:pPr>
        <w:jc w:val="both"/>
        <w:ind w:left="40" w:right="159"/>
        <w:spacing w:after="0" w:line="273" w:lineRule="auto"/>
        <w:rPr>
          <w:sz w:val="20"/>
          <w:szCs w:val="20"/>
          <w:color w:val="auto"/>
        </w:rPr>
      </w:pPr>
      <w:r>
        <w:rPr>
          <w:rFonts w:ascii="Arial" w:cs="Arial" w:eastAsia="Arial" w:hAnsi="Arial"/>
          <w:sz w:val="16"/>
          <w:szCs w:val="16"/>
          <w:color w:val="auto"/>
        </w:rPr>
        <w:t>On September 8, 2025, EchoStar received a follow-up letter from the FCC (the “September 8 Letter”). The September 8 Letter states, among other things, that FCC Chairman Carr has “asked FCC staff to bring the agency’s investigation to conclusion” by directing FCC staff to: “(1) dismiss VTel Wireless’s petition for reconsideration; (2) 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SpaceX License Purchase Agreement</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On September 7, 2025, our parent, EchoStar, Space Exploration Technologies Corp., a Texas corporation (“SpaceX”), and Spectrum Business Trust 2025-1, a Nevada Business Trust (“Trust”), entered into a License Purchase Agreement (the “SpaceX License Purchase Agreement,” and the transactions contemplated thereby, the “Initial SpaceX Transactions”).</w:t>
      </w:r>
    </w:p>
    <w:p>
      <w:pPr>
        <w:spacing w:after="0" w:line="150"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Pursuant to the terms and subject to the conditions set forth in the SpaceX License Purchase Agreement, EchoStar, agreed to sell to SpaceX their rights and licenses related to an aggregate of 50 MHz of spectrum in frequency ranges 2000–2020, 2180–2200, 1915–1920 and 1995–2000 (the “</w:t>
      </w:r>
      <w:r>
        <w:rPr>
          <w:rFonts w:ascii="Arial" w:cs="Arial" w:eastAsia="Arial" w:hAnsi="Arial"/>
          <w:sz w:val="16"/>
          <w:szCs w:val="16"/>
          <w:color w:val="222222"/>
        </w:rPr>
        <w:t>AWS-4 and H-Block</w:t>
      </w:r>
      <w:r>
        <w:rPr>
          <w:rFonts w:ascii="Arial" w:cs="Arial" w:eastAsia="Arial" w:hAnsi="Arial"/>
          <w:sz w:val="16"/>
          <w:szCs w:val="16"/>
          <w:color w:val="auto"/>
        </w:rPr>
        <w:t xml:space="preserve"> Licenses” and such spectrum, the “Spectrum”) granted by the FCC, together with certain international authorizations, filings, concessions, licenses, rights and priorities related to that spectrum and certain assets associated therewith (collectively, the “Foreign Assets”).</w:t>
      </w:r>
    </w:p>
    <w:p>
      <w:pPr>
        <w:spacing w:after="0" w:line="157"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 xml:space="preserve">The transfer of the </w:t>
      </w:r>
      <w:r>
        <w:rPr>
          <w:rFonts w:ascii="Arial" w:cs="Arial" w:eastAsia="Arial" w:hAnsi="Arial"/>
          <w:sz w:val="16"/>
          <w:szCs w:val="16"/>
          <w:color w:val="222222"/>
        </w:rPr>
        <w:t>AWS-4 and H-Block</w:t>
      </w:r>
      <w:r>
        <w:rPr>
          <w:rFonts w:ascii="Arial" w:cs="Arial" w:eastAsia="Arial" w:hAnsi="Arial"/>
          <w:sz w:val="16"/>
          <w:szCs w:val="16"/>
          <w:color w:val="auto"/>
        </w:rPr>
        <w:t xml:space="preserve"> Licenses will occur in two steps: first, the </w:t>
      </w:r>
      <w:r>
        <w:rPr>
          <w:rFonts w:ascii="Arial" w:cs="Arial" w:eastAsia="Arial" w:hAnsi="Arial"/>
          <w:sz w:val="16"/>
          <w:szCs w:val="16"/>
          <w:color w:val="222222"/>
        </w:rPr>
        <w:t>AWS-4 and H-Block</w:t>
      </w:r>
      <w:r>
        <w:rPr>
          <w:rFonts w:ascii="Arial" w:cs="Arial" w:eastAsia="Arial" w:hAnsi="Arial"/>
          <w:sz w:val="16"/>
          <w:szCs w:val="16"/>
          <w:color w:val="auto"/>
        </w:rPr>
        <w:t xml:space="preserve"> Licenses will be transferred by EchoStar to the Trust (the “Spectrum Transfer Closing”), and second, the </w:t>
      </w:r>
      <w:r>
        <w:rPr>
          <w:rFonts w:ascii="Arial" w:cs="Arial" w:eastAsia="Arial" w:hAnsi="Arial"/>
          <w:sz w:val="16"/>
          <w:szCs w:val="16"/>
          <w:color w:val="222222"/>
        </w:rPr>
        <w:t>AWS-4 and H-Block</w:t>
      </w:r>
      <w:r>
        <w:rPr>
          <w:rFonts w:ascii="Arial" w:cs="Arial" w:eastAsia="Arial" w:hAnsi="Arial"/>
          <w:sz w:val="16"/>
          <w:szCs w:val="16"/>
          <w:color w:val="auto"/>
        </w:rPr>
        <w:t xml:space="preserve"> Licenses will be transferred by the Trust to SpaceX (the “Spectrum Acquisition Closing”). The Foreign Assets will be transferred by EchoStar directly to SpaceX at the Spectrum Acquisition Closing, to the extent the required regulatory approvals have been obtained by such date; provided, however, that the failure to obtain such approvals will not delay or prevent the Spectrum Acquisition Closing.</w:t>
      </w:r>
    </w:p>
    <w:p>
      <w:pPr>
        <w:spacing w:after="0" w:line="15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The consideration for the Initial SpaceX Transactions payable at the Spectrum Acquisition Closing is $17 billion (the “Total Consideration Amount”). A portion of the Total Consideration Amount (such amount, the “Total Payoff Consideration Amount”) will be used to: (i) fully pay off all outstanding amounts owed on EchoStar’s 10 3/4% Senior Secured Notes due 2029 (the “10 3/4% Secured Notes”) and EchoStar’s 6 3/4% Senior Secured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8">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67" w:name="page68"/>
    <w:bookmarkEnd w:id="6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due 2030 (the “6 3/4% Secured Notes”) and (ii) settle the anticipated redemption and conversions of EchoStar’s 3 7/8% Convertible Secured Notes due 2030 (the “Convertible Notes due 2030” and, together with the 10 3/4% Secured Notes and the 6 3/4% Secured Notes, the “Seller Notes”). The remaining amount after paying off the Seller Notes (the “Purchase Price”) will be paid by SpaceX to EchoStar as follows: (i) up to $8.5 billion will be paid in SpaceX’s Class A Common Stock, valued at $212 per share (the “Equity Amount”); and (ii) any amount of the Purchase Price exceeding $8.5 billion will be paid in cash.</w:t>
      </w:r>
    </w:p>
    <w:p>
      <w:pPr>
        <w:spacing w:after="0" w:line="349"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 xml:space="preserve">If the Total Payoff Consideration Amount exceeds $8.5 billion, EchoStar may elect to pay the excess in cash, EchoStar’s Class A Common Stock (with respect to the Convertible Notes due 2030), or both, to maintain EchoStar’s receipt of the full Equity Amount. However, if EchoStar elects not to pay such excess amount, the Equity Amount will be reduced dollar-for-dollar to ensure that the combined Equity Amount and Total Payoff Consideration Amount do not exceed the Total Consideration Amount. As of December 31, 2025, the aggregate principal amount outstanding of the Seller Notes was $9.821 billion and is secured by the </w:t>
      </w:r>
      <w:r>
        <w:rPr>
          <w:rFonts w:ascii="Arial" w:cs="Arial" w:eastAsia="Arial" w:hAnsi="Arial"/>
          <w:sz w:val="16"/>
          <w:szCs w:val="16"/>
          <w:color w:val="222222"/>
        </w:rPr>
        <w:t>AWS-4 and AWS-3</w:t>
      </w:r>
      <w:r>
        <w:rPr>
          <w:rFonts w:ascii="Arial" w:cs="Arial" w:eastAsia="Arial" w:hAnsi="Arial"/>
          <w:sz w:val="16"/>
          <w:szCs w:val="16"/>
          <w:color w:val="auto"/>
        </w:rPr>
        <w:t xml:space="preserve"> Licenses.</w:t>
      </w:r>
    </w:p>
    <w:p>
      <w:pPr>
        <w:spacing w:after="0" w:line="159"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The Spectrum Transfer Closing is expected to occur in the first half of 2026. 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spacing w:after="0" w:line="157"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Additionally, in connection with the SpaceX License Purchase Agreement and the Initial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$2 billion and will be settled via a loan between EchoStar and SpaceX that automatically cancels upon the completion of the Spectrum Acquisition Closing. The Credit Agreement is generally on standard commercial terms and conditions and, as a beneficiary of the Credit Agreement, EchoStar has the ability to enforce the parties obligations under the Agreement. As of December 31, 2025, EchoStar has made approximately $414 million in cash interest payments on the Seller Notes, which is subject to reimbursement from SpaceX upon the Spectrum Transfer Closing.</w:t>
      </w:r>
    </w:p>
    <w:p>
      <w:pPr>
        <w:spacing w:after="0" w:line="16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The SpaceX License Purchase Agreement also provides for future long-term commercial agreements that will enable EchoStar to offer their Wireless subscribers access to SpaceX’s next-generation Starlink Direct to Cell text and voice and broadband services utilizing certain rights and licenses related to the Spectrum that are to be conveyed by EchoStar to SpaceX at the Spectrum Acquisition Closing. The commercial agreements will also provide for a fee-based referral program that lets us refer existing customers and new Starlink customers to SpaceX. As of December 31, 2025, EchoStar had begun to utilize certain of the rights conveyed under the SpaceX License Purchase Agreement. In addition, EchoStar also has begun performing installation and other services for new Starlink customers.</w:t>
      </w:r>
    </w:p>
    <w:p>
      <w:pPr>
        <w:spacing w:after="0" w:line="163"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The description of the SpaceX License Purchase Agreement is not complete and is qualified in its entirety by reference to the License Purchase Agreement filed as an exhibit to EchoStar’s Quarterly Report on Form 10-Q for the quarter ended September 30, 2025.</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9">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68" w:name="page69"/>
    <w:bookmarkEnd w:id="6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Amended and Restated License Purchase Agreement</w:t>
      </w:r>
    </w:p>
    <w:p>
      <w:pPr>
        <w:spacing w:after="0" w:line="19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On November 5, 2025, our parent, EchoStar, SpaceX and Trust, entered into an Amended and Restated License Purchase Agreement (the “Amended and Restated SpaceX License Purchase Agreement,” and the transactions contemplated thereby, the “Amended SpaceX Transactions”), and together with the Initial SpaceX Transactions, (the “SpaceX Transactions”). The Amended and Restated SpaceX License Purchase Agreement amends and restates in its entirety the SpaceX License Purchase Agreement, dated as of September 7, 2025, by and among EchoStar, SpaceX and Trust.</w:t>
      </w:r>
    </w:p>
    <w:p>
      <w:pPr>
        <w:spacing w:after="0" w:line="157"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Pursuant to the Amended and Restated SpaceX License Purchase Agreement, EchoStar and SpaceX have agreed to revise the terms of the previously announced transaction to include the transfer of up to an aggregate of 15 MHz of AWS spectrum in the frequency range of 1695–1710 MHz for each relevant license area (the “AWS-3 Licenses”) from EchoStar to SpaceX in exchange for additional consideration of $2.6 billion, all of which will be paid in SpaceX’s Class A Common Stock, valued at $212 per share. As a result of this change, the total consideration for the SpaceX Transactions has increased from $17 billion to approximately $20 billion, with up to $11 billion to be paid in SpaceX’s Class A Common Stock, valued at $212 per share (the “Amended Equity Amount”).</w:t>
      </w:r>
    </w:p>
    <w:p>
      <w:pPr>
        <w:spacing w:after="0" w:line="163"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Except as set forth above, the material terms of the Amended and Restated SpaceX License Purchase Agreement are substantially the same as the terms of the SpaceX License Purchase Agreement.</w:t>
      </w:r>
    </w:p>
    <w:p>
      <w:pPr>
        <w:spacing w:after="0" w:line="133"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The SpaceX Transactions are subject to a number of terms and conditions set forth in the SpaceX License Purchase Agreement. The completion of the SpaceX Transactions are subject to the satisfaction or waiver of customary closing conditions, including, among others, receipt of certain consents and approvals from the FCC and the United States Department of Justice (the “DOJ”). The SpaceX License Purchase Agreement also provides for specified termination rights.</w:t>
      </w:r>
    </w:p>
    <w:p>
      <w:pPr>
        <w:spacing w:after="0" w:line="15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The foregoing description of the Amended and Restated SpaceX License Purchase Agreement does not purport to be complete and is qualified in its entirety by reference to the Amended and Restated SpaceX License Purchase Agreement, filed as an exhibit to EchoStar’s Annual Report on Form 10-K for the year ended December 31, 2025.</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Future Capital Requirements</w:t>
      </w:r>
    </w:p>
    <w:p>
      <w:pPr>
        <w:spacing w:after="0" w:line="218" w:lineRule="exact"/>
        <w:rPr>
          <w:sz w:val="20"/>
          <w:szCs w:val="20"/>
          <w:color w:val="auto"/>
        </w:rPr>
      </w:pPr>
    </w:p>
    <w:p>
      <w:pPr>
        <w:jc w:val="both"/>
        <w:ind w:left="40" w:right="179"/>
        <w:spacing w:after="0" w:line="284" w:lineRule="auto"/>
        <w:rPr>
          <w:sz w:val="20"/>
          <w:szCs w:val="20"/>
          <w:color w:val="auto"/>
        </w:rPr>
      </w:pPr>
      <w:r>
        <w:rPr>
          <w:rFonts w:ascii="Arial" w:cs="Arial" w:eastAsia="Arial" w:hAnsi="Arial"/>
          <w:sz w:val="16"/>
          <w:szCs w:val="16"/>
          <w:color w:val="auto"/>
        </w:rPr>
        <w:t>The consolidated financial statements have been prepared in accordance with generally accepted accounting principles on a going concern basis, which contemplates the realization of assets and the satisfaction of liabilities in the normal course of business.</w:t>
      </w:r>
    </w:p>
    <w:p>
      <w:pPr>
        <w:spacing w:after="0" w:line="144" w:lineRule="exact"/>
        <w:rPr>
          <w:sz w:val="20"/>
          <w:szCs w:val="20"/>
          <w:color w:val="auto"/>
        </w:rPr>
      </w:pPr>
    </w:p>
    <w:p>
      <w:pPr>
        <w:jc w:val="both"/>
        <w:ind w:left="40" w:right="159"/>
        <w:spacing w:after="0" w:line="292" w:lineRule="auto"/>
        <w:rPr>
          <w:sz w:val="20"/>
          <w:szCs w:val="20"/>
          <w:color w:val="auto"/>
        </w:rPr>
      </w:pPr>
      <w:r>
        <w:rPr>
          <w:rFonts w:ascii="Arial" w:cs="Arial" w:eastAsia="Arial" w:hAnsi="Arial"/>
          <w:sz w:val="16"/>
          <w:szCs w:val="16"/>
          <w:color w:val="auto"/>
        </w:rPr>
        <w:t>Our cash and cash equivalents and marketable investment securities totaled $119 million as of December 31, 2025 (“Cash on Hand”). As reflected in the consolidated financial statements as of December 31, 2025, we have $1.536 billion of debt maturing in August 2026.</w:t>
      </w:r>
    </w:p>
    <w:p>
      <w:pPr>
        <w:spacing w:after="0" w:line="137" w:lineRule="exact"/>
        <w:rPr>
          <w:sz w:val="20"/>
          <w:szCs w:val="20"/>
          <w:color w:val="auto"/>
        </w:rPr>
      </w:pPr>
    </w:p>
    <w:p>
      <w:pPr>
        <w:jc w:val="both"/>
        <w:ind w:left="40" w:right="159"/>
        <w:spacing w:after="0" w:line="273" w:lineRule="auto"/>
        <w:rPr>
          <w:sz w:val="20"/>
          <w:szCs w:val="20"/>
          <w:color w:val="auto"/>
        </w:rPr>
      </w:pPr>
      <w:r>
        <w:rPr>
          <w:rFonts w:ascii="Arial" w:cs="Arial" w:eastAsia="Arial" w:hAnsi="Arial"/>
          <w:sz w:val="16"/>
          <w:szCs w:val="16"/>
          <w:color w:val="auto"/>
        </w:rPr>
        <w:t>Because we do not currently have the necessary Cash on Hand and/or projected future cash flows or committed financing to fund our obligations, including our debt maturities, for at least twelve months from the issuance of these consolidated financial statements, substantial doubt exists about our ability to continue as a going concern. To address our capital needs, we are in active discussions with funding sources to raise additional capital and/or restructure our outstanding debt. We cannot provide assurances that we will be successful in obtaining such new financing and/or restructuring the existing debt obligations necessary for us to have sufficient liquidity. In addition, our parent, EchoStar, may or may not provide additional liquidity in the future necessary to meet our obligations as they come due. The consolidated financial statements do not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0">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69" w:name="page70"/>
    <w:bookmarkEnd w:id="6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40" w:right="179"/>
        <w:spacing w:after="0" w:line="313" w:lineRule="auto"/>
        <w:rPr>
          <w:sz w:val="20"/>
          <w:szCs w:val="20"/>
          <w:color w:val="auto"/>
        </w:rPr>
      </w:pPr>
      <w:r>
        <w:rPr>
          <w:rFonts w:ascii="Arial" w:cs="Arial" w:eastAsia="Arial" w:hAnsi="Arial"/>
          <w:sz w:val="16"/>
          <w:szCs w:val="16"/>
          <w:color w:val="auto"/>
        </w:rPr>
        <w:t>include any adjustments to the amount and classification of assets and liabilities that may be necessary should we not continue as a going concern.</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Impairments and Other</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Accounting Policies see Note 2.</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Impairment of Indefinite-Lived Intangible Assets</w:t>
      </w:r>
    </w:p>
    <w:p>
      <w:pPr>
        <w:spacing w:after="0" w:line="21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During the fourth quarter, we performed our annual impairment assessment of our indefinite-lived regulatory authorizations. We combine all of our indefinite-lived regulatory authorizations that we currently utilize or plan to utilize in the future into one unit of accounting for impairment testing (the “Hughes Licenses”).</w:t>
      </w:r>
    </w:p>
    <w:p>
      <w:pPr>
        <w:spacing w:after="0" w:line="150"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Management performed a quantitative assessment to determine whether the fair value of the Hughes Licenses exceeded their aggregate carrying amount. The quantitative assessment consisted of an income approach, using a discounted cash flow model based upon several factors, including the discount rate, tax attributes and operating margins, which are all level 3 attributes within the fair value hierarchy. Through this assessment, we concluded that the fair value was less than the carrying amount. As a result, we fully impaired the Hughes Licenses, resulting in a non-cash impairment charge of $400 million during the year ended December 31, 2025 recorded in “Impairments and other” on our Consolidated Statements of Operations and Comprehensive Income (Loss).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Impairment of Long-Lived Assets and Finite-Lived Intangible Assets</w:t>
      </w:r>
    </w:p>
    <w:p>
      <w:pPr>
        <w:spacing w:after="0" w:line="218"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6"/>
          <w:szCs w:val="16"/>
          <w:color w:val="auto"/>
        </w:rPr>
        <w:t>Under the SpaceX Transactions, SpaceX has the sole option to acquire certain satellite assets and certain regulatory authorizations from us and our parent, EchoStar. During the third quarter this option was considered a triggering event and resulted in our review for impairment of certain of our international licenses and ground equipment necessary to operate our and our parent’s assets included in the SpaceX Transactions. Additionally, we and EchoStar are no longer pursuing a business plan to utilize those complementary assets and as such our assets have no future use. Management determined based on our undiscounted future net cash flows that the carrying amount of certain assets, individually or as part of an asset group were not recoverable. Management determined the fair value of certain assets or asset groups using the market approach. Due to the specialized use and company specific nature of each asset or asset group, management determined the fair values to be nominal, resulting in non-cash impairment charges of $11 million in “Impairments and other” on our Consolidated Statements of Operations and Comprehensive Income (Loss).</w:t>
      </w:r>
    </w:p>
    <w:p>
      <w:pPr>
        <w:spacing w:after="0" w:line="164"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The Hughes Licenses, as defined above, are used in conjunction with an asset group comprised of the Hughes satellite fleet, ROU lease assets and certain other long-lived and finite-lived intangible assets, (the “Hughes Asset Group”). As a result, the impairment of the Hughes Licenses in the fourth quarter was considered a triggering event and resulted in our review of the Hughes Asset Group for impairment. Management determined, using undiscounted future net cash flows, that the carrying amount of the Hughes Asset Group is not recoverable. Management determined fair value of the Hughes Asset Group using the income approach, utilizing the discounted cash flows of the Hughes Asset Group, based upon several factors, including the discount rate, tax attributes and operating margins, which are all level 3 attributes within the fair value hierarchy. We concluded the carrying amount exceeded the fair value, and we partially impaired the Hughes Asset group, resulting in non-cash impairment charge of $1.012 billion during the year ended December 31, 2025 recorded in “Impairments and other” on our Consolidated Statements of Operations and Comprehensive Income (Loss), which was allocated ratably to the various assets based on the carrying value of the assets.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1">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70" w:name="page71"/>
    <w:bookmarkEnd w:id="7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“Impairments and other” recorded on our Consolidated Statements of Operations and Comprehensive Income (Loss)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during the years ended December 31, 2025, 2024 and 2023 consisted of the following:</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578"/>
              <w:spacing w:after="0"/>
              <w:rPr>
                <w:sz w:val="20"/>
                <w:szCs w:val="20"/>
                <w:color w:val="auto"/>
              </w:rPr>
            </w:pPr>
            <w:r>
              <w:rPr>
                <w:rFonts w:ascii="Arial" w:cs="Arial" w:eastAsia="Arial" w:hAnsi="Arial"/>
                <w:sz w:val="16"/>
                <w:szCs w:val="16"/>
                <w:b w:val="1"/>
                <w:bCs w:val="1"/>
                <w:color w:val="auto"/>
              </w:rPr>
              <w:t>For the Years Ended December 31,</w:t>
            </w:r>
          </w:p>
        </w:tc>
      </w:tr>
      <w:tr>
        <w:trPr>
          <w:trHeight w:val="184"/>
        </w:trPr>
        <w:tc>
          <w:tcPr>
            <w:tcW w:w="22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38"/>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338"/>
              <w:spacing w:after="0"/>
              <w:rPr>
                <w:sz w:val="20"/>
                <w:szCs w:val="20"/>
                <w:color w:val="auto"/>
              </w:rPr>
            </w:pPr>
            <w:r>
              <w:rPr>
                <w:rFonts w:ascii="Arial" w:cs="Arial" w:eastAsia="Arial" w:hAnsi="Arial"/>
                <w:sz w:val="16"/>
                <w:szCs w:val="16"/>
                <w:b w:val="1"/>
                <w:bCs w:val="1"/>
                <w:color w:val="auto"/>
              </w:rPr>
              <w:t>2024</w:t>
            </w:r>
          </w:p>
        </w:tc>
        <w:tc>
          <w:tcPr>
            <w:tcW w:w="460" w:type="dxa"/>
            <w:vAlign w:val="bottom"/>
            <w:gridSpan w:val="2"/>
          </w:tcPr>
          <w:p>
            <w:pPr>
              <w:jc w:val="right"/>
              <w:ind w:right="163"/>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338"/>
              <w:spacing w:after="0"/>
              <w:rPr>
                <w:sz w:val="20"/>
                <w:szCs w:val="20"/>
                <w:color w:val="auto"/>
              </w:rPr>
            </w:pPr>
            <w:r>
              <w:rPr>
                <w:rFonts w:ascii="Arial" w:cs="Arial" w:eastAsia="Arial" w:hAnsi="Arial"/>
                <w:sz w:val="16"/>
                <w:szCs w:val="16"/>
                <w:b w:val="1"/>
                <w:bCs w:val="1"/>
                <w:color w:val="auto"/>
              </w:rPr>
              <w:t>2023</w:t>
            </w:r>
          </w:p>
        </w:tc>
      </w:tr>
      <w:tr>
        <w:trPr>
          <w:trHeight w:val="164"/>
        </w:trPr>
        <w:tc>
          <w:tcPr>
            <w:tcW w:w="22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184"/>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9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491,124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2240" w:type="dxa"/>
            <w:vAlign w:val="bottom"/>
          </w:tcPr>
          <w:p>
            <w:pPr>
              <w:spacing w:after="0"/>
              <w:rPr>
                <w:sz w:val="20"/>
                <w:szCs w:val="20"/>
                <w:color w:val="auto"/>
              </w:rPr>
            </w:pPr>
            <w:r>
              <w:rPr>
                <w:rFonts w:ascii="Arial" w:cs="Arial" w:eastAsia="Arial" w:hAnsi="Arial"/>
                <w:sz w:val="16"/>
                <w:szCs w:val="16"/>
                <w:color w:val="auto"/>
              </w:rPr>
              <w:t>Operating lease assets</w:t>
            </w:r>
          </w:p>
        </w:tc>
        <w:tc>
          <w:tcPr>
            <w:tcW w:w="2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518,182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Regulatory authorizations</w:t>
            </w:r>
          </w:p>
        </w:tc>
        <w:tc>
          <w:tcPr>
            <w:tcW w:w="2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404,867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2240" w:type="dxa"/>
            <w:vAlign w:val="bottom"/>
          </w:tcPr>
          <w:p>
            <w:pPr>
              <w:spacing w:after="0"/>
              <w:rPr>
                <w:sz w:val="20"/>
                <w:szCs w:val="20"/>
                <w:color w:val="auto"/>
              </w:rPr>
            </w:pPr>
            <w:r>
              <w:rPr>
                <w:rFonts w:ascii="Arial" w:cs="Arial" w:eastAsia="Arial" w:hAnsi="Arial"/>
                <w:sz w:val="16"/>
                <w:szCs w:val="16"/>
                <w:color w:val="auto"/>
              </w:rPr>
              <w:t>Intangible assets, net</w:t>
            </w:r>
          </w:p>
        </w:tc>
        <w:tc>
          <w:tcPr>
            <w:tcW w:w="2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4,671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Exit and disposal costs (1)</w:t>
            </w:r>
          </w:p>
        </w:tc>
        <w:tc>
          <w:tcPr>
            <w:tcW w:w="2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2240" w:type="dxa"/>
            <w:vAlign w:val="bottom"/>
          </w:tcPr>
          <w:p>
            <w:pPr>
              <w:spacing w:after="0"/>
              <w:rPr>
                <w:sz w:val="20"/>
                <w:szCs w:val="20"/>
                <w:color w:val="auto"/>
              </w:rPr>
            </w:pPr>
            <w:r>
              <w:rPr>
                <w:rFonts w:ascii="Arial" w:cs="Arial" w:eastAsia="Arial" w:hAnsi="Arial"/>
                <w:sz w:val="16"/>
                <w:szCs w:val="16"/>
                <w:color w:val="auto"/>
              </w:rPr>
              <w:t>Goodwill</w:t>
            </w:r>
          </w:p>
        </w:tc>
        <w:tc>
          <w:tcPr>
            <w:tcW w:w="2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532,940</w:t>
            </w:r>
          </w:p>
        </w:tc>
      </w:tr>
      <w:tr>
        <w:trPr>
          <w:trHeight w:val="176"/>
        </w:trPr>
        <w:tc>
          <w:tcPr>
            <w:tcW w:w="224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Impairments and other</w:t>
            </w:r>
          </w:p>
        </w:tc>
        <w:tc>
          <w:tcPr>
            <w:tcW w:w="27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1,422,982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532,940</w:t>
            </w:r>
          </w:p>
        </w:tc>
      </w:tr>
      <w:tr>
        <w:trPr>
          <w:trHeight w:val="20"/>
        </w:trPr>
        <w:tc>
          <w:tcPr>
            <w:tcW w:w="2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r>
    </w:tbl>
    <w:p>
      <w:pPr>
        <w:spacing w:after="0" w:line="69" w:lineRule="exact"/>
        <w:rPr>
          <w:sz w:val="20"/>
          <w:szCs w:val="20"/>
          <w:color w:val="auto"/>
        </w:rPr>
      </w:pPr>
    </w:p>
    <w:p>
      <w:pPr>
        <w:ind w:left="340" w:right="99" w:hanging="298"/>
        <w:spacing w:after="0" w:line="281"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Exit and disposal costs include, among other things, one-time employee termination benefits due to a reduction in work force.</w:t>
      </w:r>
    </w:p>
    <w:p>
      <w:pPr>
        <w:spacing w:after="0" w:line="317" w:lineRule="exact"/>
        <w:rPr>
          <w:sz w:val="20"/>
          <w:szCs w:val="20"/>
          <w:color w:val="auto"/>
        </w:rPr>
      </w:pPr>
    </w:p>
    <w:p>
      <w:pPr>
        <w:ind w:left="40" w:right="4819" w:firstLine="2"/>
        <w:spacing w:after="0" w:line="495" w:lineRule="auto"/>
        <w:tabs>
          <w:tab w:leader="none" w:pos="628"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Principles of Consolidation and Basis of Presentation</w:t>
      </w:r>
    </w:p>
    <w:p>
      <w:pPr>
        <w:spacing w:after="0" w:line="1"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The accompanying consolidated financial statements include all balances and results of operations of HSSC and our consolidated subsidiaries and are prepared in conformity with U.S. generally accepted accounting principles (“GAAP”). We consolidate all majority owned subsidiaries, investments in entities in which we have controlling influence and VIEs where we have been determined to be the primary beneficiary. Minority interests are recorded as noncontrolling interests or redeemable noncontrolling interests.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Consolidated Statements of Operations and Comprehensive Income (Loss). All significant intercompany accounts and transactions have been eliminated in consolidation. Certain prior period amounts have been reclassified to conform to the current period presentation.</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Use of Estimates</w:t>
      </w:r>
    </w:p>
    <w:p>
      <w:pPr>
        <w:spacing w:after="0" w:line="196"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self-insurance obligations, deferred taxes and related valuation allowances, uncertain tax positions, loss contingencies, fair value of financial instruments, fair value of options granted under our parent, EchoStar’s stock-based compensation plans, fair value of assets and liabilities acquired in business combinations or as part of an asset acquisition, fair value of exit or disposal cost obligations, timing and amount of asset retirement obligations, inputs or outputs used to recognize revenue over time, including amortization periods for deferred contract acquisition costs and relative standalone selling prices of performance obligations, finance leases, asset impairments, estimates of future cash flows used to evaluate and recognize impairments, useful lives of property, equipment and intangible assets, and incremental borrowing rate (“IBR”) on lease right of use assets, nonrefundable upfront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2">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71" w:name="page72"/>
    <w:bookmarkEnd w:id="7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fees, independent third-party retailer incentives and subscriber lives and likelihood of certain contingent events. Economic conditions may increase the inherent uncertainty in the estimates and assumptions indicated above. Actual results may differ from previously estimated amounts, and such differences may be material to our consolidated financial statements. Estimates and assumptions are reviewed periodically, and the effects of revisions are reflected prospectively in the period they occur.</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and Cash Equivalents</w:t>
      </w:r>
    </w:p>
    <w:p>
      <w:pPr>
        <w:spacing w:after="0" w:line="19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We consider all liquid investments purchased with a remaining maturity of 90 days or less at the date of acquisition to be cash equivalents. Cash equivalents as of December 31, 2025 and 2024 may consist of money market funds, government bonds, corporate notes and commercial paper. The amortized cost of these investments approximates their fair value.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Concentration of Credit Risk</w:t>
      </w:r>
    </w:p>
    <w:p>
      <w:pPr>
        <w:spacing w:after="0" w:line="19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Cash and cash equivalents are maintained with several financial institutions domestically and internationally. Deposits held with banks may exceed the amount of insurance provided on such deposits. Generally, these deposits may be redeemed upon demand and are maintained with financial institutions with investment-grade credit ratings. We routinely assess the financial strength of significant customers, and this assessment, combined with the large number and geographical diversity of its customers, limits our concentration of risk with respect to receivables from contracts with customers. As of December 31, 2025, our concentration of credit risk is approximately evenly spread across our portfolio of customers.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Marketable Investment Securities</w:t>
      </w:r>
    </w:p>
    <w:p>
      <w:pPr>
        <w:spacing w:after="0" w:line="196"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All equity securities are carried at fair value, with changes in fair value recognized in “Other, net” within “Other Income (Expense)” on our Consolidated Statements of Operations and Comprehensive Income (Loss).</w:t>
      </w:r>
    </w:p>
    <w:p>
      <w:pPr>
        <w:spacing w:after="0" w:line="133"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Consolidated Balance Sheets. The changes in the fair value of marketable debt securities, which are determined to be company specific credit losses are recorded in “Other, net” within “Other Income (Expense)” on our Consolidated Statements of Operations and Comprehensive Income (Loss).</w:t>
      </w:r>
    </w:p>
    <w:p>
      <w:pPr>
        <w:spacing w:after="0" w:line="159"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We evaluate our debt investment portfolio to determine whether declines in the fair value of these securities are related to credit loss. Management estimates credit losses on marketable debt securities utilizing a credit loss impairment model on a quarterly basis. We estimate the expected credit losses, measured over the contractual life of marketable debt securities considering relevant issuer specific factors, including, but not limited to, a decrease in credit ratings or an entity’s ability to pay.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Receivables and Related Allowance for Credit Losses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Accounts Receivable</w:t>
      </w:r>
    </w:p>
    <w:p>
      <w:pPr>
        <w:spacing w:after="0" w:line="19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Trade accounts receivable represent our unconditional rights to consideration arising from our performance under our customer contracts and are recorded at cost less an allowance for expected credit losses that are not expected to be recovered. We maintain allowances for credit losses resulting from the expected failure or inability of our customers to make required payments. We recognize the allowance for expected credit losses at inception and reassess quarterly based on management’s expectation of the asset’s collectability. Management estimates credit losses on financial assets, including our trade accounts receivable, utilizing a</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72" w:name="page73"/>
    <w:bookmarkEnd w:id="7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current expected credit loss impairment model. We estimate the expected credit losses, measured over the contractual life of an asset considering relevant historical loss information, credit quality of the customer base, current economic conditions and forecasts of future economic conditions. With respect to our current accounts receivable, we have elected to assume that current conditions as of the balance sheet date do not change for the remaining life of the asset.</w:t>
      </w:r>
    </w:p>
    <w:p>
      <w:pPr>
        <w:spacing w:after="0" w:line="15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In determining the allowance for credit losses, management groups similar types of financial assets with consistent risk characteristics. Pools identified by management include, but are not limited to residential customers, commercial customers and enterprise customers. The risk characteristics of the financial asset portfolios are monitored by management and reviewed periodically. Our estimates of the allowance for credit losses may not be indicative of our actual credit losses requiring additional charges to be incurred to reflect the actual amount collected. Past due trade accounts receivable balances are written off against our allowance for credit losses when our internal collection efforts have been unsuccessful.</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Inventory</w:t>
      </w:r>
    </w:p>
    <w:p>
      <w:pPr>
        <w:spacing w:after="0" w:line="196"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Inventory is stated at the lower of cost or net realizable value. Cost is determined using the first-in, first-out method. The cost of manufactured inventory includes the cost of materials, labor, freight-in, royalties and manufacturing overhead. Net realizable value is calculated as the estimated selling price less reasonable costs necessary to complete, sell, transport and dispose of the inventory. We record write downs for inventory for obsolete and slow moving items based on trends and experience. We enter into arrangements with distributors where physical delivery of a product to a distributor has occurred, but we maintain control of the product until such time it is sold to an end consumer. For these arrangements, we account for the products as consigned inventory.</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Property and Equipment</w:t>
      </w:r>
    </w:p>
    <w:p>
      <w:pPr>
        <w:spacing w:after="0" w:line="196"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Property and equipment, including capitalized expenditures related to our satellites, are stated at cost less depreciation and impairment losses, if any. Capitalized expenditures include the cost of long-lived assets, plus the cost to construct the asset such as labor and overhead directly benefiting the asset. Interest is capitalized when pre-construction activity commences and ends once the asset is ready for its intended purpose. Our equipment leased to customers is generally capitalized when they are installed in customers’ homes. We have certain assets acquired under finance leases. The recorded costs of those assets are the present values of all lease payments. We amortize our finance lease right of use (“ROU”) assets over their respective lease terms.</w:t>
      </w:r>
    </w:p>
    <w:p>
      <w:pPr>
        <w:spacing w:after="0" w:line="163"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If a satellite were to fail while in-orbit, the resultant loss would be charged to expense in the period such loss was incurred. The amount of any such loss would be reduced to the extent of insurance proceeds estimated to be received, if any. Depreciation is recorded on a straight-line basis over useful lives ranging from one to 30 years. Repair and maintenance costs are charged to expense when incurred. Renewals and improvements that add value or extend the asset’s useful life are capitalized.</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Internal Use Software</w:t>
      </w:r>
    </w:p>
    <w:p>
      <w:pPr>
        <w:spacing w:after="0" w:line="19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We capitalize certain costs related to developing or acquiring internal use software. Capitalization of software costs begins once the preliminary project stage is completed and we commit to funding the software project. Capitalizing ceases when the software project is ready for its intended use. Capitalized software costs are recorded in “Property and equipment, net” on our Consolidated Balance Sheets and are amortized over the estimated useful life of the software. Costs incurred during the preliminary project stage plus costs associated with training and maintenance are expensed as incurred.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73" w:name="page74"/>
    <w:bookmarkEnd w:id="7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Asset Retirement Obligation</w:t>
      </w:r>
    </w:p>
    <w:p>
      <w:pPr>
        <w:spacing w:after="0" w:line="19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We record an asset retirement obligation for the estimated fair value of legal obligations associated with the retirement of tangible long-lived assets and a corresponding increase in the carrying amount of the related asset in the period in which the obligation is incurred. In periods subsequent to initial measurement, we recognize changes in the liability resulting from the passage of time and revisions to either the timing or the amount of the original estimate. Over time, the liability is accreted to its present value and the capitalized cost is depreciated over the estimated useful life of the asset.</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Other Investments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Equity Method Investments</w:t>
      </w:r>
    </w:p>
    <w:p>
      <w:pPr>
        <w:spacing w:after="0" w:line="19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“Other, net” on our Consolidated Statements of Operations and Comprehensive Income (Loss). The carrying amount of such investments includes a component of goodwill when the cost of our investment exceeds the fair value of the underlying identifiable assets and liabilities of the affiliate. Dividends received from these affiliates reduces the carrying amount of our investment.</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Cost Method Investments</w:t>
      </w:r>
    </w:p>
    <w:p>
      <w:pPr>
        <w:spacing w:after="0" w:line="19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 When we adjust the carrying amount of an investment to its estimated fair value, the gain or loss is recorded in “Other, net” on our Consolidated Statements of Operations and Comprehensive Income (Loss).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Other Debt Investments</w:t>
      </w:r>
    </w:p>
    <w:p>
      <w:pPr>
        <w:spacing w:after="0" w:line="341"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We generally record our investments in non-publicly traded debt instruments without a readily determinable fair value at amortized cost. We recognize any discounts over the term of the loan in “Interest income” on the Consolidated Statements of Operations and Comprehensive Income (Loss). In addition, from time to time, some of our debt instruments have interest income that is paid -in-kind, which is added to the principal balance to determine the then current interest income. When we adjust the carrying amount of an investment, the gain or loss is recorded in “Other, net” on our Consolidated Statements of Operations and Comprehensive Income (Loss).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Impairment Considerations</w:t>
      </w:r>
    </w:p>
    <w:p>
      <w:pPr>
        <w:spacing w:after="0" w:line="19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We periodically evaluate all of our investments to determine whether events or changes in circumstances have occurred that may have a significant adverse effect on the fair value of the investment. We consider information if provided to us by our investees such as current financial statements, business plans, investment documentation, capitalization tables, liquidation waterfalls, litigation updates and board materials; and we may make additional inquiries of investee management.</w:t>
      </w:r>
    </w:p>
    <w:p>
      <w:pPr>
        <w:spacing w:after="0" w:line="349"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Indicators of impairment may include, but are not limited to, unprofitable operations, material loss contingencies, changes in business strategy, changes in market trends or market conditions, changes in the investees’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74" w:name="page75"/>
    <w:bookmarkEnd w:id="7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enterprise value, regulatory matters and changes in the investees’ investment pricing. When we determine that one of our other investments is impaired, we reduce its carrying value to its estimated fair value and recognize the impairment loss in “Other, net” on our Consolidated Statements of Operations and Comprehensive Income (Loss).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Derivative and/or Financial Liability Instruments</w:t>
      </w:r>
    </w:p>
    <w:p>
      <w:pPr>
        <w:spacing w:after="0" w:line="19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We may purchase and hold derivative and/or financial liability instruments for, among other reasons, strategic or speculative purposes. We record all derivative and/or financial liability instruments on our Consolidated Balance Sheets at fair value as either assets or liabilities. Changes in the fair values of derivative and/or financial liability instruments are recognized in our results of operations and included in “Other, net” within “Other Income (Expense)” on our Consolidated Statements of Operations and Comprehensive Income (Loss). We have not designated any derivative financial instrument for hedge accounting.</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Impairment of Long-Lived Assets and Finite-Lived Intangible Assets</w:t>
      </w:r>
    </w:p>
    <w:p>
      <w:pPr>
        <w:spacing w:after="0" w:line="194"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We review our long-lived assets for impairment whenever events or changes in circumstances indicate that the carrying amount of an asset may not be recoverable. For assets which are held and used in operations, the asset may not be recoverable if the carrying amount of the asset (or asset group) exceeds its undiscounted future net cash flows. When an asset fails the recoverability test, the actual impairment recognized is the difference between the carrying amount and the fair value as estimated using one of the following approaches: income, cost and/or market. In the event of an impairment, a loss is recorded in “Impairments and other” on our Consolidated Statements of Operations and Comprehensive Income (Loss) based on the amount by which the carrying amount exceeds the fair value of the long-lived asset or asset group. Assets which are to be disposed of are reported at the lower of the carrying amount or fair value less costs to sell.</w:t>
      </w:r>
    </w:p>
    <w:p>
      <w:pPr>
        <w:spacing w:after="0" w:line="16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Fair value, using the income approach, is determined primarily using a discounted cash flow model that uses the estimated cash flows associated with the asset or asset group under review, discounted at a rate commensurate with the risk involved for a market participant. Fair value, utilizing the cost approach, is determined based on the replacement cost of the asset reduced for, among other things, depreciation and obsolescence. Fair value, utilizing the market approach, is determined by estimating the amount that a market participant would receive when selling the asset.</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Satellite Fleet</w:t>
      </w:r>
    </w:p>
    <w:p>
      <w:pPr>
        <w:spacing w:after="0" w:line="19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We currently evaluate our satellite fleet in conjunction with the Hughes Asset Group comprised of the ROU lease assets and certain other long-lived and finite-lived intangible assets for impairment whenever events or changes in circumstances indicate that its carrying amount may not be recoverable. During the fourth quarter of 2025, a triggering event occurred and resulted in an impairment assessment, see Note 1 for further information. We will continue to monitor our satellite fleet for indicators of impairment. We do not believe any triggering event occurred which would have indicated impairment as of December 31, 2024 and 2023.</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Finite-Lived Regulatory Authorizations</w:t>
      </w:r>
    </w:p>
    <w:p>
      <w:pPr>
        <w:spacing w:after="0" w:line="19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We have regulatory authorizations that are not related to the FCC and have determined that they have finite lives due to uncertainties about the ability to extend or renew their terms. Finite lived regulatory authorizations are amortized over their estimated useful lives on a straight-line basis. Renewal costs are usually capitalized when they are incurred. During the third quarter of 2025, a triggering event occurred and resulted in an impairment assessment, see Note 1 for further information. We do not believe any triggering event occurred which would have indicated impairment as of December 31, 2024 and 2023.</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75" w:name="page76"/>
    <w:bookmarkEnd w:id="7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Finite-Lived Intangible Assets</w:t>
      </w:r>
    </w:p>
    <w:p>
      <w:pPr>
        <w:spacing w:after="0" w:line="194" w:lineRule="exact"/>
        <w:rPr>
          <w:sz w:val="20"/>
          <w:szCs w:val="20"/>
          <w:color w:val="auto"/>
        </w:rPr>
      </w:pPr>
    </w:p>
    <w:p>
      <w:pPr>
        <w:ind w:left="40" w:right="279"/>
        <w:spacing w:after="0" w:line="253" w:lineRule="auto"/>
        <w:rPr>
          <w:sz w:val="20"/>
          <w:szCs w:val="20"/>
          <w:color w:val="auto"/>
        </w:rPr>
      </w:pPr>
      <w:r>
        <w:rPr>
          <w:rFonts w:ascii="Arial" w:cs="Arial" w:eastAsia="Arial" w:hAnsi="Arial"/>
          <w:sz w:val="16"/>
          <w:szCs w:val="16"/>
          <w:color w:val="auto"/>
        </w:rPr>
        <w:t>Intangible assets include customer relationships, trademarks, and certain below market contracts. These assets are amortized over their respective useful lives. During the fourth quarter of 2025, a triggering event occurred and resulted in an impairment assessment, see Note 1 for further information. We do not believe any triggering event occurred which would have indicated impairment as of December 31, 2024 and 2023.</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Indefinite-Lived Intangible Assets and Goodwill</w:t>
      </w:r>
    </w:p>
    <w:p>
      <w:pPr>
        <w:spacing w:after="0" w:line="194"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We do not amortize indefinite-lived intangible assets, primarily consisting of FCC licenses, and goodwill but test these assets for impairment annually during the fourth quarter or more often if indicators of impairment arise. We have the option to first perform a qualitative assessment to determine whether it is necessary to perform a quantitative impairment test. However, we may elect to bypass the qualitative assessment in any period and proceed directly to performing the quantitative impairment test.</w:t>
      </w:r>
    </w:p>
    <w:p>
      <w:pPr>
        <w:spacing w:after="0" w:line="157"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When a quantitative assessment is utilized, we can make our assessment by employing either the market approach or the income approach to determine whether the fair value of these licenses exceeds the carrying amount. The market approach assesses the value of our spectrum using benchmarks, based on market transactions, which may include spectrum auctions and secondary market transactions, such as acquisitions of spectrum or of businesses for which spectrum values can reliably be inferred. The income approach is appropriate when an indefinite-lived intangible assets value is primarily driven by its ability to generate future economic benefits assessed based on future cash flows.</w:t>
      </w:r>
    </w:p>
    <w:p>
      <w:pPr>
        <w:spacing w:after="0" w:line="159"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Our intangible assets with indefinite lives primarily consist of FCC licenses and certain other contractual or regulatory rights to use spectrum at specified orbital locations. Generally, we have determined that our FCC licenses have indefinite useful lives due to, among other things, the following:</w:t>
      </w:r>
    </w:p>
    <w:p>
      <w:pPr>
        <w:spacing w:after="0" w:line="150" w:lineRule="exact"/>
        <w:rPr>
          <w:sz w:val="20"/>
          <w:szCs w:val="20"/>
          <w:color w:val="auto"/>
        </w:rPr>
      </w:pPr>
    </w:p>
    <w:p>
      <w:pPr>
        <w:ind w:left="660" w:hanging="299"/>
        <w:spacing w:after="0"/>
        <w:tabs>
          <w:tab w:leader="none" w:pos="66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FCC licenses are a non-depleting asset;</w:t>
      </w:r>
    </w:p>
    <w:p>
      <w:pPr>
        <w:spacing w:after="0" w:line="27"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existing FCC licenses are integral to our business segments and will contribute to cash flows indefinitely;</w:t>
      </w:r>
    </w:p>
    <w:p>
      <w:pPr>
        <w:spacing w:after="0" w:line="11" w:lineRule="exact"/>
        <w:rPr>
          <w:rFonts w:ascii="Times New Roman" w:cs="Times New Roman" w:eastAsia="Times New Roman" w:hAnsi="Times New Roman"/>
          <w:sz w:val="16"/>
          <w:szCs w:val="16"/>
          <w:color w:val="auto"/>
        </w:rPr>
      </w:pPr>
    </w:p>
    <w:p>
      <w:pPr>
        <w:ind w:left="660" w:right="619" w:hanging="299"/>
        <w:spacing w:after="0" w:line="239" w:lineRule="auto"/>
        <w:tabs>
          <w:tab w:leader="none" w:pos="66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replacement satellite applications are generally authorized by the FCC subject to certain conditions, without substantial cost under a stable regulatory, legislative and legal environment;</w:t>
      </w:r>
    </w:p>
    <w:p>
      <w:pPr>
        <w:ind w:left="660" w:hanging="299"/>
        <w:spacing w:after="0"/>
        <w:tabs>
          <w:tab w:leader="none" w:pos="66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maintenance expenditures to obtain future cash flows are not significant;</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FCC licenses are not technologically dependent; and</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we intend to use these assets indefinitely.</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Hughes Segment Licenses</w:t>
      </w:r>
    </w:p>
    <w:p>
      <w:pPr>
        <w:spacing w:after="0" w:line="194"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We combine all of our indefinite-lived Hughes segment licenses that we currently utilize or plan to utilize in the future into the appropriate unit of accounting. During the third quarter of 2025, a triggering event occurred and resulted in an impairment assessment. During the fourth quarter of 2025, we performed our annual impairment assessment. During the fourth quarter, we performed our annual impairment assessment of our indefinite-lived Hughes licenses. Through this assessment, we concluded that the fair value was less than the carrying amount. As a result, we fully impaired the Hughes Licenses, resulting in a non-cash impairment charge of $ 400 million during the year ended December 31, 2025 recorded in “Impairments and other” on our Consolidated Statements of Operations and Comprehensive Income (Loss).</w:t>
      </w:r>
    </w:p>
    <w:p>
      <w:pPr>
        <w:spacing w:after="0" w:line="163"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For 2024 and 2023, management performed a qualitative assessment to determine whether it was more likely than not that the fair value of the Hughes segment licenses exceeds the carrying amount. In our assessment, we considered several factors, including, among others, overall financial performance, industry and market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7">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76" w:name="page77"/>
    <w:bookmarkEnd w:id="7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considerations and relevant company specific events. In contemplating all factors in their totality, we concluded that it is more likely than not that the fair value of the Hughes segment licenses exceeds the carrying amount. As such, no further analysis was required.</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Goodwill</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When applicable, we perform our annual impairment assessment for goodwill and other indefinite-lived intangible assets each year during the fourth quarter or more frequently if events or changes in circumstances indicate an impairment may be possible. As of December 31, 2023, all goodwill was impaired.</w:t>
      </w:r>
    </w:p>
    <w:p>
      <w:pPr>
        <w:spacing w:after="0" w:line="150" w:lineRule="exact"/>
        <w:rPr>
          <w:sz w:val="20"/>
          <w:szCs w:val="20"/>
          <w:color w:val="auto"/>
        </w:rPr>
      </w:pPr>
    </w:p>
    <w:p>
      <w:pPr>
        <w:ind w:left="40" w:right="119"/>
        <w:spacing w:after="0" w:line="253" w:lineRule="auto"/>
        <w:rPr>
          <w:sz w:val="20"/>
          <w:szCs w:val="20"/>
          <w:color w:val="auto"/>
        </w:rPr>
      </w:pPr>
      <w:r>
        <w:rPr>
          <w:rFonts w:ascii="Arial" w:cs="Arial" w:eastAsia="Arial" w:hAnsi="Arial"/>
          <w:sz w:val="16"/>
          <w:szCs w:val="16"/>
          <w:color w:val="auto"/>
        </w:rPr>
        <w:t>For the year ended December 31, 2023, our assessment indicated the goodwill attributed to certain acquisitions was no longer supported based on the sustained decrease in our parent, EchoStar’s market capitalization. As such, we recorded a total noncash impairment charge equal to all of our goodwill of approximately $533 million in “Impairments and other” on our Consolidated Statements of Operations and Comprehensive Income (Loss).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Exit and Disposal Costs</w:t>
      </w:r>
    </w:p>
    <w:p>
      <w:pPr>
        <w:spacing w:after="0" w:line="194"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Our exit and disposal costs include, among other things, one-time employee termination benefits, costs to terminate contracts that are not a lease and other exit and disposal costs. The liability for exit and disposal costs is initially measured at fair value and we recognize the costs associated with an exit or disposal activity in the period in which the liability is incurred. The liability for our exit and disposal costs is included in “Accrued expenses” and “Other noncurrent liabilities” on our Consolidated Balance Sheets. Fair value is determined under the income approach primarily using the expected present value technique that utilizes the estimated future cash flows associated with the obligation, discounted at our credit-adjusted risk-free rate plus a risk premium. Any gains and losses resulting from the difference between the recorded liability and final settlement amounts will be recognized in “Impairments and other” on our Consolidated Statements of Operations and Comprehensive Income (Loss).</w:t>
      </w:r>
    </w:p>
    <w:p>
      <w:pPr>
        <w:spacing w:after="0" w:line="16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The initial fair value of our exit and disposal obligations is categorized within Level 3 of the fair value hierarchy due to the use of significant unobservable inputs. Subsequent to the initial measurement, our exit and disposal cost liability is periodically adjusted for revisions in the estimated timing and amount of future cash flows. As of December 31, 2025, the liability for our exit and disposal costs was $2 million.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Capitalized Interest</w:t>
      </w:r>
    </w:p>
    <w:p>
      <w:pPr>
        <w:spacing w:after="0" w:line="194"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We capitalize interest associated with the acquisition or construction of certain assets, including, among other things, build-out costs associated with our satellites. Capitalization of interest begins when, among other things, steps are taken to prepare the asset for its intended use and ceases when the asset is ready for its intended use or when substantially all activities related to the project are suspended.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94"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When we acquire a business that is not subject to rules pertaining to common control, we allocate the purchase price to the various components of the acquisition based upon the fair value of each component using various valuation techniques, including the market approach, income approach and/or cost approach. The accounting standard for business combinations requires identifiable assets, liabilities, noncontrolling interests and goodwill acquired to be recorded at acquisition date fair values. Transaction costs related to the acquisition of the business are expensed as incurred. Costs associated with the issuance of debt associated with a business combination are capitalized and included as a yield adjustment to the underlying debt’s stated rate.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8">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77" w:name="page78"/>
    <w:bookmarkEnd w:id="7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Acquired intangible assets other than goodwill are amortized over their estimated useful lives unless the lives are determined to be indefinite. Amortization of these intangible assets in general are recognized on a straight-line basis over an average finite useful life primarily ranging from approximately 5 to 20 years or in relation to the estimated discounted cash flows over the life of the intangible asset.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Sales Taxes</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We account for sales taxes imposed on our goods and services on a net basis on our Consolidated Statements of Operations and Comprehensive Income (Loss). Since we primarily act as an agent for the governmental authorities, the amount charged to the customer is collected and remitted directly to the appropriate jurisdictional entity.</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Income Taxes</w:t>
      </w:r>
    </w:p>
    <w:p>
      <w:pPr>
        <w:spacing w:after="0" w:line="194"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We establish a provision for income taxes currently payable or receivable and for income tax amounts deferred to future periods. Deferred tax assets and liabilities are recorded for the estimated future tax effects of differences that exist between the book and tax basis of assets and liabilities. Deferred tax assets are offset by valuation allowances when we believe it is more likely than not that such net deferred tax assets will not be realized.</w:t>
      </w:r>
    </w:p>
    <w:p>
      <w:pPr>
        <w:spacing w:after="0" w:line="156"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From time to time, we engage in transactions where the tax consequences may be subject to uncertainty. We record a liability when, in management’s judgment, a tax filing position does not meet the more likely than not threshold. For tax positions that meet the more likely than not threshold, we may record a liability depending on management’s assessment of how the tax position will ultimately be settled. We adjust our estimates periodically for ongoing examinations by and settlements with various taxing authorities, as well as changes in tax laws, regulations and precedent. We classify interest and penalties, if any, associated with our uncertain tax positions as a component of “Interest expense, net of amounts capitalized” and “Other, net,” respectively, on our Consolidated Statements of Operations and Comprehensive Income (Loss).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Measurements</w:t>
      </w:r>
    </w:p>
    <w:p>
      <w:pPr>
        <w:spacing w:after="0" w:line="196" w:lineRule="exact"/>
        <w:rPr>
          <w:sz w:val="20"/>
          <w:szCs w:val="20"/>
          <w:color w:val="auto"/>
        </w:rPr>
      </w:pPr>
    </w:p>
    <w:p>
      <w:pPr>
        <w:ind w:left="40" w:right="259"/>
        <w:spacing w:after="0" w:line="250" w:lineRule="auto"/>
        <w:rPr>
          <w:sz w:val="20"/>
          <w:szCs w:val="20"/>
          <w:color w:val="auto"/>
        </w:rPr>
      </w:pPr>
      <w:r>
        <w:rPr>
          <w:rFonts w:ascii="Arial" w:cs="Arial" w:eastAsia="Arial" w:hAnsi="Arial"/>
          <w:sz w:val="16"/>
          <w:szCs w:val="16"/>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57" w:lineRule="exact"/>
        <w:rPr>
          <w:sz w:val="20"/>
          <w:szCs w:val="20"/>
          <w:color w:val="auto"/>
        </w:rPr>
      </w:pPr>
    </w:p>
    <w:p>
      <w:pPr>
        <w:ind w:left="660" w:hanging="299"/>
        <w:spacing w:after="0"/>
        <w:tabs>
          <w:tab w:leader="none" w:pos="66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Level 1, defined as observable inputs being quoted prices in active markets for identical assets;</w:t>
      </w:r>
    </w:p>
    <w:p>
      <w:pPr>
        <w:spacing w:after="0" w:line="27" w:lineRule="exact"/>
        <w:rPr>
          <w:rFonts w:ascii="Times New Roman" w:cs="Times New Roman" w:eastAsia="Times New Roman" w:hAnsi="Times New Roman"/>
          <w:sz w:val="16"/>
          <w:szCs w:val="16"/>
          <w:color w:val="auto"/>
        </w:rPr>
      </w:pPr>
    </w:p>
    <w:p>
      <w:pPr>
        <w:jc w:val="both"/>
        <w:ind w:left="660" w:right="59" w:hanging="299"/>
        <w:spacing w:after="0" w:line="239" w:lineRule="auto"/>
        <w:tabs>
          <w:tab w:leader="none" w:pos="66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Times New Roman" w:cs="Times New Roman" w:eastAsia="Times New Roman" w:hAnsi="Times New Roman"/>
          <w:sz w:val="16"/>
          <w:szCs w:val="16"/>
          <w:color w:val="auto"/>
        </w:rPr>
      </w:pPr>
    </w:p>
    <w:p>
      <w:pPr>
        <w:jc w:val="both"/>
        <w:ind w:left="660" w:right="59" w:hanging="299"/>
        <w:spacing w:after="0" w:line="252" w:lineRule="auto"/>
        <w:tabs>
          <w:tab w:leader="none" w:pos="66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345"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As of December 31, 2025 and 2024, the carrying amount for cash and cash equivalents, trade accounts receivable (net of allowance for credit losses) and current liabilities (excluding the “Current portion of debt and other notes payable”) was equal to or approximated fair value due to their short-term nature or proximity to current market rates.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9">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78" w:name="page79"/>
    <w:bookmarkEnd w:id="7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exit or disposal cost obligations and the assignment of purchase consideration to assets in a non-cash exchange of assets and for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5 for the fair value of our marketable investment securities.</w:t>
      </w:r>
    </w:p>
    <w:p>
      <w:pPr>
        <w:spacing w:after="0" w:line="165"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Fair values for our publicly traded debt securities are based on quoted market prices, when available. The fair values of non-publicly traded debt are based on, among other things, available trade information, valuations performed by a third-party,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The non-publicly traded debt is categorized within Level 3 of the fair value hierarchy. See Note 9 for the fair value of our debt.</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Deferred Debt Issuance Costs and Debt Discounts</w:t>
      </w:r>
    </w:p>
    <w:p>
      <w:pPr>
        <w:spacing w:after="0" w:line="19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Costs of issuing debt, including premiums and discounts relative to par value, are generally deferred and amortized to “Interest expense, net of amounts capitalized” on our Consolidated Statements of Operations and Comprehensive Income (Loss) using the effective interest rate method over the terms of the respective notes. We report unamortized debt issuance costs as a reduction of the related long-term debt on our Consolidated Balance Sheets. See Note 9 for further information.</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Revenue Recognition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Hughes Segment</w:t>
      </w:r>
    </w:p>
    <w:p>
      <w:pPr>
        <w:spacing w:after="0" w:line="194"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Our Hughes segment service contracts typically obligate us to provide substantially the same services on a recurring basis in exchange for fixed recurring fees over the term of the contract. We satisfy such performance obligations over time and recognize revenue ratably as services are rendered over the service period. Certain of our contracts with service obligations provide for fees based on usage, capacity or volume. We satisfy these performance obligations and recognize the related revenue at the point in time, or over the period, when the services are rendered. Our Hughes segment also sells and leases communications equipment to its customers. Revenue from equipment sales generally is recognized based upon shipment terms. Our equipment sales contracts typically include standard product warranties, but generally do not provide for returns or refunds. Revenue for extended warranties is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79" w:name="page80"/>
    <w:bookmarkEnd w:id="7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In addition to equipment and service offerings, our Hughes segment also enters into long-term contracts to design, develop, construct and install complex telecommunication networks for mobile system operators and enterprise customers. Revenue from such contracts is generally recognized over time as a measure of progress that depicts the transfer of control of the goods or services to the customer. Depending on the nature of the arrangement, we measure progress toward contract completion using an appropriate input method or output method. Under the input method, we recognize the transaction price as revenue based on the ratio of costs incurred to estimated total costs at completion. Under the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w:t>
      </w:r>
    </w:p>
    <w:p>
      <w:pPr>
        <w:spacing w:after="0" w:line="16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We derive a portion of our revenues from contracts with customers for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generally based upon usage.</w:t>
      </w:r>
    </w:p>
    <w:p>
      <w:pPr>
        <w:spacing w:after="0" w:line="15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Generally, our satellite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Governmental Funding</w:t>
      </w:r>
    </w:p>
    <w:p>
      <w:pPr>
        <w:spacing w:after="0" w:line="194"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We participate or have participated in various United States federal and state programs, including, but not limited to, the Affordable Connectivity Program (“ACP”) under which eligible low-income households may receive a discount off the cost of broadband service and certain connected devices, and participating providers can receive a reimbursement for such discounts. The ACP program funding concluded on June 1, 2024. Governmental funding revenue is included in “Service revenue” on our Consolidated Statements of Operations and Comprehensive Income (Loss). Corresponding receivables are recorded when services have been provided to the customers and costs incurred, but cash has not been received. These amounts are included in “Trade accounts receivable and contract assets, net” on our Consolidated Balance Sheets.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Contract Balances</w:t>
      </w:r>
    </w:p>
    <w:p>
      <w:pPr>
        <w:spacing w:after="0" w:line="194"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The timing of revenue recognition generally differs from the timing of invoicing to customers. A contract asset is recorded when revenue is recognized in advance of our right to receive consideration (i.e., we must perform additional services in order to receive consideration). Amounts are recorded as trade accounts receivable when our right to consideration is unconditional. When consideration is received, or we have an unconditional right to consideration in advance of delivery of goods or services, a contract liability is recorded. The transaction price can include nonrefundable upfront fees, which are allocated to the identifiable performance obligations. Our satellite services subscribers are typically billed monthly, and the contract balances for those customers arise from the timing of the monthly billing cycle. Contract assets are included in “Trade accounts receivable and contract assets, net” and contract liabilities are included in “Contract liabilities” and “Other noncurrent liabilities” on our Consolidated Balance Sheets. Contract balances are amortized over the contract term. See Note 14 for further information, including balance and activity detail about our allowance for credit losses and deferred revenue related to contracts with subscribers.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1">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80" w:name="page81"/>
    <w:bookmarkEnd w:id="8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Assets Recognized Related to the Costs to Obtain a Contract with a Customer</w:t>
      </w:r>
    </w:p>
    <w:p>
      <w:pPr>
        <w:spacing w:after="0" w:line="194"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Consolidated Balance Sheets, and then amortized in “Selling, general and administrative expenses” on our Consolidated Statements of Operations and Comprehensive Income (Loss).</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Leases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Lessee Accounting</w:t>
      </w:r>
    </w:p>
    <w:p>
      <w:pPr>
        <w:spacing w:after="0" w:line="194" w:lineRule="exact"/>
        <w:rPr>
          <w:sz w:val="20"/>
          <w:szCs w:val="20"/>
          <w:color w:val="auto"/>
        </w:rPr>
      </w:pPr>
    </w:p>
    <w:p>
      <w:pPr>
        <w:jc w:val="both"/>
        <w:ind w:left="40" w:right="59" w:hanging="6"/>
        <w:spacing w:after="0" w:line="248" w:lineRule="auto"/>
        <w:rPr>
          <w:sz w:val="20"/>
          <w:szCs w:val="20"/>
          <w:color w:val="auto"/>
        </w:rPr>
      </w:pPr>
      <w:r>
        <w:rPr>
          <w:rFonts w:ascii="Arial" w:cs="Arial" w:eastAsia="Arial" w:hAnsi="Arial"/>
          <w:sz w:val="16"/>
          <w:szCs w:val="16"/>
          <w:color w:val="auto"/>
        </w:rPr>
        <w:t>We enter into non-cancelable operating and finance leases for, among other things, satellites, satellite-related ground infrastructure, data centers, office space, warehouses and distribution centers, vehicles and other equipment. Substantially all of our leases have remaining lease terms from one to 12 years, with a weighted average of 5.6 years, some of which include renewal options, and some of which include options to terminate the leases within one year. For certain arrangements, the lease term includes the non-cancelable period plus the renewal period that we are reasonably certain to exercise.</w:t>
      </w:r>
    </w:p>
    <w:p>
      <w:pPr>
        <w:spacing w:after="0" w:line="34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We determine if an arrangement is a lease and classify that lease as either an operating or finance lease at inception. Operating leases are included in “Operating lease assets,” “Operating lease liabilities,” and “Operating lease liabilities, noncurrent” on our Consolidated Balance Sheets. Finance leases are included in “Property and equipment, net,” “Current portion of debt and other notes payable” and “Long-term debt and other notes payable, net of current portion” on our Consolidated Balance Sheets. Leases with an initial term of 12 months or less are not recorded on the balance sheet and we recognize lease expense for these leases on a straight-line basis over the lease term on our Consolidated Statements of Operations and Comprehensive Income (Loss). See Note 8 for further information on our lease expenses.</w:t>
      </w:r>
    </w:p>
    <w:p>
      <w:pPr>
        <w:spacing w:after="0" w:line="163"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the present value of our obligation to make lease payments arising from the lease. Operating lease ROU assets and liabilities are recognized at commencement date based on the present value of lease payments over the lease term. The operating lease ROU asset also includes the impact of prepaid or deferred lease payments. When our leases do not provide an implicit rate, we use our IBR based on the information available at commencement date in determining the present value of lease payments. Our IBR is based on an estimated secured rate for the same term as the underlying lease plus a credit spread as secured by our assets. For leases denominated in a currency different than U.S. dollar, IBR is estimated using the collateralized borrowing rate in the foreign currency using the U.S. dollar and foreign currency swap spread, when available. The length of our lease term may include options to extend or terminate the lease when it is reasonably certain that we will exercise that option. Lease expense for operating lease payments is recognized on a straight-line basis over the lease term.</w:t>
      </w: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have lease agreements with lease and non-lease components, which are generally accounted for separately.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2">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81" w:name="page82"/>
    <w:bookmarkEnd w:id="8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Lessor Accounting</w:t>
      </w:r>
    </w:p>
    <w:p>
      <w:pPr>
        <w:spacing w:after="0" w:line="194"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color w:val="auto"/>
        </w:rPr>
        <w:t>We lease satellite capacity, communications equipment and real estate to certain of our customers. We identify and determine the classification of such leases as operating leases or sales-type leases. A lease is classified as a sales-type lease if it meets the criteria for a finance lease; otherwise it is classified as an operating lease. Some of our leases are embedded in contracts with customers that include non-lease performance obligations. For such contracts, except where we have elected otherwise, we allocate consideration in the contract between lease and non-lease components based on their relative standalone selling prices. We elected an accounting policy to not separate the lease of equipment from related services in our HughesNet satellite internet service (the “HughesNet service”) contracts with customers and account for all revenue from such contracts as non-lease service revenue. Assets subject to operating leases remain in “Property and equipment, net” and continue to be depreciated. Assets subject to sales-type leases are derecognized from “Property and equipment, net” at lease commencement and a net investment in the lease asset is recognized in “Trade accounts receivable and contract assets, net” and “Other noncurrent assets, net” on our Consolidated Balance Sheets.</w:t>
      </w:r>
    </w:p>
    <w:p>
      <w:pPr>
        <w:spacing w:after="0" w:line="16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Operating lease revenue is generally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are discounted using the interest rate implicit in the lease. We report revenue and periodic interest income from sales-type leases at the commencement date in “Equipment sales and other revenue” on our Consolidated Statements of Operations and Comprehensive Income (Loss). We report operating lease revenue in “Service revenue” on our Consolidated Statements of Operations and Comprehensive Income (Loss).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Cost of Services</w:t>
      </w:r>
    </w:p>
    <w:p>
      <w:pPr>
        <w:spacing w:after="0" w:line="19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“Cost of services” on our Consolidated Statements of Operations and Comprehensive Income (Loss) principally consists of costs of satellite capacity and services, hub infrastructure, customer care, wireline and wireless capacity and direct labor costs associated with the services provided and is generally charged to expense as incurred.</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Cost of Sales – Equipment and Other</w:t>
      </w:r>
    </w:p>
    <w:p>
      <w:pPr>
        <w:spacing w:after="0" w:line="19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“Cost of sales – equipment and other” on our Consolidated Statements of Operations and Comprehensive Income (Loss) principally consists of inventory costs, including freight and royalties, and is generally recognized at the point in time control of the equipment is passed to the customer and related revenue is recognized.</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Advertising Costs</w:t>
      </w:r>
    </w:p>
    <w:p>
      <w:pPr>
        <w:spacing w:after="0" w:line="19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We recognize advertising expense when incurred as a component of “Selling, general and administrative expenses” on our Consolidated Statements of Operations and Comprehensive Income (Loss). Advertising expenses totaled $31 million, $43 million and $56 million for the years ended December 31, 2025, 2024 and 2023, respectively.</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Research and Development</w:t>
      </w:r>
    </w:p>
    <w:p>
      <w:pPr>
        <w:spacing w:after="0" w:line="19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Research and development costs, not incurred in connection with customer requirements, are expensed as incurred and are included as a component of “Selling, general and administrative expenses” on our Consolidated Statements of Operations and Comprehensive Income (Loss). Additionally, customer-related research and development costs are incurred in connection with the specific requirements of a customer’s order; in such instances, the amounts for these customer funded development efforts are included in “Cost of</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82" w:name="page83"/>
    <w:bookmarkEnd w:id="8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sales – equipment and other” on our Consolidated Statements of Operations and Comprehensive Income (Loss). Research and development costs totaled $42 million, $60 million and $67 million for the years ended December 31, 2025, 2024 and 2023, respectively.</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Foreign Currency</w:t>
      </w:r>
    </w:p>
    <w:p>
      <w:pPr>
        <w:spacing w:after="0" w:line="19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reported in “Other, net” on our Consolidated Statements of Operations and Comprehensive Income (Loss). Except in certain uncommon circumstances, we have not recorded deferred income taxes related to our foreign currency translation adjustments.</w:t>
      </w:r>
    </w:p>
    <w:p>
      <w:pPr>
        <w:spacing w:after="0" w:line="349"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Gains and losses resulting from the re-measurement of transactions denominated in foreign currencies are recognized in “Other, net” on our Consolidated Statements of Operations and Comprehensive Income (Loss).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w:t>
      </w:r>
    </w:p>
    <w:p>
      <w:pPr>
        <w:spacing w:after="0" w:line="196"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The amounts reclassified to net income (loss) related to unrealized gain (loss) on available-for-sale securities are included in Gains (losses) on investments, net in the Consolidated Statements of Operations and Comprehensive Income (Loss).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New Accounting Pronouncements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Not Yet Adopted</w:t>
      </w:r>
    </w:p>
    <w:p>
      <w:pPr>
        <w:spacing w:after="0" w:line="194"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i w:val="1"/>
          <w:iCs w:val="1"/>
          <w:color w:val="auto"/>
        </w:rPr>
        <w:t>Disaggregation of Income Statement Expenses</w:t>
      </w:r>
      <w:r>
        <w:rPr>
          <w:rFonts w:ascii="Arial" w:cs="Arial" w:eastAsia="Arial" w:hAnsi="Arial"/>
          <w:sz w:val="16"/>
          <w:szCs w:val="16"/>
          <w:color w:val="auto"/>
        </w:rPr>
        <w:t>. In November, 2024 the FASB issued ASU 2024-03,</w:t>
      </w:r>
      <w:r>
        <w:rPr>
          <w:rFonts w:ascii="Arial" w:cs="Arial" w:eastAsia="Arial" w:hAnsi="Arial"/>
          <w:sz w:val="16"/>
          <w:szCs w:val="16"/>
          <w:i w:val="1"/>
          <w:iCs w:val="1"/>
          <w:color w:val="auto"/>
        </w:rPr>
        <w:t xml:space="preserve"> Income Statement – Reporting Comprehensive Income – Expense Disaggregation Disclosures (Subtopic 220-40) </w:t>
      </w:r>
      <w:r>
        <w:rPr>
          <w:rFonts w:ascii="Arial" w:cs="Arial" w:eastAsia="Arial" w:hAnsi="Arial"/>
          <w:sz w:val="16"/>
          <w:szCs w:val="16"/>
          <w:color w:val="auto"/>
        </w:rPr>
        <w:t>(“ASU 2024-03”),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consolidated financial statements, related disclosures and control environment.</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 xml:space="preserve">Intangibles – Goodwill and Other – Internal-Use Software. </w:t>
      </w:r>
      <w:r>
        <w:rPr>
          <w:rFonts w:ascii="Arial" w:cs="Arial" w:eastAsia="Arial" w:hAnsi="Arial"/>
          <w:sz w:val="16"/>
          <w:szCs w:val="16"/>
          <w:color w:val="auto"/>
        </w:rPr>
        <w:t>In September, 2025 the FASB issued ASU 2025-06,</w:t>
      </w:r>
      <w:r>
        <w:rPr>
          <w:rFonts w:ascii="Arial" w:cs="Arial" w:eastAsia="Arial" w:hAnsi="Arial"/>
          <w:sz w:val="16"/>
          <w:szCs w:val="16"/>
          <w:i w:val="1"/>
          <w:iCs w:val="1"/>
          <w:color w:val="auto"/>
        </w:rPr>
        <w:t xml:space="preserve"> Intangibles</w:t>
      </w:r>
    </w:p>
    <w:p>
      <w:pPr>
        <w:spacing w:after="0" w:line="16" w:lineRule="exact"/>
        <w:rPr>
          <w:sz w:val="20"/>
          <w:szCs w:val="20"/>
          <w:color w:val="auto"/>
        </w:rPr>
      </w:pPr>
    </w:p>
    <w:p>
      <w:pPr>
        <w:jc w:val="both"/>
        <w:ind w:left="40" w:right="99"/>
        <w:spacing w:after="0" w:line="242" w:lineRule="auto"/>
        <w:rPr>
          <w:sz w:val="20"/>
          <w:szCs w:val="20"/>
          <w:color w:val="auto"/>
        </w:rPr>
      </w:pPr>
      <w:r>
        <w:rPr>
          <w:rFonts w:ascii="Arial" w:cs="Arial" w:eastAsia="Arial" w:hAnsi="Arial"/>
          <w:sz w:val="16"/>
          <w:szCs w:val="16"/>
          <w:i w:val="1"/>
          <w:iCs w:val="1"/>
          <w:color w:val="auto"/>
        </w:rPr>
        <w:t xml:space="preserve">– Goodwill and Other – Internal-Use Software (Subtopic 350-40): Targeted Improvements to the Accounting for Internal-Use Software </w:t>
      </w:r>
      <w:r>
        <w:rPr>
          <w:rFonts w:ascii="Arial" w:cs="Arial" w:eastAsia="Arial" w:hAnsi="Arial"/>
          <w:sz w:val="16"/>
          <w:szCs w:val="16"/>
          <w:color w:val="auto"/>
        </w:rPr>
        <w:t>(“ASU 2025-06”), which removes the references to the sequential software development stages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in Subtopic 350-40. Upon the adoption of ASU 2025-06,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This standard is effective for fiscal years beginning after December 15, 2027. Early adoption is permitted. We are evaluating the impact the adoption of ASU 2025-06 will have on our consolidated financial statements, related disclosures and control environment.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83" w:name="page84"/>
    <w:bookmarkEnd w:id="8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480" w:hanging="438"/>
        <w:spacing w:after="0"/>
        <w:tabs>
          <w:tab w:leader="none" w:pos="48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Supplemental Data - Statements of Cash Flows</w:t>
      </w:r>
    </w:p>
    <w:p>
      <w:pPr>
        <w:spacing w:after="0" w:line="196" w:lineRule="exact"/>
        <w:rPr>
          <w:sz w:val="20"/>
          <w:szCs w:val="20"/>
          <w:color w:val="auto"/>
        </w:rPr>
      </w:pPr>
    </w:p>
    <w:p>
      <w:pPr>
        <w:ind w:left="40" w:right="300"/>
        <w:spacing w:after="0" w:line="281" w:lineRule="auto"/>
        <w:rPr>
          <w:sz w:val="20"/>
          <w:szCs w:val="20"/>
          <w:color w:val="auto"/>
        </w:rPr>
      </w:pPr>
      <w:r>
        <w:rPr>
          <w:rFonts w:ascii="Arial" w:cs="Arial" w:eastAsia="Arial" w:hAnsi="Arial"/>
          <w:sz w:val="16"/>
          <w:szCs w:val="16"/>
          <w:color w:val="auto"/>
        </w:rPr>
        <w:t>The following table presents certain supplemental cash flow and other non-cash data. See Note 8 for supplemental cash flow and non-cash data related to leases.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8"/>
          </w:tcPr>
          <w:p>
            <w:pPr>
              <w:jc w:val="right"/>
              <w:ind w:right="218"/>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18"/>
              <w:spacing w:after="0"/>
              <w:rPr>
                <w:sz w:val="20"/>
                <w:szCs w:val="20"/>
                <w:color w:val="auto"/>
              </w:rPr>
            </w:pPr>
            <w:r>
              <w:rPr>
                <w:rFonts w:ascii="Arial" w:cs="Arial" w:eastAsia="Arial" w:hAnsi="Arial"/>
                <w:sz w:val="16"/>
                <w:szCs w:val="16"/>
                <w:b w:val="1"/>
                <w:bCs w:val="1"/>
                <w:color w:val="auto"/>
              </w:rPr>
              <w:t>2025</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218"/>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18"/>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3"/>
          </w:tcPr>
          <w:p>
            <w:pPr>
              <w:jc w:val="right"/>
              <w:spacing w:after="0" w:line="164" w:lineRule="exact"/>
              <w:rPr>
                <w:sz w:val="20"/>
                <w:szCs w:val="20"/>
                <w:color w:val="auto"/>
              </w:rPr>
            </w:pPr>
            <w:r>
              <w:rPr>
                <w:rFonts w:ascii="Arial" w:cs="Arial" w:eastAsia="Arial" w:hAnsi="Arial"/>
                <w:sz w:val="16"/>
                <w:szCs w:val="16"/>
                <w:color w:val="auto"/>
              </w:rPr>
              <w:t>(In thousands)</w:t>
            </w:r>
          </w:p>
        </w:tc>
        <w:tc>
          <w:tcPr>
            <w:tcW w:w="1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 (including capitalized interest)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96,231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97,306</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98,642</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20"/>
                <w:szCs w:val="20"/>
                <w:color w:val="auto"/>
              </w:rPr>
            </w:pPr>
            <w:r>
              <w:rPr>
                <w:rFonts w:ascii="Arial" w:cs="Arial" w:eastAsia="Arial" w:hAnsi="Arial"/>
                <w:sz w:val="16"/>
                <w:szCs w:val="16"/>
                <w:color w:val="auto"/>
              </w:rPr>
              <w:t>Cash paid for income taxes, net of (refunds) (1)</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5,825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202,993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4,902</w:t>
            </w:r>
          </w:p>
        </w:tc>
        <w:tc>
          <w:tcPr>
            <w:tcW w:w="0" w:type="dxa"/>
            <w:vAlign w:val="bottom"/>
          </w:tcPr>
          <w:p>
            <w:pPr>
              <w:spacing w:after="0"/>
              <w:rPr>
                <w:sz w:val="1"/>
                <w:szCs w:val="1"/>
                <w:color w:val="auto"/>
              </w:rPr>
            </w:pPr>
          </w:p>
        </w:tc>
      </w:tr>
      <w:tr>
        <w:trPr>
          <w:trHeight w:val="184"/>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Total capitalized interest</w:t>
            </w: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6"/>
                <w:szCs w:val="16"/>
                <w:color w:val="auto"/>
              </w:rPr>
              <w:t>Accrued capital expenditures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41910</wp:posOffset>
            </wp:positionV>
            <wp:extent cx="141668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5">
                      <a:extLst>
                        <a:ext uri="{28A0092B-C50C-407E-A947-70E740481C1C}"/>
                      </a:extLst>
                    </a:blip>
                    <a:srcRect/>
                    <a:stretch>
                      <a:fillRect/>
                    </a:stretch>
                  </pic:blipFill>
                  <pic:spPr bwMode="auto">
                    <a:xfrm>
                      <a:off x="0" y="0"/>
                      <a:ext cx="1416685" cy="7620"/>
                    </a:xfrm>
                    <a:prstGeom prst="rect">
                      <a:avLst/>
                    </a:prstGeom>
                    <a:noFill/>
                  </pic:spPr>
                </pic:pic>
              </a:graphicData>
            </a:graphic>
          </wp:anchor>
        </w:drawing>
      </w:r>
    </w:p>
    <w:p>
      <w:pPr>
        <w:spacing w:after="0" w:line="127" w:lineRule="exact"/>
        <w:rPr>
          <w:sz w:val="20"/>
          <w:szCs w:val="20"/>
          <w:color w:val="auto"/>
        </w:rPr>
      </w:pPr>
    </w:p>
    <w:p>
      <w:pPr>
        <w:ind w:left="340" w:right="60" w:hanging="298"/>
        <w:spacing w:after="0" w:line="281"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 paid for income taxes generally were remitted to our parent, EchoStar. See Note 15, for additional details on this related party transaction.</w:t>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Capitalized Software Costs</w:t>
      </w:r>
    </w:p>
    <w:p>
      <w:pPr>
        <w:spacing w:after="0" w:line="196" w:lineRule="exact"/>
        <w:rPr>
          <w:sz w:val="20"/>
          <w:szCs w:val="20"/>
          <w:color w:val="auto"/>
        </w:rPr>
      </w:pPr>
    </w:p>
    <w:p>
      <w:pPr>
        <w:ind w:left="40" w:right="500"/>
        <w:spacing w:after="0" w:line="281" w:lineRule="auto"/>
        <w:rPr>
          <w:sz w:val="20"/>
          <w:szCs w:val="20"/>
          <w:color w:val="auto"/>
        </w:rPr>
      </w:pPr>
      <w:r>
        <w:rPr>
          <w:rFonts w:ascii="Arial" w:cs="Arial" w:eastAsia="Arial" w:hAnsi="Arial"/>
          <w:sz w:val="16"/>
          <w:szCs w:val="16"/>
          <w:color w:val="auto"/>
        </w:rPr>
        <w:t>The following tables present the activity related to our capitalized software cost which is included in “Other noncurrent assets, net” on our Consolidated Balance Sheets: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6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ind w:right="398"/>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84"/>
        </w:trPr>
        <w:tc>
          <w:tcPr>
            <w:tcW w:w="6100" w:type="dxa"/>
            <w:vAlign w:val="bottom"/>
          </w:tcPr>
          <w:p>
            <w:pPr>
              <w:spacing w:after="0"/>
              <w:rPr>
                <w:sz w:val="15"/>
                <w:szCs w:val="15"/>
                <w:color w:val="auto"/>
              </w:rPr>
            </w:pPr>
          </w:p>
        </w:tc>
        <w:tc>
          <w:tcPr>
            <w:tcW w:w="400" w:type="dxa"/>
            <w:vAlign w:val="bottom"/>
          </w:tcPr>
          <w:p>
            <w:pPr>
              <w:ind w:left="28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2025</w:t>
            </w:r>
          </w:p>
        </w:tc>
        <w:tc>
          <w:tcPr>
            <w:tcW w:w="280" w:type="dxa"/>
            <w:vAlign w:val="bottom"/>
            <w:gridSpan w:val="3"/>
          </w:tcPr>
          <w:p>
            <w:pPr>
              <w:ind w:left="1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64"/>
        </w:trPr>
        <w:tc>
          <w:tcPr>
            <w:tcW w:w="6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right"/>
              <w:ind w:right="598"/>
              <w:spacing w:after="0" w:line="164" w:lineRule="exact"/>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184"/>
        </w:trPr>
        <w:tc>
          <w:tcPr>
            <w:tcW w:w="6100" w:type="dxa"/>
            <w:vAlign w:val="bottom"/>
            <w:shd w:val="clear" w:color="auto" w:fill="CCEEFF"/>
          </w:tcPr>
          <w:p>
            <w:pPr>
              <w:spacing w:after="0"/>
              <w:rPr>
                <w:sz w:val="20"/>
                <w:szCs w:val="20"/>
                <w:color w:val="auto"/>
              </w:rPr>
            </w:pPr>
            <w:r>
              <w:rPr>
                <w:rFonts w:ascii="Arial" w:cs="Arial" w:eastAsia="Arial" w:hAnsi="Arial"/>
                <w:sz w:val="16"/>
                <w:szCs w:val="16"/>
                <w:color w:val="auto"/>
              </w:rPr>
              <w:t>Net carrying amount of externally marketed software</w:t>
            </w:r>
          </w:p>
        </w:tc>
        <w:tc>
          <w:tcPr>
            <w:tcW w:w="62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94,548</w:t>
            </w:r>
          </w:p>
        </w:tc>
        <w:tc>
          <w:tcPr>
            <w:tcW w:w="48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109,103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Externally marketed software under development and not yet placed into service</w:t>
            </w:r>
          </w:p>
        </w:tc>
        <w:tc>
          <w:tcPr>
            <w:tcW w:w="4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1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220" w:type="dxa"/>
            <w:vAlign w:val="bottom"/>
          </w:tcPr>
          <w:p>
            <w:pPr>
              <w:jc w:val="right"/>
              <w:ind w:right="63"/>
              <w:spacing w:after="0" w:line="161"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61" w:lineRule="exact"/>
              <w:rPr>
                <w:sz w:val="20"/>
                <w:szCs w:val="20"/>
                <w:color w:val="auto"/>
              </w:rPr>
            </w:pPr>
            <w:r>
              <w:rPr>
                <w:rFonts w:ascii="Arial" w:cs="Arial" w:eastAsia="Arial" w:hAnsi="Arial"/>
                <w:sz w:val="16"/>
                <w:szCs w:val="16"/>
                <w:color w:val="auto"/>
              </w:rPr>
              <w:t>17,583</w:t>
            </w:r>
          </w:p>
        </w:tc>
        <w:tc>
          <w:tcPr>
            <w:tcW w:w="260" w:type="dxa"/>
            <w:vAlign w:val="bottom"/>
            <w:gridSpan w:val="2"/>
            <w:vMerge w:val="continue"/>
          </w:tcPr>
          <w:p>
            <w:pPr>
              <w:spacing w:after="0"/>
              <w:rPr>
                <w:sz w:val="13"/>
                <w:szCs w:val="13"/>
                <w:color w:val="auto"/>
              </w:rPr>
            </w:pPr>
          </w:p>
        </w:tc>
        <w:tc>
          <w:tcPr>
            <w:tcW w:w="220" w:type="dxa"/>
            <w:vAlign w:val="bottom"/>
            <w:gridSpan w:val="2"/>
          </w:tcPr>
          <w:p>
            <w:pPr>
              <w:jc w:val="right"/>
              <w:ind w:right="140"/>
              <w:spacing w:after="0" w:line="161"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61" w:lineRule="exact"/>
              <w:rPr>
                <w:sz w:val="20"/>
                <w:szCs w:val="20"/>
                <w:color w:val="auto"/>
              </w:rPr>
            </w:pPr>
            <w:r>
              <w:rPr>
                <w:rFonts w:ascii="Arial" w:cs="Arial" w:eastAsia="Arial" w:hAnsi="Arial"/>
                <w:sz w:val="16"/>
                <w:szCs w:val="16"/>
                <w:color w:val="auto"/>
              </w:rPr>
              <w:t>19,275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8"/>
          </w:tcPr>
          <w:p>
            <w:pPr>
              <w:jc w:val="right"/>
              <w:ind w:right="318"/>
              <w:spacing w:after="0"/>
              <w:rPr>
                <w:sz w:val="20"/>
                <w:szCs w:val="20"/>
                <w:color w:val="auto"/>
              </w:rPr>
            </w:pPr>
            <w:r>
              <w:rPr>
                <w:rFonts w:ascii="Arial" w:cs="Arial" w:eastAsia="Arial" w:hAnsi="Arial"/>
                <w:sz w:val="16"/>
                <w:szCs w:val="16"/>
                <w:b w:val="1"/>
                <w:bCs w:val="1"/>
                <w:color w:val="auto"/>
              </w:rPr>
              <w:t>For the Years Ended December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5"/>
                <w:szCs w:val="15"/>
                <w:color w:val="auto"/>
              </w:rPr>
            </w:pPr>
          </w:p>
        </w:tc>
        <w:tc>
          <w:tcPr>
            <w:tcW w:w="360" w:type="dxa"/>
            <w:vAlign w:val="bottom"/>
            <w:gridSpan w:val="2"/>
          </w:tcPr>
          <w:p>
            <w:pPr>
              <w:jc w:val="right"/>
              <w:ind w:right="98"/>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38"/>
              <w:spacing w:after="0"/>
              <w:rPr>
                <w:sz w:val="20"/>
                <w:szCs w:val="20"/>
                <w:color w:val="auto"/>
              </w:rPr>
            </w:pPr>
            <w:r>
              <w:rPr>
                <w:rFonts w:ascii="Arial" w:cs="Arial" w:eastAsia="Arial" w:hAnsi="Arial"/>
                <w:sz w:val="16"/>
                <w:szCs w:val="16"/>
                <w:b w:val="1"/>
                <w:bCs w:val="1"/>
                <w:color w:val="auto"/>
              </w:rPr>
              <w:t>2025</w:t>
            </w:r>
          </w:p>
        </w:tc>
        <w:tc>
          <w:tcPr>
            <w:tcW w:w="420" w:type="dxa"/>
            <w:vAlign w:val="bottom"/>
            <w:gridSpan w:val="2"/>
          </w:tcPr>
          <w:p>
            <w:pPr>
              <w:ind w:left="10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38"/>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5"/>
                <w:szCs w:val="15"/>
                <w:color w:val="auto"/>
              </w:rPr>
            </w:pPr>
          </w:p>
        </w:tc>
        <w:tc>
          <w:tcPr>
            <w:tcW w:w="340" w:type="dxa"/>
            <w:vAlign w:val="bottom"/>
            <w:gridSpan w:val="2"/>
          </w:tcPr>
          <w:p>
            <w:pPr>
              <w:jc w:val="right"/>
              <w:ind w:right="98"/>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38"/>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6"/>
                <w:szCs w:val="16"/>
                <w:color w:val="auto"/>
                <w:w w:val="95"/>
              </w:rPr>
              <w:t>(In thousands)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Capitalized costs related to development of externally marketed software</w:t>
            </w:r>
          </w:p>
        </w:tc>
        <w:tc>
          <w:tcPr>
            <w:tcW w:w="3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20,998</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24,945</w:t>
            </w:r>
          </w:p>
        </w:tc>
        <w:tc>
          <w:tcPr>
            <w:tcW w:w="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Amortization expense relating to externally marketed software</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3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jc w:val="right"/>
              <w:ind w:right="18"/>
              <w:spacing w:after="0" w:line="161"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35,576</w:t>
            </w:r>
          </w:p>
        </w:tc>
        <w:tc>
          <w:tcPr>
            <w:tcW w:w="2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line="161"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32,792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jc w:val="right"/>
              <w:ind w:right="18"/>
              <w:spacing w:after="0" w:line="161"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29,370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532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Weighted-average useful life (in years)</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3.0</w:t>
            </w: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tcPr>
          <w:p>
            <w:pPr>
              <w:spacing w:after="0" w:line="16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4300"/>
              <w:spacing w:after="0"/>
              <w:rPr>
                <w:sz w:val="20"/>
                <w:szCs w:val="20"/>
                <w:color w:val="auto"/>
              </w:rPr>
            </w:pPr>
            <w:r>
              <w:rPr>
                <w:rFonts w:ascii="Arial" w:cs="Arial" w:eastAsia="Arial" w:hAnsi="Arial"/>
                <w:sz w:val="16"/>
                <w:szCs w:val="16"/>
                <w:color w:val="auto"/>
              </w:rPr>
              <w:t>F-26</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5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478" w:right="1439" w:bottom="1440" w:gutter="0" w:footer="0" w:header="0"/>
        </w:sectPr>
      </w:pPr>
    </w:p>
    <w:bookmarkStart w:id="84" w:name="page85"/>
    <w:bookmarkEnd w:id="8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480" w:hanging="438"/>
        <w:spacing w:after="0"/>
        <w:tabs>
          <w:tab w:leader="none" w:pos="48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 (Loss)</w:t>
      </w:r>
    </w:p>
    <w:p>
      <w:pPr>
        <w:spacing w:after="0" w:line="196" w:lineRule="exact"/>
        <w:rPr>
          <w:sz w:val="20"/>
          <w:szCs w:val="20"/>
          <w:color w:val="auto"/>
        </w:rPr>
      </w:pPr>
    </w:p>
    <w:p>
      <w:pPr>
        <w:ind w:left="40" w:right="559"/>
        <w:spacing w:after="0" w:line="281" w:lineRule="auto"/>
        <w:rPr>
          <w:sz w:val="20"/>
          <w:szCs w:val="20"/>
          <w:color w:val="auto"/>
        </w:rPr>
      </w:pPr>
      <w:r>
        <w:rPr>
          <w:rFonts w:ascii="Arial" w:cs="Arial" w:eastAsia="Arial" w:hAnsi="Arial"/>
          <w:sz w:val="16"/>
          <w:szCs w:val="16"/>
          <w:color w:val="auto"/>
        </w:rPr>
        <w:t>The following table presents the tax effect on each component of “Other comprehensive income (loss)” and excludes noncontrolling interest:</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10"/>
          </w:tcPr>
          <w:p>
            <w:pPr>
              <w:jc w:val="right"/>
              <w:ind w:right="155"/>
              <w:spacing w:after="0"/>
              <w:rPr>
                <w:sz w:val="20"/>
                <w:szCs w:val="20"/>
                <w:color w:val="auto"/>
              </w:rPr>
            </w:pPr>
            <w:r>
              <w:rPr>
                <w:rFonts w:ascii="Arial" w:cs="Arial" w:eastAsia="Arial" w:hAnsi="Arial"/>
                <w:sz w:val="13"/>
                <w:szCs w:val="13"/>
                <w:b w:val="1"/>
                <w:bCs w:val="1"/>
                <w:color w:val="auto"/>
              </w:rPr>
              <w:t>For the Years Ended December 31,</w:t>
            </w: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55"/>
              <w:spacing w:after="0" w:line="148" w:lineRule="exact"/>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FFFFFF"/>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55"/>
              <w:spacing w:after="0" w:line="148" w:lineRule="exact"/>
              <w:rPr>
                <w:sz w:val="20"/>
                <w:szCs w:val="20"/>
                <w:color w:val="auto"/>
              </w:rPr>
            </w:pPr>
            <w:r>
              <w:rPr>
                <w:rFonts w:ascii="Arial" w:cs="Arial" w:eastAsia="Arial" w:hAnsi="Arial"/>
                <w:sz w:val="13"/>
                <w:szCs w:val="13"/>
                <w:b w:val="1"/>
                <w:bCs w:val="1"/>
                <w:color w:val="auto"/>
                <w:w w:val="96"/>
              </w:rPr>
              <w:t>2024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55"/>
              <w:spacing w:after="0" w:line="148" w:lineRule="exact"/>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rPr>
              <w:t>Before</w:t>
            </w:r>
          </w:p>
        </w:tc>
        <w:tc>
          <w:tcPr>
            <w:tcW w:w="240" w:type="dxa"/>
            <w:vAlign w:val="bottom"/>
            <w:tcBorders>
              <w:top w:val="single" w:sz="8" w:color="auto"/>
            </w:tcBorders>
            <w:gridSpan w:val="2"/>
          </w:tcPr>
          <w:p>
            <w:pPr>
              <w:jc w:val="right"/>
              <w:ind w:right="35"/>
              <w:spacing w:after="0" w:line="132" w:lineRule="exact"/>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tcPr>
          <w:p>
            <w:pPr>
              <w:jc w:val="center"/>
              <w:ind w:right="55"/>
              <w:spacing w:after="0" w:line="132" w:lineRule="exact"/>
              <w:rPr>
                <w:sz w:val="20"/>
                <w:szCs w:val="20"/>
                <w:color w:val="auto"/>
              </w:rPr>
            </w:pPr>
            <w:r>
              <w:rPr>
                <w:rFonts w:ascii="Arial" w:cs="Arial" w:eastAsia="Arial" w:hAnsi="Arial"/>
                <w:sz w:val="13"/>
                <w:szCs w:val="13"/>
                <w:b w:val="1"/>
                <w:bCs w:val="1"/>
                <w:color w:val="auto"/>
                <w:w w:val="97"/>
              </w:rPr>
              <w:t>Tax</w:t>
            </w:r>
          </w:p>
        </w:tc>
        <w:tc>
          <w:tcPr>
            <w:tcW w:w="260" w:type="dxa"/>
            <w:vAlign w:val="bottom"/>
            <w:tcBorders>
              <w:top w:val="single" w:sz="8" w:color="auto"/>
            </w:tcBorders>
            <w:gridSpan w:val="2"/>
          </w:tcPr>
          <w:p>
            <w:pPr>
              <w:jc w:val="right"/>
              <w:ind w:right="15"/>
              <w:spacing w:after="0" w:line="132"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tcPr>
          <w:p>
            <w:pPr>
              <w:jc w:val="center"/>
              <w:ind w:right="35"/>
              <w:spacing w:after="0" w:line="132" w:lineRule="exact"/>
              <w:rPr>
                <w:sz w:val="20"/>
                <w:szCs w:val="20"/>
                <w:color w:val="auto"/>
              </w:rPr>
            </w:pPr>
            <w:r>
              <w:rPr>
                <w:rFonts w:ascii="Arial" w:cs="Arial" w:eastAsia="Arial" w:hAnsi="Arial"/>
                <w:sz w:val="13"/>
                <w:szCs w:val="13"/>
                <w:b w:val="1"/>
                <w:bCs w:val="1"/>
                <w:color w:val="auto"/>
                <w:w w:val="95"/>
              </w:rPr>
              <w:t>Net</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rPr>
              <w:t>Before</w:t>
            </w:r>
          </w:p>
        </w:tc>
        <w:tc>
          <w:tcPr>
            <w:tcW w:w="260" w:type="dxa"/>
            <w:vAlign w:val="bottom"/>
            <w:tcBorders>
              <w:top w:val="single" w:sz="8" w:color="auto"/>
            </w:tcBorders>
            <w:gridSpan w:val="2"/>
          </w:tcPr>
          <w:p>
            <w:pPr>
              <w:jc w:val="right"/>
              <w:ind w:right="35"/>
              <w:spacing w:after="0" w:line="132"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w w:val="97"/>
              </w:rPr>
              <w:t>Tax</w:t>
            </w:r>
          </w:p>
        </w:tc>
        <w:tc>
          <w:tcPr>
            <w:tcW w:w="180" w:type="dxa"/>
            <w:vAlign w:val="bottom"/>
            <w:tcBorders>
              <w:top w:val="single" w:sz="8" w:color="auto"/>
            </w:tcBorders>
            <w:gridSpan w:val="2"/>
          </w:tcPr>
          <w:p>
            <w:pPr>
              <w:jc w:val="right"/>
              <w:ind w:right="40"/>
              <w:spacing w:after="0" w:line="132"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ind w:right="235"/>
              <w:spacing w:after="0" w:line="132" w:lineRule="exact"/>
              <w:rPr>
                <w:sz w:val="20"/>
                <w:szCs w:val="20"/>
                <w:color w:val="auto"/>
              </w:rPr>
            </w:pPr>
            <w:r>
              <w:rPr>
                <w:rFonts w:ascii="Arial" w:cs="Arial" w:eastAsia="Arial" w:hAnsi="Arial"/>
                <w:sz w:val="13"/>
                <w:szCs w:val="13"/>
                <w:b w:val="1"/>
                <w:bCs w:val="1"/>
                <w:color w:val="auto"/>
              </w:rPr>
              <w:t>Net</w:t>
            </w:r>
          </w:p>
        </w:tc>
        <w:tc>
          <w:tcPr>
            <w:tcW w:w="560" w:type="dxa"/>
            <w:vAlign w:val="bottom"/>
            <w:tcBorders>
              <w:top w:val="single" w:sz="8" w:color="auto"/>
            </w:tcBorders>
            <w:gridSpan w:val="2"/>
          </w:tcPr>
          <w:p>
            <w:pPr>
              <w:jc w:val="right"/>
              <w:ind w:right="140"/>
              <w:spacing w:after="0" w:line="132" w:lineRule="exact"/>
              <w:rPr>
                <w:sz w:val="20"/>
                <w:szCs w:val="20"/>
                <w:color w:val="auto"/>
              </w:rPr>
            </w:pPr>
            <w:r>
              <w:rPr>
                <w:rFonts w:ascii="Arial" w:cs="Arial" w:eastAsia="Arial" w:hAnsi="Arial"/>
                <w:sz w:val="13"/>
                <w:szCs w:val="13"/>
                <w:b w:val="1"/>
                <w:bCs w:val="1"/>
                <w:color w:val="auto"/>
                <w:w w:val="97"/>
              </w:rPr>
              <w:t>Before</w:t>
            </w:r>
          </w:p>
        </w:tc>
        <w:tc>
          <w:tcPr>
            <w:tcW w:w="240" w:type="dxa"/>
            <w:vAlign w:val="bottom"/>
            <w:tcBorders>
              <w:top w:val="single" w:sz="8" w:color="auto"/>
            </w:tcBorders>
            <w:gridSpan w:val="2"/>
          </w:tcPr>
          <w:p>
            <w:pPr>
              <w:jc w:val="right"/>
              <w:ind w:right="35"/>
              <w:spacing w:after="0" w:line="132" w:lineRule="exact"/>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tcPr>
          <w:p>
            <w:pPr>
              <w:jc w:val="center"/>
              <w:ind w:right="55"/>
              <w:spacing w:after="0" w:line="132" w:lineRule="exact"/>
              <w:rPr>
                <w:sz w:val="20"/>
                <w:szCs w:val="20"/>
                <w:color w:val="auto"/>
              </w:rPr>
            </w:pPr>
            <w:r>
              <w:rPr>
                <w:rFonts w:ascii="Arial" w:cs="Arial" w:eastAsia="Arial" w:hAnsi="Arial"/>
                <w:sz w:val="13"/>
                <w:szCs w:val="13"/>
                <w:b w:val="1"/>
                <w:bCs w:val="1"/>
                <w:color w:val="auto"/>
                <w:w w:val="97"/>
              </w:rPr>
              <w:t>Tax</w:t>
            </w:r>
          </w:p>
        </w:tc>
        <w:tc>
          <w:tcPr>
            <w:tcW w:w="260" w:type="dxa"/>
            <w:vAlign w:val="bottom"/>
            <w:tcBorders>
              <w:top w:val="single" w:sz="8" w:color="auto"/>
            </w:tcBorders>
            <w:gridSpan w:val="2"/>
          </w:tcPr>
          <w:p>
            <w:pPr>
              <w:jc w:val="right"/>
              <w:ind w:right="15"/>
              <w:spacing w:after="0" w:line="132"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tcPr>
          <w:p>
            <w:pPr>
              <w:jc w:val="center"/>
              <w:ind w:right="35"/>
              <w:spacing w:after="0" w:line="132" w:lineRule="exact"/>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7"/>
              </w:rPr>
              <w:t>Tax</w:t>
            </w:r>
          </w:p>
        </w:tc>
        <w:tc>
          <w:tcPr>
            <w:tcW w:w="120" w:type="dxa"/>
            <w:vAlign w:val="bottom"/>
          </w:tcPr>
          <w:p>
            <w:pPr>
              <w:spacing w:after="0"/>
              <w:rPr>
                <w:sz w:val="12"/>
                <w:szCs w:val="12"/>
                <w:color w:val="auto"/>
              </w:rPr>
            </w:pPr>
          </w:p>
        </w:tc>
        <w:tc>
          <w:tcPr>
            <w:tcW w:w="7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9"/>
              </w:rPr>
              <w:t>(Expense)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9"/>
              </w:rPr>
              <w:t>of Tax</w:t>
            </w:r>
          </w:p>
        </w:tc>
        <w:tc>
          <w:tcPr>
            <w:tcW w:w="80" w:type="dxa"/>
            <w:vAlign w:val="bottom"/>
          </w:tcPr>
          <w:p>
            <w:pPr>
              <w:spacing w:after="0"/>
              <w:rPr>
                <w:sz w:val="12"/>
                <w:szCs w:val="12"/>
                <w:color w:val="auto"/>
              </w:rPr>
            </w:pPr>
          </w:p>
        </w:tc>
        <w:tc>
          <w:tcPr>
            <w:tcW w:w="60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7"/>
              </w:rPr>
              <w:t>Tax</w:t>
            </w:r>
          </w:p>
        </w:tc>
        <w:tc>
          <w:tcPr>
            <w:tcW w:w="120" w:type="dxa"/>
            <w:vAlign w:val="bottom"/>
          </w:tcPr>
          <w:p>
            <w:pPr>
              <w:spacing w:after="0"/>
              <w:rPr>
                <w:sz w:val="12"/>
                <w:szCs w:val="12"/>
                <w:color w:val="auto"/>
              </w:rPr>
            </w:pPr>
          </w:p>
        </w:tc>
        <w:tc>
          <w:tcPr>
            <w:tcW w:w="7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9"/>
              </w:rPr>
              <w:t>(Expense)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5"/>
              <w:spacing w:after="0" w:line="148" w:lineRule="exact"/>
              <w:rPr>
                <w:sz w:val="20"/>
                <w:szCs w:val="20"/>
                <w:color w:val="auto"/>
              </w:rPr>
            </w:pPr>
            <w:r>
              <w:rPr>
                <w:rFonts w:ascii="Arial" w:cs="Arial" w:eastAsia="Arial" w:hAnsi="Arial"/>
                <w:sz w:val="13"/>
                <w:szCs w:val="13"/>
                <w:b w:val="1"/>
                <w:bCs w:val="1"/>
                <w:color w:val="auto"/>
              </w:rPr>
              <w:t>of Tax</w:t>
            </w:r>
          </w:p>
        </w:tc>
        <w:tc>
          <w:tcPr>
            <w:tcW w:w="56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Tax</w:t>
            </w:r>
          </w:p>
        </w:tc>
        <w:tc>
          <w:tcPr>
            <w:tcW w:w="120" w:type="dxa"/>
            <w:vAlign w:val="bottom"/>
          </w:tcPr>
          <w:p>
            <w:pPr>
              <w:spacing w:after="0"/>
              <w:rPr>
                <w:sz w:val="12"/>
                <w:szCs w:val="12"/>
                <w:color w:val="auto"/>
              </w:rPr>
            </w:pPr>
          </w:p>
        </w:tc>
        <w:tc>
          <w:tcPr>
            <w:tcW w:w="7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9"/>
              </w:rPr>
              <w:t>(Expense)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3"/>
              </w:rPr>
              <w:t>of Tax</w:t>
            </w: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9"/>
              </w:rPr>
              <w:t>Benefit</w:t>
            </w:r>
          </w:p>
        </w:tc>
        <w:tc>
          <w:tcPr>
            <w:tcW w:w="160" w:type="dxa"/>
            <w:vAlign w:val="bottom"/>
          </w:tcPr>
          <w:p>
            <w:pPr>
              <w:spacing w:after="0"/>
              <w:rPr>
                <w:sz w:val="13"/>
                <w:szCs w:val="13"/>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9"/>
              </w:rPr>
              <w:t>Benefit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  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rPr>
              <w:t>Benefit</w:t>
            </w:r>
          </w:p>
        </w:tc>
        <w:tc>
          <w:tcPr>
            <w:tcW w:w="160" w:type="dxa"/>
            <w:vAlign w:val="bottom"/>
          </w:tcPr>
          <w:p>
            <w:pPr>
              <w:spacing w:after="0"/>
              <w:rPr>
                <w:sz w:val="13"/>
                <w:szCs w:val="13"/>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jc w:val="right"/>
              <w:spacing w:after="0" w:line="128" w:lineRule="exact"/>
              <w:rPr>
                <w:sz w:val="20"/>
                <w:szCs w:val="20"/>
                <w:color w:val="auto"/>
              </w:rPr>
            </w:pPr>
            <w:r>
              <w:rPr>
                <w:rFonts w:ascii="Arial" w:cs="Arial" w:eastAsia="Arial" w:hAnsi="Arial"/>
                <w:sz w:val="13"/>
                <w:szCs w:val="13"/>
                <w:color w:val="auto"/>
                <w:w w:val="96"/>
              </w:rPr>
              <w:t>(In 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Foreign currency translation</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adjustments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22,104</w:t>
            </w:r>
          </w:p>
        </w:tc>
        <w:tc>
          <w:tcPr>
            <w:tcW w:w="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22,104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(38,294)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(38,294)$</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17,546</w:t>
            </w:r>
          </w:p>
        </w:tc>
        <w:tc>
          <w:tcPr>
            <w:tcW w:w="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100" w:type="dxa"/>
            <w:vAlign w:val="bottom"/>
          </w:tcPr>
          <w:p>
            <w:pPr>
              <w:spacing w:after="0" w:line="139" w:lineRule="exact"/>
              <w:rPr>
                <w:sz w:val="20"/>
                <w:szCs w:val="20"/>
                <w:color w:val="auto"/>
              </w:rPr>
            </w:pPr>
            <w:r>
              <w:rPr>
                <w:rFonts w:ascii="Arial" w:cs="Arial" w:eastAsia="Arial" w:hAnsi="Arial"/>
                <w:sz w:val="13"/>
                <w:szCs w:val="13"/>
                <w:color w:val="auto"/>
              </w:rPr>
              <w:t>Unrealized holding gains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00" w:type="dxa"/>
            <w:vAlign w:val="bottom"/>
          </w:tcPr>
          <w:p>
            <w:pPr>
              <w:spacing w:after="0" w:line="148" w:lineRule="exact"/>
              <w:rPr>
                <w:sz w:val="20"/>
                <w:szCs w:val="20"/>
                <w:color w:val="auto"/>
              </w:rPr>
            </w:pPr>
            <w:r>
              <w:rPr>
                <w:rFonts w:ascii="Arial" w:cs="Arial" w:eastAsia="Arial" w:hAnsi="Arial"/>
                <w:sz w:val="13"/>
                <w:szCs w:val="13"/>
                <w:color w:val="auto"/>
              </w:rPr>
              <w:t>(losses) on available-for-sale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00" w:type="dxa"/>
            <w:vAlign w:val="bottom"/>
          </w:tcPr>
          <w:p>
            <w:pPr>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55"/>
              <w:spacing w:after="0"/>
              <w:rPr>
                <w:sz w:val="20"/>
                <w:szCs w:val="20"/>
                <w:color w:val="auto"/>
              </w:rPr>
            </w:pPr>
            <w:r>
              <w:rPr>
                <w:rFonts w:ascii="Arial" w:cs="Arial" w:eastAsia="Arial" w:hAnsi="Arial"/>
                <w:sz w:val="13"/>
                <w:szCs w:val="13"/>
                <w:color w:val="auto"/>
              </w:rPr>
              <w:t>182</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39"/>
        </w:trPr>
        <w:tc>
          <w:tcPr>
            <w:tcW w:w="21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Recognition of previously</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unrealized (gains) losses on</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available-for-sale securities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included in net income (loss)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(207)</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100" w:type="dxa"/>
            <w:vAlign w:val="bottom"/>
            <w:tcBorders>
              <w:bottom w:val="single" w:sz="8" w:color="CCEEFF"/>
            </w:tcBorders>
          </w:tcPr>
          <w:p>
            <w:pPr>
              <w:spacing w:after="0" w:line="148" w:lineRule="exact"/>
              <w:rPr>
                <w:sz w:val="20"/>
                <w:szCs w:val="20"/>
                <w:color w:val="auto"/>
              </w:rPr>
            </w:pPr>
            <w:r>
              <w:rPr>
                <w:rFonts w:ascii="Arial" w:cs="Arial" w:eastAsia="Arial" w:hAnsi="Arial"/>
                <w:sz w:val="13"/>
                <w:szCs w:val="13"/>
                <w:color w:val="auto"/>
              </w:rPr>
              <w:t>Other</w:t>
            </w: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20"/>
              <w:spacing w:after="0" w:line="148"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5"/>
              <w:spacing w:after="0" w:line="148"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98</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0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Other comprehensive income</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22,104</w:t>
            </w:r>
          </w:p>
        </w:tc>
        <w:tc>
          <w:tcPr>
            <w:tcW w:w="4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22,104</w:t>
            </w:r>
          </w:p>
        </w:tc>
        <w:tc>
          <w:tcPr>
            <w:tcW w:w="6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(38,358)</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u w:val="single" w:color="auto"/>
                <w:color w:val="auto"/>
              </w:rPr>
              <w:t>(38,319)</w:t>
            </w:r>
            <w:r>
              <w:rPr>
                <w:rFonts w:ascii="Arial" w:cs="Arial" w:eastAsia="Arial" w:hAnsi="Arial"/>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17,671</w:t>
            </w:r>
          </w:p>
        </w:tc>
        <w:tc>
          <w:tcPr>
            <w:tcW w:w="4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17,693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10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(loss)</w:t>
            </w:r>
          </w:p>
        </w:tc>
        <w:tc>
          <w:tcPr>
            <w:tcW w:w="8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0" w:right="939"/>
        <w:spacing w:after="0" w:line="281" w:lineRule="auto"/>
        <w:rPr>
          <w:sz w:val="20"/>
          <w:szCs w:val="20"/>
          <w:color w:val="auto"/>
        </w:rPr>
      </w:pPr>
      <w:r>
        <w:rPr>
          <w:rFonts w:ascii="Arial" w:cs="Arial" w:eastAsia="Arial" w:hAnsi="Arial"/>
          <w:sz w:val="16"/>
          <w:szCs w:val="16"/>
          <w:color w:val="auto"/>
        </w:rPr>
        <w:t>The “Accumulated other comprehensive income (loss)” is detailed in the following table, net of tax and excludes noncontrolling interest:</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Foreign</w:t>
            </w:r>
          </w:p>
        </w:tc>
        <w:tc>
          <w:tcPr>
            <w:tcW w:w="8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4"/>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Currency</w:t>
            </w:r>
          </w:p>
        </w:tc>
        <w:tc>
          <w:tcPr>
            <w:tcW w:w="80" w:type="dxa"/>
            <w:vAlign w:val="bottom"/>
          </w:tcPr>
          <w:p>
            <w:pPr>
              <w:spacing w:after="0"/>
              <w:rPr>
                <w:sz w:val="15"/>
                <w:szCs w:val="15"/>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Recognized</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4"/>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Translation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Gains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1"/>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Accumulated Other Comprehensive Income (Loss)</w:t>
            </w:r>
          </w:p>
        </w:tc>
        <w:tc>
          <w:tcPr>
            <w:tcW w:w="180" w:type="dxa"/>
            <w:vAlign w:val="bottom"/>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Adjustment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w w:val="98"/>
              </w:rPr>
              <w:t>Other</w:t>
            </w:r>
          </w:p>
        </w:tc>
        <w:tc>
          <w:tcPr>
            <w:tcW w:w="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Total</w:t>
            </w:r>
          </w:p>
        </w:tc>
      </w:tr>
      <w:tr>
        <w:trPr>
          <w:trHeight w:val="176"/>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4"/>
          </w:tcPr>
          <w:p>
            <w:pPr>
              <w:ind w:left="380"/>
              <w:spacing w:after="0" w:line="176"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4"/>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December 31,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(152,568)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(152,491)</w:t>
            </w:r>
          </w:p>
        </w:tc>
      </w:tr>
      <w:tr>
        <w:trPr>
          <w:trHeight w:val="184"/>
        </w:trPr>
        <w:tc>
          <w:tcPr>
            <w:tcW w:w="4500" w:type="dxa"/>
            <w:vAlign w:val="bottom"/>
            <w:gridSpan w:val="2"/>
          </w:tcPr>
          <w:p>
            <w:pPr>
              <w:ind w:left="10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(38,294)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(38,294)</w:t>
            </w:r>
          </w:p>
        </w:tc>
      </w:tr>
      <w:tr>
        <w:trPr>
          <w:trHeight w:val="184"/>
        </w:trPr>
        <w:tc>
          <w:tcPr>
            <w:tcW w:w="4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comprehensive income (loss) before reclassification</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184"/>
        </w:trPr>
        <w:tc>
          <w:tcPr>
            <w:tcW w:w="4500" w:type="dxa"/>
            <w:vAlign w:val="bottom"/>
            <w:gridSpan w:val="2"/>
          </w:tcPr>
          <w:p>
            <w:pPr>
              <w:ind w:left="100"/>
              <w:spacing w:after="0"/>
              <w:rPr>
                <w:sz w:val="20"/>
                <w:szCs w:val="20"/>
                <w:color w:val="auto"/>
              </w:rPr>
            </w:pPr>
            <w:r>
              <w:rPr>
                <w:rFonts w:ascii="Arial" w:cs="Arial" w:eastAsia="Arial" w:hAnsi="Arial"/>
                <w:sz w:val="16"/>
                <w:szCs w:val="16"/>
                <w:color w:val="auto"/>
              </w:rPr>
              <w:t>Amounts reclassified to net income (loss)</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176"/>
        </w:trPr>
        <w:tc>
          <w:tcPr>
            <w:tcW w:w="45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Balance, December 31, 2024</w:t>
            </w:r>
          </w:p>
        </w:tc>
        <w:tc>
          <w:tcPr>
            <w:tcW w:w="1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(190,862)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(190,810)</w:t>
            </w:r>
          </w:p>
        </w:tc>
      </w:tr>
      <w:tr>
        <w:trPr>
          <w:trHeight w:val="176"/>
        </w:trPr>
        <w:tc>
          <w:tcPr>
            <w:tcW w:w="4500" w:type="dxa"/>
            <w:vAlign w:val="bottom"/>
            <w:gridSpan w:val="2"/>
          </w:tcPr>
          <w:p>
            <w:pPr>
              <w:ind w:left="100"/>
              <w:spacing w:after="0" w:line="176" w:lineRule="exact"/>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22,104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ind w:left="20"/>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22,104</w:t>
            </w:r>
          </w:p>
        </w:tc>
      </w:tr>
      <w:tr>
        <w:trPr>
          <w:trHeight w:val="184"/>
        </w:trPr>
        <w:tc>
          <w:tcPr>
            <w:tcW w:w="4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comprehensive income (loss) before reclassification</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184"/>
        </w:trPr>
        <w:tc>
          <w:tcPr>
            <w:tcW w:w="4500" w:type="dxa"/>
            <w:vAlign w:val="bottom"/>
            <w:gridSpan w:val="2"/>
          </w:tcPr>
          <w:p>
            <w:pPr>
              <w:ind w:left="100"/>
              <w:spacing w:after="0"/>
              <w:rPr>
                <w:sz w:val="20"/>
                <w:szCs w:val="20"/>
                <w:color w:val="auto"/>
              </w:rPr>
            </w:pPr>
            <w:r>
              <w:rPr>
                <w:rFonts w:ascii="Arial" w:cs="Arial" w:eastAsia="Arial" w:hAnsi="Arial"/>
                <w:sz w:val="16"/>
                <w:szCs w:val="16"/>
                <w:color w:val="auto"/>
              </w:rPr>
              <w:t>Amounts reclassified to net income (loss)</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76"/>
        </w:trPr>
        <w:tc>
          <w:tcPr>
            <w:tcW w:w="4500" w:type="dxa"/>
            <w:vAlign w:val="bottom"/>
            <w:tcBorders>
              <w:top w:val="single" w:sz="8" w:color="CCEEFF"/>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Balance, December 31, 2025</w:t>
            </w:r>
          </w:p>
        </w:tc>
        <w:tc>
          <w:tcPr>
            <w:tcW w:w="1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(168,758)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(168,706)</w:t>
            </w: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85" w:name="page86"/>
    <w:bookmarkEnd w:id="8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640" w:hanging="598"/>
        <w:spacing w:after="0"/>
        <w:tabs>
          <w:tab w:leader="none" w:pos="64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Marketable Investment Securities, Restricted Cash and Cash Equivalents, and Other Investments</w:t>
      </w:r>
    </w:p>
    <w:p>
      <w:pPr>
        <w:spacing w:after="0" w:line="196" w:lineRule="exact"/>
        <w:rPr>
          <w:sz w:val="20"/>
          <w:szCs w:val="20"/>
          <w:color w:val="auto"/>
        </w:rPr>
      </w:pPr>
    </w:p>
    <w:p>
      <w:pPr>
        <w:ind w:left="40" w:right="659"/>
        <w:spacing w:after="0" w:line="281" w:lineRule="auto"/>
        <w:rPr>
          <w:sz w:val="20"/>
          <w:szCs w:val="20"/>
          <w:color w:val="auto"/>
        </w:rPr>
      </w:pPr>
      <w:r>
        <w:rPr>
          <w:rFonts w:ascii="Arial" w:cs="Arial" w:eastAsia="Arial" w:hAnsi="Arial"/>
          <w:sz w:val="16"/>
          <w:szCs w:val="16"/>
          <w:color w:val="auto"/>
        </w:rPr>
        <w:t>Our marketable investment securities, restricted cash and cash equivalents, and other investments consisted of the following:</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558"/>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right"/>
              <w:ind w:right="20"/>
              <w:spacing w:after="0" w:line="164" w:lineRule="exact"/>
              <w:rPr>
                <w:sz w:val="20"/>
                <w:szCs w:val="20"/>
                <w:color w:val="auto"/>
              </w:rPr>
            </w:pPr>
            <w:r>
              <w:rPr>
                <w:rFonts w:ascii="Arial" w:cs="Arial" w:eastAsia="Arial" w:hAnsi="Arial"/>
                <w:sz w:val="16"/>
                <w:szCs w:val="16"/>
                <w:color w:val="auto"/>
              </w:rPr>
              <w:t>(In thousands)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Marketable investment securities:</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Current marketable investment securities: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Corporate bonds</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40" w:type="dxa"/>
            <w:vAlign w:val="bottom"/>
            <w:gridSpan w:val="2"/>
          </w:tcPr>
          <w:p>
            <w:pPr>
              <w:ind w:left="8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debt securities</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4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6"/>
                <w:szCs w:val="16"/>
                <w:b w:val="1"/>
                <w:bCs w:val="1"/>
                <w:color w:val="auto"/>
              </w:rPr>
              <w:t>Total current marketable investment securities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140" w:type="dxa"/>
            <w:vAlign w:val="bottom"/>
            <w:gridSpan w:val="2"/>
          </w:tcPr>
          <w:p>
            <w:pPr>
              <w:spacing w:after="0"/>
              <w:rPr>
                <w:sz w:val="20"/>
                <w:szCs w:val="20"/>
                <w:color w:val="auto"/>
              </w:rPr>
            </w:pPr>
            <w:r>
              <w:rPr>
                <w:rFonts w:ascii="Arial" w:cs="Arial" w:eastAsia="Arial" w:hAnsi="Arial"/>
                <w:sz w:val="16"/>
                <w:szCs w:val="16"/>
                <w:b w:val="1"/>
                <w:bCs w:val="1"/>
                <w:color w:val="auto"/>
              </w:rPr>
              <w:t>Restricted cash and cash equivalents (1)</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2,755</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140" w:type="dxa"/>
            <w:vAlign w:val="bottom"/>
            <w:gridSpan w:val="2"/>
          </w:tcPr>
          <w:p>
            <w:pPr>
              <w:spacing w:after="0"/>
              <w:rPr>
                <w:sz w:val="20"/>
                <w:szCs w:val="20"/>
                <w:color w:val="auto"/>
              </w:rPr>
            </w:pPr>
            <w:r>
              <w:rPr>
                <w:rFonts w:ascii="Arial" w:cs="Arial" w:eastAsia="Arial" w:hAnsi="Arial"/>
                <w:sz w:val="16"/>
                <w:szCs w:val="16"/>
                <w:b w:val="1"/>
                <w:bCs w:val="1"/>
                <w:color w:val="auto"/>
              </w:rPr>
              <w:t>Other investments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method investments</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10,866</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investments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11,278</w:t>
            </w:r>
          </w:p>
        </w:tc>
        <w:tc>
          <w:tcPr>
            <w:tcW w:w="2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Total other investments</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22,144</w:t>
            </w:r>
          </w:p>
        </w:tc>
        <w:tc>
          <w:tcPr>
            <w:tcW w:w="2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23,516</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6140" w:type="dxa"/>
            <w:vAlign w:val="bottom"/>
            <w:gridSpan w:val="2"/>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Total marketable investment securities, restricted cash and cash</w:t>
            </w:r>
          </w:p>
        </w:tc>
        <w:tc>
          <w:tcPr>
            <w:tcW w:w="280" w:type="dxa"/>
            <w:vAlign w:val="bottom"/>
            <w:vMerge w:val="restart"/>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24,899</w:t>
            </w:r>
          </w:p>
        </w:tc>
        <w:tc>
          <w:tcPr>
            <w:tcW w:w="6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25,131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equivalents, and other investments</w:t>
            </w:r>
          </w:p>
        </w:tc>
        <w:tc>
          <w:tcPr>
            <w:tcW w:w="2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right="499" w:hanging="298"/>
        <w:spacing w:after="0" w:line="281"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Restricted cash and cash equivalents are included in “Other noncurrent assets, net” on our Consolidated Balance Sheets.</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Equity Method Investments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Deluxe/EchoStar LLC</w:t>
      </w:r>
    </w:p>
    <w:p>
      <w:pPr>
        <w:spacing w:after="0" w:line="194" w:lineRule="exact"/>
        <w:rPr>
          <w:sz w:val="20"/>
          <w:szCs w:val="20"/>
          <w:color w:val="auto"/>
        </w:rPr>
      </w:pPr>
    </w:p>
    <w:p>
      <w:pPr>
        <w:ind w:left="40" w:right="59"/>
        <w:spacing w:after="0" w:line="281" w:lineRule="auto"/>
        <w:rPr>
          <w:sz w:val="20"/>
          <w:szCs w:val="20"/>
          <w:color w:val="auto"/>
        </w:rPr>
      </w:pPr>
      <w:r>
        <w:rPr>
          <w:rFonts w:ascii="Arial" w:cs="Arial" w:eastAsia="Arial" w:hAnsi="Arial"/>
          <w:sz w:val="16"/>
          <w:szCs w:val="16"/>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Broadband Connectivity Solutions (Restricted) Limited</w:t>
      </w:r>
    </w:p>
    <w:p>
      <w:pPr>
        <w:spacing w:after="0" w:line="194" w:lineRule="exact"/>
        <w:rPr>
          <w:sz w:val="20"/>
          <w:szCs w:val="20"/>
          <w:color w:val="auto"/>
        </w:rPr>
      </w:pPr>
    </w:p>
    <w:p>
      <w:pPr>
        <w:ind w:left="40" w:right="159"/>
        <w:spacing w:after="0" w:line="253" w:lineRule="auto"/>
        <w:rPr>
          <w:sz w:val="20"/>
          <w:szCs w:val="20"/>
          <w:color w:val="auto"/>
        </w:rPr>
      </w:pPr>
      <w:r>
        <w:rPr>
          <w:rFonts w:ascii="Arial" w:cs="Arial" w:eastAsia="Arial" w:hAnsi="Arial"/>
          <w:sz w:val="16"/>
          <w:szCs w:val="16"/>
          <w:color w:val="auto"/>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 The Al Yah 3 Ka-band satellite is no longer in service.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7">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86" w:name="page87"/>
    <w:bookmarkEnd w:id="8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94" w:lineRule="exact"/>
        <w:rPr>
          <w:sz w:val="20"/>
          <w:szCs w:val="20"/>
          <w:color w:val="auto"/>
        </w:rPr>
      </w:pPr>
    </w:p>
    <w:p>
      <w:pPr>
        <w:ind w:left="40" w:right="219"/>
        <w:spacing w:after="0" w:line="281" w:lineRule="auto"/>
        <w:rPr>
          <w:sz w:val="20"/>
          <w:szCs w:val="20"/>
          <w:color w:val="auto"/>
        </w:rPr>
      </w:pPr>
      <w:r>
        <w:rPr>
          <w:rFonts w:ascii="Arial" w:cs="Arial" w:eastAsia="Arial" w:hAnsi="Arial"/>
          <w:sz w:val="16"/>
          <w:szCs w:val="16"/>
          <w:color w:val="auto"/>
        </w:rPr>
        <w:t>The following table presents our marketable investment securities categorized by the fair value hierarchy, certain of which have historically experienced volatility:</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jc w:val="center"/>
              <w:ind w:right="58"/>
              <w:spacing w:after="0"/>
              <w:rPr>
                <w:sz w:val="20"/>
                <w:szCs w:val="20"/>
                <w:color w:val="auto"/>
              </w:rPr>
            </w:pPr>
            <w:r>
              <w:rPr>
                <w:rFonts w:ascii="Arial" w:cs="Arial" w:eastAsia="Arial" w:hAnsi="Arial"/>
                <w:sz w:val="16"/>
                <w:szCs w:val="16"/>
                <w:b w:val="1"/>
                <w:bCs w:val="1"/>
                <w:color w:val="auto"/>
              </w:rPr>
              <w:t>As of December 31,</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84"/>
        </w:trPr>
        <w:tc>
          <w:tcPr>
            <w:tcW w:w="2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899"/>
        </w:trPr>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jc w:val="right"/>
              <w:spacing w:after="0"/>
              <w:rPr>
                <w:sz w:val="20"/>
                <w:szCs w:val="20"/>
                <w:color w:val="auto"/>
              </w:rPr>
            </w:pPr>
            <w:r>
              <w:rPr>
                <w:rFonts w:ascii="Arial" w:cs="Arial" w:eastAsia="Arial" w:hAnsi="Arial"/>
                <w:sz w:val="16"/>
                <w:szCs w:val="16"/>
                <w:color w:val="FFFFFF"/>
                <w:w w:val="89"/>
              </w:rPr>
              <w:t>__</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Level 2</w:t>
            </w:r>
          </w:p>
        </w:tc>
        <w:tc>
          <w:tcPr>
            <w:tcW w:w="20" w:type="dxa"/>
            <w:vAlign w:val="bottom"/>
            <w:tcBorders>
              <w:bottom w:val="single" w:sz="8" w:color="auto"/>
            </w:tcBorders>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FFFFFF"/>
                <w:w w:val="89"/>
              </w:rPr>
              <w:t>__</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Total</w:t>
            </w:r>
          </w:p>
        </w:tc>
        <w:tc>
          <w:tcPr>
            <w:tcW w:w="20" w:type="dxa"/>
            <w:vAlign w:val="bottom"/>
            <w:tcBorders>
              <w:bottom w:val="single" w:sz="8" w:color="auto"/>
            </w:tcBorders>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FFFFFF"/>
              </w:rPr>
              <w:t>__</w:t>
            </w: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Level 1</w:t>
            </w:r>
          </w:p>
        </w:tc>
        <w:tc>
          <w:tcPr>
            <w:tcW w:w="20" w:type="dxa"/>
            <w:vAlign w:val="bottom"/>
            <w:tcBorders>
              <w:bottom w:val="single" w:sz="8" w:color="auto"/>
            </w:tcBorders>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FFFFFF"/>
                <w:w w:val="89"/>
              </w:rPr>
              <w:t>__</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w w:val="99"/>
              </w:rPr>
              <w:t>Level 2</w:t>
            </w:r>
          </w:p>
        </w:tc>
        <w:tc>
          <w:tcPr>
            <w:tcW w:w="20" w:type="dxa"/>
            <w:vAlign w:val="bottom"/>
            <w:tcBorders>
              <w:bottom w:val="single" w:sz="8" w:color="auto"/>
            </w:tcBorders>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FFFFFF"/>
                <w:w w:val="89"/>
              </w:rPr>
              <w:t>__</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Total</w:t>
            </w:r>
          </w:p>
        </w:tc>
      </w:tr>
      <w:tr>
        <w:trPr>
          <w:trHeight w:val="164"/>
        </w:trPr>
        <w:tc>
          <w:tcPr>
            <w:tcW w:w="2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jc w:val="center"/>
              <w:ind w:right="18"/>
              <w:spacing w:after="0" w:line="164" w:lineRule="exact"/>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7"/>
        </w:trPr>
        <w:tc>
          <w:tcPr>
            <w:tcW w:w="2240" w:type="dxa"/>
            <w:vAlign w:val="bottom"/>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Cash and cash equivalents</w:t>
            </w: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01"/>
        </w:trPr>
        <w:tc>
          <w:tcPr>
            <w:tcW w:w="2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(including restricted):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84"/>
        </w:trPr>
        <w:tc>
          <w:tcPr>
            <w:tcW w:w="2240" w:type="dxa"/>
            <w:vAlign w:val="bottom"/>
          </w:tcPr>
          <w:p>
            <w:pPr>
              <w:ind w:left="100"/>
              <w:spacing w:after="0"/>
              <w:rPr>
                <w:sz w:val="20"/>
                <w:szCs w:val="20"/>
                <w:color w:val="auto"/>
              </w:rPr>
            </w:pPr>
            <w:r>
              <w:rPr>
                <w:rFonts w:ascii="Arial" w:cs="Arial" w:eastAsia="Arial" w:hAnsi="Arial"/>
                <w:sz w:val="16"/>
                <w:szCs w:val="16"/>
                <w:color w:val="auto"/>
              </w:rPr>
              <w:t>Cash</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105,037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105,037</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115,409</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18"/>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115,409</w:t>
            </w:r>
          </w:p>
        </w:tc>
      </w:tr>
      <w:tr>
        <w:trPr>
          <w:trHeight w:val="184"/>
        </w:trPr>
        <w:tc>
          <w:tcPr>
            <w:tcW w:w="2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equivalents</w:t>
            </w:r>
          </w:p>
        </w:tc>
        <w:tc>
          <w:tcPr>
            <w:tcW w:w="6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4,097</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12,386</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16,483</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88,585</w:t>
            </w: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90,404</w:t>
            </w:r>
          </w:p>
        </w:tc>
      </w:tr>
      <w:tr>
        <w:trPr>
          <w:trHeight w:val="176"/>
        </w:trPr>
        <w:tc>
          <w:tcPr>
            <w:tcW w:w="2240" w:type="dxa"/>
            <w:vAlign w:val="bottom"/>
          </w:tcPr>
          <w:p>
            <w:pPr>
              <w:spacing w:after="0" w:line="176" w:lineRule="exact"/>
              <w:rPr>
                <w:sz w:val="20"/>
                <w:szCs w:val="20"/>
                <w:color w:val="auto"/>
              </w:rPr>
            </w:pPr>
            <w:r>
              <w:rPr>
                <w:rFonts w:ascii="Arial" w:cs="Arial" w:eastAsia="Arial" w:hAnsi="Arial"/>
                <w:sz w:val="16"/>
                <w:szCs w:val="16"/>
                <w:b w:val="1"/>
                <w:bCs w:val="1"/>
                <w:color w:val="auto"/>
              </w:rPr>
              <w:t>Total</w:t>
            </w:r>
          </w:p>
        </w:tc>
        <w:tc>
          <w:tcPr>
            <w:tcW w:w="6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109,134</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12,386</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121,520</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117,228</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88,585</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205,813</w:t>
            </w:r>
          </w:p>
        </w:tc>
      </w:tr>
      <w:tr>
        <w:trPr>
          <w:trHeight w:val="20"/>
        </w:trPr>
        <w:tc>
          <w:tcPr>
            <w:tcW w:w="2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r>
    </w:tbl>
    <w:p>
      <w:pPr>
        <w:spacing w:after="0" w:line="69"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As of December 31, 2025 and December 31, 2024, we did not have any investments that were categorized within, or transferred into or out of, Level 3 of the fair value hierarchy.</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Gains and Losses on Sales and Changes in Carrying Amounts of Investments and Other</w:t>
      </w:r>
    </w:p>
    <w:p>
      <w:pPr>
        <w:spacing w:after="0" w:line="194"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“Other, net” within “Other Income (Expense)” included on our Consolidated Statements of Operations and Comprehensive Income (Loss) is as follows: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 net:</w:t>
            </w:r>
          </w:p>
        </w:tc>
        <w:tc>
          <w:tcPr>
            <w:tcW w:w="12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7"/>
          </w:tcPr>
          <w:p>
            <w:pPr>
              <w:jc w:val="center"/>
              <w:ind w:left="758"/>
              <w:spacing w:after="0"/>
              <w:rPr>
                <w:sz w:val="20"/>
                <w:szCs w:val="20"/>
                <w:color w:val="auto"/>
              </w:rPr>
            </w:pPr>
            <w:r>
              <w:rPr>
                <w:rFonts w:ascii="Arial" w:cs="Arial" w:eastAsia="Arial" w:hAnsi="Arial"/>
                <w:sz w:val="16"/>
                <w:szCs w:val="16"/>
                <w:b w:val="1"/>
                <w:bCs w:val="1"/>
                <w:color w:val="auto"/>
              </w:rPr>
              <w:t>For the Years Ended 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38"/>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ind w:right="438"/>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76"/>
        </w:trPr>
        <w:tc>
          <w:tcPr>
            <w:tcW w:w="3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38"/>
              <w:spacing w:after="0" w:line="176" w:lineRule="exact"/>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60" w:type="dxa"/>
            <w:vAlign w:val="bottom"/>
            <w:gridSpan w:val="2"/>
            <w:shd w:val="clear" w:color="auto" w:fill="CCEEFF"/>
          </w:tcPr>
          <w:p>
            <w:pPr>
              <w:spacing w:after="0" w:line="167" w:lineRule="exact"/>
              <w:rPr>
                <w:sz w:val="20"/>
                <w:szCs w:val="20"/>
                <w:color w:val="auto"/>
              </w:rPr>
            </w:pPr>
            <w:r>
              <w:rPr>
                <w:rFonts w:ascii="Arial" w:cs="Arial" w:eastAsia="Arial" w:hAnsi="Arial"/>
                <w:sz w:val="16"/>
                <w:szCs w:val="16"/>
                <w:color w:val="auto"/>
              </w:rPr>
              <w:t>Marketable and non-marketable investment securities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realized and unrealized gains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184"/>
        </w:trPr>
        <w:tc>
          <w:tcPr>
            <w:tcW w:w="4160" w:type="dxa"/>
            <w:vAlign w:val="bottom"/>
            <w:gridSpan w:val="2"/>
          </w:tcPr>
          <w:p>
            <w:pPr>
              <w:spacing w:after="0"/>
              <w:rPr>
                <w:sz w:val="20"/>
                <w:szCs w:val="20"/>
                <w:color w:val="auto"/>
              </w:rPr>
            </w:pPr>
            <w:r>
              <w:rPr>
                <w:rFonts w:ascii="Arial" w:cs="Arial" w:eastAsia="Arial" w:hAnsi="Arial"/>
                <w:sz w:val="16"/>
                <w:szCs w:val="16"/>
                <w:color w:val="auto"/>
              </w:rPr>
              <w:t>Equity in earnings (losses) of affiliates</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(5,121)</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(4,264)</w:t>
            </w:r>
          </w:p>
        </w:tc>
        <w:tc>
          <w:tcPr>
            <w:tcW w:w="0" w:type="dxa"/>
            <w:vAlign w:val="bottom"/>
          </w:tcPr>
          <w:p>
            <w:pPr>
              <w:spacing w:after="0"/>
              <w:rPr>
                <w:sz w:val="1"/>
                <w:szCs w:val="1"/>
                <w:color w:val="auto"/>
              </w:rPr>
            </w:pPr>
          </w:p>
        </w:tc>
      </w:tr>
      <w:tr>
        <w:trPr>
          <w:trHeight w:val="184"/>
        </w:trPr>
        <w:tc>
          <w:tcPr>
            <w:tcW w:w="4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transaction gains (losses)</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6,489</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(3,901)</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5,711</w:t>
            </w:r>
          </w:p>
        </w:tc>
        <w:tc>
          <w:tcPr>
            <w:tcW w:w="0" w:type="dxa"/>
            <w:vAlign w:val="bottom"/>
          </w:tcPr>
          <w:p>
            <w:pPr>
              <w:spacing w:after="0"/>
              <w:rPr>
                <w:sz w:val="1"/>
                <w:szCs w:val="1"/>
                <w:color w:val="auto"/>
              </w:rPr>
            </w:pPr>
          </w:p>
        </w:tc>
      </w:tr>
      <w:tr>
        <w:trPr>
          <w:trHeight w:val="167"/>
        </w:trPr>
        <w:tc>
          <w:tcPr>
            <w:tcW w:w="4160" w:type="dxa"/>
            <w:vAlign w:val="bottom"/>
            <w:gridSpan w:val="2"/>
          </w:tcPr>
          <w:p>
            <w:pPr>
              <w:spacing w:after="0" w:line="167" w:lineRule="exact"/>
              <w:rPr>
                <w:sz w:val="20"/>
                <w:szCs w:val="20"/>
                <w:color w:val="auto"/>
              </w:rPr>
            </w:pPr>
            <w:r>
              <w:rPr>
                <w:rFonts w:ascii="Arial" w:cs="Arial" w:eastAsia="Arial" w:hAnsi="Arial"/>
                <w:sz w:val="16"/>
                <w:szCs w:val="16"/>
                <w:color w:val="auto"/>
              </w:rPr>
              <w:t>Other-than temporary impairment losses on equity</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160" w:type="dxa"/>
            <w:vAlign w:val="bottom"/>
            <w:gridSpan w:val="2"/>
          </w:tcPr>
          <w:p>
            <w:pPr>
              <w:spacing w:after="0"/>
              <w:rPr>
                <w:sz w:val="20"/>
                <w:szCs w:val="20"/>
                <w:color w:val="auto"/>
              </w:rPr>
            </w:pPr>
            <w:r>
              <w:rPr>
                <w:rFonts w:ascii="Arial" w:cs="Arial" w:eastAsia="Arial" w:hAnsi="Arial"/>
                <w:sz w:val="16"/>
                <w:szCs w:val="16"/>
                <w:color w:val="auto"/>
              </w:rPr>
              <w:t>method investments</w:t>
            </w:r>
          </w:p>
        </w:tc>
        <w:tc>
          <w:tcPr>
            <w:tcW w:w="120" w:type="dxa"/>
            <w:vAlign w:val="bottom"/>
          </w:tcPr>
          <w:p>
            <w:pPr>
              <w:spacing w:after="0"/>
              <w:rPr>
                <w:sz w:val="17"/>
                <w:szCs w:val="17"/>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(33,400)</w:t>
            </w:r>
          </w:p>
        </w:tc>
        <w:tc>
          <w:tcPr>
            <w:tcW w:w="0" w:type="dxa"/>
            <w:vAlign w:val="bottom"/>
          </w:tcPr>
          <w:p>
            <w:pPr>
              <w:spacing w:after="0"/>
              <w:rPr>
                <w:sz w:val="1"/>
                <w:szCs w:val="1"/>
                <w:color w:val="auto"/>
              </w:rPr>
            </w:pPr>
          </w:p>
        </w:tc>
      </w:tr>
      <w:tr>
        <w:trPr>
          <w:trHeight w:val="184"/>
        </w:trPr>
        <w:tc>
          <w:tcPr>
            <w:tcW w:w="4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(225)</w:t>
            </w: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176"/>
        </w:trPr>
        <w:tc>
          <w:tcPr>
            <w:tcW w:w="416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6,906</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(32,798)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color w:val="auto"/>
              </w:rPr>
              <w:t>F-29</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3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8" w:right="1440" w:bottom="1440" w:gutter="0" w:footer="0" w:header="0"/>
        </w:sectPr>
      </w:pPr>
    </w:p>
    <w:bookmarkStart w:id="87" w:name="page88"/>
    <w:bookmarkEnd w:id="8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640" w:hanging="598"/>
        <w:spacing w:after="0"/>
        <w:tabs>
          <w:tab w:leader="none" w:pos="6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Inventory</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20" w:type="dxa"/>
            <w:vAlign w:val="bottom"/>
            <w:gridSpan w:val="3"/>
          </w:tcPr>
          <w:p>
            <w:pPr>
              <w:spacing w:after="0"/>
              <w:rPr>
                <w:sz w:val="20"/>
                <w:szCs w:val="20"/>
                <w:color w:val="auto"/>
              </w:rPr>
            </w:pPr>
            <w:r>
              <w:rPr>
                <w:rFonts w:ascii="Arial" w:cs="Arial" w:eastAsia="Arial" w:hAnsi="Arial"/>
                <w:sz w:val="16"/>
                <w:szCs w:val="16"/>
                <w:color w:val="auto"/>
              </w:rPr>
              <w:t>Inventory consisted of the following:</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7"/>
          </w:tcPr>
          <w:p>
            <w:pPr>
              <w:ind w:left="6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gridSpan w:val="3"/>
          </w:tcPr>
          <w:p>
            <w:pPr>
              <w:jc w:val="right"/>
              <w:ind w:right="478"/>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top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right"/>
              <w:spacing w:after="0" w:line="164" w:lineRule="exact"/>
              <w:rPr>
                <w:sz w:val="20"/>
                <w:szCs w:val="20"/>
                <w:color w:val="auto"/>
              </w:rPr>
            </w:pPr>
            <w:r>
              <w:rPr>
                <w:rFonts w:ascii="Arial" w:cs="Arial" w:eastAsia="Arial" w:hAnsi="Arial"/>
                <w:sz w:val="16"/>
                <w:szCs w:val="16"/>
                <w:color w:val="auto"/>
              </w:rPr>
              <w:t>(In thousands)</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Raw Materials</w:t>
            </w: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center"/>
              <w:ind w:right="11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34,231</w:t>
            </w:r>
          </w:p>
        </w:tc>
        <w:tc>
          <w:tcPr>
            <w:tcW w:w="2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gridSpan w:val="3"/>
          </w:tcPr>
          <w:p>
            <w:pPr>
              <w:spacing w:after="0"/>
              <w:rPr>
                <w:sz w:val="20"/>
                <w:szCs w:val="20"/>
                <w:color w:val="auto"/>
              </w:rPr>
            </w:pPr>
            <w:r>
              <w:rPr>
                <w:rFonts w:ascii="Arial" w:cs="Arial" w:eastAsia="Arial" w:hAnsi="Arial"/>
                <w:sz w:val="16"/>
                <w:szCs w:val="16"/>
                <w:color w:val="auto"/>
              </w:rPr>
              <w:t>Work-in-process</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37,938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30,302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110,232</w:t>
            </w:r>
          </w:p>
        </w:tc>
        <w:tc>
          <w:tcPr>
            <w:tcW w:w="2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Total inventory</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jc w:val="center"/>
              <w:ind w:right="238"/>
              <w:spacing w:after="0" w:line="176"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182,401</w:t>
            </w:r>
          </w:p>
        </w:tc>
        <w:tc>
          <w:tcPr>
            <w:tcW w:w="260" w:type="dxa"/>
            <w:vAlign w:val="bottom"/>
          </w:tcPr>
          <w:p>
            <w:pPr>
              <w:spacing w:after="0"/>
              <w:rPr>
                <w:sz w:val="15"/>
                <w:szCs w:val="15"/>
                <w:color w:val="auto"/>
              </w:rPr>
            </w:pPr>
          </w:p>
        </w:tc>
        <w:tc>
          <w:tcPr>
            <w:tcW w:w="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151,043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Arial" w:cs="Arial" w:eastAsia="Arial" w:hAnsi="Arial"/>
                <w:sz w:val="16"/>
                <w:szCs w:val="16"/>
                <w:b w:val="1"/>
                <w:bCs w:val="1"/>
                <w:color w:val="auto"/>
              </w:rPr>
              <w:t>7.</w:t>
            </w:r>
          </w:p>
        </w:tc>
        <w:tc>
          <w:tcPr>
            <w:tcW w:w="4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Property and Equipment and Intangible Assets</w:t>
            </w: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400" w:type="dxa"/>
            <w:vAlign w:val="bottom"/>
            <w:vMerge w:val="continue"/>
          </w:tcPr>
          <w:p>
            <w:pPr>
              <w:spacing w:after="0"/>
              <w:rPr>
                <w:sz w:val="24"/>
                <w:szCs w:val="24"/>
                <w:color w:val="auto"/>
              </w:rPr>
            </w:pPr>
          </w:p>
        </w:tc>
        <w:tc>
          <w:tcPr>
            <w:tcW w:w="41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5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Property and Equipment</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520" w:type="dxa"/>
            <w:vAlign w:val="bottom"/>
            <w:gridSpan w:val="3"/>
          </w:tcPr>
          <w:p>
            <w:pPr>
              <w:spacing w:after="0"/>
              <w:rPr>
                <w:sz w:val="20"/>
                <w:szCs w:val="20"/>
                <w:color w:val="auto"/>
              </w:rPr>
            </w:pPr>
            <w:r>
              <w:rPr>
                <w:rFonts w:ascii="Arial" w:cs="Arial" w:eastAsia="Arial" w:hAnsi="Arial"/>
                <w:sz w:val="16"/>
                <w:szCs w:val="16"/>
                <w:color w:val="auto"/>
              </w:rPr>
              <w:t>Property and equipment consisted of the following:</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rPr>
              <w:t>Depreciable</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60" w:type="dxa"/>
            <w:vAlign w:val="bottom"/>
            <w:gridSpan w:val="7"/>
            <w:vMerge w:val="restart"/>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jc w:val="center"/>
              <w:ind w:right="18"/>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2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right"/>
              <w:ind w:right="698"/>
              <w:spacing w:after="0" w:line="164" w:lineRule="exact"/>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Equipment leased to customers (1)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center"/>
              <w:ind w:right="118"/>
              <w:spacing w:after="0"/>
              <w:rPr>
                <w:sz w:val="20"/>
                <w:szCs w:val="20"/>
                <w:color w:val="auto"/>
              </w:rPr>
            </w:pPr>
            <w:r>
              <w:rPr>
                <w:rFonts w:ascii="Arial" w:cs="Arial" w:eastAsia="Arial" w:hAnsi="Arial"/>
                <w:sz w:val="16"/>
                <w:szCs w:val="16"/>
                <w:color w:val="auto"/>
              </w:rPr>
              <w:t>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84,497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gridSpan w:val="3"/>
          </w:tcPr>
          <w:p>
            <w:pPr>
              <w:spacing w:after="0"/>
              <w:rPr>
                <w:sz w:val="20"/>
                <w:szCs w:val="20"/>
                <w:color w:val="auto"/>
              </w:rPr>
            </w:pPr>
            <w:r>
              <w:rPr>
                <w:rFonts w:ascii="Arial" w:cs="Arial" w:eastAsia="Arial" w:hAnsi="Arial"/>
                <w:sz w:val="16"/>
                <w:szCs w:val="16"/>
                <w:color w:val="auto"/>
              </w:rPr>
              <w:t>Satellites (1)(2)(3)</w:t>
            </w: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center"/>
              <w:ind w:right="118"/>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132,631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1,210,437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Satellites acquired under finance lease agreements (1)</w:t>
            </w: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77,116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gridSpan w:val="3"/>
          </w:tcPr>
          <w:p>
            <w:pPr>
              <w:spacing w:after="0"/>
              <w:rPr>
                <w:sz w:val="20"/>
                <w:szCs w:val="20"/>
                <w:color w:val="auto"/>
              </w:rPr>
            </w:pPr>
            <w:r>
              <w:rPr>
                <w:rFonts w:ascii="Arial" w:cs="Arial" w:eastAsia="Arial" w:hAnsi="Arial"/>
                <w:sz w:val="16"/>
                <w:szCs w:val="16"/>
                <w:color w:val="auto"/>
              </w:rPr>
              <w:t>Furniture, fixtures, equipment and other (1)</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center"/>
              <w:ind w:right="118"/>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71,537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682,614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Software and computer equipment (1)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center"/>
              <w:ind w:right="118"/>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34,556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gridSpan w:val="3"/>
          </w:tcPr>
          <w:p>
            <w:pPr>
              <w:spacing w:after="0"/>
              <w:rPr>
                <w:sz w:val="20"/>
                <w:szCs w:val="20"/>
                <w:color w:val="auto"/>
              </w:rPr>
            </w:pPr>
            <w:r>
              <w:rPr>
                <w:rFonts w:ascii="Arial" w:cs="Arial" w:eastAsia="Arial" w:hAnsi="Arial"/>
                <w:sz w:val="16"/>
                <w:szCs w:val="16"/>
                <w:color w:val="auto"/>
              </w:rPr>
              <w:t>Buildings and improvements (1)</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center"/>
              <w:ind w:right="118"/>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34,604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129,779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8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13,598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Construction in progress</w:t>
            </w:r>
          </w:p>
        </w:tc>
        <w:tc>
          <w:tcPr>
            <w:tcW w:w="6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2,511</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Total property and equipment</w:t>
            </w: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451,050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3,554,500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gridSpan w:val="3"/>
          </w:tcPr>
          <w:p>
            <w:pPr>
              <w:spacing w:after="0"/>
              <w:rPr>
                <w:sz w:val="20"/>
                <w:szCs w:val="20"/>
                <w:color w:val="auto"/>
              </w:rPr>
            </w:pPr>
            <w:r>
              <w:rPr>
                <w:rFonts w:ascii="Arial" w:cs="Arial" w:eastAsia="Arial" w:hAnsi="Arial"/>
                <w:sz w:val="16"/>
                <w:szCs w:val="16"/>
                <w:color w:val="auto"/>
              </w:rPr>
              <w:t>Accumulated depreciation (1)</w:t>
            </w: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6"/>
                <w:szCs w:val="16"/>
                <w:color w:val="auto"/>
              </w:rPr>
              <w:t>(8,847)</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(2,457,310)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tcBorders>
              <w:top w:val="single" w:sz="8" w:color="CCEEFF"/>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Property and equipment, net (4)</w:t>
            </w: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gridSpan w:val="3"/>
            <w:shd w:val="clear" w:color="auto" w:fill="CCEEFF"/>
          </w:tcPr>
          <w:p>
            <w:pPr>
              <w:jc w:val="right"/>
              <w:spacing w:after="0" w:line="176" w:lineRule="exact"/>
              <w:rPr>
                <w:sz w:val="20"/>
                <w:szCs w:val="20"/>
                <w:color w:val="auto"/>
              </w:rPr>
            </w:pPr>
            <w:r>
              <w:rPr>
                <w:rFonts w:ascii="Arial" w:cs="Arial" w:eastAsia="Arial" w:hAnsi="Arial"/>
                <w:sz w:val="16"/>
                <w:szCs w:val="16"/>
                <w:color w:val="auto"/>
              </w:rPr>
              <w:t>442,203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1,097,190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2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hanging="298"/>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change primarily resulted from the non-cash impairment of long-lived assets. See Note 1 for further information.</w:t>
      </w:r>
    </w:p>
    <w:p>
      <w:pPr>
        <w:spacing w:after="0" w:line="15" w:lineRule="exact"/>
        <w:rPr>
          <w:rFonts w:ascii="Arial" w:cs="Arial" w:eastAsia="Arial" w:hAnsi="Arial"/>
          <w:sz w:val="16"/>
          <w:szCs w:val="16"/>
          <w:color w:val="auto"/>
        </w:rPr>
      </w:pPr>
    </w:p>
    <w:p>
      <w:pPr>
        <w:ind w:left="340" w:right="139" w:hanging="298"/>
        <w:spacing w:after="0" w:line="239"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commercial traffic on the EchoStar IX satellite has been transferred to other satellites in our fleet and the EchoStar IX satellite is no longer in service. The disposal process for the EchoStar IX satellite was completed in the third quarter of 2025.</w:t>
      </w:r>
    </w:p>
    <w:p>
      <w:pPr>
        <w:spacing w:after="0" w:line="1" w:lineRule="exact"/>
        <w:rPr>
          <w:rFonts w:ascii="Arial" w:cs="Arial" w:eastAsia="Arial" w:hAnsi="Arial"/>
          <w:sz w:val="16"/>
          <w:szCs w:val="16"/>
          <w:color w:val="auto"/>
        </w:rPr>
      </w:pPr>
    </w:p>
    <w:p>
      <w:pPr>
        <w:ind w:left="340" w:right="199" w:hanging="298"/>
        <w:spacing w:after="0" w:line="239"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June 2025, all commercial traffic on the Al Yah 3 satellite had been transferred to other satellites in our fleet and the Al Yah 3 satellite is no longer operational nor in service.</w:t>
      </w:r>
    </w:p>
    <w:p>
      <w:pPr>
        <w:spacing w:after="0" w:line="1" w:lineRule="exact"/>
        <w:rPr>
          <w:rFonts w:ascii="Arial" w:cs="Arial" w:eastAsia="Arial" w:hAnsi="Arial"/>
          <w:sz w:val="16"/>
          <w:szCs w:val="16"/>
          <w:color w:val="auto"/>
        </w:rPr>
      </w:pPr>
    </w:p>
    <w:p>
      <w:pPr>
        <w:ind w:left="340" w:right="199" w:hanging="298"/>
        <w:spacing w:after="0" w:line="260"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December 31, 2025 and December 31, 2024, there were no refunds and other receipts of purchases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8">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88" w:name="page89"/>
    <w:bookmarkEnd w:id="8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and amortization expense consisted of the following:</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7"/>
          </w:tcPr>
          <w:p>
            <w:pPr>
              <w:jc w:val="right"/>
              <w:ind w:right="43"/>
              <w:spacing w:after="0"/>
              <w:rPr>
                <w:sz w:val="20"/>
                <w:szCs w:val="20"/>
                <w:color w:val="auto"/>
              </w:rPr>
            </w:pPr>
            <w:r>
              <w:rPr>
                <w:rFonts w:ascii="Arial" w:cs="Arial" w:eastAsia="Arial" w:hAnsi="Arial"/>
                <w:sz w:val="16"/>
                <w:szCs w:val="16"/>
                <w:b w:val="1"/>
                <w:bCs w:val="1"/>
                <w:color w:val="auto"/>
              </w:rPr>
              <w:t>For the Years Ended December 31,</w:t>
            </w:r>
          </w:p>
        </w:tc>
        <w:tc>
          <w:tcPr>
            <w:tcW w:w="1040" w:type="dxa"/>
            <w:vAlign w:val="bottom"/>
            <w:tcBorders>
              <w:bottom w:val="single" w:sz="8" w:color="auto"/>
            </w:tcBorders>
          </w:tcPr>
          <w:p>
            <w:pPr>
              <w:spacing w:after="0"/>
              <w:rPr>
                <w:sz w:val="17"/>
                <w:szCs w:val="17"/>
                <w:color w:val="auto"/>
              </w:rPr>
            </w:pPr>
          </w:p>
        </w:tc>
      </w:tr>
      <w:tr>
        <w:trPr>
          <w:trHeight w:val="184"/>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2023</w:t>
            </w:r>
          </w:p>
        </w:tc>
      </w:tr>
      <w:tr>
        <w:trPr>
          <w:trHeight w:val="164"/>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138"/>
              <w:spacing w:after="0" w:line="164" w:lineRule="exact"/>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4"/>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Equipment leased to customers</w:t>
            </w:r>
          </w:p>
        </w:tc>
        <w:tc>
          <w:tcPr>
            <w:tcW w:w="520" w:type="dxa"/>
            <w:vAlign w:val="bottom"/>
            <w:gridSpan w:val="2"/>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110,391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114,143</w:t>
            </w:r>
          </w:p>
        </w:tc>
        <w:tc>
          <w:tcPr>
            <w:tcW w:w="2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63"/>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168,656</w:t>
            </w:r>
          </w:p>
        </w:tc>
      </w:tr>
      <w:tr>
        <w:trPr>
          <w:trHeight w:val="184"/>
        </w:trPr>
        <w:tc>
          <w:tcPr>
            <w:tcW w:w="3760" w:type="dxa"/>
            <w:vAlign w:val="bottom"/>
          </w:tcPr>
          <w:p>
            <w:pPr>
              <w:spacing w:after="0"/>
              <w:rPr>
                <w:sz w:val="20"/>
                <w:szCs w:val="20"/>
                <w:color w:val="auto"/>
              </w:rPr>
            </w:pPr>
            <w:r>
              <w:rPr>
                <w:rFonts w:ascii="Arial" w:cs="Arial" w:eastAsia="Arial" w:hAnsi="Arial"/>
                <w:sz w:val="16"/>
                <w:szCs w:val="16"/>
                <w:color w:val="auto"/>
              </w:rPr>
              <w:t>Satellites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93,571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105,139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105,717</w:t>
            </w:r>
          </w:p>
        </w:tc>
      </w:tr>
      <w:tr>
        <w:trPr>
          <w:trHeight w:val="184"/>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Buildings, furniture, fixtures, equipment and other</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63,288</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83,683</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53,445</w:t>
            </w:r>
          </w:p>
        </w:tc>
      </w:tr>
      <w:tr>
        <w:trPr>
          <w:trHeight w:val="184"/>
        </w:trPr>
        <w:tc>
          <w:tcPr>
            <w:tcW w:w="3760" w:type="dxa"/>
            <w:vAlign w:val="bottom"/>
          </w:tcPr>
          <w:p>
            <w:pPr>
              <w:spacing w:after="0"/>
              <w:rPr>
                <w:sz w:val="20"/>
                <w:szCs w:val="20"/>
                <w:color w:val="auto"/>
              </w:rPr>
            </w:pPr>
            <w:r>
              <w:rPr>
                <w:rFonts w:ascii="Arial" w:cs="Arial" w:eastAsia="Arial" w:hAnsi="Arial"/>
                <w:sz w:val="16"/>
                <w:szCs w:val="16"/>
                <w:color w:val="auto"/>
              </w:rPr>
              <w:t>Software and computer equipment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27,410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25,963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28,359</w:t>
            </w:r>
          </w:p>
        </w:tc>
      </w:tr>
      <w:tr>
        <w:trPr>
          <w:trHeight w:val="184"/>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and other amortization expense</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38,343</w:t>
            </w:r>
          </w:p>
        </w:tc>
        <w:tc>
          <w:tcPr>
            <w:tcW w:w="2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36,974</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33,455</w:t>
            </w:r>
          </w:p>
        </w:tc>
      </w:tr>
      <w:tr>
        <w:trPr>
          <w:trHeight w:val="176"/>
        </w:trPr>
        <w:tc>
          <w:tcPr>
            <w:tcW w:w="3760" w:type="dxa"/>
            <w:vAlign w:val="bottom"/>
          </w:tcPr>
          <w:p>
            <w:pPr>
              <w:spacing w:after="0" w:line="176" w:lineRule="exact"/>
              <w:rPr>
                <w:sz w:val="20"/>
                <w:szCs w:val="20"/>
                <w:color w:val="auto"/>
              </w:rPr>
            </w:pPr>
            <w:r>
              <w:rPr>
                <w:rFonts w:ascii="Arial" w:cs="Arial" w:eastAsia="Arial" w:hAnsi="Arial"/>
                <w:sz w:val="16"/>
                <w:szCs w:val="16"/>
                <w:b w:val="1"/>
                <w:bCs w:val="1"/>
                <w:color w:val="auto"/>
              </w:rPr>
              <w:t>Total depreciation and amortization</w:t>
            </w:r>
          </w:p>
        </w:tc>
        <w:tc>
          <w:tcPr>
            <w:tcW w:w="180" w:type="dxa"/>
            <w:vAlign w:val="bottom"/>
          </w:tcPr>
          <w:p>
            <w:pPr>
              <w:spacing w:after="0"/>
              <w:rPr>
                <w:sz w:val="15"/>
                <w:szCs w:val="15"/>
                <w:color w:val="auto"/>
              </w:rPr>
            </w:pPr>
          </w:p>
        </w:tc>
        <w:tc>
          <w:tcPr>
            <w:tcW w:w="340" w:type="dxa"/>
            <w:vAlign w:val="bottom"/>
            <w:tcBorders>
              <w:bottom w:val="single" w:sz="8" w:color="auto"/>
            </w:tcBorders>
          </w:tcPr>
          <w:p>
            <w:pPr>
              <w:jc w:val="right"/>
              <w:ind w:right="158"/>
              <w:spacing w:after="0" w:line="176"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333,003</w:t>
            </w:r>
          </w:p>
        </w:tc>
        <w:tc>
          <w:tcPr>
            <w:tcW w:w="2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365,902</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389,632</w:t>
            </w:r>
          </w:p>
        </w:tc>
      </w:tr>
      <w:tr>
        <w:trPr>
          <w:trHeight w:val="20"/>
        </w:trPr>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Satellites</w:t>
      </w:r>
    </w:p>
    <w:p>
      <w:pPr>
        <w:spacing w:after="0" w:line="194"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As of December 31, 2025, our satellite fleet consisted of six satellites in geosynchronous orbit, approximately 22,300 miles above the equator, two of which we own and depreciate over their estimated useful life. We also lease four satellites, three of which are accounted for as finance leases and are depreciated over their economic life and one of which we lease from our parent, EchoStar which is accounted for as an operating lease.</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2025, our satellite fleet in service consisted of the following:</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Degree</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Lease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Orbital</w:t>
            </w: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Termination</w:t>
            </w:r>
          </w:p>
        </w:tc>
        <w:tc>
          <w:tcPr>
            <w:tcW w:w="0" w:type="dxa"/>
            <w:vAlign w:val="bottom"/>
          </w:tcPr>
          <w:p>
            <w:pPr>
              <w:spacing w:after="0"/>
              <w:rPr>
                <w:sz w:val="1"/>
                <w:szCs w:val="1"/>
                <w:color w:val="auto"/>
              </w:rPr>
            </w:pPr>
          </w:p>
        </w:tc>
      </w:tr>
      <w:tr>
        <w:trPr>
          <w:trHeight w:val="201"/>
        </w:trPr>
        <w:tc>
          <w:tcPr>
            <w:tcW w:w="4340" w:type="dxa"/>
            <w:vAlign w:val="bottom"/>
            <w:gridSpan w:val="4"/>
          </w:tcPr>
          <w:p>
            <w:pPr>
              <w:spacing w:after="0"/>
              <w:rPr>
                <w:sz w:val="20"/>
                <w:szCs w:val="20"/>
                <w:color w:val="auto"/>
              </w:rPr>
            </w:pPr>
            <w:r>
              <w:rPr>
                <w:rFonts w:ascii="Arial" w:cs="Arial" w:eastAsia="Arial" w:hAnsi="Arial"/>
                <w:sz w:val="16"/>
                <w:szCs w:val="16"/>
                <w:b w:val="1"/>
                <w:bCs w:val="1"/>
                <w:color w:val="auto"/>
              </w:rPr>
              <w:t>Satellites</w:t>
            </w:r>
          </w:p>
        </w:tc>
        <w:tc>
          <w:tcPr>
            <w:tcW w:w="1620" w:type="dxa"/>
            <w:vAlign w:val="bottom"/>
            <w:gridSpan w:val="2"/>
          </w:tcPr>
          <w:p>
            <w:pPr>
              <w:jc w:val="center"/>
              <w:ind w:right="158"/>
              <w:spacing w:after="0"/>
              <w:rPr>
                <w:sz w:val="20"/>
                <w:szCs w:val="20"/>
                <w:color w:val="auto"/>
              </w:rPr>
            </w:pPr>
            <w:r>
              <w:rPr>
                <w:rFonts w:ascii="Arial" w:cs="Arial" w:eastAsia="Arial" w:hAnsi="Arial"/>
                <w:sz w:val="16"/>
                <w:szCs w:val="16"/>
                <w:b w:val="1"/>
                <w:bCs w:val="1"/>
                <w:color w:val="auto"/>
              </w:rPr>
              <w:t>Launch Date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Location</w:t>
            </w:r>
          </w:p>
        </w:tc>
        <w:tc>
          <w:tcPr>
            <w:tcW w:w="2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Owned:</w:t>
            </w:r>
          </w:p>
        </w:tc>
        <w:tc>
          <w:tcPr>
            <w:tcW w:w="2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20" w:type="dxa"/>
            <w:vAlign w:val="bottom"/>
            <w:gridSpan w:val="3"/>
          </w:tcPr>
          <w:p>
            <w:pPr>
              <w:ind w:left="80"/>
              <w:spacing w:after="0"/>
              <w:rPr>
                <w:sz w:val="20"/>
                <w:szCs w:val="20"/>
                <w:color w:val="auto"/>
              </w:rPr>
            </w:pPr>
            <w:r>
              <w:rPr>
                <w:rFonts w:ascii="Arial" w:cs="Arial" w:eastAsia="Arial" w:hAnsi="Arial"/>
                <w:sz w:val="16"/>
                <w:szCs w:val="16"/>
                <w:color w:val="auto"/>
              </w:rPr>
              <w:t>EchoStar XVII (1)</w:t>
            </w:r>
          </w:p>
        </w:tc>
        <w:tc>
          <w:tcPr>
            <w:tcW w:w="1620" w:type="dxa"/>
            <w:vAlign w:val="bottom"/>
            <w:gridSpan w:val="2"/>
          </w:tcPr>
          <w:p>
            <w:pPr>
              <w:jc w:val="center"/>
              <w:ind w:right="158"/>
              <w:spacing w:after="0"/>
              <w:rPr>
                <w:sz w:val="20"/>
                <w:szCs w:val="20"/>
                <w:color w:val="auto"/>
              </w:rPr>
            </w:pPr>
            <w:r>
              <w:rPr>
                <w:rFonts w:ascii="Arial" w:cs="Arial" w:eastAsia="Arial" w:hAnsi="Arial"/>
                <w:sz w:val="16"/>
                <w:szCs w:val="16"/>
                <w:color w:val="auto"/>
              </w:rPr>
              <w:t>July 2012</w:t>
            </w:r>
          </w:p>
        </w:tc>
        <w:tc>
          <w:tcPr>
            <w:tcW w:w="1400" w:type="dxa"/>
            <w:vAlign w:val="bottom"/>
          </w:tcPr>
          <w:p>
            <w:pPr>
              <w:jc w:val="center"/>
              <w:spacing w:after="0"/>
              <w:rPr>
                <w:sz w:val="20"/>
                <w:szCs w:val="20"/>
                <w:color w:val="auto"/>
              </w:rPr>
            </w:pPr>
            <w:r>
              <w:rPr>
                <w:rFonts w:ascii="Arial" w:cs="Arial" w:eastAsia="Arial" w:hAnsi="Arial"/>
                <w:sz w:val="16"/>
                <w:szCs w:val="16"/>
                <w:color w:val="auto"/>
              </w:rPr>
              <w:t>107</w:t>
            </w: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EchoStar XIX (1)</w:t>
            </w:r>
          </w:p>
        </w:tc>
        <w:tc>
          <w:tcPr>
            <w:tcW w:w="1620" w:type="dxa"/>
            <w:vAlign w:val="bottom"/>
            <w:gridSpan w:val="2"/>
            <w:shd w:val="clear" w:color="auto" w:fill="CCEEFF"/>
          </w:tcPr>
          <w:p>
            <w:pPr>
              <w:jc w:val="center"/>
              <w:ind w:right="138"/>
              <w:spacing w:after="0"/>
              <w:rPr>
                <w:sz w:val="20"/>
                <w:szCs w:val="20"/>
                <w:color w:val="auto"/>
              </w:rPr>
            </w:pPr>
            <w:r>
              <w:rPr>
                <w:rFonts w:ascii="Arial" w:cs="Arial" w:eastAsia="Arial" w:hAnsi="Arial"/>
                <w:sz w:val="16"/>
                <w:szCs w:val="16"/>
                <w:color w:val="auto"/>
              </w:rPr>
              <w:t>December 2016</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97.1</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Finance leases:</w:t>
            </w:r>
          </w:p>
        </w:tc>
        <w:tc>
          <w:tcPr>
            <w:tcW w:w="1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20" w:type="dxa"/>
            <w:vAlign w:val="bottom"/>
            <w:gridSpan w:val="3"/>
          </w:tcPr>
          <w:p>
            <w:pPr>
              <w:ind w:left="80"/>
              <w:spacing w:after="0"/>
              <w:rPr>
                <w:sz w:val="20"/>
                <w:szCs w:val="20"/>
                <w:color w:val="auto"/>
              </w:rPr>
            </w:pPr>
            <w:r>
              <w:rPr>
                <w:rFonts w:ascii="Arial" w:cs="Arial" w:eastAsia="Arial" w:hAnsi="Arial"/>
                <w:sz w:val="16"/>
                <w:szCs w:val="16"/>
                <w:color w:val="auto"/>
              </w:rPr>
              <w:t>Eutelsat 65 West A (1)</w:t>
            </w:r>
          </w:p>
        </w:tc>
        <w:tc>
          <w:tcPr>
            <w:tcW w:w="1620" w:type="dxa"/>
            <w:vAlign w:val="bottom"/>
            <w:gridSpan w:val="2"/>
          </w:tcPr>
          <w:p>
            <w:pPr>
              <w:jc w:val="center"/>
              <w:ind w:right="158"/>
              <w:spacing w:after="0"/>
              <w:rPr>
                <w:sz w:val="20"/>
                <w:szCs w:val="20"/>
                <w:color w:val="auto"/>
              </w:rPr>
            </w:pPr>
            <w:r>
              <w:rPr>
                <w:rFonts w:ascii="Arial" w:cs="Arial" w:eastAsia="Arial" w:hAnsi="Arial"/>
                <w:sz w:val="16"/>
                <w:szCs w:val="16"/>
                <w:color w:val="auto"/>
              </w:rPr>
              <w:t>March 2016</w:t>
            </w:r>
          </w:p>
        </w:tc>
        <w:tc>
          <w:tcPr>
            <w:tcW w:w="1400" w:type="dxa"/>
            <w:vAlign w:val="bottom"/>
          </w:tcPr>
          <w:p>
            <w:pPr>
              <w:jc w:val="center"/>
              <w:spacing w:after="0"/>
              <w:rPr>
                <w:sz w:val="20"/>
                <w:szCs w:val="20"/>
                <w:color w:val="auto"/>
              </w:rPr>
            </w:pPr>
            <w:r>
              <w:rPr>
                <w:rFonts w:ascii="Arial" w:cs="Arial" w:eastAsia="Arial" w:hAnsi="Arial"/>
                <w:sz w:val="16"/>
                <w:szCs w:val="16"/>
                <w:color w:val="auto"/>
              </w:rPr>
              <w:t>65</w:t>
            </w: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July 2031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Telesat T19V (1)</w:t>
            </w:r>
          </w:p>
        </w:tc>
        <w:tc>
          <w:tcPr>
            <w:tcW w:w="1620" w:type="dxa"/>
            <w:vAlign w:val="bottom"/>
            <w:gridSpan w:val="2"/>
            <w:shd w:val="clear" w:color="auto" w:fill="CCEEFF"/>
          </w:tcPr>
          <w:p>
            <w:pPr>
              <w:jc w:val="center"/>
              <w:ind w:right="158"/>
              <w:spacing w:after="0"/>
              <w:rPr>
                <w:sz w:val="20"/>
                <w:szCs w:val="20"/>
                <w:color w:val="auto"/>
              </w:rPr>
            </w:pPr>
            <w:r>
              <w:rPr>
                <w:rFonts w:ascii="Arial" w:cs="Arial" w:eastAsia="Arial" w:hAnsi="Arial"/>
                <w:sz w:val="16"/>
                <w:szCs w:val="16"/>
                <w:color w:val="auto"/>
              </w:rPr>
              <w:t>July 2018</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August 2033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20" w:type="dxa"/>
            <w:vAlign w:val="bottom"/>
            <w:gridSpan w:val="3"/>
          </w:tcPr>
          <w:p>
            <w:pPr>
              <w:ind w:left="80"/>
              <w:spacing w:after="0" w:line="184" w:lineRule="exact"/>
              <w:rPr>
                <w:sz w:val="20"/>
                <w:szCs w:val="20"/>
                <w:color w:val="auto"/>
              </w:rPr>
            </w:pPr>
            <w:r>
              <w:rPr>
                <w:rFonts w:ascii="Arial" w:cs="Arial" w:eastAsia="Arial" w:hAnsi="Arial"/>
                <w:sz w:val="16"/>
                <w:szCs w:val="16"/>
                <w:color w:val="auto"/>
              </w:rPr>
              <w:t>EchoStar 105/SES</w:t>
            </w:r>
            <w:r>
              <w:rPr>
                <w:rFonts w:ascii="MS PGothic" w:cs="MS PGothic" w:eastAsia="MS PGothic" w:hAnsi="MS PGothic"/>
                <w:sz w:val="16"/>
                <w:szCs w:val="16"/>
                <w:color w:val="auto"/>
              </w:rPr>
              <w:t>‑</w:t>
            </w:r>
            <w:r>
              <w:rPr>
                <w:rFonts w:ascii="Arial" w:cs="Arial" w:eastAsia="Arial" w:hAnsi="Arial"/>
                <w:sz w:val="16"/>
                <w:szCs w:val="16"/>
                <w:color w:val="auto"/>
              </w:rPr>
              <w:t>11 (1)</w:t>
            </w:r>
          </w:p>
        </w:tc>
        <w:tc>
          <w:tcPr>
            <w:tcW w:w="1620" w:type="dxa"/>
            <w:vAlign w:val="bottom"/>
            <w:gridSpan w:val="2"/>
          </w:tcPr>
          <w:p>
            <w:pPr>
              <w:jc w:val="center"/>
              <w:ind w:right="158"/>
              <w:spacing w:after="0"/>
              <w:rPr>
                <w:sz w:val="20"/>
                <w:szCs w:val="20"/>
                <w:color w:val="auto"/>
              </w:rPr>
            </w:pPr>
            <w:r>
              <w:rPr>
                <w:rFonts w:ascii="Arial" w:cs="Arial" w:eastAsia="Arial" w:hAnsi="Arial"/>
                <w:sz w:val="16"/>
                <w:szCs w:val="16"/>
                <w:color w:val="auto"/>
              </w:rPr>
              <w:t>October 2017</w:t>
            </w:r>
          </w:p>
        </w:tc>
        <w:tc>
          <w:tcPr>
            <w:tcW w:w="1400" w:type="dxa"/>
            <w:vAlign w:val="bottom"/>
          </w:tcPr>
          <w:p>
            <w:pPr>
              <w:jc w:val="center"/>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November 2030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320" w:type="dxa"/>
            <w:vAlign w:val="bottom"/>
            <w:gridSpan w:val="3"/>
          </w:tcPr>
          <w:p>
            <w:pPr>
              <w:spacing w:after="0"/>
              <w:rPr>
                <w:sz w:val="20"/>
                <w:szCs w:val="20"/>
                <w:color w:val="auto"/>
              </w:rPr>
            </w:pPr>
            <w:r>
              <w:rPr>
                <w:rFonts w:ascii="Arial" w:cs="Arial" w:eastAsia="Arial" w:hAnsi="Arial"/>
                <w:sz w:val="16"/>
                <w:szCs w:val="16"/>
                <w:b w:val="1"/>
                <w:bCs w:val="1"/>
                <w:color w:val="auto"/>
              </w:rPr>
              <w:t>Operating leases:</w:t>
            </w: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EchoStar XXIV (1)</w:t>
            </w:r>
          </w:p>
        </w:tc>
        <w:tc>
          <w:tcPr>
            <w:tcW w:w="1620" w:type="dxa"/>
            <w:vAlign w:val="bottom"/>
            <w:gridSpan w:val="2"/>
            <w:shd w:val="clear" w:color="auto" w:fill="CCEEFF"/>
          </w:tcPr>
          <w:p>
            <w:pPr>
              <w:jc w:val="center"/>
              <w:ind w:right="158"/>
              <w:spacing w:after="0"/>
              <w:rPr>
                <w:sz w:val="20"/>
                <w:szCs w:val="20"/>
                <w:color w:val="auto"/>
              </w:rPr>
            </w:pPr>
            <w:r>
              <w:rPr>
                <w:rFonts w:ascii="Arial" w:cs="Arial" w:eastAsia="Arial" w:hAnsi="Arial"/>
                <w:sz w:val="16"/>
                <w:szCs w:val="16"/>
                <w:color w:val="auto"/>
              </w:rPr>
              <w:t>July 2023</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95.2</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December 2030</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right="59" w:hanging="298"/>
        <w:spacing w:after="0" w:line="281"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of December 31, 2025, we impaired these satellites and wrote down the carrying value of the satellites to their estimated fair value. See Note 1 for further information.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9">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89" w:name="page90"/>
    <w:bookmarkEnd w:id="8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Satellite-Related Commitments</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As of December 31, 2025 and December 31, 2024 our satellite-related commitments, excluding in-orbit incentives, were $37 million and $43 million, respectively. These include payments pursuant to regulatory authorizations, non-lease costs associated with our finance lease satellites, and commitments for satellite service arrangements.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certain circumstances, the dates on which we are obligated to pay our contractual obligations could change.</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Satellite Anomalies and Impairments</w:t>
      </w:r>
    </w:p>
    <w:p>
      <w:pPr>
        <w:spacing w:after="0" w:line="194"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Our satellites may experience anomalies from time to time, some of which may have a significant adverse effect on their remaining useful lives, the commercial operation of the satellites or our operating results or financial position.</w:t>
      </w:r>
    </w:p>
    <w:p>
      <w:pPr>
        <w:spacing w:after="0" w:line="133"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There can be no assurance that future anomalies will not impact the remaining useful life and/or commercial operation of any of the owned and leased satellites in our fleet. See Note 2 for further information on evaluation of impairment. There can be no assurance that we can recover critical transmission capacity in the event one or more of our owned or leased in-orbit satellites were to fail. We are not aware of any anomalies with respect to our owned or leased satellites that have had any such significant adverse effect during the year ended December 31, 2025.</w:t>
      </w:r>
    </w:p>
    <w:p>
      <w:pPr>
        <w:spacing w:after="0" w:line="157"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color w:val="auto"/>
        </w:rPr>
        <w:t>We generally do not carry commercial in-orbit insurance on any of the satellites that we own and therefore, we will bear the risk associated with any uninsured in-orbit satellite failures. Pursuant to the terms of our joint venture agreement with Al Yah Satellite Communications Company PrJSC (“Yahsat”) in Brazil in 2019, we are required to maintain insurance for the Al Yah 3 Brazilian payload during the commercial in-orbit service of such payload, subject to certain limitations on coverage. The insurance policies were procured by Yahsat, under which we and Yahsat are the beneficiaries of any claims in proportion to their shareholdings. An insurance claim was submitted in the second quarter of 2023 for compensation with respect to the reduction in estimated useful life of the Al Yah 3 satellite. During the year ended December 31, 2025, we received $5 million in proceeds from the insurance carrier. We will continue to assess circumstances going forward and make insurance-related decisions on a case-by-case basis.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Fair Value of In-Orbit Incentives</w:t>
      </w:r>
    </w:p>
    <w:p>
      <w:pPr>
        <w:spacing w:after="0" w:line="194"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As of December 31, 2025 and December 31, 2024, the fair values of our in-orbit incentive obligations approximated their carrying amounts of $35 million and $41 million, respectively.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90" w:name="page91"/>
    <w:bookmarkEnd w:id="9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194" w:lineRule="exact"/>
        <w:rPr>
          <w:sz w:val="20"/>
          <w:szCs w:val="20"/>
          <w:color w:val="auto"/>
        </w:rPr>
      </w:pPr>
    </w:p>
    <w:p>
      <w:pPr>
        <w:ind w:left="40" w:right="219"/>
        <w:spacing w:after="0" w:line="281" w:lineRule="auto"/>
        <w:rPr>
          <w:sz w:val="20"/>
          <w:szCs w:val="20"/>
          <w:color w:val="auto"/>
        </w:rPr>
      </w:pPr>
      <w:r>
        <w:rPr>
          <w:rFonts w:ascii="Arial" w:cs="Arial" w:eastAsia="Arial" w:hAnsi="Arial"/>
          <w:sz w:val="16"/>
          <w:szCs w:val="16"/>
          <w:color w:val="auto"/>
        </w:rPr>
        <w:t>As of December 31, 2025 and 2024, our identifiable intangibles, including intangibles subject to amortization, consisted of the following:</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6"/>
                <w:szCs w:val="16"/>
                <w:b w:val="1"/>
                <w:bCs w:val="1"/>
                <w:color w:val="auto"/>
              </w:rPr>
              <w:t>As of December 31,</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2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2025</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9"/>
        </w:trPr>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80" w:type="dxa"/>
            <w:vAlign w:val="bottom"/>
            <w:gridSpan w:val="2"/>
          </w:tcPr>
          <w:p>
            <w:pPr>
              <w:jc w:val="right"/>
              <w:spacing w:after="0" w:line="159" w:lineRule="exact"/>
              <w:rPr>
                <w:sz w:val="20"/>
                <w:szCs w:val="20"/>
                <w:color w:val="auto"/>
              </w:rPr>
            </w:pPr>
            <w:r>
              <w:rPr>
                <w:rFonts w:ascii="Arial" w:cs="Arial" w:eastAsia="Arial" w:hAnsi="Arial"/>
                <w:sz w:val="16"/>
                <w:szCs w:val="16"/>
                <w:b w:val="1"/>
                <w:bCs w:val="1"/>
                <w:color w:val="auto"/>
              </w:rPr>
              <w:t>Intangible</w:t>
            </w:r>
          </w:p>
        </w:tc>
        <w:tc>
          <w:tcPr>
            <w:tcW w:w="18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80" w:type="dxa"/>
            <w:vAlign w:val="bottom"/>
            <w:gridSpan w:val="2"/>
          </w:tcPr>
          <w:p>
            <w:pPr>
              <w:jc w:val="right"/>
              <w:spacing w:after="0" w:line="159" w:lineRule="exact"/>
              <w:rPr>
                <w:sz w:val="20"/>
                <w:szCs w:val="20"/>
                <w:color w:val="auto"/>
              </w:rPr>
            </w:pPr>
            <w:r>
              <w:rPr>
                <w:rFonts w:ascii="Arial" w:cs="Arial" w:eastAsia="Arial" w:hAnsi="Arial"/>
                <w:sz w:val="16"/>
                <w:szCs w:val="16"/>
                <w:b w:val="1"/>
                <w:bCs w:val="1"/>
                <w:color w:val="auto"/>
              </w:rPr>
              <w:t>Intangible</w:t>
            </w:r>
          </w:p>
        </w:tc>
        <w:tc>
          <w:tcPr>
            <w:tcW w:w="160" w:type="dxa"/>
            <w:vAlign w:val="bottom"/>
          </w:tcPr>
          <w:p>
            <w:pPr>
              <w:spacing w:after="0"/>
              <w:rPr>
                <w:sz w:val="13"/>
                <w:szCs w:val="13"/>
                <w:color w:val="auto"/>
              </w:rPr>
            </w:pPr>
          </w:p>
        </w:tc>
        <w:tc>
          <w:tcPr>
            <w:tcW w:w="1180" w:type="dxa"/>
            <w:vAlign w:val="bottom"/>
            <w:gridSpan w:val="2"/>
          </w:tcPr>
          <w:p>
            <w:pPr>
              <w:jc w:val="right"/>
              <w:spacing w:after="0" w:line="159" w:lineRule="exact"/>
              <w:rPr>
                <w:sz w:val="20"/>
                <w:szCs w:val="20"/>
                <w:color w:val="auto"/>
              </w:rPr>
            </w:pPr>
            <w:r>
              <w:rPr>
                <w:rFonts w:ascii="Arial" w:cs="Arial" w:eastAsia="Arial" w:hAnsi="Arial"/>
                <w:sz w:val="16"/>
                <w:szCs w:val="16"/>
                <w:b w:val="1"/>
                <w:bCs w:val="1"/>
                <w:color w:val="auto"/>
              </w:rPr>
              <w:t>Accumulated</w:t>
            </w:r>
          </w:p>
        </w:tc>
        <w:tc>
          <w:tcPr>
            <w:tcW w:w="20" w:type="dxa"/>
            <w:vAlign w:val="bottom"/>
          </w:tcPr>
          <w:p>
            <w:pPr>
              <w:spacing w:after="0"/>
              <w:rPr>
                <w:sz w:val="13"/>
                <w:szCs w:val="13"/>
                <w:color w:val="auto"/>
              </w:rPr>
            </w:pPr>
          </w:p>
        </w:tc>
      </w:tr>
      <w:tr>
        <w:trPr>
          <w:trHeight w:val="201"/>
        </w:trPr>
        <w:tc>
          <w:tcPr>
            <w:tcW w:w="2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Amortization</w:t>
            </w:r>
          </w:p>
        </w:tc>
        <w:tc>
          <w:tcPr>
            <w:tcW w:w="20" w:type="dxa"/>
            <w:vAlign w:val="bottom"/>
          </w:tcPr>
          <w:p>
            <w:pPr>
              <w:spacing w:after="0"/>
              <w:rPr>
                <w:sz w:val="17"/>
                <w:szCs w:val="17"/>
                <w:color w:val="auto"/>
              </w:rPr>
            </w:pPr>
          </w:p>
        </w:tc>
      </w:tr>
      <w:tr>
        <w:trPr>
          <w:trHeight w:val="164"/>
        </w:trPr>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4"/>
          </w:tcPr>
          <w:p>
            <w:pPr>
              <w:jc w:val="right"/>
              <w:ind w:right="358"/>
              <w:spacing w:after="0" w:line="164" w:lineRule="exact"/>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Customer relationships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274,155</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(272,602)</w:t>
            </w:r>
          </w:p>
        </w:tc>
        <w:tc>
          <w:tcPr>
            <w:tcW w:w="20" w:type="dxa"/>
            <w:vAlign w:val="bottom"/>
          </w:tcPr>
          <w:p>
            <w:pPr>
              <w:spacing w:after="0"/>
              <w:rPr>
                <w:sz w:val="15"/>
                <w:szCs w:val="15"/>
                <w:color w:val="auto"/>
              </w:rPr>
            </w:pPr>
          </w:p>
        </w:tc>
      </w:tr>
      <w:tr>
        <w:trPr>
          <w:trHeight w:val="184"/>
        </w:trPr>
        <w:tc>
          <w:tcPr>
            <w:tcW w:w="4320" w:type="dxa"/>
            <w:vAlign w:val="bottom"/>
            <w:gridSpan w:val="2"/>
          </w:tcPr>
          <w:p>
            <w:pPr>
              <w:spacing w:after="0"/>
              <w:rPr>
                <w:sz w:val="20"/>
                <w:szCs w:val="20"/>
                <w:color w:val="auto"/>
              </w:rPr>
            </w:pPr>
            <w:r>
              <w:rPr>
                <w:rFonts w:ascii="Arial" w:cs="Arial" w:eastAsia="Arial" w:hAnsi="Arial"/>
                <w:sz w:val="16"/>
                <w:szCs w:val="16"/>
                <w:color w:val="auto"/>
              </w:rPr>
              <w:t>Patents (1)</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51,400</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(51,400)</w:t>
            </w:r>
          </w:p>
        </w:tc>
        <w:tc>
          <w:tcPr>
            <w:tcW w:w="20" w:type="dxa"/>
            <w:vAlign w:val="bottom"/>
          </w:tcPr>
          <w:p>
            <w:pPr>
              <w:spacing w:after="0"/>
              <w:rPr>
                <w:sz w:val="15"/>
                <w:szCs w:val="15"/>
                <w:color w:val="auto"/>
              </w:rPr>
            </w:pPr>
          </w:p>
        </w:tc>
      </w:tr>
      <w:tr>
        <w:trPr>
          <w:trHeight w:val="184"/>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Trademarks and licenses (1)</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4,118</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29,700</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(20,171)</w:t>
            </w:r>
          </w:p>
        </w:tc>
        <w:tc>
          <w:tcPr>
            <w:tcW w:w="20" w:type="dxa"/>
            <w:vAlign w:val="bottom"/>
          </w:tcPr>
          <w:p>
            <w:pPr>
              <w:spacing w:after="0"/>
              <w:rPr>
                <w:sz w:val="15"/>
                <w:szCs w:val="15"/>
                <w:color w:val="auto"/>
              </w:rPr>
            </w:pPr>
          </w:p>
        </w:tc>
      </w:tr>
      <w:tr>
        <w:trPr>
          <w:trHeight w:val="176"/>
        </w:trPr>
        <w:tc>
          <w:tcPr>
            <w:tcW w:w="43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Total</w:t>
            </w:r>
          </w:p>
        </w:tc>
        <w:tc>
          <w:tcPr>
            <w:tcW w:w="1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4,118</w:t>
            </w:r>
          </w:p>
        </w:tc>
        <w:tc>
          <w:tcPr>
            <w:tcW w:w="1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center"/>
              <w:ind w:right="158"/>
              <w:spacing w:after="0" w:line="176"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355,255</w:t>
            </w:r>
          </w:p>
        </w:tc>
        <w:tc>
          <w:tcPr>
            <w:tcW w:w="16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center"/>
              <w:ind w:right="138"/>
              <w:spacing w:after="0" w:line="176"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(344,173)</w:t>
            </w:r>
          </w:p>
        </w:tc>
        <w:tc>
          <w:tcPr>
            <w:tcW w:w="20" w:type="dxa"/>
            <w:vAlign w:val="bottom"/>
            <w:tcBorders>
              <w:bottom w:val="single" w:sz="8" w:color="auto"/>
            </w:tcBorders>
          </w:tcPr>
          <w:p>
            <w:pPr>
              <w:spacing w:after="0"/>
              <w:rPr>
                <w:sz w:val="15"/>
                <w:szCs w:val="15"/>
                <w:color w:val="auto"/>
              </w:rPr>
            </w:pPr>
          </w:p>
        </w:tc>
      </w:tr>
      <w:tr>
        <w:trPr>
          <w:trHeight w:val="20"/>
        </w:trPr>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69" w:lineRule="exact"/>
        <w:rPr>
          <w:sz w:val="20"/>
          <w:szCs w:val="20"/>
          <w:color w:val="auto"/>
        </w:rPr>
      </w:pPr>
    </w:p>
    <w:p>
      <w:pPr>
        <w:ind w:left="340" w:right="59" w:hanging="298"/>
        <w:spacing w:after="0" w:line="281"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 of December 31, 2025, we impaired these intangibles and wrote down the carrying value of the intangibles to their estimated fair value. See Note 1 for further information.</w:t>
      </w:r>
    </w:p>
    <w:p>
      <w:pPr>
        <w:spacing w:after="0" w:line="133"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These identifiable intangibles are included in “Intangible assets, net” on our Consolidated Balance Sheets. Amortization of these intangible assets is recorded on a straight-line basis over an average finite useful life primarily ranging from approximately 5 to 20 years. Amortization was $2 million, $2 million and $2 million for the years ended December 31, 2025, 2024 and 2023, respectively.</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Amortization</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Estimated future amortization of our identifiable intangible assets as of December 31, 2025 is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7600" w:type="dxa"/>
            <w:vAlign w:val="bottom"/>
            <w:gridSpan w:val="2"/>
          </w:tcPr>
          <w:p>
            <w:pPr>
              <w:spacing w:after="0"/>
              <w:rPr>
                <w:sz w:val="20"/>
                <w:szCs w:val="20"/>
                <w:color w:val="auto"/>
              </w:rPr>
            </w:pPr>
            <w:r>
              <w:rPr>
                <w:rFonts w:ascii="Arial" w:cs="Arial" w:eastAsia="Arial" w:hAnsi="Arial"/>
                <w:sz w:val="16"/>
                <w:szCs w:val="16"/>
                <w:b w:val="1"/>
                <w:bCs w:val="1"/>
                <w:color w:val="auto"/>
              </w:rPr>
              <w:t>For the Years Ending December 31,</w:t>
            </w:r>
          </w:p>
        </w:tc>
        <w:tc>
          <w:tcPr>
            <w:tcW w:w="120" w:type="dxa"/>
            <w:vAlign w:val="bottom"/>
          </w:tcPr>
          <w:p>
            <w:pPr>
              <w:spacing w:after="0"/>
              <w:rPr>
                <w:sz w:val="17"/>
                <w:szCs w:val="17"/>
                <w:color w:val="auto"/>
              </w:rPr>
            </w:pPr>
          </w:p>
        </w:tc>
        <w:tc>
          <w:tcPr>
            <w:tcW w:w="1200" w:type="dxa"/>
            <w:vAlign w:val="bottom"/>
          </w:tcPr>
          <w:p>
            <w:pPr>
              <w:jc w:val="right"/>
              <w:ind w:right="298"/>
              <w:spacing w:after="0"/>
              <w:rPr>
                <w:sz w:val="20"/>
                <w:szCs w:val="20"/>
                <w:color w:val="auto"/>
              </w:rPr>
            </w:pPr>
            <w:r>
              <w:rPr>
                <w:rFonts w:ascii="Arial" w:cs="Arial" w:eastAsia="Arial" w:hAnsi="Arial"/>
                <w:sz w:val="16"/>
                <w:szCs w:val="16"/>
                <w:b w:val="1"/>
                <w:bCs w:val="1"/>
                <w:color w:val="auto"/>
              </w:rPr>
              <w:t>Total</w:t>
            </w:r>
          </w:p>
        </w:tc>
      </w:tr>
      <w:tr>
        <w:trPr>
          <w:trHeight w:val="176"/>
        </w:trPr>
        <w:tc>
          <w:tcPr>
            <w:tcW w:w="73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8"/>
              <w:spacing w:after="0" w:line="176" w:lineRule="exact"/>
              <w:rPr>
                <w:sz w:val="20"/>
                <w:szCs w:val="20"/>
                <w:color w:val="auto"/>
              </w:rPr>
            </w:pPr>
            <w:r>
              <w:rPr>
                <w:rFonts w:ascii="Arial" w:cs="Arial" w:eastAsia="Arial" w:hAnsi="Arial"/>
                <w:sz w:val="16"/>
                <w:szCs w:val="16"/>
                <w:color w:val="auto"/>
              </w:rPr>
              <w:t>(In thousands)</w:t>
            </w:r>
          </w:p>
        </w:tc>
      </w:tr>
      <w:tr>
        <w:trPr>
          <w:trHeight w:val="184"/>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r>
      <w:tr>
        <w:trPr>
          <w:trHeight w:val="184"/>
        </w:trPr>
        <w:tc>
          <w:tcPr>
            <w:tcW w:w="7300" w:type="dxa"/>
            <w:vAlign w:val="bottom"/>
          </w:tcPr>
          <w:p>
            <w:pPr>
              <w:spacing w:after="0"/>
              <w:rPr>
                <w:sz w:val="20"/>
                <w:szCs w:val="20"/>
                <w:color w:val="auto"/>
              </w:rPr>
            </w:pPr>
            <w:r>
              <w:rPr>
                <w:rFonts w:ascii="Arial" w:cs="Arial" w:eastAsia="Arial" w:hAnsi="Arial"/>
                <w:sz w:val="16"/>
                <w:szCs w:val="16"/>
                <w:color w:val="auto"/>
              </w:rPr>
              <w:t>2027</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723</w:t>
            </w:r>
          </w:p>
        </w:tc>
      </w:tr>
      <w:tr>
        <w:trPr>
          <w:trHeight w:val="184"/>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r>
      <w:tr>
        <w:trPr>
          <w:trHeight w:val="184"/>
        </w:trPr>
        <w:tc>
          <w:tcPr>
            <w:tcW w:w="7300" w:type="dxa"/>
            <w:vAlign w:val="bottom"/>
          </w:tcPr>
          <w:p>
            <w:pPr>
              <w:spacing w:after="0"/>
              <w:rPr>
                <w:sz w:val="20"/>
                <w:szCs w:val="20"/>
                <w:color w:val="auto"/>
              </w:rPr>
            </w:pPr>
            <w:r>
              <w:rPr>
                <w:rFonts w:ascii="Arial" w:cs="Arial" w:eastAsia="Arial" w:hAnsi="Arial"/>
                <w:sz w:val="16"/>
                <w:szCs w:val="16"/>
                <w:color w:val="auto"/>
              </w:rPr>
              <w:t>2029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184"/>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r>
      <w:tr>
        <w:trPr>
          <w:trHeight w:val="184"/>
        </w:trPr>
        <w:tc>
          <w:tcPr>
            <w:tcW w:w="7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r>
      <w:tr>
        <w:trPr>
          <w:trHeight w:val="176"/>
        </w:trPr>
        <w:tc>
          <w:tcPr>
            <w:tcW w:w="76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4,118</w:t>
            </w:r>
          </w:p>
        </w:tc>
      </w:tr>
      <w:tr>
        <w:trPr>
          <w:trHeight w:val="20"/>
        </w:trPr>
        <w:tc>
          <w:tcPr>
            <w:tcW w:w="7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Goodwill</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Goodwill represents the excess of the consideration transferred over the estimated fair values of assets acquired and liabilities assumed as of the acquisition date and is not subject to amortization but is subject to impairment testing annually or whenever indicators of impairment arise.</w:t>
      </w:r>
    </w:p>
    <w:p>
      <w:pPr>
        <w:spacing w:after="0" w:line="15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During the year ended December 31, 2023 we recorded a noncash impairment charge for goodwill of $533 million in “Impairments and other” on our Consolidated Statements of Operations and Comprehensive Income (Loss). See Note 2 for further information. The non-recurring measurement of fair value of goodwill is classified as Level 3 in the fair value hierarchy. As of December 31, 2025 and 2024, we have zero goodwill recorded on our Consolidated Balance Sheets.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1">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91" w:name="page92"/>
    <w:bookmarkEnd w:id="9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Regulatory Authorizations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2025 and 2024, our Regulatory Authorizations with indefinite lives consisted of the following:</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3340" w:type="dxa"/>
            <w:vAlign w:val="bottom"/>
            <w:vMerge w:val="restart"/>
          </w:tcPr>
          <w:p>
            <w:pPr>
              <w:ind w:left="3120"/>
              <w:spacing w:after="0"/>
              <w:rPr>
                <w:sz w:val="20"/>
                <w:szCs w:val="20"/>
                <w:color w:val="auto"/>
              </w:rPr>
            </w:pPr>
            <w:r>
              <w:rPr>
                <w:rFonts w:ascii="Arial" w:cs="Arial" w:eastAsia="Arial" w:hAnsi="Arial"/>
                <w:sz w:val="16"/>
                <w:szCs w:val="16"/>
                <w:b w:val="1"/>
                <w:bCs w:val="1"/>
                <w:color w:val="auto"/>
              </w:rPr>
              <w:t>​​​</w:t>
            </w:r>
          </w:p>
        </w:tc>
        <w:tc>
          <w:tcPr>
            <w:tcW w:w="33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3340" w:type="dxa"/>
            <w:vAlign w:val="bottom"/>
            <w:vMerge w:val="continue"/>
          </w:tcPr>
          <w:p>
            <w:pPr>
              <w:spacing w:after="0"/>
              <w:rPr>
                <w:sz w:val="15"/>
                <w:szCs w:val="15"/>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5"/>
                <w:szCs w:val="15"/>
                <w:color w:val="auto"/>
              </w:rPr>
            </w:pPr>
          </w:p>
        </w:tc>
        <w:tc>
          <w:tcPr>
            <w:tcW w:w="3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64"/>
        </w:trPr>
        <w:tc>
          <w:tcPr>
            <w:tcW w:w="2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gridSpan w:val="3"/>
          </w:tcPr>
          <w:p>
            <w:pPr>
              <w:jc w:val="center"/>
              <w:spacing w:after="0" w:line="164" w:lineRule="exact"/>
              <w:rPr>
                <w:sz w:val="20"/>
                <w:szCs w:val="20"/>
                <w:color w:val="auto"/>
              </w:rPr>
            </w:pPr>
            <w:r>
              <w:rPr>
                <w:rFonts w:ascii="Arial" w:cs="Arial" w:eastAsia="Arial" w:hAnsi="Arial"/>
                <w:sz w:val="16"/>
                <w:szCs w:val="16"/>
                <w:color w:val="auto"/>
              </w:rPr>
              <w:t>(In thousands)</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95 W</w:t>
            </w:r>
          </w:p>
        </w:tc>
        <w:tc>
          <w:tcPr>
            <w:tcW w:w="1040" w:type="dxa"/>
            <w:vAlign w:val="bottom"/>
            <w:shd w:val="clear" w:color="auto" w:fill="CCEEFF"/>
          </w:tcPr>
          <w:p>
            <w:pPr>
              <w:jc w:val="right"/>
              <w:ind w:right="858"/>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98"/>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184"/>
        </w:trPr>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107 W</w:t>
            </w: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176"/>
        </w:trPr>
        <w:tc>
          <w:tcPr>
            <w:tcW w:w="55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Total</w:t>
            </w:r>
          </w:p>
        </w:tc>
        <w:tc>
          <w:tcPr>
            <w:tcW w:w="1040" w:type="dxa"/>
            <w:vAlign w:val="bottom"/>
            <w:tcBorders>
              <w:bottom w:val="single" w:sz="8" w:color="auto"/>
            </w:tcBorders>
            <w:shd w:val="clear" w:color="auto" w:fill="CCEEFF"/>
          </w:tcPr>
          <w:p>
            <w:pPr>
              <w:jc w:val="right"/>
              <w:ind w:right="858"/>
              <w:spacing w:after="0" w:line="176"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ind w:left="240"/>
              <w:spacing w:after="0" w:line="176"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98"/>
              <w:spacing w:after="0" w:line="176"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340" w:right="59" w:hanging="298"/>
        <w:spacing w:after="0" w:line="260"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During the year ended December 31, 2025, we recorded a noncash impairment charge for Regulatory Authorizations in “Impairments and other” on our Consolidated Statements of Operations and Comprehensive Income (Loss). See Note 1 for further information.</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2025 and 2024, our Regulatory Authorizations with finite lives consisted of the following:</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1320" w:type="dxa"/>
            <w:vAlign w:val="bottom"/>
            <w:gridSpan w:val="2"/>
          </w:tcPr>
          <w:p>
            <w:pPr>
              <w:ind w:left="110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gridSpan w:val="4"/>
          </w:tcPr>
          <w:p>
            <w:pPr>
              <w:jc w:val="center"/>
              <w:spacing w:after="0"/>
              <w:rPr>
                <w:sz w:val="20"/>
                <w:szCs w:val="20"/>
                <w:color w:val="auto"/>
              </w:rPr>
            </w:pPr>
            <w:r>
              <w:rPr>
                <w:rFonts w:ascii="Arial" w:cs="Arial" w:eastAsia="Arial" w:hAnsi="Arial"/>
                <w:sz w:val="16"/>
                <w:szCs w:val="16"/>
                <w:b w:val="1"/>
                <w:bCs w:val="1"/>
                <w:color w:val="auto"/>
              </w:rPr>
              <w:t>As of December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2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1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11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9"/>
        </w:trPr>
        <w:tc>
          <w:tcPr>
            <w:tcW w:w="2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38"/>
              <w:spacing w:after="0" w:line="159" w:lineRule="exact"/>
              <w:rPr>
                <w:sz w:val="20"/>
                <w:szCs w:val="20"/>
                <w:color w:val="auto"/>
              </w:rPr>
            </w:pPr>
            <w:r>
              <w:rPr>
                <w:rFonts w:ascii="Arial" w:cs="Arial" w:eastAsia="Arial" w:hAnsi="Arial"/>
                <w:sz w:val="16"/>
                <w:szCs w:val="16"/>
                <w:b w:val="1"/>
                <w:bCs w:val="1"/>
                <w:color w:val="auto"/>
              </w:rPr>
              <w:t>Finite Lived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20"/>
              <w:spacing w:after="0" w:line="159"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8"/>
              <w:spacing w:after="0" w:line="159" w:lineRule="exact"/>
              <w:rPr>
                <w:sz w:val="20"/>
                <w:szCs w:val="20"/>
                <w:color w:val="auto"/>
              </w:rPr>
            </w:pPr>
            <w:r>
              <w:rPr>
                <w:rFonts w:ascii="Arial" w:cs="Arial" w:eastAsia="Arial" w:hAnsi="Arial"/>
                <w:sz w:val="16"/>
                <w:szCs w:val="16"/>
                <w:b w:val="1"/>
                <w:bCs w:val="1"/>
                <w:color w:val="auto"/>
              </w:rPr>
              <w:t>Finite Lived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18"/>
              <w:spacing w:after="0" w:line="159" w:lineRule="exact"/>
              <w:rPr>
                <w:sz w:val="20"/>
                <w:szCs w:val="20"/>
                <w:color w:val="auto"/>
              </w:rPr>
            </w:pPr>
            <w:r>
              <w:rPr>
                <w:rFonts w:ascii="Arial" w:cs="Arial" w:eastAsia="Arial" w:hAnsi="Arial"/>
                <w:sz w:val="16"/>
                <w:szCs w:val="16"/>
                <w:b w:val="1"/>
                <w:bCs w:val="1"/>
                <w:color w:val="auto"/>
                <w:w w:val="99"/>
              </w:rPr>
              <w:t>Accumulated</w:t>
            </w:r>
          </w:p>
        </w:tc>
        <w:tc>
          <w:tcPr>
            <w:tcW w:w="20" w:type="dxa"/>
            <w:vAlign w:val="bottom"/>
          </w:tcPr>
          <w:p>
            <w:pPr>
              <w:spacing w:after="0"/>
              <w:rPr>
                <w:sz w:val="13"/>
                <w:szCs w:val="13"/>
                <w:color w:val="auto"/>
              </w:rPr>
            </w:pPr>
          </w:p>
        </w:tc>
      </w:tr>
      <w:tr>
        <w:trPr>
          <w:trHeight w:val="201"/>
        </w:trPr>
        <w:tc>
          <w:tcPr>
            <w:tcW w:w="2240" w:type="dxa"/>
            <w:vAlign w:val="bottom"/>
          </w:tcPr>
          <w:p>
            <w:pPr>
              <w:spacing w:after="0"/>
              <w:rPr>
                <w:sz w:val="17"/>
                <w:szCs w:val="17"/>
                <w:color w:val="auto"/>
              </w:rPr>
            </w:pPr>
          </w:p>
        </w:tc>
        <w:tc>
          <w:tcPr>
            <w:tcW w:w="1320" w:type="dxa"/>
            <w:vAlign w:val="bottom"/>
            <w:gridSpan w:val="2"/>
          </w:tcPr>
          <w:p>
            <w:pPr>
              <w:ind w:left="110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center"/>
              <w:ind w:right="38"/>
              <w:spacing w:after="0"/>
              <w:rPr>
                <w:sz w:val="20"/>
                <w:szCs w:val="20"/>
                <w:color w:val="auto"/>
              </w:rPr>
            </w:pPr>
            <w:r>
              <w:rPr>
                <w:rFonts w:ascii="Arial" w:cs="Arial" w:eastAsia="Arial" w:hAnsi="Arial"/>
                <w:sz w:val="16"/>
                <w:szCs w:val="16"/>
                <w:b w:val="1"/>
                <w:bCs w:val="1"/>
                <w:color w:val="auto"/>
                <w:w w:val="99"/>
              </w:rPr>
              <w:t>Assets</w:t>
            </w:r>
          </w:p>
        </w:tc>
        <w:tc>
          <w:tcPr>
            <w:tcW w:w="1420" w:type="dxa"/>
            <w:vAlign w:val="bottom"/>
            <w:gridSpan w:val="3"/>
          </w:tcPr>
          <w:p>
            <w:pPr>
              <w:ind w:left="120"/>
              <w:spacing w:after="0"/>
              <w:rPr>
                <w:sz w:val="20"/>
                <w:szCs w:val="20"/>
                <w:color w:val="auto"/>
              </w:rPr>
            </w:pPr>
            <w:r>
              <w:rPr>
                <w:rFonts w:ascii="Arial" w:cs="Arial" w:eastAsia="Arial" w:hAnsi="Arial"/>
                <w:sz w:val="16"/>
                <w:szCs w:val="16"/>
                <w:b w:val="1"/>
                <w:bCs w:val="1"/>
                <w:color w:val="auto"/>
              </w:rPr>
              <w:t>​​​ Amortization</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center"/>
              <w:ind w:right="38"/>
              <w:spacing w:after="0"/>
              <w:rPr>
                <w:sz w:val="20"/>
                <w:szCs w:val="20"/>
                <w:color w:val="auto"/>
              </w:rPr>
            </w:pPr>
            <w:r>
              <w:rPr>
                <w:rFonts w:ascii="Arial" w:cs="Arial" w:eastAsia="Arial" w:hAnsi="Arial"/>
                <w:sz w:val="16"/>
                <w:szCs w:val="16"/>
                <w:b w:val="1"/>
                <w:bCs w:val="1"/>
                <w:color w:val="auto"/>
              </w:rPr>
              <w:t>Assets</w:t>
            </w:r>
          </w:p>
        </w:tc>
        <w:tc>
          <w:tcPr>
            <w:tcW w:w="1440" w:type="dxa"/>
            <w:vAlign w:val="bottom"/>
            <w:gridSpan w:val="4"/>
          </w:tcPr>
          <w:p>
            <w:pPr>
              <w:ind w:left="100"/>
              <w:spacing w:after="0"/>
              <w:rPr>
                <w:sz w:val="20"/>
                <w:szCs w:val="20"/>
                <w:color w:val="auto"/>
              </w:rPr>
            </w:pPr>
            <w:r>
              <w:rPr>
                <w:rFonts w:ascii="Arial" w:cs="Arial" w:eastAsia="Arial" w:hAnsi="Arial"/>
                <w:sz w:val="16"/>
                <w:szCs w:val="16"/>
                <w:b w:val="1"/>
                <w:bCs w:val="1"/>
                <w:color w:val="auto"/>
              </w:rPr>
              <w:t>​​​ Amortization</w:t>
            </w:r>
          </w:p>
        </w:tc>
      </w:tr>
      <w:tr>
        <w:trPr>
          <w:trHeight w:val="20"/>
        </w:trPr>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4"/>
        </w:trPr>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4"/>
          </w:tcPr>
          <w:p>
            <w:pPr>
              <w:jc w:val="center"/>
              <w:spacing w:after="0" w:line="164"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2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(5,597)</w:t>
            </w:r>
          </w:p>
        </w:tc>
        <w:tc>
          <w:tcPr>
            <w:tcW w:w="20" w:type="dxa"/>
            <w:vAlign w:val="bottom"/>
          </w:tcPr>
          <w:p>
            <w:pPr>
              <w:spacing w:after="0"/>
              <w:rPr>
                <w:sz w:val="15"/>
                <w:szCs w:val="15"/>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69" w:lineRule="exact"/>
        <w:rPr>
          <w:sz w:val="20"/>
          <w:szCs w:val="20"/>
          <w:color w:val="auto"/>
        </w:rPr>
      </w:pPr>
    </w:p>
    <w:p>
      <w:pPr>
        <w:jc w:val="both"/>
        <w:ind w:left="340" w:right="59" w:hanging="298"/>
        <w:spacing w:after="0" w:line="260"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the year ended December 31, 2025, we recorded a noncash impairment charge for finite lived intangible assets in “Impairments and other” on our Consolidated Statements of Operations and Comprehensive Income (Loss). See Note 1 for further information.</w:t>
      </w:r>
    </w:p>
    <w:p>
      <w:pPr>
        <w:spacing w:after="0" w:line="150" w:lineRule="exact"/>
        <w:rPr>
          <w:sz w:val="20"/>
          <w:szCs w:val="20"/>
          <w:color w:val="auto"/>
        </w:rPr>
      </w:pPr>
    </w:p>
    <w:p>
      <w:pPr>
        <w:ind w:left="40" w:right="239"/>
        <w:spacing w:after="0" w:line="250" w:lineRule="auto"/>
        <w:rPr>
          <w:sz w:val="20"/>
          <w:szCs w:val="20"/>
          <w:color w:val="auto"/>
        </w:rPr>
      </w:pPr>
      <w:r>
        <w:rPr>
          <w:rFonts w:ascii="Arial" w:cs="Arial" w:eastAsia="Arial" w:hAnsi="Arial"/>
          <w:sz w:val="16"/>
          <w:szCs w:val="16"/>
          <w:color w:val="auto"/>
        </w:rPr>
        <w:t>These identifiable intangibles are included in “Regulatory authorizations, net” on our Consolidated Balance Sheets. Amortization of these intangible assets was recorded on a straight-line basis over an average finite useful life of 11 years. Amortization was less than $1 million, $2 million and $ 2 million for the years ended December 31, 2025, 2024 and 2023 respectively. Foreign currency translation adjustments were gains of gains of less than $1 million, gains of $1 million and losses of less than $1 million for the years ended December 31, 2025, 2024 and 2023, respectively.</w:t>
      </w:r>
    </w:p>
    <w:p>
      <w:pPr>
        <w:spacing w:after="0" w:line="353" w:lineRule="exact"/>
        <w:rPr>
          <w:sz w:val="20"/>
          <w:szCs w:val="20"/>
          <w:color w:val="auto"/>
        </w:rPr>
      </w:pPr>
    </w:p>
    <w:p>
      <w:pPr>
        <w:ind w:left="480" w:hanging="438"/>
        <w:spacing w:after="0"/>
        <w:tabs>
          <w:tab w:leader="none" w:pos="48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Lessee Accounting</w:t>
      </w:r>
    </w:p>
    <w:p>
      <w:pPr>
        <w:spacing w:after="0" w:line="19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We enter into non-cancelable operating and finance leases for, among other things, satellites, satellite-related ground infrastructure, data centers, office space, warehouses and distribution centers. Substantially all of our leases have remaining lease terms from one to 12 years with a weighted average remaining lease term of 5.6 years, some of which include renewal options, and some of which include options to terminate the leases within one year. For certain arrangements, the lease term includes the non-cancelable period plus the renewal period that we are reasonably certain to exercise.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2">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92" w:name="page93"/>
    <w:bookmarkEnd w:id="9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Eutelsat 65 West A, Telesat T19V and EchoStar 105/SES-11 satellites are accounted for as finance leases.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Substantially all of our remaining leases are accounted for as operating leases, including our EchoStar XXIV satellite lease.</w:t>
      </w:r>
    </w:p>
    <w:p>
      <w:pPr>
        <w:ind w:left="40"/>
        <w:spacing w:after="0"/>
        <w:rPr>
          <w:sz w:val="20"/>
          <w:szCs w:val="20"/>
          <w:color w:val="auto"/>
        </w:rPr>
      </w:pPr>
      <w:r>
        <w:rPr>
          <w:rFonts w:ascii="Arial" w:cs="Arial" w:eastAsia="Arial" w:hAnsi="Arial"/>
          <w:sz w:val="16"/>
          <w:szCs w:val="16"/>
          <w:color w:val="auto"/>
        </w:rPr>
        <w:t>Refer to Note 15 for further details on the EchoStar XXIV operating lease.</w:t>
      </w:r>
    </w:p>
    <w:p>
      <w:pPr>
        <w:spacing w:after="0" w:line="180" w:lineRule="exact"/>
        <w:rPr>
          <w:sz w:val="20"/>
          <w:szCs w:val="20"/>
          <w:color w:val="auto"/>
        </w:rPr>
      </w:pPr>
    </w:p>
    <w:p>
      <w:pPr>
        <w:ind w:left="40" w:right="559"/>
        <w:spacing w:after="0" w:line="281" w:lineRule="auto"/>
        <w:rPr>
          <w:sz w:val="20"/>
          <w:szCs w:val="20"/>
          <w:color w:val="auto"/>
        </w:rPr>
      </w:pPr>
      <w:r>
        <w:rPr>
          <w:rFonts w:ascii="Arial" w:cs="Arial" w:eastAsia="Arial" w:hAnsi="Arial"/>
          <w:sz w:val="16"/>
          <w:szCs w:val="16"/>
          <w:color w:val="auto"/>
        </w:rPr>
        <w:t>The following table presents the components of lease expense, weighted-average lease terms and discount rates for operating and finance leases: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78"/>
              <w:spacing w:after="0" w:line="164" w:lineRule="exact"/>
              <w:rPr>
                <w:sz w:val="20"/>
                <w:szCs w:val="20"/>
                <w:color w:val="auto"/>
              </w:rPr>
            </w:pPr>
            <w:r>
              <w:rPr>
                <w:rFonts w:ascii="Arial" w:cs="Arial" w:eastAsia="Arial" w:hAnsi="Arial"/>
                <w:sz w:val="16"/>
                <w:szCs w:val="16"/>
                <w:color w:val="auto"/>
                <w:w w:val="99"/>
              </w:rPr>
              <w:t>(In thousands)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40" w:type="dxa"/>
            <w:vAlign w:val="bottom"/>
          </w:tcPr>
          <w:p>
            <w:pPr>
              <w:ind w:left="80"/>
              <w:spacing w:after="0"/>
              <w:rPr>
                <w:sz w:val="20"/>
                <w:szCs w:val="20"/>
                <w:color w:val="auto"/>
              </w:rPr>
            </w:pPr>
            <w:r>
              <w:rPr>
                <w:rFonts w:ascii="Arial" w:cs="Arial" w:eastAsia="Arial" w:hAnsi="Arial"/>
                <w:sz w:val="16"/>
                <w:szCs w:val="16"/>
                <w:color w:val="auto"/>
              </w:rPr>
              <w:t>Operating lease cost</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26,560</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24,845</w:t>
            </w:r>
          </w:p>
        </w:tc>
        <w:tc>
          <w:tcPr>
            <w:tcW w:w="220" w:type="dxa"/>
            <w:vAlign w:val="bottom"/>
          </w:tcPr>
          <w:p>
            <w:pPr>
              <w:spacing w:after="0"/>
              <w:rPr>
                <w:sz w:val="15"/>
                <w:szCs w:val="15"/>
                <w:color w:val="auto"/>
              </w:rPr>
            </w:pPr>
          </w:p>
        </w:tc>
        <w:tc>
          <w:tcPr>
            <w:tcW w:w="420" w:type="dxa"/>
            <w:vAlign w:val="bottom"/>
            <w:gridSpan w:val="2"/>
          </w:tcPr>
          <w:p>
            <w:pPr>
              <w:jc w:val="right"/>
              <w:ind w:right="243"/>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30,299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lease cost - EchoStar XXIV</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190,699</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190,699</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tcPr>
          <w:p>
            <w:pPr>
              <w:spacing w:after="0" w:line="176" w:lineRule="exact"/>
              <w:rPr>
                <w:sz w:val="20"/>
                <w:szCs w:val="20"/>
                <w:color w:val="auto"/>
              </w:rPr>
            </w:pPr>
            <w:r>
              <w:rPr>
                <w:rFonts w:ascii="Arial" w:cs="Arial" w:eastAsia="Arial" w:hAnsi="Arial"/>
                <w:sz w:val="16"/>
                <w:szCs w:val="16"/>
                <w:color w:val="auto"/>
              </w:rPr>
              <w:t>Total operating lease cost</w:t>
            </w:r>
          </w:p>
        </w:tc>
        <w:tc>
          <w:tcPr>
            <w:tcW w:w="28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217,259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6"/>
                <w:szCs w:val="16"/>
                <w:color w:val="auto"/>
              </w:rPr>
              <w:t>215,544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6"/>
                <w:szCs w:val="16"/>
                <w:color w:val="auto"/>
              </w:rPr>
              <w:t>30,299</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4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Finance lease cost:</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right-of-use assets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23,863</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40" w:type="dxa"/>
            <w:vAlign w:val="bottom"/>
          </w:tcPr>
          <w:p>
            <w:pPr>
              <w:ind w:left="80"/>
              <w:spacing w:after="0"/>
              <w:rPr>
                <w:sz w:val="20"/>
                <w:szCs w:val="20"/>
                <w:color w:val="auto"/>
              </w:rPr>
            </w:pPr>
            <w:r>
              <w:rPr>
                <w:rFonts w:ascii="Arial" w:cs="Arial" w:eastAsia="Arial" w:hAnsi="Arial"/>
                <w:sz w:val="16"/>
                <w:szCs w:val="16"/>
                <w:color w:val="auto"/>
              </w:rPr>
              <w:t>Interest on lease liabilities</w:t>
            </w:r>
          </w:p>
        </w:tc>
        <w:tc>
          <w:tcPr>
            <w:tcW w:w="28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Total finance lease cost</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23,611</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23,863</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27,682</w:t>
            </w:r>
          </w:p>
        </w:tc>
        <w:tc>
          <w:tcPr>
            <w:tcW w:w="0" w:type="dxa"/>
            <w:vAlign w:val="bottom"/>
          </w:tcPr>
          <w:p>
            <w:pPr>
              <w:spacing w:after="0"/>
              <w:rPr>
                <w:sz w:val="1"/>
                <w:szCs w:val="1"/>
                <w:color w:val="auto"/>
              </w:rPr>
            </w:pPr>
          </w:p>
        </w:tc>
      </w:tr>
      <w:tr>
        <w:trPr>
          <w:trHeight w:val="176"/>
        </w:trPr>
        <w:tc>
          <w:tcPr>
            <w:tcW w:w="4660" w:type="dxa"/>
            <w:vAlign w:val="bottom"/>
            <w:gridSpan w:val="2"/>
          </w:tcPr>
          <w:p>
            <w:pPr>
              <w:spacing w:after="0" w:line="176" w:lineRule="exact"/>
              <w:rPr>
                <w:sz w:val="20"/>
                <w:szCs w:val="20"/>
                <w:color w:val="auto"/>
              </w:rPr>
            </w:pPr>
            <w:r>
              <w:rPr>
                <w:rFonts w:ascii="Arial" w:cs="Arial" w:eastAsia="Arial" w:hAnsi="Arial"/>
                <w:sz w:val="16"/>
                <w:szCs w:val="16"/>
                <w:color w:val="auto"/>
              </w:rPr>
              <w:t>Total lease costs</w:t>
            </w:r>
          </w:p>
        </w:tc>
        <w:tc>
          <w:tcPr>
            <w:tcW w:w="280" w:type="dxa"/>
            <w:vAlign w:val="bottom"/>
            <w:tcBorders>
              <w:bottom w:val="single" w:sz="8" w:color="auto"/>
            </w:tcBorders>
          </w:tcPr>
          <w:p>
            <w:pPr>
              <w:jc w:val="right"/>
              <w:ind w:right="98"/>
              <w:spacing w:after="0" w:line="176"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240,870</w:t>
            </w:r>
          </w:p>
        </w:tc>
        <w:tc>
          <w:tcPr>
            <w:tcW w:w="2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239,407</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57,981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Arial" w:cs="Arial" w:eastAsia="Arial" w:hAnsi="Arial"/>
                <w:sz w:val="16"/>
                <w:szCs w:val="16"/>
                <w:color w:val="auto"/>
              </w:rPr>
              <w:t>Supplemental cash flow information related to leases was as follows: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right"/>
              <w:ind w:right="278"/>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spacing w:after="0" w:line="164" w:lineRule="exact"/>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Cash paid for amounts included in the measurement of lease</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80" w:type="dxa"/>
            <w:vAlign w:val="bottom"/>
          </w:tcPr>
          <w:p>
            <w:pPr>
              <w:ind w:left="80"/>
              <w:spacing w:after="0"/>
              <w:rPr>
                <w:sz w:val="20"/>
                <w:szCs w:val="20"/>
                <w:color w:val="auto"/>
              </w:rPr>
            </w:pPr>
            <w:r>
              <w:rPr>
                <w:rFonts w:ascii="Arial" w:cs="Arial" w:eastAsia="Arial" w:hAnsi="Arial"/>
                <w:sz w:val="16"/>
                <w:szCs w:val="16"/>
                <w:color w:val="auto"/>
              </w:rPr>
              <w:t>Operating cash flows from operating leases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126,104</w:t>
            </w:r>
          </w:p>
        </w:tc>
        <w:tc>
          <w:tcPr>
            <w:tcW w:w="4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273,300</w:t>
            </w:r>
          </w:p>
        </w:tc>
        <w:tc>
          <w:tcPr>
            <w:tcW w:w="160" w:type="dxa"/>
            <w:vAlign w:val="bottom"/>
          </w:tcPr>
          <w:p>
            <w:pPr>
              <w:spacing w:after="0"/>
              <w:rPr>
                <w:sz w:val="15"/>
                <w:szCs w:val="15"/>
                <w:color w:val="auto"/>
              </w:rPr>
            </w:pP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22,981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cash flows from finance leases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80" w:type="dxa"/>
            <w:vAlign w:val="bottom"/>
          </w:tcPr>
          <w:p>
            <w:pPr>
              <w:ind w:left="80"/>
              <w:spacing w:after="0"/>
              <w:rPr>
                <w:sz w:val="20"/>
                <w:szCs w:val="20"/>
                <w:color w:val="auto"/>
              </w:rPr>
            </w:pPr>
            <w:r>
              <w:rPr>
                <w:rFonts w:ascii="Arial" w:cs="Arial" w:eastAsia="Arial" w:hAnsi="Arial"/>
                <w:sz w:val="16"/>
                <w:szCs w:val="16"/>
                <w:color w:val="auto"/>
              </w:rPr>
              <w:t>Financing cash flows from finance leases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5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480" w:type="dxa"/>
            <w:vAlign w:val="bottom"/>
          </w:tcPr>
          <w:p>
            <w:pPr>
              <w:spacing w:after="0"/>
              <w:rPr>
                <w:sz w:val="20"/>
                <w:szCs w:val="20"/>
                <w:color w:val="auto"/>
              </w:rPr>
            </w:pPr>
            <w:r>
              <w:rPr>
                <w:rFonts w:ascii="Arial" w:cs="Arial" w:eastAsia="Arial" w:hAnsi="Arial"/>
                <w:sz w:val="16"/>
                <w:szCs w:val="16"/>
                <w:b w:val="1"/>
                <w:bCs w:val="1"/>
                <w:color w:val="auto"/>
              </w:rPr>
              <w:t>Right-of-use assets obtained in exchange for lease obligations: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leases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
              <w:spacing w:after="0"/>
              <w:rPr>
                <w:sz w:val="20"/>
                <w:szCs w:val="20"/>
                <w:color w:val="auto"/>
              </w:rPr>
            </w:pPr>
            <w:r>
              <w:rPr>
                <w:rFonts w:ascii="Arial" w:cs="Arial" w:eastAsia="Arial" w:hAnsi="Arial"/>
                <w:sz w:val="16"/>
                <w:szCs w:val="16"/>
                <w:color w:val="auto"/>
              </w:rPr>
              <w:t>Finance leases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Refer to Note 15 for further details on EchoStar XXIV operating lease.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93" w:name="page94"/>
    <w:bookmarkEnd w:id="9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00" w:type="dxa"/>
            <w:vAlign w:val="bottom"/>
            <w:gridSpan w:val="3"/>
          </w:tcPr>
          <w:p>
            <w:pPr>
              <w:spacing w:after="0"/>
              <w:rPr>
                <w:sz w:val="20"/>
                <w:szCs w:val="20"/>
                <w:color w:val="auto"/>
              </w:rPr>
            </w:pPr>
            <w:r>
              <w:rPr>
                <w:rFonts w:ascii="Arial" w:cs="Arial" w:eastAsia="Arial" w:hAnsi="Arial"/>
                <w:sz w:val="16"/>
                <w:szCs w:val="16"/>
                <w:color w:val="auto"/>
              </w:rPr>
              <w:t>The following table presents the amounts for ROU assets and lease liabilities: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18"/>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spacing w:after="0" w:line="164" w:lineRule="exact"/>
              <w:rPr>
                <w:sz w:val="20"/>
                <w:szCs w:val="20"/>
                <w:color w:val="auto"/>
              </w:rPr>
            </w:pPr>
            <w:r>
              <w:rPr>
                <w:rFonts w:ascii="Arial" w:cs="Arial" w:eastAsia="Arial" w:hAnsi="Arial"/>
                <w:sz w:val="16"/>
                <w:szCs w:val="16"/>
                <w:color w:val="auto"/>
              </w:rPr>
              <w:t>(In thousands)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Right-of-use assets:</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tcPr>
          <w:p>
            <w:pPr>
              <w:ind w:left="80"/>
              <w:spacing w:after="0"/>
              <w:rPr>
                <w:sz w:val="20"/>
                <w:szCs w:val="20"/>
                <w:color w:val="auto"/>
              </w:rPr>
            </w:pPr>
            <w:r>
              <w:rPr>
                <w:rFonts w:ascii="Arial" w:cs="Arial" w:eastAsia="Arial" w:hAnsi="Arial"/>
                <w:sz w:val="16"/>
                <w:szCs w:val="16"/>
                <w:color w:val="auto"/>
              </w:rPr>
              <w:t>Operating (1)</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313,066</w:t>
            </w:r>
          </w:p>
        </w:tc>
        <w:tc>
          <w:tcPr>
            <w:tcW w:w="680" w:type="dxa"/>
            <w:vAlign w:val="bottom"/>
            <w:gridSpan w:val="2"/>
          </w:tcPr>
          <w:p>
            <w:pPr>
              <w:jc w:val="right"/>
              <w:ind w:right="278"/>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939,896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Finance (1)</w:t>
            </w: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77,116</w:t>
            </w:r>
          </w:p>
        </w:tc>
        <w:tc>
          <w:tcPr>
            <w:tcW w:w="2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gridSpan w:val="2"/>
          </w:tcPr>
          <w:p>
            <w:pPr>
              <w:ind w:left="280"/>
              <w:spacing w:after="0" w:line="176" w:lineRule="exact"/>
              <w:rPr>
                <w:sz w:val="20"/>
                <w:szCs w:val="20"/>
                <w:color w:val="auto"/>
              </w:rPr>
            </w:pPr>
            <w:r>
              <w:rPr>
                <w:rFonts w:ascii="Arial" w:cs="Arial" w:eastAsia="Arial" w:hAnsi="Arial"/>
                <w:sz w:val="16"/>
                <w:szCs w:val="16"/>
                <w:color w:val="auto"/>
              </w:rPr>
              <w:t>Total right-of-use assets</w:t>
            </w: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390,182</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8"/>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1,123,287</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Lease liabilities:</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Current:</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tcPr>
          <w:p>
            <w:pPr>
              <w:ind w:left="180"/>
              <w:spacing w:after="0"/>
              <w:rPr>
                <w:sz w:val="20"/>
                <w:szCs w:val="20"/>
                <w:color w:val="auto"/>
              </w:rPr>
            </w:pPr>
            <w:r>
              <w:rPr>
                <w:rFonts w:ascii="Arial" w:cs="Arial" w:eastAsia="Arial" w:hAnsi="Arial"/>
                <w:sz w:val="16"/>
                <w:szCs w:val="16"/>
                <w:color w:val="auto"/>
              </w:rPr>
              <w:t>Operating</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176,615</w:t>
            </w:r>
          </w:p>
        </w:tc>
        <w:tc>
          <w:tcPr>
            <w:tcW w:w="680" w:type="dxa"/>
            <w:vAlign w:val="bottom"/>
            <w:gridSpan w:val="2"/>
          </w:tcPr>
          <w:p>
            <w:pPr>
              <w:jc w:val="right"/>
              <w:ind w:right="278"/>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72,393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Finance</w:t>
            </w: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tcBorders>
              <w:bottom w:val="single" w:sz="8" w:color="CCEEFF"/>
            </w:tcBorders>
            <w:gridSpan w:val="2"/>
          </w:tcPr>
          <w:p>
            <w:pPr>
              <w:ind w:left="280"/>
              <w:spacing w:after="0" w:line="176" w:lineRule="exact"/>
              <w:rPr>
                <w:sz w:val="20"/>
                <w:szCs w:val="20"/>
                <w:color w:val="auto"/>
              </w:rPr>
            </w:pPr>
            <w:r>
              <w:rPr>
                <w:rFonts w:ascii="Arial" w:cs="Arial" w:eastAsia="Arial" w:hAnsi="Arial"/>
                <w:sz w:val="16"/>
                <w:szCs w:val="16"/>
                <w:color w:val="auto"/>
              </w:rPr>
              <w:t>Total current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176,615</w:t>
            </w:r>
          </w:p>
        </w:tc>
        <w:tc>
          <w:tcPr>
            <w:tcW w:w="2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72,393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6"/>
                <w:szCs w:val="16"/>
                <w:b w:val="1"/>
                <w:bCs w:val="1"/>
                <w:color w:val="auto"/>
              </w:rPr>
              <w:t>Noncurrent:</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tcPr>
          <w:p>
            <w:pPr>
              <w:ind w:left="180"/>
              <w:spacing w:after="0"/>
              <w:rPr>
                <w:sz w:val="20"/>
                <w:szCs w:val="20"/>
                <w:color w:val="auto"/>
              </w:rPr>
            </w:pPr>
            <w:r>
              <w:rPr>
                <w:rFonts w:ascii="Arial" w:cs="Arial" w:eastAsia="Arial" w:hAnsi="Arial"/>
                <w:sz w:val="16"/>
                <w:szCs w:val="16"/>
                <w:color w:val="auto"/>
              </w:rPr>
              <w:t>Operating</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708,958</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830,629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Finance</w:t>
            </w: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tcBorders>
              <w:bottom w:val="single" w:sz="8" w:color="CCEEFF"/>
            </w:tcBorders>
            <w:gridSpan w:val="2"/>
          </w:tcPr>
          <w:p>
            <w:pPr>
              <w:ind w:left="280"/>
              <w:spacing w:after="0" w:line="176" w:lineRule="exact"/>
              <w:rPr>
                <w:sz w:val="20"/>
                <w:szCs w:val="20"/>
                <w:color w:val="auto"/>
              </w:rPr>
            </w:pPr>
            <w:r>
              <w:rPr>
                <w:rFonts w:ascii="Arial" w:cs="Arial" w:eastAsia="Arial" w:hAnsi="Arial"/>
                <w:sz w:val="16"/>
                <w:szCs w:val="16"/>
                <w:color w:val="auto"/>
              </w:rPr>
              <w:t>Total noncurrent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708,958</w:t>
            </w:r>
          </w:p>
        </w:tc>
        <w:tc>
          <w:tcPr>
            <w:tcW w:w="2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830,629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tcBorders>
              <w:bottom w:val="single" w:sz="8" w:color="CCEEFF"/>
            </w:tcBorders>
            <w:gridSpan w:val="2"/>
            <w:shd w:val="clear" w:color="auto" w:fill="CCEEFF"/>
          </w:tcPr>
          <w:p>
            <w:pPr>
              <w:ind w:left="380"/>
              <w:spacing w:after="0" w:line="176" w:lineRule="exact"/>
              <w:rPr>
                <w:sz w:val="20"/>
                <w:szCs w:val="20"/>
                <w:color w:val="auto"/>
              </w:rPr>
            </w:pPr>
            <w:r>
              <w:rPr>
                <w:rFonts w:ascii="Arial" w:cs="Arial" w:eastAsia="Arial" w:hAnsi="Arial"/>
                <w:sz w:val="16"/>
                <w:szCs w:val="16"/>
                <w:color w:val="auto"/>
              </w:rPr>
              <w:t>Total lease liabilities</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885,573</w:t>
            </w:r>
          </w:p>
        </w:tc>
        <w:tc>
          <w:tcPr>
            <w:tcW w:w="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78"/>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903,022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Weighted Average Remaining Lease Term:</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tcPr>
          <w:p>
            <w:pPr>
              <w:ind w:left="180"/>
              <w:spacing w:after="0"/>
              <w:rPr>
                <w:sz w:val="20"/>
                <w:szCs w:val="20"/>
                <w:color w:val="auto"/>
              </w:rPr>
            </w:pPr>
            <w:r>
              <w:rPr>
                <w:rFonts w:ascii="Arial" w:cs="Arial" w:eastAsia="Arial" w:hAnsi="Arial"/>
                <w:sz w:val="16"/>
                <w:szCs w:val="16"/>
                <w:color w:val="auto"/>
              </w:rPr>
              <w:t>Finance leases</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 years</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 years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years</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years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Weighted Average Discount Rate:</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tcPr>
          <w:p>
            <w:pPr>
              <w:ind w:left="180"/>
              <w:spacing w:after="0"/>
              <w:rPr>
                <w:sz w:val="20"/>
                <w:szCs w:val="20"/>
                <w:color w:val="auto"/>
              </w:rPr>
            </w:pPr>
            <w:r>
              <w:rPr>
                <w:rFonts w:ascii="Arial" w:cs="Arial" w:eastAsia="Arial" w:hAnsi="Arial"/>
                <w:sz w:val="16"/>
                <w:szCs w:val="16"/>
                <w:color w:val="auto"/>
              </w:rPr>
              <w:t>Finance leases</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right="159" w:hanging="298"/>
        <w:spacing w:after="0" w:line="281"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During the fourth quarter of 2025, a triggering event occurred and resulted in a non-cash impairment of certain finance lease and operating lease assets. See Note 1 for further information.</w:t>
      </w:r>
    </w:p>
    <w:p>
      <w:pPr>
        <w:spacing w:after="0" w:line="121"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As of December 31, 2025 and 2024 we have prepaid our obligations regarding all of our finance ROU assets. Finance lease assets are reported net of accumulated amortization of zero and $162 million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4">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94" w:name="page95"/>
    <w:bookmarkEnd w:id="94"/>
    <w:tbl>
      <w:tblPr>
        <w:tblLayout w:type="fixed"/>
        <w:tblInd w:w="40" w:type="dxa"/>
        <w:tblCellMar>
          <w:top w:w="0" w:type="dxa"/>
          <w:left w:w="0" w:type="dxa"/>
          <w:bottom w:w="0" w:type="dxa"/>
          <w:right w:w="0" w:type="dxa"/>
        </w:tblCellMar>
      </w:tblPr>
      <w:tr>
        <w:trPr>
          <w:trHeight w:val="184"/>
        </w:trPr>
        <w:tc>
          <w:tcPr>
            <w:tcW w:w="7300" w:type="dxa"/>
            <w:vAlign w:val="bottom"/>
            <w:gridSpan w:val="3"/>
          </w:tcPr>
          <w:p>
            <w:pPr>
              <w:spacing w:after="0"/>
              <w:rPr>
                <w:sz w:val="20"/>
                <w:szCs w:val="20"/>
                <w:color w:val="auto"/>
              </w:rPr>
            </w:pPr>
            <w:r>
              <w:rPr>
                <w:rFonts w:ascii="Arial" w:cs="Arial" w:eastAsia="Arial" w:hAnsi="Arial"/>
                <w:sz w:val="16"/>
                <w:szCs w:val="16"/>
                <w:color w:val="0000EE"/>
              </w:rPr>
              <w:t>Table of Contents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62"/>
        </w:trPr>
        <w:tc>
          <w:tcPr>
            <w:tcW w:w="1280" w:type="dxa"/>
            <w:vAlign w:val="bottom"/>
            <w:tcBorders>
              <w:top w:val="single" w:sz="8" w:color="0000EE"/>
            </w:tcBorders>
          </w:tcPr>
          <w:p>
            <w:pPr>
              <w:spacing w:after="0"/>
              <w:rPr>
                <w:sz w:val="24"/>
                <w:szCs w:val="24"/>
                <w:color w:val="auto"/>
              </w:rPr>
            </w:pPr>
          </w:p>
        </w:tc>
        <w:tc>
          <w:tcPr>
            <w:tcW w:w="6020" w:type="dxa"/>
            <w:vAlign w:val="bottom"/>
            <w:gridSpan w:val="2"/>
          </w:tcPr>
          <w:p>
            <w:pPr>
              <w:jc w:val="center"/>
              <w:ind w:left="278"/>
              <w:spacing w:after="0"/>
              <w:rPr>
                <w:sz w:val="20"/>
                <w:szCs w:val="20"/>
                <w:color w:val="auto"/>
              </w:rPr>
            </w:pPr>
            <w:r>
              <w:rPr>
                <w:rFonts w:ascii="Arial" w:cs="Arial" w:eastAsia="Arial" w:hAnsi="Arial"/>
                <w:sz w:val="16"/>
                <w:szCs w:val="16"/>
                <w:b w:val="1"/>
                <w:bCs w:val="1"/>
                <w:color w:val="auto"/>
              </w:rPr>
              <w:t>HUGHES SATELLITE SYSTEMS CORPORATION</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280" w:type="dxa"/>
            <w:vAlign w:val="bottom"/>
          </w:tcPr>
          <w:p>
            <w:pPr>
              <w:spacing w:after="0"/>
              <w:rPr>
                <w:sz w:val="19"/>
                <w:szCs w:val="19"/>
                <w:color w:val="auto"/>
              </w:rPr>
            </w:pPr>
          </w:p>
        </w:tc>
        <w:tc>
          <w:tcPr>
            <w:tcW w:w="6020" w:type="dxa"/>
            <w:vAlign w:val="bottom"/>
            <w:gridSpan w:val="2"/>
          </w:tcPr>
          <w:p>
            <w:pPr>
              <w:jc w:val="center"/>
              <w:ind w:left="278"/>
              <w:spacing w:after="0"/>
              <w:rPr>
                <w:sz w:val="20"/>
                <w:szCs w:val="20"/>
                <w:color w:val="auto"/>
              </w:rPr>
            </w:pPr>
            <w:r>
              <w:rPr>
                <w:rFonts w:ascii="Arial" w:cs="Arial" w:eastAsia="Arial" w:hAnsi="Arial"/>
                <w:sz w:val="16"/>
                <w:szCs w:val="16"/>
                <w:b w:val="1"/>
                <w:bCs w:val="1"/>
                <w:color w:val="auto"/>
              </w:rPr>
              <w:t>NOTES TO CONSOLIDATED FINANCIAL STATEMENTS – Continued</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2"/>
        </w:trPr>
        <w:tc>
          <w:tcPr>
            <w:tcW w:w="7300" w:type="dxa"/>
            <w:vAlign w:val="bottom"/>
            <w:gridSpan w:val="3"/>
          </w:tcPr>
          <w:p>
            <w:pPr>
              <w:spacing w:after="0"/>
              <w:rPr>
                <w:sz w:val="20"/>
                <w:szCs w:val="20"/>
                <w:color w:val="auto"/>
              </w:rPr>
            </w:pPr>
            <w:r>
              <w:rPr>
                <w:rFonts w:ascii="Arial" w:cs="Arial" w:eastAsia="Arial" w:hAnsi="Arial"/>
                <w:sz w:val="16"/>
                <w:szCs w:val="16"/>
                <w:color w:val="auto"/>
              </w:rPr>
              <w:t>Maturities of lease liabilities as of December 31, 2025 were as follows: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7"/>
        </w:trPr>
        <w:tc>
          <w:tcPr>
            <w:tcW w:w="7300" w:type="dxa"/>
            <w:vAlign w:val="bottom"/>
            <w:gridSpan w:val="3"/>
          </w:tcPr>
          <w:p>
            <w:pPr>
              <w:spacing w:after="0"/>
              <w:rPr>
                <w:sz w:val="20"/>
                <w:szCs w:val="20"/>
                <w:color w:val="auto"/>
              </w:rPr>
            </w:pPr>
            <w:r>
              <w:rPr>
                <w:rFonts w:ascii="Arial" w:cs="Arial" w:eastAsia="Arial" w:hAnsi="Arial"/>
                <w:sz w:val="16"/>
                <w:szCs w:val="16"/>
                <w:b w:val="1"/>
                <w:bCs w:val="1"/>
                <w:color w:val="auto"/>
              </w:rPr>
              <w:t>For the Years Ending December 31,</w:t>
            </w:r>
          </w:p>
        </w:tc>
        <w:tc>
          <w:tcPr>
            <w:tcW w:w="220" w:type="dxa"/>
            <w:vAlign w:val="bottom"/>
          </w:tcPr>
          <w:p>
            <w:pPr>
              <w:spacing w:after="0"/>
              <w:rPr>
                <w:sz w:val="24"/>
                <w:szCs w:val="24"/>
                <w:color w:val="auto"/>
              </w:rPr>
            </w:pPr>
          </w:p>
        </w:tc>
        <w:tc>
          <w:tcPr>
            <w:tcW w:w="142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r>
      <w:tr>
        <w:trPr>
          <w:trHeight w:val="176"/>
        </w:trPr>
        <w:tc>
          <w:tcPr>
            <w:tcW w:w="1280" w:type="dxa"/>
            <w:vAlign w:val="bottom"/>
            <w:tcBorders>
              <w:top w:val="single" w:sz="8" w:color="auto"/>
            </w:tcBorders>
          </w:tcPr>
          <w:p>
            <w:pPr>
              <w:spacing w:after="0"/>
              <w:rPr>
                <w:sz w:val="15"/>
                <w:szCs w:val="15"/>
                <w:color w:val="auto"/>
              </w:rPr>
            </w:pPr>
          </w:p>
        </w:tc>
        <w:tc>
          <w:tcPr>
            <w:tcW w:w="57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118"/>
              <w:spacing w:after="0" w:line="176" w:lineRule="exact"/>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5"/>
                <w:szCs w:val="15"/>
                <w:color w:val="auto"/>
              </w:rPr>
            </w:pPr>
          </w:p>
        </w:tc>
      </w:tr>
      <w:tr>
        <w:trPr>
          <w:trHeight w:val="184"/>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5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217,159</w:t>
            </w:r>
          </w:p>
        </w:tc>
        <w:tc>
          <w:tcPr>
            <w:tcW w:w="20" w:type="dxa"/>
            <w:vAlign w:val="bottom"/>
          </w:tcPr>
          <w:p>
            <w:pPr>
              <w:spacing w:after="0"/>
              <w:rPr>
                <w:sz w:val="15"/>
                <w:szCs w:val="15"/>
                <w:color w:val="auto"/>
              </w:rPr>
            </w:pPr>
          </w:p>
        </w:tc>
      </w:tr>
      <w:tr>
        <w:trPr>
          <w:trHeight w:val="184"/>
        </w:trPr>
        <w:tc>
          <w:tcPr>
            <w:tcW w:w="1280" w:type="dxa"/>
            <w:vAlign w:val="bottom"/>
          </w:tcPr>
          <w:p>
            <w:pPr>
              <w:spacing w:after="0"/>
              <w:rPr>
                <w:sz w:val="20"/>
                <w:szCs w:val="20"/>
                <w:color w:val="auto"/>
              </w:rPr>
            </w:pPr>
            <w:r>
              <w:rPr>
                <w:rFonts w:ascii="Arial" w:cs="Arial" w:eastAsia="Arial" w:hAnsi="Arial"/>
                <w:sz w:val="16"/>
                <w:szCs w:val="16"/>
                <w:color w:val="auto"/>
              </w:rPr>
              <w:t>2027</w:t>
            </w:r>
          </w:p>
        </w:tc>
        <w:tc>
          <w:tcPr>
            <w:tcW w:w="5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215,647</w:t>
            </w:r>
          </w:p>
        </w:tc>
        <w:tc>
          <w:tcPr>
            <w:tcW w:w="20" w:type="dxa"/>
            <w:vAlign w:val="bottom"/>
          </w:tcPr>
          <w:p>
            <w:pPr>
              <w:spacing w:after="0"/>
              <w:rPr>
                <w:sz w:val="15"/>
                <w:szCs w:val="15"/>
                <w:color w:val="auto"/>
              </w:rPr>
            </w:pPr>
          </w:p>
        </w:tc>
      </w:tr>
      <w:tr>
        <w:trPr>
          <w:trHeight w:val="184"/>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5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213,364</w:t>
            </w:r>
          </w:p>
        </w:tc>
        <w:tc>
          <w:tcPr>
            <w:tcW w:w="20" w:type="dxa"/>
            <w:vAlign w:val="bottom"/>
          </w:tcPr>
          <w:p>
            <w:pPr>
              <w:spacing w:after="0"/>
              <w:rPr>
                <w:sz w:val="15"/>
                <w:szCs w:val="15"/>
                <w:color w:val="auto"/>
              </w:rPr>
            </w:pPr>
          </w:p>
        </w:tc>
      </w:tr>
      <w:tr>
        <w:trPr>
          <w:trHeight w:val="184"/>
        </w:trPr>
        <w:tc>
          <w:tcPr>
            <w:tcW w:w="1280" w:type="dxa"/>
            <w:vAlign w:val="bottom"/>
          </w:tcPr>
          <w:p>
            <w:pPr>
              <w:spacing w:after="0"/>
              <w:rPr>
                <w:sz w:val="20"/>
                <w:szCs w:val="20"/>
                <w:color w:val="auto"/>
              </w:rPr>
            </w:pPr>
            <w:r>
              <w:rPr>
                <w:rFonts w:ascii="Arial" w:cs="Arial" w:eastAsia="Arial" w:hAnsi="Arial"/>
                <w:sz w:val="16"/>
                <w:szCs w:val="16"/>
                <w:color w:val="auto"/>
              </w:rPr>
              <w:t>2029</w:t>
            </w:r>
          </w:p>
        </w:tc>
        <w:tc>
          <w:tcPr>
            <w:tcW w:w="5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212,239</w:t>
            </w:r>
          </w:p>
        </w:tc>
        <w:tc>
          <w:tcPr>
            <w:tcW w:w="20" w:type="dxa"/>
            <w:vAlign w:val="bottom"/>
          </w:tcPr>
          <w:p>
            <w:pPr>
              <w:spacing w:after="0"/>
              <w:rPr>
                <w:sz w:val="15"/>
                <w:szCs w:val="15"/>
                <w:color w:val="auto"/>
              </w:rPr>
            </w:pPr>
          </w:p>
        </w:tc>
      </w:tr>
      <w:tr>
        <w:trPr>
          <w:trHeight w:val="184"/>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5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194,079</w:t>
            </w:r>
          </w:p>
        </w:tc>
        <w:tc>
          <w:tcPr>
            <w:tcW w:w="20" w:type="dxa"/>
            <w:vAlign w:val="bottom"/>
          </w:tcPr>
          <w:p>
            <w:pPr>
              <w:spacing w:after="0"/>
              <w:rPr>
                <w:sz w:val="15"/>
                <w:szCs w:val="15"/>
                <w:color w:val="auto"/>
              </w:rPr>
            </w:pPr>
          </w:p>
        </w:tc>
      </w:tr>
      <w:tr>
        <w:trPr>
          <w:trHeight w:val="184"/>
        </w:trPr>
        <w:tc>
          <w:tcPr>
            <w:tcW w:w="73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78,769</w:t>
            </w:r>
          </w:p>
        </w:tc>
        <w:tc>
          <w:tcPr>
            <w:tcW w:w="20" w:type="dxa"/>
            <w:vAlign w:val="bottom"/>
          </w:tcPr>
          <w:p>
            <w:pPr>
              <w:spacing w:after="0"/>
              <w:rPr>
                <w:sz w:val="15"/>
                <w:szCs w:val="15"/>
                <w:color w:val="auto"/>
              </w:rPr>
            </w:pPr>
          </w:p>
        </w:tc>
      </w:tr>
      <w:tr>
        <w:trPr>
          <w:trHeight w:val="176"/>
        </w:trPr>
        <w:tc>
          <w:tcPr>
            <w:tcW w:w="730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color w:val="auto"/>
              </w:rPr>
              <w:t>Total lease payments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1,131,257</w:t>
            </w:r>
          </w:p>
        </w:tc>
        <w:tc>
          <w:tcPr>
            <w:tcW w:w="20" w:type="dxa"/>
            <w:vAlign w:val="bottom"/>
          </w:tcPr>
          <w:p>
            <w:pPr>
              <w:spacing w:after="0"/>
              <w:rPr>
                <w:sz w:val="15"/>
                <w:szCs w:val="15"/>
                <w:color w:val="auto"/>
              </w:rPr>
            </w:pPr>
          </w:p>
        </w:tc>
      </w:tr>
      <w:tr>
        <w:trPr>
          <w:trHeight w:val="184"/>
        </w:trPr>
        <w:tc>
          <w:tcPr>
            <w:tcW w:w="73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Less: Imputed interest</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(245,684)</w:t>
            </w:r>
          </w:p>
        </w:tc>
        <w:tc>
          <w:tcPr>
            <w:tcW w:w="20" w:type="dxa"/>
            <w:vAlign w:val="bottom"/>
          </w:tcPr>
          <w:p>
            <w:pPr>
              <w:spacing w:after="0"/>
              <w:rPr>
                <w:sz w:val="15"/>
                <w:szCs w:val="15"/>
                <w:color w:val="auto"/>
              </w:rPr>
            </w:pPr>
          </w:p>
        </w:tc>
      </w:tr>
      <w:tr>
        <w:trPr>
          <w:trHeight w:val="176"/>
        </w:trPr>
        <w:tc>
          <w:tcPr>
            <w:tcW w:w="730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885,573</w:t>
            </w:r>
          </w:p>
        </w:tc>
        <w:tc>
          <w:tcPr>
            <w:tcW w:w="20" w:type="dxa"/>
            <w:vAlign w:val="bottom"/>
          </w:tcPr>
          <w:p>
            <w:pPr>
              <w:spacing w:after="0"/>
              <w:rPr>
                <w:sz w:val="15"/>
                <w:szCs w:val="15"/>
                <w:color w:val="auto"/>
              </w:rPr>
            </w:pPr>
          </w:p>
        </w:tc>
      </w:tr>
      <w:tr>
        <w:trPr>
          <w:trHeight w:val="184"/>
        </w:trPr>
        <w:tc>
          <w:tcPr>
            <w:tcW w:w="73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Less: Current portion</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(176,615)</w:t>
            </w:r>
          </w:p>
        </w:tc>
        <w:tc>
          <w:tcPr>
            <w:tcW w:w="20" w:type="dxa"/>
            <w:vAlign w:val="bottom"/>
          </w:tcPr>
          <w:p>
            <w:pPr>
              <w:spacing w:after="0"/>
              <w:rPr>
                <w:sz w:val="15"/>
                <w:szCs w:val="15"/>
                <w:color w:val="auto"/>
              </w:rPr>
            </w:pPr>
          </w:p>
        </w:tc>
      </w:tr>
      <w:tr>
        <w:trPr>
          <w:trHeight w:val="176"/>
        </w:trPr>
        <w:tc>
          <w:tcPr>
            <w:tcW w:w="730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6"/>
                <w:szCs w:val="16"/>
                <w:color w:val="auto"/>
              </w:rPr>
              <w:t>Long-term portion of lease obligations</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708,958</w:t>
            </w: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Lessor Accounting</w:t>
      </w:r>
    </w:p>
    <w:p>
      <w:pPr>
        <w:spacing w:after="0" w:line="194" w:lineRule="exact"/>
        <w:rPr>
          <w:sz w:val="20"/>
          <w:szCs w:val="20"/>
          <w:color w:val="auto"/>
        </w:rPr>
      </w:pPr>
    </w:p>
    <w:p>
      <w:pPr>
        <w:ind w:left="40" w:right="419"/>
        <w:spacing w:after="0" w:line="281" w:lineRule="auto"/>
        <w:rPr>
          <w:sz w:val="20"/>
          <w:szCs w:val="20"/>
          <w:color w:val="auto"/>
        </w:rPr>
      </w:pPr>
      <w:r>
        <w:rPr>
          <w:rFonts w:ascii="Arial" w:cs="Arial" w:eastAsia="Arial" w:hAnsi="Arial"/>
          <w:sz w:val="16"/>
          <w:szCs w:val="16"/>
          <w:color w:val="auto"/>
        </w:rPr>
        <w:t>We lease satellite capacity, communications equipment and real estate to certain of our customers. The following table presents our lease revenue by type of lease:</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7"/>
          </w:tcPr>
          <w:p>
            <w:pPr>
              <w:jc w:val="center"/>
              <w:ind w:left="458"/>
              <w:spacing w:after="0"/>
              <w:rPr>
                <w:sz w:val="20"/>
                <w:szCs w:val="20"/>
                <w:color w:val="auto"/>
              </w:rPr>
            </w:pPr>
            <w:r>
              <w:rPr>
                <w:rFonts w:ascii="Arial" w:cs="Arial" w:eastAsia="Arial" w:hAnsi="Arial"/>
                <w:sz w:val="16"/>
                <w:szCs w:val="16"/>
                <w:b w:val="1"/>
                <w:bCs w:val="1"/>
                <w:color w:val="auto"/>
              </w:rPr>
              <w:t>For the Years Ended December 31,</w:t>
            </w:r>
          </w:p>
        </w:tc>
        <w:tc>
          <w:tcPr>
            <w:tcW w:w="840" w:type="dxa"/>
            <w:vAlign w:val="bottom"/>
            <w:tcBorders>
              <w:bottom w:val="single" w:sz="8" w:color="auto"/>
            </w:tcBorders>
          </w:tcPr>
          <w:p>
            <w:pPr>
              <w:spacing w:after="0"/>
              <w:rPr>
                <w:sz w:val="17"/>
                <w:szCs w:val="17"/>
                <w:color w:val="auto"/>
              </w:rPr>
            </w:pPr>
          </w:p>
        </w:tc>
      </w:tr>
      <w:tr>
        <w:trPr>
          <w:trHeight w:val="184"/>
        </w:trPr>
        <w:tc>
          <w:tcPr>
            <w:tcW w:w="2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2023</w:t>
            </w:r>
          </w:p>
        </w:tc>
      </w:tr>
      <w:tr>
        <w:trPr>
          <w:trHeight w:val="164"/>
        </w:trPr>
        <w:tc>
          <w:tcPr>
            <w:tcW w:w="2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8"/>
              <w:spacing w:after="0" w:line="164" w:lineRule="exact"/>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4"/>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Sales-type lease revenue: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4"/>
        </w:trPr>
        <w:tc>
          <w:tcPr>
            <w:tcW w:w="4580" w:type="dxa"/>
            <w:vAlign w:val="bottom"/>
            <w:gridSpan w:val="2"/>
          </w:tcPr>
          <w:p>
            <w:pPr>
              <w:ind w:left="100"/>
              <w:spacing w:after="0"/>
              <w:rPr>
                <w:sz w:val="20"/>
                <w:szCs w:val="20"/>
                <w:color w:val="auto"/>
              </w:rPr>
            </w:pPr>
            <w:r>
              <w:rPr>
                <w:rFonts w:ascii="Arial" w:cs="Arial" w:eastAsia="Arial" w:hAnsi="Arial"/>
                <w:sz w:val="16"/>
                <w:szCs w:val="16"/>
                <w:color w:val="auto"/>
              </w:rPr>
              <w:t>Revenue at lease commencement</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5,098</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8,517</w:t>
            </w:r>
          </w:p>
        </w:tc>
        <w:tc>
          <w:tcPr>
            <w:tcW w:w="220" w:type="dxa"/>
            <w:vAlign w:val="bottom"/>
          </w:tcPr>
          <w:p>
            <w:pPr>
              <w:spacing w:after="0"/>
              <w:rPr>
                <w:sz w:val="15"/>
                <w:szCs w:val="15"/>
                <w:color w:val="auto"/>
              </w:rPr>
            </w:pPr>
          </w:p>
        </w:tc>
        <w:tc>
          <w:tcPr>
            <w:tcW w:w="460" w:type="dxa"/>
            <w:vAlign w:val="bottom"/>
            <w:gridSpan w:val="2"/>
          </w:tcPr>
          <w:p>
            <w:pPr>
              <w:jc w:val="right"/>
              <w:ind w:right="283"/>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11,429</w:t>
            </w:r>
          </w:p>
        </w:tc>
      </w:tr>
      <w:tr>
        <w:trPr>
          <w:trHeight w:val="184"/>
        </w:trPr>
        <w:tc>
          <w:tcPr>
            <w:tcW w:w="45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w:t>
            </w:r>
          </w:p>
        </w:tc>
      </w:tr>
      <w:tr>
        <w:trPr>
          <w:trHeight w:val="176"/>
        </w:trPr>
        <w:tc>
          <w:tcPr>
            <w:tcW w:w="4580" w:type="dxa"/>
            <w:vAlign w:val="bottom"/>
            <w:gridSpan w:val="2"/>
          </w:tcPr>
          <w:p>
            <w:pPr>
              <w:ind w:left="200"/>
              <w:spacing w:after="0" w:line="176" w:lineRule="exact"/>
              <w:rPr>
                <w:sz w:val="20"/>
                <w:szCs w:val="20"/>
                <w:color w:val="auto"/>
              </w:rPr>
            </w:pPr>
            <w:r>
              <w:rPr>
                <w:rFonts w:ascii="Arial" w:cs="Arial" w:eastAsia="Arial" w:hAnsi="Arial"/>
                <w:sz w:val="16"/>
                <w:szCs w:val="16"/>
                <w:color w:val="auto"/>
              </w:rPr>
              <w:t>Total sales-type lease revenue</w:t>
            </w:r>
          </w:p>
        </w:tc>
        <w:tc>
          <w:tcPr>
            <w:tcW w:w="28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6"/>
                <w:szCs w:val="16"/>
                <w:color w:val="auto"/>
              </w:rPr>
              <w:t>6,703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6"/>
                <w:szCs w:val="16"/>
                <w:color w:val="auto"/>
              </w:rPr>
              <w:t>10,547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6"/>
                <w:szCs w:val="16"/>
                <w:color w:val="auto"/>
              </w:rPr>
              <w:t>13,431</w:t>
            </w:r>
          </w:p>
        </w:tc>
      </w:tr>
      <w:tr>
        <w:trPr>
          <w:trHeight w:val="184"/>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lease revenue</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15,733</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14,734</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47,051</w:t>
            </w:r>
          </w:p>
        </w:tc>
      </w:tr>
      <w:tr>
        <w:trPr>
          <w:trHeight w:val="176"/>
        </w:trPr>
        <w:tc>
          <w:tcPr>
            <w:tcW w:w="4580" w:type="dxa"/>
            <w:vAlign w:val="bottom"/>
            <w:gridSpan w:val="2"/>
          </w:tcPr>
          <w:p>
            <w:pPr>
              <w:ind w:left="200"/>
              <w:spacing w:after="0" w:line="176" w:lineRule="exact"/>
              <w:rPr>
                <w:sz w:val="20"/>
                <w:szCs w:val="20"/>
                <w:color w:val="auto"/>
              </w:rPr>
            </w:pPr>
            <w:r>
              <w:rPr>
                <w:rFonts w:ascii="Arial" w:cs="Arial" w:eastAsia="Arial" w:hAnsi="Arial"/>
                <w:sz w:val="16"/>
                <w:szCs w:val="16"/>
                <w:color w:val="auto"/>
              </w:rPr>
              <w:t>Total lease revenue (1)</w:t>
            </w:r>
          </w:p>
        </w:tc>
        <w:tc>
          <w:tcPr>
            <w:tcW w:w="280" w:type="dxa"/>
            <w:vAlign w:val="bottom"/>
            <w:tcBorders>
              <w:bottom w:val="single" w:sz="8" w:color="auto"/>
            </w:tcBorders>
          </w:tcPr>
          <w:p>
            <w:pPr>
              <w:jc w:val="right"/>
              <w:ind w:right="98"/>
              <w:spacing w:after="0" w:line="176"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22,436</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25,281</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60,482</w:t>
            </w:r>
          </w:p>
        </w:tc>
      </w:tr>
      <w:tr>
        <w:trPr>
          <w:trHeight w:val="20"/>
        </w:trPr>
        <w:tc>
          <w:tcPr>
            <w:tcW w:w="2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Pr>
          <w:p>
            <w:pPr>
              <w:spacing w:after="0"/>
              <w:rPr>
                <w:sz w:val="6"/>
                <w:szCs w:val="6"/>
                <w:color w:val="auto"/>
              </w:rPr>
            </w:pPr>
          </w:p>
        </w:tc>
      </w:tr>
    </w:tbl>
    <w:p>
      <w:pPr>
        <w:spacing w:after="0" w:line="69" w:lineRule="exact"/>
        <w:rPr>
          <w:sz w:val="20"/>
          <w:szCs w:val="20"/>
          <w:color w:val="auto"/>
        </w:rPr>
      </w:pPr>
    </w:p>
    <w:p>
      <w:pPr>
        <w:ind w:left="340" w:right="319" w:hanging="298"/>
        <w:spacing w:after="0" w:line="281"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reduction in total lease revenue for the years ended December 31, 2025 and 2024 relates to the loss of a single significant customer.</w:t>
      </w:r>
    </w:p>
    <w:p>
      <w:pPr>
        <w:spacing w:after="0" w:line="133" w:lineRule="exact"/>
        <w:rPr>
          <w:sz w:val="20"/>
          <w:szCs w:val="20"/>
          <w:color w:val="auto"/>
        </w:rPr>
      </w:pPr>
    </w:p>
    <w:p>
      <w:pPr>
        <w:ind w:left="40" w:right="59"/>
        <w:spacing w:after="0" w:line="281" w:lineRule="auto"/>
        <w:rPr>
          <w:sz w:val="20"/>
          <w:szCs w:val="20"/>
          <w:color w:val="auto"/>
        </w:rPr>
      </w:pPr>
      <w:r>
        <w:rPr>
          <w:rFonts w:ascii="Arial" w:cs="Arial" w:eastAsia="Arial" w:hAnsi="Arial"/>
          <w:sz w:val="16"/>
          <w:szCs w:val="16"/>
          <w:color w:val="auto"/>
        </w:rPr>
        <w:t>Substantially all of our net investment in sales-type leases consisted of lease receivables totaling $20 million and $26 million as of December 31, 2025 and 2024, respectively.</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presents future operating lease payments to be received as of December 31, 2025:</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For the Years Ending December 31,</w:t>
            </w:r>
          </w:p>
        </w:tc>
        <w:tc>
          <w:tcPr>
            <w:tcW w:w="3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Total</w:t>
            </w:r>
          </w:p>
        </w:tc>
      </w:tr>
      <w:tr>
        <w:trPr>
          <w:trHeight w:val="176"/>
        </w:trPr>
        <w:tc>
          <w:tcPr>
            <w:tcW w:w="35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38"/>
              <w:spacing w:after="0" w:line="176" w:lineRule="exact"/>
              <w:rPr>
                <w:sz w:val="20"/>
                <w:szCs w:val="20"/>
                <w:color w:val="auto"/>
              </w:rPr>
            </w:pPr>
            <w:r>
              <w:rPr>
                <w:rFonts w:ascii="Arial" w:cs="Arial" w:eastAsia="Arial" w:hAnsi="Arial"/>
                <w:sz w:val="16"/>
                <w:szCs w:val="16"/>
                <w:color w:val="auto"/>
              </w:rPr>
              <w:t>(In thousands)</w:t>
            </w: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10,392</w:t>
            </w:r>
          </w:p>
        </w:tc>
      </w:tr>
      <w:tr>
        <w:trPr>
          <w:trHeight w:val="184"/>
        </w:trPr>
        <w:tc>
          <w:tcPr>
            <w:tcW w:w="3520" w:type="dxa"/>
            <w:vAlign w:val="bottom"/>
          </w:tcPr>
          <w:p>
            <w:pPr>
              <w:spacing w:after="0"/>
              <w:rPr>
                <w:sz w:val="20"/>
                <w:szCs w:val="20"/>
                <w:color w:val="auto"/>
              </w:rPr>
            </w:pPr>
            <w:r>
              <w:rPr>
                <w:rFonts w:ascii="Arial" w:cs="Arial" w:eastAsia="Arial" w:hAnsi="Arial"/>
                <w:sz w:val="16"/>
                <w:szCs w:val="16"/>
                <w:color w:val="auto"/>
              </w:rPr>
              <w:t>2027</w:t>
            </w:r>
          </w:p>
        </w:tc>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6,567</w:t>
            </w: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3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w:t>
            </w:r>
          </w:p>
        </w:tc>
      </w:tr>
      <w:tr>
        <w:trPr>
          <w:trHeight w:val="184"/>
        </w:trPr>
        <w:tc>
          <w:tcPr>
            <w:tcW w:w="3520" w:type="dxa"/>
            <w:vAlign w:val="bottom"/>
          </w:tcPr>
          <w:p>
            <w:pPr>
              <w:spacing w:after="0"/>
              <w:rPr>
                <w:sz w:val="20"/>
                <w:szCs w:val="20"/>
                <w:color w:val="auto"/>
              </w:rPr>
            </w:pPr>
            <w:r>
              <w:rPr>
                <w:rFonts w:ascii="Arial" w:cs="Arial" w:eastAsia="Arial" w:hAnsi="Arial"/>
                <w:sz w:val="16"/>
                <w:szCs w:val="16"/>
                <w:color w:val="auto"/>
              </w:rPr>
              <w:t>2029</w:t>
            </w:r>
          </w:p>
        </w:tc>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3,215</w:t>
            </w:r>
          </w:p>
        </w:tc>
      </w:tr>
      <w:tr>
        <w:trPr>
          <w:trHeight w:val="184"/>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3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w:t>
            </w:r>
          </w:p>
        </w:tc>
      </w:tr>
      <w:tr>
        <w:trPr>
          <w:trHeight w:val="184"/>
        </w:trPr>
        <w:tc>
          <w:tcPr>
            <w:tcW w:w="3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38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176"/>
        </w:trPr>
        <w:tc>
          <w:tcPr>
            <w:tcW w:w="35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Total lease payments to be received</w:t>
            </w:r>
          </w:p>
        </w:tc>
        <w:tc>
          <w:tcPr>
            <w:tcW w:w="38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26,662</w:t>
            </w:r>
          </w:p>
        </w:tc>
      </w:tr>
      <w:tr>
        <w:trPr>
          <w:trHeight w:val="20"/>
        </w:trPr>
        <w:tc>
          <w:tcPr>
            <w:tcW w:w="3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64"/>
        </w:trPr>
        <w:tc>
          <w:tcPr>
            <w:tcW w:w="3520" w:type="dxa"/>
            <w:vAlign w:val="bottom"/>
          </w:tcPr>
          <w:p>
            <w:pPr>
              <w:spacing w:after="0"/>
              <w:rPr>
                <w:sz w:val="24"/>
                <w:szCs w:val="24"/>
                <w:color w:val="auto"/>
              </w:rPr>
            </w:pPr>
          </w:p>
        </w:tc>
        <w:tc>
          <w:tcPr>
            <w:tcW w:w="4220" w:type="dxa"/>
            <w:vAlign w:val="bottom"/>
            <w:gridSpan w:val="3"/>
          </w:tcPr>
          <w:p>
            <w:pPr>
              <w:jc w:val="right"/>
              <w:ind w:right="3018"/>
              <w:spacing w:after="0"/>
              <w:rPr>
                <w:sz w:val="20"/>
                <w:szCs w:val="20"/>
                <w:color w:val="auto"/>
              </w:rPr>
            </w:pPr>
            <w:r>
              <w:rPr>
                <w:rFonts w:ascii="Arial" w:cs="Arial" w:eastAsia="Arial" w:hAnsi="Arial"/>
                <w:sz w:val="16"/>
                <w:szCs w:val="16"/>
                <w:color w:val="auto"/>
              </w:rPr>
              <w:t>F-37</w:t>
            </w:r>
          </w:p>
        </w:tc>
        <w:tc>
          <w:tcPr>
            <w:tcW w:w="1180" w:type="dxa"/>
            <w:vAlign w:val="bottom"/>
          </w:tcPr>
          <w:p>
            <w:pPr>
              <w:spacing w:after="0"/>
              <w:rPr>
                <w:sz w:val="24"/>
                <w:szCs w:val="24"/>
                <w:color w:val="auto"/>
              </w:rPr>
            </w:pPr>
          </w:p>
        </w:tc>
      </w:tr>
      <w:tr>
        <w:trPr>
          <w:trHeight w:val="480"/>
        </w:trPr>
        <w:tc>
          <w:tcPr>
            <w:tcW w:w="35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0" w:right="1440" w:bottom="1440" w:gutter="0" w:footer="0" w:header="0"/>
        </w:sectPr>
      </w:pPr>
    </w:p>
    <w:bookmarkStart w:id="95" w:name="page96"/>
    <w:bookmarkEnd w:id="9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93" w:lineRule="exact"/>
        <w:rPr>
          <w:sz w:val="20"/>
          <w:szCs w:val="20"/>
          <w:color w:val="auto"/>
        </w:rPr>
      </w:pPr>
    </w:p>
    <w:p>
      <w:pPr>
        <w:ind w:left="640" w:hanging="598"/>
        <w:spacing w:after="0"/>
        <w:tabs>
          <w:tab w:leader="none" w:pos="64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Long-Term Debt and Other Notes Payable</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the carrying amount and fair value of our debt facilities as of December 31, 2025:</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As of December 31,</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6"/>
                <w:szCs w:val="16"/>
                <w:b w:val="1"/>
                <w:bCs w:val="1"/>
                <w:color w:val="auto"/>
              </w:rPr>
              <w:t>2025</w:t>
            </w: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6"/>
                <w:szCs w:val="16"/>
                <w:b w:val="1"/>
                <w:bCs w:val="1"/>
                <w:color w:val="auto"/>
              </w:rPr>
              <w:t>2024</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00"/>
              <w:spacing w:after="0" w:line="159"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18"/>
              <w:spacing w:after="0" w:line="159" w:lineRule="exact"/>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60"/>
              <w:spacing w:after="0" w:line="159"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18"/>
              <w:spacing w:after="0" w:line="159"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01"/>
        </w:trPr>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64"/>
        </w:trPr>
        <w:tc>
          <w:tcPr>
            <w:tcW w:w="2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jc w:val="right"/>
              <w:ind w:right="578"/>
              <w:spacing w:after="0" w:line="164" w:lineRule="exact"/>
              <w:rPr>
                <w:sz w:val="20"/>
                <w:szCs w:val="20"/>
                <w:color w:val="auto"/>
              </w:rPr>
            </w:pPr>
            <w:r>
              <w:rPr>
                <w:rFonts w:ascii="Arial" w:cs="Arial" w:eastAsia="Arial" w:hAnsi="Arial"/>
                <w:sz w:val="16"/>
                <w:szCs w:val="16"/>
                <w:color w:val="auto"/>
              </w:rPr>
              <w:t>(In thousands)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 1/4% Senior Secured Notes due 2026 (1) (2)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723,090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686,475</w:t>
            </w:r>
          </w:p>
        </w:tc>
        <w:tc>
          <w:tcPr>
            <w:tcW w:w="0" w:type="dxa"/>
            <w:vAlign w:val="bottom"/>
          </w:tcPr>
          <w:p>
            <w:pPr>
              <w:spacing w:after="0"/>
              <w:rPr>
                <w:sz w:val="1"/>
                <w:szCs w:val="1"/>
                <w:color w:val="auto"/>
              </w:rPr>
            </w:pPr>
          </w:p>
        </w:tc>
      </w:tr>
      <w:tr>
        <w:trPr>
          <w:trHeight w:val="184"/>
        </w:trPr>
        <w:tc>
          <w:tcPr>
            <w:tcW w:w="3980" w:type="dxa"/>
            <w:vAlign w:val="bottom"/>
            <w:gridSpan w:val="2"/>
          </w:tcPr>
          <w:p>
            <w:pPr>
              <w:spacing w:after="0"/>
              <w:rPr>
                <w:sz w:val="20"/>
                <w:szCs w:val="20"/>
                <w:color w:val="auto"/>
              </w:rPr>
            </w:pPr>
            <w:r>
              <w:rPr>
                <w:rFonts w:ascii="Arial" w:cs="Arial" w:eastAsia="Arial" w:hAnsi="Arial"/>
                <w:sz w:val="16"/>
                <w:szCs w:val="16"/>
                <w:color w:val="auto"/>
              </w:rPr>
              <w:t>6 5/8% Senior Notes due 2026 (2)</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691,313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595,725</w:t>
            </w:r>
          </w:p>
        </w:tc>
        <w:tc>
          <w:tcPr>
            <w:tcW w:w="0" w:type="dxa"/>
            <w:vAlign w:val="bottom"/>
          </w:tcPr>
          <w:p>
            <w:pPr>
              <w:spacing w:after="0"/>
              <w:rPr>
                <w:sz w:val="1"/>
                <w:szCs w:val="1"/>
                <w:color w:val="auto"/>
              </w:rPr>
            </w:pPr>
          </w:p>
        </w:tc>
      </w:tr>
      <w:tr>
        <w:trPr>
          <w:trHeight w:val="184"/>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notes payable</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36,431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36,431</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44,774</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6"/>
                <w:szCs w:val="16"/>
                <w:b w:val="1"/>
                <w:bCs w:val="1"/>
                <w:color w:val="auto"/>
              </w:rPr>
              <w:t>Subtotal</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6"/>
                <w:szCs w:val="16"/>
                <w:color w:val="auto"/>
              </w:rPr>
              <w:t>1,536,431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8"/>
              <w:spacing w:after="0" w:line="176"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1,450,834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6"/>
                <w:szCs w:val="16"/>
                <w:color w:val="auto"/>
              </w:rPr>
              <w:t>1,544,774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1,326,974</w:t>
            </w:r>
          </w:p>
        </w:tc>
        <w:tc>
          <w:tcPr>
            <w:tcW w:w="0" w:type="dxa"/>
            <w:vAlign w:val="bottom"/>
          </w:tcPr>
          <w:p>
            <w:pPr>
              <w:spacing w:after="0"/>
              <w:rPr>
                <w:sz w:val="1"/>
                <w:szCs w:val="1"/>
                <w:color w:val="auto"/>
              </w:rPr>
            </w:pPr>
          </w:p>
        </w:tc>
      </w:tr>
      <w:tr>
        <w:trPr>
          <w:trHeight w:val="119"/>
        </w:trPr>
        <w:tc>
          <w:tcPr>
            <w:tcW w:w="3980" w:type="dxa"/>
            <w:vAlign w:val="bottom"/>
            <w:gridSpan w:val="2"/>
            <w:shd w:val="clear" w:color="auto" w:fill="CCEEFF"/>
          </w:tcPr>
          <w:p>
            <w:pPr>
              <w:spacing w:after="0" w:line="119" w:lineRule="exact"/>
              <w:rPr>
                <w:sz w:val="20"/>
                <w:szCs w:val="20"/>
                <w:color w:val="auto"/>
              </w:rPr>
            </w:pPr>
            <w:r>
              <w:rPr>
                <w:rFonts w:ascii="Arial" w:cs="Arial" w:eastAsia="Arial" w:hAnsi="Arial"/>
                <w:sz w:val="13"/>
                <w:szCs w:val="13"/>
                <w:color w:val="auto"/>
              </w:rPr>
              <w:t>Unamortized deferred financing costs and other debt</w:t>
            </w: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discounts, net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9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1,535,859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1,543,265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(1,508,730)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(9,548)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980" w:type="dxa"/>
            <w:vAlign w:val="bottom"/>
            <w:gridSpan w:val="2"/>
          </w:tcPr>
          <w:p>
            <w:pPr>
              <w:ind w:left="100"/>
              <w:spacing w:after="0" w:line="147" w:lineRule="exact"/>
              <w:rPr>
                <w:sz w:val="20"/>
                <w:szCs w:val="20"/>
                <w:color w:val="auto"/>
              </w:rPr>
            </w:pPr>
            <w:r>
              <w:rPr>
                <w:rFonts w:ascii="Arial" w:cs="Arial" w:eastAsia="Arial" w:hAnsi="Arial"/>
                <w:sz w:val="16"/>
                <w:szCs w:val="16"/>
                <w:color w:val="auto"/>
              </w:rPr>
              <w:t>Total debt and other notes payable, net of current</w:t>
            </w:r>
          </w:p>
        </w:tc>
        <w:tc>
          <w:tcPr>
            <w:tcW w:w="1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27,129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1,533,717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980" w:type="dxa"/>
            <w:vAlign w:val="bottom"/>
            <w:gridSpan w:val="2"/>
          </w:tcPr>
          <w:p>
            <w:pPr>
              <w:ind w:left="100"/>
              <w:spacing w:after="0"/>
              <w:rPr>
                <w:sz w:val="20"/>
                <w:szCs w:val="20"/>
                <w:color w:val="auto"/>
              </w:rPr>
            </w:pPr>
            <w:r>
              <w:rPr>
                <w:rFonts w:ascii="Arial" w:cs="Arial" w:eastAsia="Arial" w:hAnsi="Arial"/>
                <w:sz w:val="16"/>
                <w:szCs w:val="16"/>
                <w:color w:val="auto"/>
              </w:rPr>
              <w:t>portion</w:t>
            </w:r>
          </w:p>
        </w:tc>
        <w:tc>
          <w:tcPr>
            <w:tcW w:w="1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right="59" w:hanging="298"/>
        <w:spacing w:after="0" w:line="250"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During the year ended December 31, 2025, our parent, EchoStar, purchased approximately $123 million of our 5 1/4% Senior Secured Notes due 2026 in open market trades. The repurchase is held at EchoStar.</w:t>
      </w:r>
    </w:p>
    <w:p>
      <w:pPr>
        <w:ind w:left="340" w:right="59" w:hanging="298"/>
        <w:spacing w:after="0" w:line="260"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notes have been reclassified to “Current portion of debt and other notes payable” on our Consolidated Balance Sheets as of December 31, 2025.</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estimated the fair value of our publicly traded long-term debt using market prices in less active markets (Level 2).</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 1/4% Senior Secured Notes due 2026</w:t>
      </w:r>
    </w:p>
    <w:p>
      <w:pPr>
        <w:spacing w:after="0" w:line="19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On July 27, 2016, we issued $750.0 million aggregate principal amount of 5 1/4% Senior Secured Notes due August 1, 2026 (the “2026 Senior Secured Notes”). Interest on the 2026 Senior Secured Notes accrues at an annual rate of 5 1/4% and is payable semi-annually in cash, in arrears, on February 1 and August 1 of each year.</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Senior Notes due 2026 are:</w:t>
      </w:r>
    </w:p>
    <w:p>
      <w:pPr>
        <w:spacing w:after="0" w:line="196" w:lineRule="exact"/>
        <w:rPr>
          <w:sz w:val="20"/>
          <w:szCs w:val="20"/>
          <w:color w:val="auto"/>
        </w:rPr>
      </w:pPr>
    </w:p>
    <w:p>
      <w:pPr>
        <w:ind w:left="660" w:hanging="299"/>
        <w:spacing w:after="0"/>
        <w:tabs>
          <w:tab w:leader="none" w:pos="66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our secured obligations;</w:t>
      </w:r>
    </w:p>
    <w:p>
      <w:pPr>
        <w:spacing w:after="0" w:line="27" w:lineRule="exact"/>
        <w:rPr>
          <w:rFonts w:ascii="Times New Roman" w:cs="Times New Roman" w:eastAsia="Times New Roman" w:hAnsi="Times New Roman"/>
          <w:sz w:val="16"/>
          <w:szCs w:val="16"/>
          <w:color w:val="auto"/>
        </w:rPr>
      </w:pPr>
    </w:p>
    <w:p>
      <w:pPr>
        <w:ind w:left="660" w:right="279" w:hanging="299"/>
        <w:spacing w:after="0" w:line="239" w:lineRule="auto"/>
        <w:tabs>
          <w:tab w:leader="none" w:pos="66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secured by security interests in substantially all of our and certain of our subsidiaries existing and future tangible and intangible assets on a first priority basis, subject to certain exceptions;</w:t>
      </w:r>
    </w:p>
    <w:p>
      <w:pPr>
        <w:ind w:left="660" w:right="379" w:hanging="299"/>
        <w:spacing w:after="0" w:line="239" w:lineRule="auto"/>
        <w:tabs>
          <w:tab w:leader="none" w:pos="66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effectively junior to our obligations that are secured by assets that are not part of the collateral that secures the 2026 Senior Secured Notes to the extent of the value of the collateral securing such obligations;</w:t>
      </w:r>
    </w:p>
    <w:p>
      <w:pPr>
        <w:ind w:left="660" w:right="399" w:hanging="299"/>
        <w:spacing w:after="0" w:line="239" w:lineRule="auto"/>
        <w:tabs>
          <w:tab w:leader="none" w:pos="66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effectively senior to our existing and future unsecured obligations to the extent of the value of the collateral securing the 2026 Senior Secured Notes, after giving effect to permitted liens as provided in the 2016 Secured Indenture;</w:t>
      </w:r>
    </w:p>
    <w:p>
      <w:pPr>
        <w:spacing w:after="0" w:line="1" w:lineRule="exact"/>
        <w:rPr>
          <w:rFonts w:ascii="Times New Roman" w:cs="Times New Roman" w:eastAsia="Times New Roman" w:hAnsi="Times New Roman"/>
          <w:sz w:val="16"/>
          <w:szCs w:val="16"/>
          <w:color w:val="auto"/>
        </w:rPr>
      </w:pPr>
    </w:p>
    <w:p>
      <w:pPr>
        <w:ind w:left="660" w:right="279" w:hanging="299"/>
        <w:spacing w:after="0" w:line="259" w:lineRule="auto"/>
        <w:tabs>
          <w:tab w:leader="none" w:pos="66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senior in right of payment to all of our existing and future obligations that are expressly subordinated to the 2026 Senior Secured Notes;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5">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96" w:name="page97"/>
    <w:bookmarkEnd w:id="9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660" w:right="299" w:hanging="299"/>
        <w:spacing w:after="0" w:line="249" w:lineRule="auto"/>
        <w:tabs>
          <w:tab w:leader="none" w:pos="66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structurally junior to any existing and future obligations of any of our subsidiaries that do not guarantee the 2026 Senior Secured Notes; and</w:t>
      </w:r>
    </w:p>
    <w:p>
      <w:pPr>
        <w:spacing w:after="0" w:line="1" w:lineRule="exact"/>
        <w:rPr>
          <w:rFonts w:ascii="Times New Roman" w:cs="Times New Roman" w:eastAsia="Times New Roman" w:hAnsi="Times New Roman"/>
          <w:sz w:val="16"/>
          <w:szCs w:val="16"/>
          <w:color w:val="auto"/>
        </w:rPr>
      </w:pPr>
    </w:p>
    <w:p>
      <w:pPr>
        <w:ind w:left="660" w:right="199" w:hanging="299"/>
        <w:spacing w:after="0" w:line="246" w:lineRule="auto"/>
        <w:tabs>
          <w:tab w:leader="none" w:pos="66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unconditionally guaranteed, jointly and severally, on a general senior secured basis by certain of our subsidiaries, which guarantees rank equally with all of the guarantors’ existing and future unsubordinated indebtedness and effectively senior to such guarantors’ existing and future obligations to the extent of the value of the assets securing the 2026 Senior Secured Notes.</w:t>
      </w:r>
    </w:p>
    <w:p>
      <w:pPr>
        <w:spacing w:after="0" w:line="160" w:lineRule="exact"/>
        <w:rPr>
          <w:sz w:val="20"/>
          <w:szCs w:val="20"/>
          <w:color w:val="auto"/>
        </w:rPr>
      </w:pPr>
    </w:p>
    <w:p>
      <w:pPr>
        <w:ind w:left="40" w:right="59"/>
        <w:spacing w:after="0" w:line="281" w:lineRule="auto"/>
        <w:rPr>
          <w:sz w:val="20"/>
          <w:szCs w:val="20"/>
          <w:color w:val="auto"/>
        </w:rPr>
      </w:pPr>
      <w:r>
        <w:rPr>
          <w:rFonts w:ascii="Arial" w:cs="Arial" w:eastAsia="Arial" w:hAnsi="Arial"/>
          <w:sz w:val="16"/>
          <w:szCs w:val="16"/>
          <w:color w:val="auto"/>
        </w:rPr>
        <w:t>Subject to certain exceptions, the Indentures contain restrictive covenants that, among other things, impose limitations on our ability and, in certain instances, the ability of certain of our subsidiaries to:</w:t>
      </w:r>
    </w:p>
    <w:p>
      <w:pPr>
        <w:spacing w:after="0" w:line="133" w:lineRule="exact"/>
        <w:rPr>
          <w:sz w:val="20"/>
          <w:szCs w:val="20"/>
          <w:color w:val="auto"/>
        </w:rPr>
      </w:pPr>
    </w:p>
    <w:p>
      <w:pPr>
        <w:ind w:left="660" w:hanging="299"/>
        <w:spacing w:after="0"/>
        <w:tabs>
          <w:tab w:leader="none" w:pos="66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incur additional debt;</w:t>
      </w:r>
    </w:p>
    <w:p>
      <w:pPr>
        <w:spacing w:after="0" w:line="27"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pay dividends or make distributions on our capital stock or repurchase our capital stock;</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make certain investments;</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create liens or enter into sale and leaseback transactions;</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enter into transactions with affiliates;</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merge or consolidate with another company;</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transfer and sell assets; and</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restrict our subsidiaries’ ability to pay dividends, make distributions, make other payments, or transfer assets.</w:t>
      </w:r>
    </w:p>
    <w:p>
      <w:pPr>
        <w:spacing w:after="0" w:line="192"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In the event of a change of control, as defined in the respective indenture, we would be required to make an offer to repurchase all or any part of a holder’s 2026 Senior Secured Notes at a purchase price equal to 101% of the aggregate principal amount thereof, together with accrued and unpaid interest thereon, to the date of repurchase.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6 5/8% Unsecured Senior Notes due 2026</w:t>
      </w:r>
    </w:p>
    <w:p>
      <w:pPr>
        <w:spacing w:after="0" w:line="196" w:lineRule="exact"/>
        <w:rPr>
          <w:sz w:val="20"/>
          <w:szCs w:val="20"/>
          <w:color w:val="auto"/>
        </w:rPr>
      </w:pPr>
    </w:p>
    <w:p>
      <w:pPr>
        <w:jc w:val="both"/>
        <w:ind w:left="40" w:right="319"/>
        <w:spacing w:after="0" w:line="260" w:lineRule="auto"/>
        <w:rPr>
          <w:sz w:val="20"/>
          <w:szCs w:val="20"/>
          <w:color w:val="auto"/>
        </w:rPr>
      </w:pPr>
      <w:r>
        <w:rPr>
          <w:rFonts w:ascii="Arial" w:cs="Arial" w:eastAsia="Arial" w:hAnsi="Arial"/>
          <w:sz w:val="16"/>
          <w:szCs w:val="16"/>
          <w:color w:val="auto"/>
        </w:rPr>
        <w:t>On July 27, 2016, we issued $750 million aggregate principal amount of 6 5/8% Senior Unsecured Notes due August 1, 2026 (the “2026 Senior Unsecured Notes”). Interest on the 2026 Senior Unsecured Notes accrues at an annual rate of 6 5/8% and is payable semi-annually in cash, in arrears, on February 1 and August 1 of each year.</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Senior Notes due 2026 are:</w:t>
      </w:r>
    </w:p>
    <w:p>
      <w:pPr>
        <w:spacing w:after="0" w:line="196" w:lineRule="exact"/>
        <w:rPr>
          <w:sz w:val="20"/>
          <w:szCs w:val="20"/>
          <w:color w:val="auto"/>
        </w:rPr>
      </w:pPr>
    </w:p>
    <w:p>
      <w:pPr>
        <w:ind w:left="660" w:hanging="299"/>
        <w:spacing w:after="0"/>
        <w:tabs>
          <w:tab w:leader="none" w:pos="6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our unsecured senior obligations;</w:t>
      </w:r>
    </w:p>
    <w:p>
      <w:pPr>
        <w:spacing w:after="0" w:line="27" w:lineRule="exact"/>
        <w:rPr>
          <w:rFonts w:ascii="Times New Roman" w:cs="Times New Roman" w:eastAsia="Times New Roman" w:hAnsi="Times New Roman"/>
          <w:sz w:val="16"/>
          <w:szCs w:val="16"/>
          <w:color w:val="auto"/>
        </w:rPr>
      </w:pPr>
    </w:p>
    <w:p>
      <w:pPr>
        <w:ind w:left="660" w:right="539" w:hanging="299"/>
        <w:spacing w:after="0" w:line="239" w:lineRule="auto"/>
        <w:tabs>
          <w:tab w:leader="none" w:pos="6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ranked equally with all existing and future unsubordinated indebtedness and effectively junior to any secured indebtedness up to the value of the assets securing such indebtedness;</w:t>
      </w:r>
    </w:p>
    <w:p>
      <w:pPr>
        <w:ind w:left="660" w:right="639" w:hanging="299"/>
        <w:spacing w:after="0" w:line="239" w:lineRule="auto"/>
        <w:tabs>
          <w:tab w:leader="none" w:pos="6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effectively junior to our obligations that are secured to the extent of the value of the collateral securing such obligations;</w:t>
      </w:r>
    </w:p>
    <w:p>
      <w:pPr>
        <w:ind w:left="660" w:right="459" w:hanging="299"/>
        <w:spacing w:after="0" w:line="239" w:lineRule="auto"/>
        <w:tabs>
          <w:tab w:leader="none" w:pos="6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senior in right of payment to all our existing and future obligations that are expressly subordinated to the 2026 Senior Unsecured Notes;</w:t>
      </w:r>
    </w:p>
    <w:p>
      <w:pPr>
        <w:ind w:left="660" w:right="299" w:hanging="299"/>
        <w:spacing w:after="0" w:line="239" w:lineRule="auto"/>
        <w:tabs>
          <w:tab w:leader="none" w:pos="6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structurally junior to any existing and future obligations of any of our subsidiaries that do not guarantee the 2026 Senior Unsecured Notes; and</w:t>
      </w:r>
    </w:p>
    <w:p>
      <w:pPr>
        <w:ind w:left="660" w:right="199" w:hanging="299"/>
        <w:spacing w:after="0" w:line="246" w:lineRule="auto"/>
        <w:tabs>
          <w:tab w:leader="none" w:pos="66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unconditionally guaranteed, jointly and severally, on a general senior secured basis by certain of our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160" w:lineRule="exact"/>
        <w:rPr>
          <w:sz w:val="20"/>
          <w:szCs w:val="20"/>
          <w:color w:val="auto"/>
        </w:rPr>
      </w:pPr>
    </w:p>
    <w:p>
      <w:pPr>
        <w:ind w:left="40" w:right="59"/>
        <w:spacing w:after="0" w:line="281" w:lineRule="auto"/>
        <w:rPr>
          <w:sz w:val="20"/>
          <w:szCs w:val="20"/>
          <w:color w:val="auto"/>
        </w:rPr>
      </w:pPr>
      <w:r>
        <w:rPr>
          <w:rFonts w:ascii="Arial" w:cs="Arial" w:eastAsia="Arial" w:hAnsi="Arial"/>
          <w:sz w:val="16"/>
          <w:szCs w:val="16"/>
          <w:color w:val="auto"/>
        </w:rPr>
        <w:t>Subject to certain exceptions, the Indentures contain restrictive covenants that, among other things, impose limitations on our ability and, in certain instances, the ability of certain of our subsidiaries to:</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97" w:name="page98"/>
    <w:bookmarkEnd w:id="9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660" w:hanging="299"/>
        <w:spacing w:after="0"/>
        <w:tabs>
          <w:tab w:leader="none" w:pos="66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incur additional debt;</w:t>
      </w:r>
    </w:p>
    <w:p>
      <w:pPr>
        <w:spacing w:after="0" w:line="27"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pay dividends or make distributions on our capital stock or repurchase our capital stock;</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make certain investments;</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create liens or enter into sale and leaseback transactions;</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enter into transactions with affiliates;</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merge or consolidate with another company;</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transfer and sell assets; and</w:t>
      </w:r>
    </w:p>
    <w:p>
      <w:pPr>
        <w:spacing w:after="0" w:line="11" w:lineRule="exact"/>
        <w:rPr>
          <w:rFonts w:ascii="Times New Roman" w:cs="Times New Roman" w:eastAsia="Times New Roman" w:hAnsi="Times New Roman"/>
          <w:sz w:val="16"/>
          <w:szCs w:val="16"/>
          <w:color w:val="auto"/>
        </w:rPr>
      </w:pPr>
    </w:p>
    <w:p>
      <w:pPr>
        <w:ind w:left="660" w:hanging="299"/>
        <w:spacing w:after="0"/>
        <w:tabs>
          <w:tab w:leader="none" w:pos="66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restrict our subsidiaries’ ability to pay dividends, make distributions, make other payments, or transfer assets.</w:t>
      </w:r>
    </w:p>
    <w:p>
      <w:pPr>
        <w:spacing w:after="0" w:line="192"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In the event of a change of control, as defined in the respective indenture, we would be required to make an offer to repurchase all or any part of a holder’s 2026 Senior Unsecured Notes at a purchase price equal to 101% of the aggregate principal amount thereof, together with accrued and unpaid interest thereon, to the date of repurchase.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Interest on Long-Term Debt</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78"/>
              <w:spacing w:after="0"/>
              <w:rPr>
                <w:sz w:val="20"/>
                <w:szCs w:val="20"/>
                <w:color w:val="auto"/>
              </w:rPr>
            </w:pPr>
            <w:r>
              <w:rPr>
                <w:rFonts w:ascii="Arial" w:cs="Arial" w:eastAsia="Arial" w:hAnsi="Arial"/>
                <w:sz w:val="16"/>
                <w:szCs w:val="16"/>
                <w:b w:val="1"/>
                <w:bCs w:val="1"/>
                <w:color w:val="auto"/>
              </w:rPr>
              <w:t>Annual</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rPr>
              <w:t>Semi-Annual</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center"/>
              <w:ind w:right="98"/>
              <w:spacing w:after="0"/>
              <w:rPr>
                <w:sz w:val="20"/>
                <w:szCs w:val="20"/>
                <w:color w:val="auto"/>
              </w:rPr>
            </w:pPr>
            <w:r>
              <w:rPr>
                <w:rFonts w:ascii="Arial" w:cs="Arial" w:eastAsia="Arial" w:hAnsi="Arial"/>
                <w:sz w:val="16"/>
                <w:szCs w:val="16"/>
                <w:b w:val="1"/>
                <w:bCs w:val="1"/>
                <w:color w:val="auto"/>
              </w:rPr>
              <w:t>Debt Service</w:t>
            </w: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4280" w:type="dxa"/>
            <w:vAlign w:val="bottom"/>
          </w:tcPr>
          <w:p>
            <w:pPr>
              <w:ind w:left="4100"/>
              <w:spacing w:after="0"/>
              <w:rPr>
                <w:sz w:val="20"/>
                <w:szCs w:val="20"/>
                <w:color w:val="auto"/>
              </w:rPr>
            </w:pPr>
            <w:r>
              <w:rPr>
                <w:rFonts w:ascii="Arial" w:cs="Arial" w:eastAsia="Arial" w:hAnsi="Arial"/>
                <w:sz w:val="16"/>
                <w:szCs w:val="16"/>
                <w:color w:val="auto"/>
              </w:rPr>
              <w:t>​​​</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rPr>
              <w:t>Payment Dates</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Pr>
          <w:p>
            <w:pPr>
              <w:jc w:val="center"/>
              <w:ind w:right="98"/>
              <w:spacing w:after="0"/>
              <w:rPr>
                <w:sz w:val="20"/>
                <w:szCs w:val="20"/>
                <w:color w:val="auto"/>
              </w:rPr>
            </w:pPr>
            <w:r>
              <w:rPr>
                <w:rFonts w:ascii="Arial" w:cs="Arial" w:eastAsia="Arial" w:hAnsi="Arial"/>
                <w:sz w:val="16"/>
                <w:szCs w:val="16"/>
                <w:b w:val="1"/>
                <w:bCs w:val="1"/>
                <w:color w:val="auto"/>
              </w:rPr>
              <w:t>Requirements</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5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center"/>
              <w:ind w:right="78"/>
              <w:spacing w:after="0" w:line="176" w:lineRule="exact"/>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184"/>
        </w:trPr>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5</w:t>
            </w: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1/4% Senior Secured Notes due 2026</w:t>
            </w: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February 1 and August 1</w:t>
            </w: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39,375</w:t>
            </w:r>
          </w:p>
        </w:tc>
        <w:tc>
          <w:tcPr>
            <w:tcW w:w="0" w:type="dxa"/>
            <w:vAlign w:val="bottom"/>
          </w:tcPr>
          <w:p>
            <w:pPr>
              <w:spacing w:after="0"/>
              <w:rPr>
                <w:sz w:val="1"/>
                <w:szCs w:val="1"/>
                <w:color w:val="auto"/>
              </w:rPr>
            </w:pPr>
          </w:p>
        </w:tc>
      </w:tr>
      <w:tr>
        <w:trPr>
          <w:trHeight w:val="20"/>
        </w:trPr>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6</w:t>
            </w:r>
          </w:p>
        </w:tc>
        <w:tc>
          <w:tcPr>
            <w:tcW w:w="4280" w:type="dxa"/>
            <w:vAlign w:val="bottom"/>
            <w:vMerge w:val="restart"/>
          </w:tcPr>
          <w:p>
            <w:pPr>
              <w:ind w:left="20"/>
              <w:spacing w:after="0"/>
              <w:rPr>
                <w:sz w:val="20"/>
                <w:szCs w:val="20"/>
                <w:color w:val="auto"/>
              </w:rPr>
            </w:pPr>
            <w:r>
              <w:rPr>
                <w:rFonts w:ascii="Arial" w:cs="Arial" w:eastAsia="Arial" w:hAnsi="Arial"/>
                <w:sz w:val="16"/>
                <w:szCs w:val="16"/>
                <w:color w:val="auto"/>
              </w:rPr>
              <w:t>5/8% Senior Notes due 2026</w:t>
            </w:r>
          </w:p>
        </w:tc>
        <w:tc>
          <w:tcPr>
            <w:tcW w:w="2540" w:type="dxa"/>
            <w:vAlign w:val="bottom"/>
            <w:vMerge w:val="restart"/>
          </w:tcPr>
          <w:p>
            <w:pPr>
              <w:jc w:val="center"/>
              <w:spacing w:after="0"/>
              <w:rPr>
                <w:sz w:val="20"/>
                <w:szCs w:val="20"/>
                <w:color w:val="auto"/>
              </w:rPr>
            </w:pPr>
            <w:r>
              <w:rPr>
                <w:rFonts w:ascii="Arial" w:cs="Arial" w:eastAsia="Arial" w:hAnsi="Arial"/>
                <w:sz w:val="16"/>
                <w:szCs w:val="16"/>
                <w:color w:val="auto"/>
              </w:rPr>
              <w:t>February 1 and August 1</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20" w:type="dxa"/>
            <w:vAlign w:val="bottom"/>
            <w:vMerge w:val="continue"/>
          </w:tcPr>
          <w:p>
            <w:pPr>
              <w:spacing w:after="0"/>
              <w:rPr>
                <w:sz w:val="13"/>
                <w:szCs w:val="13"/>
                <w:color w:val="auto"/>
              </w:rPr>
            </w:pPr>
          </w:p>
        </w:tc>
        <w:tc>
          <w:tcPr>
            <w:tcW w:w="4280" w:type="dxa"/>
            <w:vAlign w:val="bottom"/>
            <w:vMerge w:val="continue"/>
          </w:tcPr>
          <w:p>
            <w:pPr>
              <w:spacing w:after="0"/>
              <w:rPr>
                <w:sz w:val="13"/>
                <w:szCs w:val="13"/>
                <w:color w:val="auto"/>
              </w:rPr>
            </w:pPr>
          </w:p>
        </w:tc>
        <w:tc>
          <w:tcPr>
            <w:tcW w:w="254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5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49,688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ind w:left="480" w:hanging="438"/>
        <w:spacing w:after="0"/>
        <w:tabs>
          <w:tab w:leader="none" w:pos="48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 and Accounting for Uncertainty in Income Taxes</w:t>
      </w:r>
    </w:p>
    <w:p>
      <w:pPr>
        <w:spacing w:after="0" w:line="19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Our income tax policy is to record the estimated future tax effects of temporary differences between the tax bases of assets and liabilities and amounts reported on our Consolidated Balance Sheets, as well as probable operating loss, tax credit and other carryforwards. Deferred tax assets are offset by valuation allowances when we believe it is more likely than not that net deferred tax assets will not be realized. We periodically evaluate our need for a valuation allowance. Determining necessary valuation allowances requires us to make assessments about historical financial information as well as the timing of future events, including the probability of expected future taxable income and available tax planning opportunities.</w:t>
      </w:r>
    </w:p>
    <w:p>
      <w:pPr>
        <w:spacing w:after="0" w:line="159"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In December 2023, the Financial Accounting Standards Board (the “FASB”) issued Accounting Standards Update (“ASU”) 2023-09, Income Taxes (Topic 740): Improvements to Income Tax Disclosures, which requires entities to provide additional information in the income tax rate reconciliation and additional disclosures about income taxes paid. The new accounting guidance requires entities to disclose in their rate reconciliation table additional categories of information about federal, state and foreign income taxes and to provide more details about the reconciling items in some categories if the items meet a quantitative threshold. We adopted this accounting guidance on December 31, 2025, and applied it prospectively in our consolidated financial statements.</w:t>
      </w:r>
    </w:p>
    <w:p>
      <w:pPr>
        <w:spacing w:after="0" w:line="163"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On July 4, 2025, the One Big Beautiful Bill Act (the "OBBBA") was enacted into law in the United States. The OBBBA includes changes to certain U.S. federal income tax provisions, including the restoration of 100% bonus depreciation on certain assets and modifications to the limitation on business interest expense and the treatment of research and experimental expenditures. We evaluated the impact of the OBBBA in accordance with ASC 740, Income Taxes. The enactment did not have a material impact on our income tax expense, effective tax rate, or cash taxes for the year ended December 31, 2025, and we do not expect the OBBBA to</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7">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98" w:name="page99"/>
    <w:bookmarkEnd w:id="98"/>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60"/>
        <w:spacing w:after="0" w:line="253" w:lineRule="auto"/>
        <w:rPr>
          <w:sz w:val="20"/>
          <w:szCs w:val="20"/>
          <w:color w:val="auto"/>
        </w:rPr>
      </w:pPr>
      <w:r>
        <w:rPr>
          <w:rFonts w:ascii="Arial" w:cs="Arial" w:eastAsia="Arial" w:hAnsi="Arial"/>
          <w:sz w:val="16"/>
          <w:szCs w:val="16"/>
          <w:color w:val="auto"/>
        </w:rPr>
        <w:t>result in a material rate benefit in future periods. However, certain provisions of the OBBBA resulted in additional deductible interest expense and changes to the amortization of research and experimental expenditures, which increased our U.S. federal net operating loss carryforwards as of December 31, 2025. The related deferred tax effects have been reflected in our consolidated financial statements.</w:t>
      </w:r>
    </w:p>
    <w:p>
      <w:pPr>
        <w:spacing w:after="0" w:line="156" w:lineRule="exact"/>
        <w:rPr>
          <w:sz w:val="20"/>
          <w:szCs w:val="20"/>
          <w:color w:val="auto"/>
        </w:rPr>
      </w:pPr>
    </w:p>
    <w:p>
      <w:pPr>
        <w:jc w:val="both"/>
        <w:ind w:left="40" w:right="60"/>
        <w:spacing w:after="0" w:line="255" w:lineRule="auto"/>
        <w:rPr>
          <w:sz w:val="20"/>
          <w:szCs w:val="20"/>
          <w:color w:val="auto"/>
        </w:rPr>
      </w:pPr>
      <w:r>
        <w:rPr>
          <w:rFonts w:ascii="Arial" w:cs="Arial" w:eastAsia="Arial" w:hAnsi="Arial"/>
          <w:sz w:val="16"/>
          <w:szCs w:val="16"/>
          <w:color w:val="auto"/>
        </w:rPr>
        <w:t>HSSC and its domestic subsidiaries join with EchoStar in filing U.S. consolidated federal income tax returns and, in some states, combined or consolidated returns. The income taxes of domestic and foreign subsidiaries not included in the United States tax group are presented in our consolidated financial statements on a separate return basis for each tax paying entity.</w:t>
      </w:r>
    </w:p>
    <w:p>
      <w:pPr>
        <w:spacing w:after="0" w:line="345" w:lineRule="exact"/>
        <w:rPr>
          <w:sz w:val="20"/>
          <w:szCs w:val="20"/>
          <w:color w:val="auto"/>
        </w:rPr>
      </w:pPr>
    </w:p>
    <w:p>
      <w:pPr>
        <w:jc w:val="both"/>
        <w:ind w:left="40" w:right="60"/>
        <w:spacing w:after="0" w:line="253" w:lineRule="auto"/>
        <w:rPr>
          <w:sz w:val="20"/>
          <w:szCs w:val="20"/>
          <w:color w:val="auto"/>
        </w:rPr>
      </w:pPr>
      <w:r>
        <w:rPr>
          <w:rFonts w:ascii="Arial" w:cs="Arial" w:eastAsia="Arial" w:hAnsi="Arial"/>
          <w:sz w:val="16"/>
          <w:szCs w:val="16"/>
          <w:color w:val="242424"/>
        </w:rPr>
        <w:t>The Company’s income tax provision was prepared following the modified separate return method. The modified separate return method applies the Accounting Standards Codification 740 - Income Taxes (“ASC 740”) to the standalone financial statements of each member of the consolidated group as if the member were a separate taxpayer and a standalone enterprise, after providing benefits for losses.</w:t>
      </w:r>
    </w:p>
    <w:p>
      <w:pPr>
        <w:spacing w:after="0" w:line="156" w:lineRule="exact"/>
        <w:rPr>
          <w:sz w:val="20"/>
          <w:szCs w:val="20"/>
          <w:color w:val="auto"/>
        </w:rPr>
      </w:pPr>
    </w:p>
    <w:p>
      <w:pPr>
        <w:jc w:val="both"/>
        <w:ind w:left="40" w:right="60"/>
        <w:spacing w:after="0" w:line="281" w:lineRule="auto"/>
        <w:rPr>
          <w:sz w:val="20"/>
          <w:szCs w:val="20"/>
          <w:color w:val="auto"/>
        </w:rPr>
      </w:pPr>
      <w:r>
        <w:rPr>
          <w:rFonts w:ascii="Arial" w:cs="Arial" w:eastAsia="Arial" w:hAnsi="Arial"/>
          <w:sz w:val="16"/>
          <w:szCs w:val="16"/>
          <w:color w:val="auto"/>
        </w:rPr>
        <w:t>As of December 31, 2025, we had foreign net operating loss carryforwards (“NOLs”) of $515 million and $164 million of related taxes which are partially offset by valuation allowances.</w:t>
      </w:r>
    </w:p>
    <w:p>
      <w:pPr>
        <w:spacing w:after="0" w:line="133" w:lineRule="exact"/>
        <w:rPr>
          <w:sz w:val="20"/>
          <w:szCs w:val="20"/>
          <w:color w:val="auto"/>
        </w:rPr>
      </w:pPr>
    </w:p>
    <w:p>
      <w:pPr>
        <w:jc w:val="both"/>
        <w:ind w:left="40" w:right="60"/>
        <w:spacing w:after="0" w:line="281" w:lineRule="auto"/>
        <w:rPr>
          <w:sz w:val="20"/>
          <w:szCs w:val="20"/>
          <w:color w:val="auto"/>
        </w:rPr>
      </w:pPr>
      <w:r>
        <w:rPr>
          <w:rFonts w:ascii="Arial" w:cs="Arial" w:eastAsia="Arial" w:hAnsi="Arial"/>
          <w:sz w:val="16"/>
          <w:szCs w:val="16"/>
          <w:color w:val="auto"/>
        </w:rPr>
        <w:t>As of December 31, 2025 we had $84 million of NOLs for federal income tax purposes. In addition, there are $5 million of tax benefits related to credit carryforwards which are fully offset by a valuation allowance.</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components of the (benefit from) provision for income taxes were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0" w:type="dxa"/>
            <w:vAlign w:val="bottom"/>
            <w:gridSpan w:val="2"/>
          </w:tcPr>
          <w:p>
            <w:pPr>
              <w:jc w:val="right"/>
              <w:ind w:right="43"/>
              <w:spacing w:after="0"/>
              <w:rPr>
                <w:sz w:val="20"/>
                <w:szCs w:val="20"/>
                <w:color w:val="auto"/>
              </w:rPr>
            </w:pPr>
            <w:r>
              <w:rPr>
                <w:rFonts w:ascii="Arial" w:cs="Arial" w:eastAsia="Arial" w:hAnsi="Arial"/>
                <w:sz w:val="16"/>
                <w:szCs w:val="16"/>
                <w:b w:val="1"/>
                <w:bCs w:val="1"/>
                <w:color w:val="auto"/>
              </w:rPr>
              <w:t>​​​</w:t>
            </w:r>
          </w:p>
        </w:tc>
        <w:tc>
          <w:tcPr>
            <w:tcW w:w="3260" w:type="dxa"/>
            <w:vAlign w:val="bottom"/>
            <w:gridSpan w:val="9"/>
          </w:tcPr>
          <w:p>
            <w:pPr>
              <w:ind w:left="160"/>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gridSpan w:val="2"/>
          </w:tcPr>
          <w:p>
            <w:pPr>
              <w:jc w:val="right"/>
              <w:ind w:right="58"/>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top w:val="single" w:sz="8" w:color="auto"/>
            </w:tcBorders>
            <w:gridSpan w:val="2"/>
          </w:tcPr>
          <w:p>
            <w:pPr>
              <w:jc w:val="right"/>
              <w:ind w:right="58"/>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spacing w:after="0" w:line="164"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(loss) before income taxes:</w:t>
            </w:r>
          </w:p>
        </w:tc>
        <w:tc>
          <w:tcPr>
            <w:tcW w:w="1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US</w:t>
            </w:r>
          </w:p>
        </w:tc>
        <w:tc>
          <w:tcPr>
            <w:tcW w:w="200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(1,610,838)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(195,554)</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(307,822)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Foreign</w:t>
            </w:r>
          </w:p>
        </w:tc>
        <w:tc>
          <w:tcPr>
            <w:tcW w:w="1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(71,608)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(56,709)</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b w:val="1"/>
                <w:bCs w:val="1"/>
                <w:color w:val="auto"/>
              </w:rPr>
              <w:t>Total Income (loss) before income taxes:</w:t>
            </w:r>
          </w:p>
        </w:tc>
        <w:tc>
          <w:tcPr>
            <w:tcW w:w="18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(1,682,446)</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(252,263)</w:t>
            </w:r>
          </w:p>
        </w:tc>
        <w:tc>
          <w:tcPr>
            <w:tcW w:w="1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(432,312)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6"/>
                <w:szCs w:val="16"/>
                <w:b w:val="1"/>
                <w:bCs w:val="1"/>
                <w:color w:val="auto"/>
              </w:rPr>
              <w:t>Current provision (benefit):</w:t>
            </w: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gridSpan w:val="2"/>
          </w:tcPr>
          <w:p>
            <w:pPr>
              <w:jc w:val="right"/>
              <w:ind w:right="238"/>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Federal</w:t>
            </w:r>
          </w:p>
        </w:tc>
        <w:tc>
          <w:tcPr>
            <w:tcW w:w="20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6,155</w:t>
            </w:r>
          </w:p>
        </w:tc>
        <w:tc>
          <w:tcPr>
            <w:tcW w:w="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State</w:t>
            </w: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(6,916)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Foreign</w:t>
            </w:r>
          </w:p>
        </w:tc>
        <w:tc>
          <w:tcPr>
            <w:tcW w:w="18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6,901</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b w:val="1"/>
                <w:bCs w:val="1"/>
                <w:color w:val="auto"/>
              </w:rPr>
              <w:t>Total current (benefit) provision</w:t>
            </w:r>
          </w:p>
        </w:tc>
        <w:tc>
          <w:tcPr>
            <w:tcW w:w="18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5,839</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26,613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82,823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6"/>
                <w:szCs w:val="16"/>
                <w:b w:val="1"/>
                <w:bCs w:val="1"/>
                <w:color w:val="auto"/>
              </w:rPr>
              <w:t>Deferred provision (benefit):</w:t>
            </w: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gridSpan w:val="2"/>
          </w:tcPr>
          <w:p>
            <w:pPr>
              <w:jc w:val="right"/>
              <w:ind w:right="238"/>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Federal</w:t>
            </w:r>
          </w:p>
        </w:tc>
        <w:tc>
          <w:tcPr>
            <w:tcW w:w="20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(338,317)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State</w:t>
            </w: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(63,495)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(11,470)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Foreign</w:t>
            </w:r>
          </w:p>
        </w:tc>
        <w:tc>
          <w:tcPr>
            <w:tcW w:w="1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b w:val="1"/>
                <w:bCs w:val="1"/>
                <w:color w:val="auto"/>
              </w:rPr>
              <w:t>Total deferred provision (benefit)</w:t>
            </w:r>
          </w:p>
        </w:tc>
        <w:tc>
          <w:tcPr>
            <w:tcW w:w="18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(404,779)</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(60,766)</w:t>
            </w:r>
          </w:p>
        </w:tc>
        <w:tc>
          <w:tcPr>
            <w:tcW w:w="1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(36,697)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Total provision (benefit)</w:t>
            </w:r>
          </w:p>
        </w:tc>
        <w:tc>
          <w:tcPr>
            <w:tcW w:w="18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(398,940)</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(34,153)</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46,126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6"/>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00" w:type="dxa"/>
            <w:vAlign w:val="bottom"/>
            <w:gridSpan w:val="2"/>
          </w:tcPr>
          <w:p>
            <w:pPr>
              <w:jc w:val="right"/>
              <w:ind w:right="1003"/>
              <w:spacing w:after="0"/>
              <w:rPr>
                <w:sz w:val="20"/>
                <w:szCs w:val="20"/>
                <w:color w:val="auto"/>
              </w:rPr>
            </w:pPr>
            <w:r>
              <w:rPr>
                <w:rFonts w:ascii="Arial" w:cs="Arial" w:eastAsia="Arial" w:hAnsi="Arial"/>
                <w:sz w:val="16"/>
                <w:szCs w:val="16"/>
                <w:color w:val="auto"/>
              </w:rPr>
              <w:t>F-41</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2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478" w:right="1439" w:bottom="1440" w:gutter="0" w:footer="0" w:header="0"/>
        </w:sectPr>
      </w:pPr>
    </w:p>
    <w:bookmarkStart w:id="99" w:name="page100"/>
    <w:bookmarkEnd w:id="9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As described above, we have elected to prospectively adopt the guidance in ASU 2023-09. The following table is a reconciliation of the U.S. federal statutory rate of 21% to our effective rate for the year ended December 31, 2025 in accordance with the guidance in ASU No. 2023-09:</w:t>
      </w:r>
    </w:p>
    <w:p>
      <w:pPr>
        <w:spacing w:after="0" w:line="64"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For the Year Ended</w:t>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December 31, 2025</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38"/>
              <w:spacing w:after="0" w:line="171" w:lineRule="exact"/>
              <w:rPr>
                <w:sz w:val="20"/>
                <w:szCs w:val="20"/>
                <w:color w:val="auto"/>
              </w:rPr>
            </w:pPr>
            <w:r>
              <w:rPr>
                <w:rFonts w:ascii="Arial" w:cs="Arial" w:eastAsia="Arial" w:hAnsi="Arial"/>
                <w:sz w:val="16"/>
                <w:szCs w:val="16"/>
                <w:color w:val="auto"/>
              </w:rPr>
              <w:t>% of pre-tax</w:t>
            </w:r>
          </w:p>
        </w:tc>
        <w:tc>
          <w:tcPr>
            <w:tcW w:w="20" w:type="dxa"/>
            <w:vAlign w:val="bottom"/>
          </w:tcPr>
          <w:p>
            <w:pPr>
              <w:spacing w:after="0"/>
              <w:rPr>
                <w:sz w:val="14"/>
                <w:szCs w:val="14"/>
                <w:color w:val="auto"/>
              </w:rPr>
            </w:pPr>
          </w:p>
        </w:tc>
      </w:tr>
      <w:tr>
        <w:trPr>
          <w:trHeight w:val="201"/>
        </w:trPr>
        <w:tc>
          <w:tcPr>
            <w:tcW w:w="5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6"/>
                <w:szCs w:val="16"/>
                <w:color w:val="auto"/>
              </w:rPr>
              <w:t>(In thousands)</w:t>
            </w:r>
          </w:p>
        </w:tc>
        <w:tc>
          <w:tcPr>
            <w:tcW w:w="1300" w:type="dxa"/>
            <w:vAlign w:val="bottom"/>
            <w:gridSpan w:val="2"/>
          </w:tcPr>
          <w:p>
            <w:pPr>
              <w:ind w:left="160"/>
              <w:spacing w:after="0"/>
              <w:rPr>
                <w:sz w:val="20"/>
                <w:szCs w:val="20"/>
                <w:color w:val="auto"/>
              </w:rPr>
            </w:pPr>
            <w:r>
              <w:rPr>
                <w:rFonts w:ascii="Arial" w:cs="Arial" w:eastAsia="Arial" w:hAnsi="Arial"/>
                <w:sz w:val="16"/>
                <w:szCs w:val="16"/>
                <w:color w:val="auto"/>
              </w:rPr>
              <w:t>income/(loss)</w:t>
            </w:r>
          </w:p>
        </w:tc>
      </w:tr>
      <w:tr>
        <w:trPr>
          <w:trHeight w:val="184"/>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Pretax book income (loss) at US federal statutory tax rate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(353,314)</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0" w:type="dxa"/>
            <w:vAlign w:val="bottom"/>
          </w:tcPr>
          <w:p>
            <w:pPr>
              <w:spacing w:after="0"/>
              <w:rPr>
                <w:sz w:val="15"/>
                <w:szCs w:val="15"/>
                <w:color w:val="auto"/>
              </w:rPr>
            </w:pPr>
          </w:p>
        </w:tc>
      </w:tr>
      <w:tr>
        <w:trPr>
          <w:trHeight w:val="184"/>
        </w:trPr>
        <w:tc>
          <w:tcPr>
            <w:tcW w:w="5240" w:type="dxa"/>
            <w:vAlign w:val="bottom"/>
          </w:tcPr>
          <w:p>
            <w:pPr>
              <w:spacing w:after="0"/>
              <w:rPr>
                <w:sz w:val="20"/>
                <w:szCs w:val="20"/>
                <w:color w:val="auto"/>
              </w:rPr>
            </w:pPr>
            <w:r>
              <w:rPr>
                <w:rFonts w:ascii="Arial" w:cs="Arial" w:eastAsia="Arial" w:hAnsi="Arial"/>
                <w:sz w:val="16"/>
                <w:szCs w:val="16"/>
                <w:color w:val="auto"/>
              </w:rPr>
              <w:t>State and local income taxes, net of federal income tax effect</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(55,624)</w:t>
            </w:r>
          </w:p>
        </w:tc>
        <w:tc>
          <w:tcPr>
            <w:tcW w:w="128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5"/>
                <w:szCs w:val="15"/>
                <w:color w:val="auto"/>
              </w:rPr>
            </w:pPr>
          </w:p>
        </w:tc>
      </w:tr>
      <w:tr>
        <w:trPr>
          <w:trHeight w:val="184"/>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Foreign rate difference/other</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17,356</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5"/>
                <w:szCs w:val="15"/>
                <w:color w:val="auto"/>
              </w:rPr>
            </w:pPr>
          </w:p>
        </w:tc>
      </w:tr>
      <w:tr>
        <w:trPr>
          <w:trHeight w:val="184"/>
        </w:trPr>
        <w:tc>
          <w:tcPr>
            <w:tcW w:w="5240" w:type="dxa"/>
            <w:vAlign w:val="bottom"/>
          </w:tcPr>
          <w:p>
            <w:pPr>
              <w:spacing w:after="0"/>
              <w:rPr>
                <w:sz w:val="20"/>
                <w:szCs w:val="20"/>
                <w:color w:val="auto"/>
              </w:rPr>
            </w:pPr>
            <w:r>
              <w:rPr>
                <w:rFonts w:ascii="Arial" w:cs="Arial" w:eastAsia="Arial" w:hAnsi="Arial"/>
                <w:sz w:val="16"/>
                <w:szCs w:val="16"/>
                <w:color w:val="auto"/>
              </w:rPr>
              <w:t>Changes in valuation allowances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614</w:t>
            </w:r>
          </w:p>
        </w:tc>
        <w:tc>
          <w:tcPr>
            <w:tcW w:w="2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5"/>
                <w:szCs w:val="15"/>
                <w:color w:val="auto"/>
              </w:rPr>
            </w:pPr>
          </w:p>
        </w:tc>
      </w:tr>
      <w:tr>
        <w:trPr>
          <w:trHeight w:val="184"/>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Nontaxable or nondeductible items</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(2,509)</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5"/>
                <w:szCs w:val="15"/>
                <w:color w:val="auto"/>
              </w:rPr>
            </w:pPr>
          </w:p>
        </w:tc>
      </w:tr>
      <w:tr>
        <w:trPr>
          <w:trHeight w:val="184"/>
        </w:trPr>
        <w:tc>
          <w:tcPr>
            <w:tcW w:w="5240" w:type="dxa"/>
            <w:vAlign w:val="bottom"/>
          </w:tcPr>
          <w:p>
            <w:pPr>
              <w:spacing w:after="0"/>
              <w:rPr>
                <w:sz w:val="20"/>
                <w:szCs w:val="20"/>
                <w:color w:val="auto"/>
              </w:rPr>
            </w:pPr>
            <w:r>
              <w:rPr>
                <w:rFonts w:ascii="Arial" w:cs="Arial" w:eastAsia="Arial" w:hAnsi="Arial"/>
                <w:sz w:val="16"/>
                <w:szCs w:val="16"/>
                <w:color w:val="auto"/>
              </w:rPr>
              <w:t>Changes in unrecognized tax benefits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(609)</w:t>
            </w:r>
          </w:p>
        </w:tc>
        <w:tc>
          <w:tcPr>
            <w:tcW w:w="128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5"/>
                <w:szCs w:val="15"/>
                <w:color w:val="auto"/>
              </w:rPr>
            </w:pPr>
          </w:p>
        </w:tc>
      </w:tr>
      <w:tr>
        <w:trPr>
          <w:trHeight w:val="184"/>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Other adjustments</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(4,854)</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5"/>
                <w:szCs w:val="15"/>
                <w:color w:val="auto"/>
              </w:rPr>
            </w:pPr>
          </w:p>
        </w:tc>
      </w:tr>
      <w:tr>
        <w:trPr>
          <w:trHeight w:val="176"/>
        </w:trPr>
        <w:tc>
          <w:tcPr>
            <w:tcW w:w="5240" w:type="dxa"/>
            <w:vAlign w:val="bottom"/>
          </w:tcPr>
          <w:p>
            <w:pPr>
              <w:spacing w:after="0" w:line="176" w:lineRule="exact"/>
              <w:rPr>
                <w:sz w:val="20"/>
                <w:szCs w:val="20"/>
                <w:color w:val="auto"/>
              </w:rPr>
            </w:pPr>
            <w:r>
              <w:rPr>
                <w:rFonts w:ascii="Arial" w:cs="Arial" w:eastAsia="Arial" w:hAnsi="Arial"/>
                <w:sz w:val="16"/>
                <w:szCs w:val="16"/>
                <w:b w:val="1"/>
                <w:bCs w:val="1"/>
                <w:color w:val="auto"/>
              </w:rPr>
              <w:t>Total income tax provision (benefit)</w:t>
            </w:r>
          </w:p>
        </w:tc>
        <w:tc>
          <w:tcPr>
            <w:tcW w:w="8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(398,940)</w:t>
            </w:r>
          </w:p>
        </w:tc>
        <w:tc>
          <w:tcPr>
            <w:tcW w:w="26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23.7</w:t>
            </w:r>
          </w:p>
        </w:tc>
        <w:tc>
          <w:tcPr>
            <w:tcW w:w="20" w:type="dxa"/>
            <w:vAlign w:val="bottom"/>
          </w:tcPr>
          <w:p>
            <w:pPr>
              <w:spacing w:after="0"/>
              <w:rPr>
                <w:sz w:val="15"/>
                <w:szCs w:val="15"/>
                <w:color w:val="auto"/>
              </w:rPr>
            </w:pPr>
          </w:p>
        </w:tc>
      </w:tr>
      <w:tr>
        <w:trPr>
          <w:trHeight w:val="20"/>
        </w:trPr>
        <w:tc>
          <w:tcPr>
            <w:tcW w:w="5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The state and local jurisdictions that contribute to the majority (greater than 50%) of the tax effect in this category include Alabama, California, Colorado, Illinois, Michigan, Minnesota, New York and Wisconsin.</w:t>
      </w:r>
    </w:p>
    <w:p>
      <w:pPr>
        <w:spacing w:after="0" w:line="219"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The following table is a reconciliation of the U.S. federal statutory rate of 21% to our effective rate for years prior to the adoption of ASU 2023-09:</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20" w:type="dxa"/>
            <w:vAlign w:val="bottom"/>
            <w:gridSpan w:val="8"/>
          </w:tcPr>
          <w:p>
            <w:pPr>
              <w:jc w:val="right"/>
              <w:ind w:right="178"/>
              <w:spacing w:after="0"/>
              <w:rPr>
                <w:sz w:val="20"/>
                <w:szCs w:val="20"/>
                <w:color w:val="auto"/>
              </w:rPr>
            </w:pPr>
            <w:r>
              <w:rPr>
                <w:rFonts w:ascii="Arial" w:cs="Arial" w:eastAsia="Arial" w:hAnsi="Arial"/>
                <w:sz w:val="16"/>
                <w:szCs w:val="16"/>
                <w:b w:val="1"/>
                <w:bCs w:val="1"/>
                <w:color w:val="auto"/>
              </w:rPr>
              <w:t>​​​   For the Years Ended December 31,</w:t>
            </w:r>
          </w:p>
        </w:tc>
      </w:tr>
      <w:tr>
        <w:trPr>
          <w:trHeight w:val="184"/>
        </w:trPr>
        <w:tc>
          <w:tcPr>
            <w:tcW w:w="4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2023</w:t>
            </w:r>
          </w:p>
        </w:tc>
      </w:tr>
      <w:tr>
        <w:trPr>
          <w:trHeight w:val="164"/>
        </w:trPr>
        <w:tc>
          <w:tcPr>
            <w:tcW w:w="4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5"/>
          </w:tcPr>
          <w:p>
            <w:pPr>
              <w:jc w:val="right"/>
              <w:ind w:right="29"/>
              <w:spacing w:after="0" w:line="164" w:lineRule="exact"/>
              <w:rPr>
                <w:sz w:val="20"/>
                <w:szCs w:val="20"/>
                <w:color w:val="auto"/>
              </w:rPr>
            </w:pPr>
            <w:r>
              <w:rPr>
                <w:rFonts w:ascii="Arial" w:cs="Arial" w:eastAsia="Arial" w:hAnsi="Arial"/>
                <w:sz w:val="16"/>
                <w:szCs w:val="16"/>
                <w:color w:val="auto"/>
              </w:rPr>
              <w:t>(In thousands)</w:t>
            </w:r>
          </w:p>
        </w:tc>
        <w:tc>
          <w:tcPr>
            <w:tcW w:w="980" w:type="dxa"/>
            <w:vAlign w:val="bottom"/>
          </w:tcPr>
          <w:p>
            <w:pPr>
              <w:spacing w:after="0"/>
              <w:rPr>
                <w:sz w:val="14"/>
                <w:szCs w:val="14"/>
                <w:color w:val="auto"/>
              </w:rPr>
            </w:pPr>
          </w:p>
        </w:tc>
      </w:tr>
      <w:tr>
        <w:trPr>
          <w:trHeight w:val="18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Statutory rate</w:t>
            </w:r>
          </w:p>
        </w:tc>
        <w:tc>
          <w:tcPr>
            <w:tcW w:w="138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(52,975)</w:t>
            </w:r>
          </w:p>
        </w:tc>
        <w:tc>
          <w:tcPr>
            <w:tcW w:w="680" w:type="dxa"/>
            <w:vAlign w:val="bottom"/>
            <w:gridSpan w:val="3"/>
            <w:shd w:val="clear" w:color="auto" w:fill="CCEEFF"/>
          </w:tcPr>
          <w:p>
            <w:pPr>
              <w:jc w:val="right"/>
              <w:ind w:right="30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(90,786)</w:t>
            </w:r>
          </w:p>
        </w:tc>
      </w:tr>
      <w:tr>
        <w:trPr>
          <w:trHeight w:val="184"/>
        </w:trPr>
        <w:tc>
          <w:tcPr>
            <w:tcW w:w="4700" w:type="dxa"/>
            <w:vAlign w:val="bottom"/>
          </w:tcPr>
          <w:p>
            <w:pPr>
              <w:spacing w:after="0"/>
              <w:rPr>
                <w:sz w:val="20"/>
                <w:szCs w:val="20"/>
                <w:color w:val="auto"/>
              </w:rPr>
            </w:pPr>
            <w:r>
              <w:rPr>
                <w:rFonts w:ascii="Arial" w:cs="Arial" w:eastAsia="Arial" w:hAnsi="Arial"/>
                <w:sz w:val="16"/>
                <w:szCs w:val="16"/>
                <w:color w:val="auto"/>
              </w:rPr>
              <w:t>State income taxes, net of federal provision (benefit)</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(10,927)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Permanent differences</w:t>
            </w: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(716)</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184"/>
        </w:trPr>
        <w:tc>
          <w:tcPr>
            <w:tcW w:w="4700" w:type="dxa"/>
            <w:vAlign w:val="bottom"/>
          </w:tcPr>
          <w:p>
            <w:pPr>
              <w:spacing w:after="0"/>
              <w:rPr>
                <w:sz w:val="20"/>
                <w:szCs w:val="20"/>
                <w:color w:val="auto"/>
              </w:rPr>
            </w:pPr>
            <w:r>
              <w:rPr>
                <w:rFonts w:ascii="Arial" w:cs="Arial" w:eastAsia="Arial" w:hAnsi="Arial"/>
                <w:sz w:val="16"/>
                <w:szCs w:val="16"/>
                <w:color w:val="auto"/>
              </w:rPr>
              <w:t>Impairments</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108,734</w:t>
            </w:r>
          </w:p>
        </w:tc>
      </w:tr>
      <w:tr>
        <w:trPr>
          <w:trHeight w:val="18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Tax credits, including withholding tax</w:t>
            </w: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(4,196)</w:t>
            </w:r>
          </w:p>
        </w:tc>
      </w:tr>
      <w:tr>
        <w:trPr>
          <w:trHeight w:val="184"/>
        </w:trPr>
        <w:tc>
          <w:tcPr>
            <w:tcW w:w="4700" w:type="dxa"/>
            <w:vAlign w:val="bottom"/>
          </w:tcPr>
          <w:p>
            <w:pPr>
              <w:spacing w:after="0"/>
              <w:rPr>
                <w:sz w:val="20"/>
                <w:szCs w:val="20"/>
                <w:color w:val="auto"/>
              </w:rPr>
            </w:pPr>
            <w:r>
              <w:rPr>
                <w:rFonts w:ascii="Arial" w:cs="Arial" w:eastAsia="Arial" w:hAnsi="Arial"/>
                <w:sz w:val="16"/>
                <w:szCs w:val="16"/>
                <w:color w:val="auto"/>
              </w:rPr>
              <w:t>Valuation allowance</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45,043</w:t>
            </w:r>
          </w:p>
        </w:tc>
      </w:tr>
      <w:tr>
        <w:trPr>
          <w:trHeight w:val="18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Rates different than statutory</w:t>
            </w: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(5,945)</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(16,041)</w:t>
            </w:r>
          </w:p>
        </w:tc>
      </w:tr>
      <w:tr>
        <w:trPr>
          <w:trHeight w:val="184"/>
        </w:trPr>
        <w:tc>
          <w:tcPr>
            <w:tcW w:w="4700" w:type="dxa"/>
            <w:vAlign w:val="bottom"/>
          </w:tcPr>
          <w:p>
            <w:pPr>
              <w:spacing w:after="0"/>
              <w:rPr>
                <w:sz w:val="20"/>
                <w:szCs w:val="20"/>
                <w:color w:val="auto"/>
              </w:rPr>
            </w:pPr>
            <w:r>
              <w:rPr>
                <w:rFonts w:ascii="Arial" w:cs="Arial" w:eastAsia="Arial" w:hAnsi="Arial"/>
                <w:sz w:val="16"/>
                <w:szCs w:val="16"/>
                <w:color w:val="auto"/>
              </w:rPr>
              <w:t>Uncertain Tax Positions</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7,413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0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4,104</w:t>
            </w:r>
          </w:p>
        </w:tc>
      </w:tr>
      <w:tr>
        <w:trPr>
          <w:trHeight w:val="176"/>
        </w:trPr>
        <w:tc>
          <w:tcPr>
            <w:tcW w:w="4700" w:type="dxa"/>
            <w:vAlign w:val="bottom"/>
          </w:tcPr>
          <w:p>
            <w:pPr>
              <w:spacing w:after="0" w:line="176" w:lineRule="exact"/>
              <w:rPr>
                <w:sz w:val="20"/>
                <w:szCs w:val="20"/>
                <w:color w:val="auto"/>
              </w:rPr>
            </w:pPr>
            <w:r>
              <w:rPr>
                <w:rFonts w:ascii="Arial" w:cs="Arial" w:eastAsia="Arial" w:hAnsi="Arial"/>
                <w:sz w:val="16"/>
                <w:szCs w:val="16"/>
                <w:b w:val="1"/>
                <w:bCs w:val="1"/>
                <w:color w:val="auto"/>
              </w:rPr>
              <w:t>Total income tax provision (benefit), net</w:t>
            </w:r>
          </w:p>
        </w:tc>
        <w:tc>
          <w:tcPr>
            <w:tcW w:w="1060" w:type="dxa"/>
            <w:vAlign w:val="bottom"/>
          </w:tcPr>
          <w:p>
            <w:pPr>
              <w:spacing w:after="0"/>
              <w:rPr>
                <w:sz w:val="15"/>
                <w:szCs w:val="15"/>
                <w:color w:val="auto"/>
              </w:rPr>
            </w:pPr>
          </w:p>
        </w:tc>
        <w:tc>
          <w:tcPr>
            <w:tcW w:w="320" w:type="dxa"/>
            <w:vAlign w:val="bottom"/>
          </w:tcPr>
          <w:p>
            <w:pPr>
              <w:jc w:val="right"/>
              <w:ind w:right="138"/>
              <w:spacing w:after="0" w:line="176"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76" w:lineRule="exact"/>
              <w:rPr>
                <w:sz w:val="20"/>
                <w:szCs w:val="20"/>
                <w:color w:val="auto"/>
              </w:rPr>
            </w:pPr>
            <w:r>
              <w:rPr>
                <w:rFonts w:ascii="Arial" w:cs="Arial" w:eastAsia="Arial" w:hAnsi="Arial"/>
                <w:sz w:val="16"/>
                <w:szCs w:val="16"/>
                <w:color w:val="auto"/>
              </w:rPr>
              <w:t>(34,153)</w:t>
            </w:r>
          </w:p>
        </w:tc>
        <w:tc>
          <w:tcPr>
            <w:tcW w:w="8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46,126</w:t>
            </w:r>
          </w:p>
        </w:tc>
      </w:tr>
      <w:tr>
        <w:trPr>
          <w:trHeight w:val="20"/>
        </w:trPr>
        <w:tc>
          <w:tcPr>
            <w:tcW w:w="4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8">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00" w:name="page101"/>
    <w:bookmarkEnd w:id="10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40" w:right="60"/>
        <w:spacing w:after="0" w:line="281" w:lineRule="auto"/>
        <w:rPr>
          <w:sz w:val="20"/>
          <w:szCs w:val="20"/>
          <w:color w:val="auto"/>
        </w:rPr>
      </w:pPr>
      <w:r>
        <w:rPr>
          <w:rFonts w:ascii="Arial" w:cs="Arial" w:eastAsia="Arial" w:hAnsi="Arial"/>
          <w:sz w:val="16"/>
          <w:szCs w:val="16"/>
          <w:color w:val="auto"/>
        </w:rPr>
        <w:t>Deferred taxes arise because of differences in the book and tax bases of certain assets and liabilities. Significant components of deferred tax assets and liabilities were as follows: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6"/>
                <w:szCs w:val="16"/>
                <w:b w:val="1"/>
                <w:bCs w:val="1"/>
                <w:color w:val="auto"/>
              </w:rPr>
              <w:t>​​​</w:t>
            </w:r>
          </w:p>
        </w:tc>
        <w:tc>
          <w:tcPr>
            <w:tcW w:w="2400" w:type="dxa"/>
            <w:vAlign w:val="bottom"/>
            <w:gridSpan w:val="7"/>
          </w:tcPr>
          <w:p>
            <w:pPr>
              <w:ind w:left="2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w w:val="95"/>
              </w:rPr>
              <w:t>2024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4"/>
          </w:tcPr>
          <w:p>
            <w:pPr>
              <w:jc w:val="right"/>
              <w:spacing w:after="0" w:line="164" w:lineRule="exact"/>
              <w:rPr>
                <w:sz w:val="20"/>
                <w:szCs w:val="20"/>
                <w:color w:val="auto"/>
              </w:rPr>
            </w:pPr>
            <w:r>
              <w:rPr>
                <w:rFonts w:ascii="Arial" w:cs="Arial" w:eastAsia="Arial" w:hAnsi="Arial"/>
                <w:sz w:val="16"/>
                <w:szCs w:val="16"/>
                <w:color w:val="auto"/>
              </w:rPr>
              <w:t>(In thousands)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 tax assets:</w:t>
            </w: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Net operating losses, credit and other carryforwards</w:t>
            </w:r>
          </w:p>
        </w:tc>
        <w:tc>
          <w:tcPr>
            <w:tcW w:w="86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208,326</w:t>
            </w: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152,355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regulatory authorizations, and other intangibles</w:t>
            </w: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41,367</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Lease liabilities</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213,800</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investments</w:t>
            </w: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34,723</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Accrued expenses</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55,049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48,121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Non-cash, stock-based compensation</w:t>
            </w: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w:t>
            </w:r>
          </w:p>
        </w:tc>
        <w:tc>
          <w:tcPr>
            <w:tcW w:w="6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36,361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Total deferred tax assets</w:t>
            </w: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558,502</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402,592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Valuation allowance</w:t>
            </w:r>
          </w:p>
        </w:tc>
        <w:tc>
          <w:tcPr>
            <w:tcW w:w="6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(234,152)</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(193,118)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Deferred tax assets after valuation allowance</w:t>
            </w:r>
          </w:p>
        </w:tc>
        <w:tc>
          <w:tcPr>
            <w:tcW w:w="6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8"/>
              <w:spacing w:after="0" w:line="176"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324,350</w:t>
            </w:r>
          </w:p>
        </w:tc>
        <w:tc>
          <w:tcPr>
            <w:tcW w:w="2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jc w:val="right"/>
              <w:ind w:right="300"/>
              <w:spacing w:after="0" w:line="176"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209,474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 tax liabilities:</w:t>
            </w: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Property and equipment, regulatory authorizations, and other intangibles</w:t>
            </w:r>
          </w:p>
        </w:tc>
        <w:tc>
          <w:tcPr>
            <w:tcW w:w="86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(201,701)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ROU assets</w:t>
            </w: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(78,763)</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(170,554)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liabilities</w:t>
            </w:r>
          </w:p>
        </w:tc>
        <w:tc>
          <w:tcPr>
            <w:tcW w:w="6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(24,998)</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(21,761)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Total deferred tax liabilities</w:t>
            </w:r>
          </w:p>
        </w:tc>
        <w:tc>
          <w:tcPr>
            <w:tcW w:w="6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(103,761)</w:t>
            </w:r>
          </w:p>
        </w:tc>
        <w:tc>
          <w:tcPr>
            <w:tcW w:w="2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(394,016)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Net deferred tax asset (liability) (1)</w:t>
            </w:r>
          </w:p>
        </w:tc>
        <w:tc>
          <w:tcPr>
            <w:tcW w:w="620" w:type="dxa"/>
            <w:vAlign w:val="bottom"/>
          </w:tcPr>
          <w:p>
            <w:pPr>
              <w:spacing w:after="0"/>
              <w:rPr>
                <w:sz w:val="15"/>
                <w:szCs w:val="15"/>
                <w:color w:val="auto"/>
              </w:rPr>
            </w:pPr>
          </w:p>
        </w:tc>
        <w:tc>
          <w:tcPr>
            <w:tcW w:w="240" w:type="dxa"/>
            <w:vAlign w:val="bottom"/>
            <w:tcBorders>
              <w:bottom w:val="single" w:sz="8" w:color="auto"/>
            </w:tcBorders>
          </w:tcPr>
          <w:p>
            <w:pPr>
              <w:jc w:val="right"/>
              <w:ind w:right="58"/>
              <w:spacing w:after="0" w:line="176"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220,589</w:t>
            </w:r>
          </w:p>
        </w:tc>
        <w:tc>
          <w:tcPr>
            <w:tcW w:w="260" w:type="dxa"/>
            <w:vAlign w:val="bottom"/>
          </w:tcPr>
          <w:p>
            <w:pPr>
              <w:spacing w:after="0"/>
              <w:rPr>
                <w:sz w:val="15"/>
                <w:szCs w:val="15"/>
                <w:color w:val="auto"/>
              </w:rPr>
            </w:pPr>
          </w:p>
        </w:tc>
        <w:tc>
          <w:tcPr>
            <w:tcW w:w="400" w:type="dxa"/>
            <w:vAlign w:val="bottom"/>
            <w:tcBorders>
              <w:bottom w:val="single" w:sz="8" w:color="auto"/>
            </w:tcBorders>
            <w:gridSpan w:val="2"/>
          </w:tcPr>
          <w:p>
            <w:pPr>
              <w:jc w:val="right"/>
              <w:ind w:right="300"/>
              <w:spacing w:after="0" w:line="176"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(184,542)</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340" w:right="60" w:hanging="298"/>
        <w:spacing w:after="0" w:line="260"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2024, certain foreign deferred tax assets are presented as part of “Deferred tax assets” on our Consolidated Balance Sheets and our deferred tax liabilities related to all other jurisdictions are reported separately as “Deferred tax liabilities, net” on our Consolidated Balance Sheets.</w:t>
      </w:r>
    </w:p>
    <w:p>
      <w:pPr>
        <w:spacing w:after="0" w:line="150" w:lineRule="exact"/>
        <w:rPr>
          <w:sz w:val="20"/>
          <w:szCs w:val="20"/>
          <w:color w:val="auto"/>
        </w:rPr>
      </w:pPr>
    </w:p>
    <w:p>
      <w:pPr>
        <w:jc w:val="both"/>
        <w:ind w:left="40" w:right="60"/>
        <w:spacing w:after="0" w:line="248" w:lineRule="auto"/>
        <w:rPr>
          <w:sz w:val="20"/>
          <w:szCs w:val="20"/>
          <w:color w:val="auto"/>
        </w:rPr>
      </w:pPr>
      <w:r>
        <w:rPr>
          <w:rFonts w:ascii="Arial" w:cs="Arial" w:eastAsia="Arial" w:hAnsi="Arial"/>
          <w:sz w:val="16"/>
          <w:szCs w:val="16"/>
          <w:color w:val="auto"/>
        </w:rPr>
        <w:t>Overall, our net deferred tax assets were offset by a valuation allowance of $234 million and $193 million as of December 31, 2025 and 2024, respectively. The change in the valuation allowance relates to an increase in the net operating loss carryforwards for certain foreign subsidiaries and the impact of increases in foreign exchange rates. As of December 31, 2025,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9">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20"/>
          </w:cols>
          <w:pgMar w:left="1440" w:top="478" w:right="1439" w:bottom="1440" w:gutter="0" w:footer="0" w:header="0"/>
        </w:sectPr>
      </w:pPr>
    </w:p>
    <w:bookmarkStart w:id="101" w:name="page102"/>
    <w:bookmarkEnd w:id="10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components of total cash paid for income taxes, net of (refunds) were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For the 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tcPr>
          <w:p>
            <w:pPr>
              <w:jc w:val="center"/>
              <w:ind w:right="438"/>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Federal (national)</w:t>
            </w:r>
          </w:p>
        </w:tc>
        <w:tc>
          <w:tcPr>
            <w:tcW w:w="520" w:type="dxa"/>
            <w:vAlign w:val="bottom"/>
            <w:gridSpan w:val="2"/>
            <w:shd w:val="clear" w:color="auto" w:fill="CCEEFF"/>
          </w:tcPr>
          <w:p>
            <w:pPr>
              <w:jc w:val="right"/>
              <w:ind w:right="389"/>
              <w:spacing w:after="0"/>
              <w:rPr>
                <w:sz w:val="20"/>
                <w:szCs w:val="20"/>
                <w:color w:val="auto"/>
              </w:rPr>
            </w:pPr>
            <w:r>
              <w:rPr>
                <w:rFonts w:ascii="Arial" w:cs="Arial" w:eastAsia="Arial" w:hAnsi="Arial"/>
                <w:sz w:val="15"/>
                <w:szCs w:val="15"/>
                <w:color w:val="auto"/>
                <w:w w:val="71"/>
              </w:rPr>
              <w:t>$</w:t>
            </w: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 and local:</w:t>
            </w: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tcPr>
          <w:p>
            <w:pPr>
              <w:ind w:left="80"/>
              <w:spacing w:after="0"/>
              <w:rPr>
                <w:sz w:val="20"/>
                <w:szCs w:val="20"/>
                <w:color w:val="auto"/>
              </w:rPr>
            </w:pPr>
            <w:r>
              <w:rPr>
                <w:rFonts w:ascii="Arial" w:cs="Arial" w:eastAsia="Arial" w:hAnsi="Arial"/>
                <w:sz w:val="16"/>
                <w:szCs w:val="16"/>
                <w:color w:val="auto"/>
              </w:rPr>
              <w:t>AL</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4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w:t>
            </w: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tcPr>
          <w:p>
            <w:pPr>
              <w:ind w:left="80"/>
              <w:spacing w:after="0"/>
              <w:rPr>
                <w:sz w:val="20"/>
                <w:szCs w:val="20"/>
                <w:color w:val="auto"/>
              </w:rPr>
            </w:pPr>
            <w:r>
              <w:rPr>
                <w:rFonts w:ascii="Arial" w:cs="Arial" w:eastAsia="Arial" w:hAnsi="Arial"/>
                <w:sz w:val="16"/>
                <w:szCs w:val="16"/>
                <w:color w:val="auto"/>
              </w:rPr>
              <w:t>DE</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4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w:t>
            </w: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tcPr>
          <w:p>
            <w:pPr>
              <w:ind w:left="80"/>
              <w:spacing w:after="0"/>
              <w:rPr>
                <w:sz w:val="20"/>
                <w:szCs w:val="20"/>
                <w:color w:val="auto"/>
              </w:rPr>
            </w:pPr>
            <w:r>
              <w:rPr>
                <w:rFonts w:ascii="Arial" w:cs="Arial" w:eastAsia="Arial" w:hAnsi="Arial"/>
                <w:sz w:val="16"/>
                <w:szCs w:val="16"/>
                <w:color w:val="auto"/>
              </w:rPr>
              <w:t>PA</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40" w:type="dxa"/>
            <w:vAlign w:val="bottom"/>
          </w:tcPr>
          <w:p>
            <w:pPr>
              <w:jc w:val="right"/>
              <w:spacing w:after="0"/>
              <w:rPr>
                <w:sz w:val="20"/>
                <w:szCs w:val="20"/>
                <w:color w:val="auto"/>
              </w:rPr>
            </w:pPr>
            <w:r>
              <w:rPr>
                <w:rFonts w:ascii="Arial" w:cs="Arial" w:eastAsia="Arial" w:hAnsi="Arial"/>
                <w:sz w:val="16"/>
                <w:szCs w:val="16"/>
                <w:color w:val="auto"/>
              </w:rPr>
              <w:t>(117)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4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b w:val="1"/>
                <w:bCs w:val="1"/>
                <w:color w:val="auto"/>
              </w:rPr>
              <w:t>Total state and local</w:t>
            </w:r>
          </w:p>
        </w:tc>
        <w:tc>
          <w:tcPr>
            <w:tcW w:w="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540" w:type="dxa"/>
            <w:vAlign w:val="bottom"/>
          </w:tcPr>
          <w:p>
            <w:pPr>
              <w:spacing w:after="0"/>
              <w:rPr>
                <w:sz w:val="20"/>
                <w:szCs w:val="20"/>
                <w:color w:val="auto"/>
              </w:rPr>
            </w:pPr>
            <w:r>
              <w:rPr>
                <w:rFonts w:ascii="Arial" w:cs="Arial" w:eastAsia="Arial" w:hAnsi="Arial"/>
                <w:sz w:val="16"/>
                <w:szCs w:val="16"/>
                <w:b w:val="1"/>
                <w:bCs w:val="1"/>
                <w:color w:val="auto"/>
              </w:rPr>
              <w:t>Foreign:</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India</w:t>
            </w: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tcPr>
          <w:p>
            <w:pPr>
              <w:ind w:left="80"/>
              <w:spacing w:after="0"/>
              <w:rPr>
                <w:sz w:val="20"/>
                <w:szCs w:val="20"/>
                <w:color w:val="auto"/>
              </w:rPr>
            </w:pPr>
            <w:r>
              <w:rPr>
                <w:rFonts w:ascii="Arial" w:cs="Arial" w:eastAsia="Arial" w:hAnsi="Arial"/>
                <w:sz w:val="16"/>
                <w:szCs w:val="16"/>
                <w:color w:val="auto"/>
              </w:rPr>
              <w:t>Chile</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40" w:type="dxa"/>
            <w:vAlign w:val="bottom"/>
          </w:tcPr>
          <w:p>
            <w:pPr>
              <w:jc w:val="right"/>
              <w:spacing w:after="0"/>
              <w:rPr>
                <w:sz w:val="20"/>
                <w:szCs w:val="20"/>
                <w:color w:val="auto"/>
              </w:rPr>
            </w:pPr>
            <w:r>
              <w:rPr>
                <w:rFonts w:ascii="Arial" w:cs="Arial" w:eastAsia="Arial" w:hAnsi="Arial"/>
                <w:sz w:val="16"/>
                <w:szCs w:val="16"/>
                <w:color w:val="auto"/>
              </w:rPr>
              <w:t>316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Colombia</w:t>
            </w: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40" w:type="dxa"/>
            <w:vAlign w:val="bottom"/>
          </w:tcPr>
          <w:p>
            <w:pPr>
              <w:jc w:val="right"/>
              <w:spacing w:after="0"/>
              <w:rPr>
                <w:sz w:val="20"/>
                <w:szCs w:val="20"/>
                <w:color w:val="auto"/>
              </w:rPr>
            </w:pPr>
            <w:r>
              <w:rPr>
                <w:rFonts w:ascii="Arial" w:cs="Arial" w:eastAsia="Arial" w:hAnsi="Arial"/>
                <w:sz w:val="16"/>
                <w:szCs w:val="16"/>
                <w:color w:val="auto"/>
              </w:rPr>
              <w:t>2,160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Brazil</w:t>
            </w: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5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4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Total foreign</w:t>
            </w:r>
          </w:p>
        </w:tc>
        <w:tc>
          <w:tcPr>
            <w:tcW w:w="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2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6,044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40" w:type="dxa"/>
            <w:vAlign w:val="bottom"/>
          </w:tcPr>
          <w:p>
            <w:pPr>
              <w:spacing w:after="0" w:line="176" w:lineRule="exact"/>
              <w:rPr>
                <w:sz w:val="20"/>
                <w:szCs w:val="20"/>
                <w:color w:val="auto"/>
              </w:rPr>
            </w:pPr>
            <w:r>
              <w:rPr>
                <w:rFonts w:ascii="Arial" w:cs="Arial" w:eastAsia="Arial" w:hAnsi="Arial"/>
                <w:sz w:val="16"/>
                <w:szCs w:val="16"/>
                <w:b w:val="1"/>
                <w:bCs w:val="1"/>
                <w:color w:val="auto"/>
              </w:rPr>
              <w:t>Total cash paid for income taxes, net of (refunds)</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2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5,825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Accounting for Uncertainty in Income Taxes</w:t>
      </w:r>
    </w:p>
    <w:p>
      <w:pPr>
        <w:spacing w:after="0" w:line="19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In addition to filing federal income tax returns, we and one or more of our subsidiaries file income tax returns in all states that impose an income tax. We are subject to United States federal, state and local income tax examinations by tax authorities for the years as early as tax year 2008. We are currently under a federal income tax examination for years 2008 through 2011, 2013 through 2016 and 2021 through 2022. We also file income tax returns in the United Kingdom, Germany, Brazil, India and a number of other foreign jurisdictions. We generally are open to income tax examination in these foreign jurisdictions for taxable years beginning in 2004.</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02" w:name="page103"/>
    <w:bookmarkEnd w:id="10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40" w:right="259"/>
        <w:spacing w:after="0" w:line="281" w:lineRule="auto"/>
        <w:rPr>
          <w:sz w:val="20"/>
          <w:szCs w:val="20"/>
          <w:color w:val="auto"/>
        </w:rPr>
      </w:pPr>
      <w:r>
        <w:rPr>
          <w:rFonts w:ascii="Arial" w:cs="Arial" w:eastAsia="Arial" w:hAnsi="Arial"/>
          <w:sz w:val="16"/>
          <w:szCs w:val="16"/>
          <w:color w:val="auto"/>
        </w:rPr>
        <w:t>A reconciliation of the beginning and ending amount of unrecognized tax benefits included in “Other noncurrent liabilities” on our Consolidated Balance Sheets was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5220" w:type="dxa"/>
            <w:vAlign w:val="bottom"/>
            <w:vMerge w:val="restart"/>
          </w:tcPr>
          <w:p>
            <w:pPr>
              <w:spacing w:after="0"/>
              <w:rPr>
                <w:sz w:val="20"/>
                <w:szCs w:val="20"/>
                <w:color w:val="auto"/>
              </w:rPr>
            </w:pPr>
            <w:r>
              <w:rPr>
                <w:rFonts w:ascii="Arial" w:cs="Arial" w:eastAsia="Arial" w:hAnsi="Arial"/>
                <w:sz w:val="16"/>
                <w:szCs w:val="16"/>
                <w:b w:val="1"/>
                <w:bCs w:val="1"/>
                <w:color w:val="auto"/>
              </w:rPr>
              <w:t>Unrecognized tax benefit</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280" w:type="dxa"/>
            <w:vAlign w:val="bottom"/>
            <w:gridSpan w:val="8"/>
          </w:tcPr>
          <w:p>
            <w:pPr>
              <w:jc w:val="right"/>
              <w:ind w:right="338"/>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4"/>
        </w:trPr>
        <w:tc>
          <w:tcPr>
            <w:tcW w:w="5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76"/>
        </w:trPr>
        <w:tc>
          <w:tcPr>
            <w:tcW w:w="5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6"/>
                <w:szCs w:val="16"/>
                <w:color w:val="auto"/>
                <w:w w:val="97"/>
              </w:rPr>
              <w:t>(In thousands)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beginning of period</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16,372</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10,321</w:t>
            </w:r>
          </w:p>
        </w:tc>
        <w:tc>
          <w:tcPr>
            <w:tcW w:w="6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7,172</w:t>
            </w:r>
          </w:p>
        </w:tc>
        <w:tc>
          <w:tcPr>
            <w:tcW w:w="0" w:type="dxa"/>
            <w:vAlign w:val="bottom"/>
          </w:tcPr>
          <w:p>
            <w:pPr>
              <w:spacing w:after="0"/>
              <w:rPr>
                <w:sz w:val="1"/>
                <w:szCs w:val="1"/>
                <w:color w:val="auto"/>
              </w:rPr>
            </w:pPr>
          </w:p>
        </w:tc>
      </w:tr>
      <w:tr>
        <w:trPr>
          <w:trHeight w:val="184"/>
        </w:trPr>
        <w:tc>
          <w:tcPr>
            <w:tcW w:w="5220" w:type="dxa"/>
            <w:vAlign w:val="bottom"/>
          </w:tcPr>
          <w:p>
            <w:pPr>
              <w:spacing w:after="0"/>
              <w:rPr>
                <w:sz w:val="20"/>
                <w:szCs w:val="20"/>
                <w:color w:val="auto"/>
              </w:rPr>
            </w:pPr>
            <w:r>
              <w:rPr>
                <w:rFonts w:ascii="Arial" w:cs="Arial" w:eastAsia="Arial" w:hAnsi="Arial"/>
                <w:sz w:val="16"/>
                <w:szCs w:val="16"/>
                <w:color w:val="auto"/>
              </w:rPr>
              <w:t>Additions based on tax positions related to the current year</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6,051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Additions based on tax positions reclassified from HSSC to EchoStar</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0" w:type="dxa"/>
            <w:vAlign w:val="bottom"/>
          </w:tcPr>
          <w:p>
            <w:pPr>
              <w:spacing w:after="0"/>
              <w:rPr>
                <w:sz w:val="1"/>
                <w:szCs w:val="1"/>
                <w:color w:val="auto"/>
              </w:rPr>
            </w:pPr>
          </w:p>
        </w:tc>
      </w:tr>
      <w:tr>
        <w:trPr>
          <w:trHeight w:val="184"/>
        </w:trPr>
        <w:tc>
          <w:tcPr>
            <w:tcW w:w="5220" w:type="dxa"/>
            <w:vAlign w:val="bottom"/>
          </w:tcPr>
          <w:p>
            <w:pPr>
              <w:spacing w:after="0"/>
              <w:rPr>
                <w:sz w:val="20"/>
                <w:szCs w:val="20"/>
                <w:color w:val="auto"/>
              </w:rPr>
            </w:pPr>
            <w:r>
              <w:rPr>
                <w:rFonts w:ascii="Arial" w:cs="Arial" w:eastAsia="Arial" w:hAnsi="Arial"/>
                <w:sz w:val="16"/>
                <w:szCs w:val="16"/>
                <w:b w:val="1"/>
                <w:bCs w:val="1"/>
                <w:color w:val="auto"/>
              </w:rPr>
              <w:t>Balance, end of period</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17,896</w:t>
            </w: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16,372</w:t>
            </w:r>
          </w:p>
        </w:tc>
        <w:tc>
          <w:tcPr>
            <w:tcW w:w="6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10,321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As of December 31, 2025, 2024 and 2023 we had $18 million, $16 million and $10 million of unrecognized income tax benefits, all of which, if recognized, would affect our effective tax rate.</w:t>
      </w:r>
    </w:p>
    <w:p>
      <w:pPr>
        <w:spacing w:after="0" w:line="133"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For the years ended December 31, 2025, 2024 and 2023, our income tax provision included an insignificant amount of interest and penalties.</w:t>
      </w:r>
    </w:p>
    <w:p>
      <w:pPr>
        <w:spacing w:after="0" w:line="317" w:lineRule="exact"/>
        <w:rPr>
          <w:sz w:val="20"/>
          <w:szCs w:val="20"/>
          <w:color w:val="auto"/>
        </w:rPr>
      </w:pPr>
    </w:p>
    <w:p>
      <w:pPr>
        <w:ind w:left="40" w:right="6539" w:firstLine="2"/>
        <w:spacing w:after="0" w:line="495" w:lineRule="auto"/>
        <w:tabs>
          <w:tab w:leader="none" w:pos="481"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 Employee Stock Purchase Plan</w:t>
      </w:r>
    </w:p>
    <w:p>
      <w:pPr>
        <w:spacing w:after="0" w:line="1"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6"/>
          <w:szCs w:val="16"/>
          <w:color w:val="auto"/>
        </w:rPr>
        <w:t>Our employees may participate in the EchoStar employee stock purchase plan (the “ESPP”), in which our parent, EchoStar is authorized to issue up to 8.0 million shares of its Class A common stock. At December 31, 2025, EchoStar had 3.2 million shares of Class A common stock which remain available for issuance under the ESPP. Substantially all full-time employees who have been employed by us for at least one calendar quarter are eligible to participate in the ESPP. Employee stock purchases are made through payroll deductions. Under the terms of the ESPP, employees may not deduct an amount which would permit such employee to purchase our capital stock under all of our stock purchase plans at a rate which would exceed $25,000 in fair value of capital stock in any one year. The purchase price of the stock is 85% of the closing price of the Class A common stock on the last business day of each calendar quarter in which such shares of Class A common stock are deemed sold to an employee under the ESPP and such shares must be held for a minimum of 180 days from the purchase date.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401(k) Employee Savings Plans</w:t>
      </w:r>
    </w:p>
    <w:p>
      <w:pPr>
        <w:spacing w:after="0" w:line="196" w:lineRule="exact"/>
        <w:rPr>
          <w:sz w:val="20"/>
          <w:szCs w:val="20"/>
          <w:color w:val="auto"/>
        </w:rPr>
      </w:pPr>
    </w:p>
    <w:p>
      <w:pPr>
        <w:ind w:left="40" w:right="199"/>
        <w:spacing w:after="0" w:line="248" w:lineRule="auto"/>
        <w:rPr>
          <w:sz w:val="20"/>
          <w:szCs w:val="20"/>
          <w:color w:val="auto"/>
        </w:rPr>
      </w:pPr>
      <w:r>
        <w:rPr>
          <w:rFonts w:ascii="Arial" w:cs="Arial" w:eastAsia="Arial" w:hAnsi="Arial"/>
          <w:sz w:val="16"/>
          <w:szCs w:val="16"/>
          <w:color w:val="auto"/>
        </w:rPr>
        <w:t>Our parent, EchoStar sponsors a 401(k) Employee Savings Plan (the “EchoStar 401(k) Plan”) for eligible employees. Voluntary employee contributions to the EchoStar 401(k) Plan may be matched 50% by EchoStar, subject to a maximum annual contribution of $5,000 per employee participating in the EchoStar 401(k) Plan. Forfeitures of unvested participant balances which are retained by the 401(k) Plan may be used to fund matching and plan expenses. Our Board of Directors may also authorize an annual discretionary contribution to the 401(k) plan, subject to the maximum deductible limit provided by the Internal Revenue Code of 1986, as amended. These contributions may be made in cash or in our stock.</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1">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03" w:name="page104"/>
    <w:bookmarkEnd w:id="10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the expense associated with our matching contributions and discretionary contributions: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Expense Recognized Related to the EchoStar 401(k) Plan</w:t>
            </w:r>
          </w:p>
        </w:tc>
        <w:tc>
          <w:tcPr>
            <w:tcW w:w="500" w:type="dxa"/>
            <w:vAlign w:val="bottom"/>
            <w:gridSpan w:val="2"/>
          </w:tcPr>
          <w:p>
            <w:pPr>
              <w:jc w:val="right"/>
              <w:ind w:right="158"/>
              <w:spacing w:after="0"/>
              <w:rPr>
                <w:sz w:val="20"/>
                <w:szCs w:val="20"/>
                <w:color w:val="auto"/>
              </w:rPr>
            </w:pPr>
            <w:r>
              <w:rPr>
                <w:rFonts w:ascii="Arial" w:cs="Arial" w:eastAsia="Arial" w:hAnsi="Arial"/>
                <w:sz w:val="16"/>
                <w:szCs w:val="16"/>
                <w:b w:val="1"/>
                <w:bCs w:val="1"/>
                <w:color w:val="auto"/>
              </w:rPr>
              <w:t>​​​</w:t>
            </w:r>
          </w:p>
        </w:tc>
        <w:tc>
          <w:tcPr>
            <w:tcW w:w="3800" w:type="dxa"/>
            <w:vAlign w:val="bottom"/>
            <w:gridSpan w:val="9"/>
          </w:tcPr>
          <w:p>
            <w:pPr>
              <w:jc w:val="center"/>
              <w:ind w:right="198"/>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4"/>
        </w:trPr>
        <w:tc>
          <w:tcPr>
            <w:tcW w:w="46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top w:val="single" w:sz="8" w:color="auto"/>
            </w:tcBorders>
            <w:gridSpan w:val="2"/>
          </w:tcPr>
          <w:p>
            <w:pPr>
              <w:jc w:val="right"/>
              <w:ind w:right="158"/>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center"/>
              <w:ind w:right="178"/>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gridSpan w:val="3"/>
          </w:tcPr>
          <w:p>
            <w:pPr>
              <w:jc w:val="right"/>
              <w:ind w:right="163"/>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76"/>
        </w:trPr>
        <w:tc>
          <w:tcPr>
            <w:tcW w:w="224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Borders>
              <w:top w:val="single" w:sz="8" w:color="auto"/>
            </w:tcBorders>
            <w:gridSpan w:val="2"/>
          </w:tcPr>
          <w:p>
            <w:pPr>
              <w:jc w:val="center"/>
              <w:spacing w:after="0" w:line="176"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Matching contributions, net of forfeitures</w:t>
            </w:r>
          </w:p>
        </w:tc>
        <w:tc>
          <w:tcPr>
            <w:tcW w:w="50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5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5,534</w:t>
            </w:r>
          </w:p>
        </w:tc>
        <w:tc>
          <w:tcPr>
            <w:tcW w:w="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Discretionary stock contributions (1)</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20" w:type="dxa"/>
            <w:vAlign w:val="bottom"/>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60" w:type="dxa"/>
            <w:vAlign w:val="bottom"/>
          </w:tcPr>
          <w:p>
            <w:pPr>
              <w:jc w:val="right"/>
              <w:ind w:right="78"/>
              <w:spacing w:after="0" w:line="161"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61" w:lineRule="exact"/>
              <w:rPr>
                <w:sz w:val="20"/>
                <w:szCs w:val="20"/>
                <w:color w:val="auto"/>
              </w:rPr>
            </w:pPr>
            <w:r>
              <w:rPr>
                <w:rFonts w:ascii="Arial" w:cs="Arial" w:eastAsia="Arial" w:hAnsi="Arial"/>
                <w:sz w:val="16"/>
                <w:szCs w:val="16"/>
                <w:color w:val="auto"/>
              </w:rPr>
              <w:t>5,333</w:t>
            </w:r>
          </w:p>
        </w:tc>
        <w:tc>
          <w:tcPr>
            <w:tcW w:w="260" w:type="dxa"/>
            <w:vAlign w:val="bottom"/>
            <w:vMerge w:val="continue"/>
          </w:tcPr>
          <w:p>
            <w:pPr>
              <w:spacing w:after="0"/>
              <w:rPr>
                <w:sz w:val="13"/>
                <w:szCs w:val="13"/>
                <w:color w:val="auto"/>
              </w:rPr>
            </w:pPr>
          </w:p>
        </w:tc>
        <w:tc>
          <w:tcPr>
            <w:tcW w:w="260" w:type="dxa"/>
            <w:vAlign w:val="bottom"/>
          </w:tcPr>
          <w:p>
            <w:pPr>
              <w:jc w:val="right"/>
              <w:ind w:right="78"/>
              <w:spacing w:after="0" w:line="161"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(2,415)</w:t>
            </w:r>
          </w:p>
        </w:tc>
        <w:tc>
          <w:tcPr>
            <w:tcW w:w="6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240" w:type="dxa"/>
            <w:vAlign w:val="bottom"/>
          </w:tcPr>
          <w:p>
            <w:pPr>
              <w:jc w:val="right"/>
              <w:ind w:right="83"/>
              <w:spacing w:after="0" w:line="161"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1" w:lineRule="exact"/>
              <w:rPr>
                <w:sz w:val="20"/>
                <w:szCs w:val="20"/>
                <w:color w:val="auto"/>
              </w:rPr>
            </w:pPr>
            <w:r>
              <w:rPr>
                <w:rFonts w:ascii="Arial" w:cs="Arial" w:eastAsia="Arial" w:hAnsi="Arial"/>
                <w:sz w:val="16"/>
                <w:szCs w:val="16"/>
                <w:color w:val="auto"/>
              </w:rPr>
              <w:t>5,491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The amount accrued in 2023 was not paid in 2024, therefore the accrual was reversed.</w:t>
      </w:r>
    </w:p>
    <w:p>
      <w:pPr>
        <w:spacing w:after="0" w:line="200" w:lineRule="exact"/>
        <w:rPr>
          <w:sz w:val="20"/>
          <w:szCs w:val="20"/>
          <w:color w:val="auto"/>
        </w:rPr>
      </w:pPr>
    </w:p>
    <w:p>
      <w:pPr>
        <w:spacing w:after="0" w:line="204" w:lineRule="exact"/>
        <w:rPr>
          <w:sz w:val="20"/>
          <w:szCs w:val="20"/>
          <w:color w:val="auto"/>
        </w:rPr>
      </w:pPr>
    </w:p>
    <w:p>
      <w:pPr>
        <w:ind w:left="40" w:right="5939" w:firstLine="2"/>
        <w:spacing w:after="0" w:line="495" w:lineRule="auto"/>
        <w:tabs>
          <w:tab w:leader="none" w:pos="481"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Commitments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our contractual obligations as of December 31, 2025:</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12"/>
          </w:tcPr>
          <w:p>
            <w:pPr>
              <w:jc w:val="right"/>
              <w:ind w:right="66"/>
              <w:spacing w:after="0"/>
              <w:rPr>
                <w:sz w:val="20"/>
                <w:szCs w:val="20"/>
                <w:color w:val="auto"/>
              </w:rPr>
            </w:pPr>
            <w:r>
              <w:rPr>
                <w:rFonts w:ascii="Arial" w:cs="Arial" w:eastAsia="Arial" w:hAnsi="Arial"/>
                <w:sz w:val="15"/>
                <w:szCs w:val="15"/>
                <w:b w:val="1"/>
                <w:bCs w:val="1"/>
                <w:color w:val="auto"/>
              </w:rPr>
              <w:t>Payments Due in the Years Ending December 31,</w:t>
            </w: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72"/>
        </w:trPr>
        <w:tc>
          <w:tcPr>
            <w:tcW w:w="1840" w:type="dxa"/>
            <w:vAlign w:val="bottom"/>
          </w:tcPr>
          <w:p>
            <w:pPr>
              <w:spacing w:after="0"/>
              <w:rPr>
                <w:sz w:val="14"/>
                <w:szCs w:val="14"/>
                <w:color w:val="auto"/>
              </w:rPr>
            </w:pPr>
          </w:p>
        </w:tc>
        <w:tc>
          <w:tcPr>
            <w:tcW w:w="300" w:type="dxa"/>
            <w:vAlign w:val="bottom"/>
            <w:gridSpan w:val="2"/>
          </w:tcPr>
          <w:p>
            <w:pPr>
              <w:jc w:val="right"/>
              <w:ind w:right="46"/>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660" w:type="dxa"/>
            <w:vAlign w:val="bottom"/>
          </w:tcPr>
          <w:p>
            <w:pPr>
              <w:jc w:val="right"/>
              <w:ind w:right="206"/>
              <w:spacing w:after="0"/>
              <w:rPr>
                <w:sz w:val="20"/>
                <w:szCs w:val="20"/>
                <w:color w:val="auto"/>
              </w:rPr>
            </w:pPr>
            <w:r>
              <w:rPr>
                <w:rFonts w:ascii="Arial" w:cs="Arial" w:eastAsia="Arial" w:hAnsi="Arial"/>
                <w:sz w:val="15"/>
                <w:szCs w:val="15"/>
                <w:b w:val="1"/>
                <w:bCs w:val="1"/>
                <w:color w:val="auto"/>
              </w:rPr>
              <w:t>Total</w:t>
            </w:r>
          </w:p>
        </w:tc>
        <w:tc>
          <w:tcPr>
            <w:tcW w:w="340" w:type="dxa"/>
            <w:vAlign w:val="bottom"/>
            <w:gridSpan w:val="2"/>
          </w:tcPr>
          <w:p>
            <w:pPr>
              <w:jc w:val="right"/>
              <w:ind w:right="46"/>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226"/>
              <w:spacing w:after="0"/>
              <w:rPr>
                <w:sz w:val="20"/>
                <w:szCs w:val="20"/>
                <w:color w:val="auto"/>
              </w:rPr>
            </w:pPr>
            <w:r>
              <w:rPr>
                <w:rFonts w:ascii="Arial" w:cs="Arial" w:eastAsia="Arial" w:hAnsi="Arial"/>
                <w:sz w:val="15"/>
                <w:szCs w:val="15"/>
                <w:b w:val="1"/>
                <w:bCs w:val="1"/>
                <w:color w:val="auto"/>
              </w:rPr>
              <w:t>2026</w:t>
            </w:r>
          </w:p>
        </w:tc>
        <w:tc>
          <w:tcPr>
            <w:tcW w:w="320" w:type="dxa"/>
            <w:vAlign w:val="bottom"/>
            <w:gridSpan w:val="2"/>
          </w:tcPr>
          <w:p>
            <w:pPr>
              <w:jc w:val="right"/>
              <w:ind w:right="46"/>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46"/>
              <w:spacing w:after="0"/>
              <w:rPr>
                <w:sz w:val="20"/>
                <w:szCs w:val="20"/>
                <w:color w:val="auto"/>
              </w:rPr>
            </w:pPr>
            <w:r>
              <w:rPr>
                <w:rFonts w:ascii="Arial" w:cs="Arial" w:eastAsia="Arial" w:hAnsi="Arial"/>
                <w:sz w:val="15"/>
                <w:szCs w:val="15"/>
                <w:b w:val="1"/>
                <w:bCs w:val="1"/>
                <w:color w:val="auto"/>
              </w:rPr>
              <w:t>2027</w:t>
            </w:r>
          </w:p>
        </w:tc>
        <w:tc>
          <w:tcPr>
            <w:tcW w:w="340" w:type="dxa"/>
            <w:vAlign w:val="bottom"/>
            <w:gridSpan w:val="2"/>
          </w:tcPr>
          <w:p>
            <w:pPr>
              <w:jc w:val="right"/>
              <w:ind w:right="46"/>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66"/>
              <w:spacing w:after="0"/>
              <w:rPr>
                <w:sz w:val="20"/>
                <w:szCs w:val="20"/>
                <w:color w:val="auto"/>
              </w:rPr>
            </w:pPr>
            <w:r>
              <w:rPr>
                <w:rFonts w:ascii="Arial" w:cs="Arial" w:eastAsia="Arial" w:hAnsi="Arial"/>
                <w:sz w:val="15"/>
                <w:szCs w:val="15"/>
                <w:b w:val="1"/>
                <w:bCs w:val="1"/>
                <w:color w:val="auto"/>
              </w:rPr>
              <w:t>2028</w:t>
            </w:r>
          </w:p>
        </w:tc>
        <w:tc>
          <w:tcPr>
            <w:tcW w:w="340" w:type="dxa"/>
            <w:vAlign w:val="bottom"/>
            <w:gridSpan w:val="2"/>
          </w:tcPr>
          <w:p>
            <w:pPr>
              <w:jc w:val="right"/>
              <w:ind w:right="46"/>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66"/>
              <w:spacing w:after="0"/>
              <w:rPr>
                <w:sz w:val="20"/>
                <w:szCs w:val="20"/>
                <w:color w:val="auto"/>
              </w:rPr>
            </w:pPr>
            <w:r>
              <w:rPr>
                <w:rFonts w:ascii="Arial" w:cs="Arial" w:eastAsia="Arial" w:hAnsi="Arial"/>
                <w:sz w:val="15"/>
                <w:szCs w:val="15"/>
                <w:b w:val="1"/>
                <w:bCs w:val="1"/>
                <w:color w:val="auto"/>
              </w:rPr>
              <w:t>2029</w:t>
            </w:r>
          </w:p>
        </w:tc>
        <w:tc>
          <w:tcPr>
            <w:tcW w:w="340" w:type="dxa"/>
            <w:vAlign w:val="bottom"/>
            <w:gridSpan w:val="2"/>
          </w:tcPr>
          <w:p>
            <w:pPr>
              <w:jc w:val="right"/>
              <w:ind w:right="46"/>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66"/>
              <w:spacing w:after="0"/>
              <w:rPr>
                <w:sz w:val="20"/>
                <w:szCs w:val="20"/>
                <w:color w:val="auto"/>
              </w:rPr>
            </w:pPr>
            <w:r>
              <w:rPr>
                <w:rFonts w:ascii="Arial" w:cs="Arial" w:eastAsia="Arial" w:hAnsi="Arial"/>
                <w:sz w:val="15"/>
                <w:szCs w:val="15"/>
                <w:b w:val="1"/>
                <w:bCs w:val="1"/>
                <w:color w:val="auto"/>
              </w:rPr>
              <w:t>2030</w:t>
            </w:r>
          </w:p>
        </w:tc>
        <w:tc>
          <w:tcPr>
            <w:tcW w:w="1000" w:type="dxa"/>
            <w:vAlign w:val="bottom"/>
            <w:gridSpan w:val="3"/>
          </w:tcPr>
          <w:p>
            <w:pPr>
              <w:jc w:val="right"/>
              <w:spacing w:after="0"/>
              <w:rPr>
                <w:sz w:val="20"/>
                <w:szCs w:val="20"/>
                <w:color w:val="auto"/>
              </w:rPr>
            </w:pPr>
            <w:r>
              <w:rPr>
                <w:rFonts w:ascii="Arial" w:cs="Arial" w:eastAsia="Arial" w:hAnsi="Arial"/>
                <w:sz w:val="15"/>
                <w:szCs w:val="15"/>
                <w:b w:val="1"/>
                <w:bCs w:val="1"/>
                <w:color w:val="auto"/>
              </w:rPr>
              <w:t>​​​Thereafter</w:t>
            </w:r>
          </w:p>
        </w:tc>
      </w:tr>
      <w:tr>
        <w:trPr>
          <w:trHeight w:val="152"/>
        </w:trPr>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line="151" w:lineRule="exact"/>
              <w:rPr>
                <w:sz w:val="20"/>
                <w:szCs w:val="20"/>
                <w:color w:val="auto"/>
              </w:rPr>
            </w:pPr>
            <w:r>
              <w:rPr>
                <w:rFonts w:ascii="Arial" w:cs="Arial" w:eastAsia="Arial" w:hAnsi="Arial"/>
                <w:sz w:val="15"/>
                <w:szCs w:val="15"/>
                <w:color w:val="auto"/>
                <w:w w:val="91"/>
              </w:rPr>
              <w:t>(In</w:t>
            </w:r>
          </w:p>
        </w:tc>
        <w:tc>
          <w:tcPr>
            <w:tcW w:w="80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5"/>
                <w:szCs w:val="15"/>
                <w:color w:val="auto"/>
                <w:w w:val="99"/>
              </w:rPr>
              <w:t>thousands)</w:t>
            </w: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r>
      <w:tr>
        <w:trPr>
          <w:trHeight w:val="159"/>
        </w:trPr>
        <w:tc>
          <w:tcPr>
            <w:tcW w:w="18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Long-term debt obligations</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84"/>
        </w:trPr>
        <w:tc>
          <w:tcPr>
            <w:tcW w:w="1840" w:type="dxa"/>
            <w:vAlign w:val="bottom"/>
            <w:shd w:val="clear" w:color="auto" w:fill="CCEEFF"/>
          </w:tcPr>
          <w:p>
            <w:pPr>
              <w:spacing w:after="0"/>
              <w:rPr>
                <w:sz w:val="20"/>
                <w:szCs w:val="20"/>
                <w:color w:val="auto"/>
              </w:rPr>
            </w:pPr>
            <w:r>
              <w:rPr>
                <w:rFonts w:ascii="Arial" w:cs="Arial" w:eastAsia="Arial" w:hAnsi="Arial"/>
                <w:sz w:val="15"/>
                <w:szCs w:val="15"/>
                <w:color w:val="auto"/>
              </w:rPr>
              <w:t>(1)</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1,536,431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1,508,730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8,734</w:t>
            </w:r>
          </w:p>
        </w:tc>
        <w:tc>
          <w:tcPr>
            <w:tcW w:w="3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2,795</w:t>
            </w:r>
          </w:p>
        </w:tc>
        <w:tc>
          <w:tcPr>
            <w:tcW w:w="3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3,219</w:t>
            </w:r>
          </w:p>
        </w:tc>
        <w:tc>
          <w:tcPr>
            <w:tcW w:w="34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3,666</w:t>
            </w:r>
          </w:p>
        </w:tc>
        <w:tc>
          <w:tcPr>
            <w:tcW w:w="38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9,287</w:t>
            </w:r>
          </w:p>
        </w:tc>
      </w:tr>
      <w:tr>
        <w:trPr>
          <w:trHeight w:val="159"/>
        </w:trPr>
        <w:tc>
          <w:tcPr>
            <w:tcW w:w="1840" w:type="dxa"/>
            <w:vAlign w:val="bottom"/>
          </w:tcPr>
          <w:p>
            <w:pPr>
              <w:spacing w:after="0" w:line="159" w:lineRule="exact"/>
              <w:rPr>
                <w:sz w:val="20"/>
                <w:szCs w:val="20"/>
                <w:color w:val="auto"/>
              </w:rPr>
            </w:pPr>
            <w:r>
              <w:rPr>
                <w:rFonts w:ascii="Arial" w:cs="Arial" w:eastAsia="Arial" w:hAnsi="Arial"/>
                <w:sz w:val="15"/>
                <w:szCs w:val="15"/>
                <w:color w:val="auto"/>
              </w:rPr>
              <w:t>Interest expense on long-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4"/>
        </w:trPr>
        <w:tc>
          <w:tcPr>
            <w:tcW w:w="1840" w:type="dxa"/>
            <w:vAlign w:val="bottom"/>
          </w:tcPr>
          <w:p>
            <w:pPr>
              <w:spacing w:after="0"/>
              <w:rPr>
                <w:sz w:val="20"/>
                <w:szCs w:val="20"/>
                <w:color w:val="auto"/>
              </w:rPr>
            </w:pPr>
            <w:r>
              <w:rPr>
                <w:rFonts w:ascii="Arial" w:cs="Arial" w:eastAsia="Arial" w:hAnsi="Arial"/>
                <w:sz w:val="15"/>
                <w:szCs w:val="15"/>
                <w:color w:val="auto"/>
              </w:rPr>
              <w:t>term debt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97,012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91,473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1,699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1,164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995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795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886</w:t>
            </w:r>
          </w:p>
        </w:tc>
      </w:tr>
      <w:tr>
        <w:trPr>
          <w:trHeight w:val="159"/>
        </w:trPr>
        <w:tc>
          <w:tcPr>
            <w:tcW w:w="18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Satellite-related</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84"/>
        </w:trPr>
        <w:tc>
          <w:tcPr>
            <w:tcW w:w="1840" w:type="dxa"/>
            <w:vAlign w:val="bottom"/>
            <w:shd w:val="clear" w:color="auto" w:fill="CCEEFF"/>
          </w:tcPr>
          <w:p>
            <w:pPr>
              <w:spacing w:after="0"/>
              <w:rPr>
                <w:sz w:val="20"/>
                <w:szCs w:val="20"/>
                <w:color w:val="auto"/>
              </w:rPr>
            </w:pPr>
            <w:r>
              <w:rPr>
                <w:rFonts w:ascii="Arial" w:cs="Arial" w:eastAsia="Arial" w:hAnsi="Arial"/>
                <w:sz w:val="15"/>
                <w:szCs w:val="15"/>
                <w:color w:val="auto"/>
              </w:rPr>
              <w:t>commitments (2)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37,195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14,017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3,175</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6,555</w:t>
            </w:r>
          </w:p>
        </w:tc>
      </w:tr>
      <w:tr>
        <w:trPr>
          <w:trHeight w:val="159"/>
        </w:trPr>
        <w:tc>
          <w:tcPr>
            <w:tcW w:w="1840" w:type="dxa"/>
            <w:vAlign w:val="bottom"/>
          </w:tcPr>
          <w:p>
            <w:pPr>
              <w:spacing w:after="0" w:line="159" w:lineRule="exact"/>
              <w:rPr>
                <w:sz w:val="20"/>
                <w:szCs w:val="20"/>
                <w:color w:val="auto"/>
              </w:rPr>
            </w:pPr>
            <w:r>
              <w:rPr>
                <w:rFonts w:ascii="Arial" w:cs="Arial" w:eastAsia="Arial" w:hAnsi="Arial"/>
                <w:sz w:val="15"/>
                <w:szCs w:val="15"/>
                <w:color w:val="auto"/>
              </w:rPr>
              <w:t>Operating lease obligations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4"/>
        </w:trPr>
        <w:tc>
          <w:tcPr>
            <w:tcW w:w="1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1,131,257</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217,159</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215,647</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213,364</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212,239</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194,079</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78,769</w:t>
            </w:r>
          </w:p>
        </w:tc>
      </w:tr>
      <w:tr>
        <w:trPr>
          <w:trHeight w:val="164"/>
        </w:trPr>
        <w:tc>
          <w:tcPr>
            <w:tcW w:w="1840" w:type="dxa"/>
            <w:vAlign w:val="bottom"/>
            <w:tcBorders>
              <w:bottom w:val="single" w:sz="8" w:color="CCEEFF"/>
            </w:tcBorders>
            <w:shd w:val="clear" w:color="auto" w:fill="CCEEFF"/>
          </w:tcPr>
          <w:p>
            <w:pPr>
              <w:spacing w:after="0" w:line="164" w:lineRule="exact"/>
              <w:rPr>
                <w:sz w:val="20"/>
                <w:szCs w:val="20"/>
                <w:color w:val="auto"/>
              </w:rPr>
            </w:pPr>
            <w:r>
              <w:rPr>
                <w:rFonts w:ascii="Arial" w:cs="Arial" w:eastAsia="Arial" w:hAnsi="Arial"/>
                <w:sz w:val="15"/>
                <w:szCs w:val="15"/>
                <w:b w:val="1"/>
                <w:bCs w:val="1"/>
                <w:color w:val="auto"/>
              </w:rPr>
              <w:t>Total (4)(5)</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6"/>
              <w:spacing w:after="0" w:line="164"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spacing w:after="0" w:line="164" w:lineRule="exact"/>
              <w:rPr>
                <w:sz w:val="20"/>
                <w:szCs w:val="20"/>
                <w:color w:val="auto"/>
              </w:rPr>
            </w:pPr>
            <w:r>
              <w:rPr>
                <w:rFonts w:ascii="Arial" w:cs="Arial" w:eastAsia="Arial" w:hAnsi="Arial"/>
                <w:sz w:val="15"/>
                <w:szCs w:val="15"/>
                <w:color w:val="auto"/>
              </w:rPr>
              <w:t>2,801,895</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rPr>
              <w:t>1,831,379</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rPr>
              <w:t>232,131</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6"/>
              <w:spacing w:after="0" w:line="164"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rPr>
              <w:t>221,545</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6"/>
              <w:spacing w:after="0" w:line="164"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rPr>
              <w:t>219,628</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6"/>
              <w:spacing w:after="0" w:line="164"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rPr>
              <w:t>201,715</w:t>
            </w: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6"/>
              <w:spacing w:after="0" w:line="164"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64" w:lineRule="exact"/>
              <w:rPr>
                <w:sz w:val="20"/>
                <w:szCs w:val="20"/>
                <w:color w:val="auto"/>
              </w:rPr>
            </w:pPr>
            <w:r>
              <w:rPr>
                <w:rFonts w:ascii="Arial" w:cs="Arial" w:eastAsia="Arial" w:hAnsi="Arial"/>
                <w:sz w:val="15"/>
                <w:szCs w:val="15"/>
                <w:color w:val="auto"/>
              </w:rPr>
              <w:t>95,497</w:t>
            </w: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75"/>
        </w:trPr>
        <w:tc>
          <w:tcPr>
            <w:tcW w:w="18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r>
    </w:tbl>
    <w:p>
      <w:pPr>
        <w:spacing w:after="0" w:line="69" w:lineRule="exact"/>
        <w:rPr>
          <w:sz w:val="20"/>
          <w:szCs w:val="20"/>
          <w:color w:val="auto"/>
        </w:rPr>
      </w:pPr>
    </w:p>
    <w:p>
      <w:pPr>
        <w:ind w:left="340" w:hanging="298"/>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Assumes all long-term debt is outstanding until scheduled maturity.</w:t>
      </w:r>
    </w:p>
    <w:p>
      <w:pPr>
        <w:spacing w:after="0" w:line="15" w:lineRule="exact"/>
        <w:rPr>
          <w:rFonts w:ascii="Arial" w:cs="Arial" w:eastAsia="Arial" w:hAnsi="Arial"/>
          <w:sz w:val="16"/>
          <w:szCs w:val="16"/>
          <w:color w:val="auto"/>
        </w:rPr>
      </w:pPr>
    </w:p>
    <w:p>
      <w:pPr>
        <w:ind w:left="340" w:right="59" w:hanging="298"/>
        <w:spacing w:after="0" w:line="239"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payments pursuant to: i) regulatory authorizations, ii) non-lease costs associated with our finance lease satellites and iii) commitments for satellite service arrangements.</w:t>
      </w:r>
    </w:p>
    <w:p>
      <w:pPr>
        <w:spacing w:after="0" w:line="1" w:lineRule="exact"/>
        <w:rPr>
          <w:rFonts w:ascii="Arial" w:cs="Arial" w:eastAsia="Arial" w:hAnsi="Arial"/>
          <w:sz w:val="16"/>
          <w:szCs w:val="16"/>
          <w:color w:val="auto"/>
        </w:rPr>
      </w:pPr>
    </w:p>
    <w:p>
      <w:pPr>
        <w:ind w:left="340" w:right="59" w:hanging="298"/>
        <w:spacing w:after="0" w:line="239"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Operating leases consist primarily of leases for the EchoStar XXIV satellite, office space, data centers and satellite-related ground infrastructure.</w:t>
      </w:r>
    </w:p>
    <w:p>
      <w:pPr>
        <w:spacing w:after="0" w:line="1" w:lineRule="exact"/>
        <w:rPr>
          <w:rFonts w:ascii="Arial" w:cs="Arial" w:eastAsia="Arial" w:hAnsi="Arial"/>
          <w:sz w:val="16"/>
          <w:szCs w:val="16"/>
          <w:color w:val="auto"/>
        </w:rPr>
      </w:pPr>
    </w:p>
    <w:p>
      <w:pPr>
        <w:ind w:left="340" w:right="59" w:hanging="298"/>
        <w:spacing w:after="0" w:line="239"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table excludes amounts related to deferred tax liabilities, unrecognized tax positions and certain other amounts recorded in our noncurrent liabilities as the timing of any payments is uncertain.</w:t>
      </w:r>
    </w:p>
    <w:p>
      <w:pPr>
        <w:spacing w:after="0" w:line="1" w:lineRule="exact"/>
        <w:rPr>
          <w:rFonts w:ascii="Arial" w:cs="Arial" w:eastAsia="Arial" w:hAnsi="Arial"/>
          <w:sz w:val="16"/>
          <w:szCs w:val="16"/>
          <w:color w:val="auto"/>
        </w:rPr>
      </w:pPr>
    </w:p>
    <w:p>
      <w:pPr>
        <w:ind w:left="340" w:hanging="298"/>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table excludes long-term deferred revenue and other long-term liabilities that do not require future cash payments.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certain circumstances, the dates on which we are obligated to make these payments could be delayed.</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Contingencies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Patents and Intellectual Property</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Many entities, including some of our competitors, have, or may in the future, obtain patents and other intellectual property rights that cover or affect products or services that we offer or that we may offer in the future. We may not be aware of all intellectual property rights that our products or services may potentially infringe. Damages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2">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04" w:name="page105"/>
    <w:bookmarkEnd w:id="10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in patent infringement cases can be substantial, and in certain circumstances can be trebled. Further, we cannot estimate the extent to which we may be required in the future to obtain licenses with respect to patents held by others and the availability and cost of any such licenses. Various parties have asserted patent and other intellectual property rights with respect to components of our products and services. We cannot be certain that these persons do not own the rights they claim, that our products do not infringe on these rights, and/or that these rights are not valid. Further, we cannot be certain that we would be able to obtain licenses from these persons on commercially reasonable terms or, if we were unable to obtain such licenses, that we would be able to redesign our products to avoid infringement.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Litigation</w:t>
      </w:r>
    </w:p>
    <w:p>
      <w:pPr>
        <w:spacing w:after="0" w:line="194" w:lineRule="exact"/>
        <w:rPr>
          <w:sz w:val="20"/>
          <w:szCs w:val="20"/>
          <w:color w:val="auto"/>
        </w:rPr>
      </w:pPr>
    </w:p>
    <w:p>
      <w:pPr>
        <w:ind w:left="40" w:right="119"/>
        <w:spacing w:after="0" w:line="248" w:lineRule="auto"/>
        <w:rPr>
          <w:sz w:val="20"/>
          <w:szCs w:val="20"/>
          <w:color w:val="auto"/>
        </w:rPr>
      </w:pPr>
      <w:r>
        <w:rPr>
          <w:rFonts w:ascii="Arial" w:cs="Arial" w:eastAsia="Arial" w:hAnsi="Arial"/>
          <w:sz w:val="16"/>
          <w:szCs w:val="16"/>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59"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For certain cases described on the following pages, management is unable to provide a meaningful estimate of the possible loss or range of possible loss because, among other reasons, (i) the proceedings are in various stages;</w:t>
      </w:r>
    </w:p>
    <w:p>
      <w:pPr>
        <w:jc w:val="both"/>
        <w:ind w:left="40" w:right="59" w:firstLine="2"/>
        <w:spacing w:after="0" w:line="243" w:lineRule="auto"/>
        <w:tabs>
          <w:tab w:leader="none" w:pos="281" w:val="left"/>
        </w:tabs>
        <w:numPr>
          <w:ilvl w:val="0"/>
          <w:numId w:val="68"/>
        </w:numPr>
        <w:rPr>
          <w:rFonts w:ascii="Arial" w:cs="Arial" w:eastAsia="Arial" w:hAnsi="Arial"/>
          <w:sz w:val="16"/>
          <w:szCs w:val="16"/>
          <w:color w:val="auto"/>
        </w:rPr>
      </w:pPr>
      <w:r>
        <w:rPr>
          <w:rFonts w:ascii="Arial" w:cs="Arial" w:eastAsia="Arial" w:hAnsi="Arial"/>
          <w:sz w:val="16"/>
          <w:szCs w:val="16"/>
          <w:color w:val="auto"/>
        </w:rPr>
        <w:t>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License Fee Dispute with Government of India, Department of Telecommunications</w:t>
      </w:r>
    </w:p>
    <w:p>
      <w:pPr>
        <w:spacing w:after="0" w:line="194" w:lineRule="exact"/>
        <w:rPr>
          <w:sz w:val="20"/>
          <w:szCs w:val="20"/>
          <w:color w:val="auto"/>
        </w:rPr>
      </w:pPr>
    </w:p>
    <w:p>
      <w:pPr>
        <w:jc w:val="both"/>
        <w:ind w:left="40" w:right="59" w:hanging="6"/>
        <w:spacing w:after="0" w:line="245" w:lineRule="auto"/>
        <w:rPr>
          <w:sz w:val="20"/>
          <w:szCs w:val="20"/>
          <w:color w:val="auto"/>
        </w:rPr>
      </w:pPr>
      <w:r>
        <w:rPr>
          <w:rFonts w:ascii="Arial" w:cs="Arial" w:eastAsia="Arial" w:hAnsi="Arial"/>
          <w:sz w:val="16"/>
          <w:szCs w:val="16"/>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1999 government policy that eliminated fixed license fees and replaced them with license fees based on service providers’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both licensed and unlicensed activities.</w:t>
      </w:r>
    </w:p>
    <w:p>
      <w:pPr>
        <w:spacing w:after="0" w:line="160" w:lineRule="exact"/>
        <w:rPr>
          <w:sz w:val="20"/>
          <w:szCs w:val="20"/>
          <w:color w:val="auto"/>
        </w:rPr>
      </w:pPr>
    </w:p>
    <w:p>
      <w:pPr>
        <w:jc w:val="both"/>
        <w:ind w:left="40" w:right="59" w:hanging="6"/>
        <w:spacing w:after="0" w:line="248" w:lineRule="auto"/>
        <w:rPr>
          <w:sz w:val="20"/>
          <w:szCs w:val="20"/>
          <w:color w:val="auto"/>
        </w:rPr>
      </w:pPr>
      <w:r>
        <w:rPr>
          <w:rFonts w:ascii="Arial" w:cs="Arial" w:eastAsia="Arial" w:hAnsi="Arial"/>
          <w:sz w:val="16"/>
          <w:szCs w:val="16"/>
          <w:color w:val="auto"/>
        </w:rPr>
        <w:t>The DOT rejected this explanation and in 2006, HCIPL filed a petition with an administrative tribunal (the “Tribunal”), challenging the DOT’s calculation of its AGR. The DOT also issued license fee assessments to other telecommunications service providers and those other providers filed similar petitions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w:t>
      </w:r>
    </w:p>
    <w:p>
      <w:pPr>
        <w:spacing w:after="0" w:line="159" w:lineRule="exact"/>
        <w:rPr>
          <w:sz w:val="20"/>
          <w:szCs w:val="20"/>
          <w:color w:val="auto"/>
        </w:rPr>
      </w:pPr>
    </w:p>
    <w:p>
      <w:pPr>
        <w:ind w:left="40" w:right="319" w:hanging="6"/>
        <w:spacing w:after="0" w:line="281" w:lineRule="auto"/>
        <w:rPr>
          <w:sz w:val="20"/>
          <w:szCs w:val="20"/>
          <w:color w:val="auto"/>
        </w:rPr>
      </w:pPr>
      <w:r>
        <w:rPr>
          <w:rFonts w:ascii="Arial" w:cs="Arial" w:eastAsia="Arial" w:hAnsi="Arial"/>
          <w:sz w:val="16"/>
          <w:szCs w:val="16"/>
          <w:color w:val="auto"/>
        </w:rPr>
        <w:t>Over subsequent years, the DOT and HCIPL and other telecommunications service providers, respectively, filed several appeals of the Tribunal’s ruling. On October 24, 2019, the Supreme Court of India (“Supreme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05" w:name="page106"/>
    <w:bookmarkEnd w:id="10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Court”) issued an order (the “October 2019 Order”) affirming the license fee assessments imposed by the DOT, including its imposition of interest, penalties and interest on the penalties, but without indicating the amount HCIPL was required to pay the DOT, and ordering payment by January 23, 2020. On November 23, 2019, HCIPL and other telecommunication service providers filed a petition asking the Supreme Court to reconsider the October 2019 Order.</w:t>
      </w:r>
    </w:p>
    <w:p>
      <w:pPr>
        <w:spacing w:after="0" w:line="156" w:lineRule="exact"/>
        <w:rPr>
          <w:sz w:val="20"/>
          <w:szCs w:val="20"/>
          <w:color w:val="auto"/>
        </w:rPr>
      </w:pPr>
    </w:p>
    <w:p>
      <w:pPr>
        <w:ind w:left="40" w:right="99"/>
        <w:spacing w:after="0" w:line="250" w:lineRule="auto"/>
        <w:rPr>
          <w:sz w:val="20"/>
          <w:szCs w:val="20"/>
          <w:color w:val="auto"/>
        </w:rPr>
      </w:pPr>
      <w:r>
        <w:rPr>
          <w:rFonts w:ascii="Arial" w:cs="Arial" w:eastAsia="Arial" w:hAnsi="Arial"/>
          <w:sz w:val="16"/>
          <w:szCs w:val="16"/>
          <w:color w:val="auto"/>
        </w:rPr>
        <w:t>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w:t>
      </w:r>
    </w:p>
    <w:p>
      <w:pPr>
        <w:spacing w:after="0" w:line="157" w:lineRule="exact"/>
        <w:rPr>
          <w:sz w:val="20"/>
          <w:szCs w:val="20"/>
          <w:color w:val="auto"/>
        </w:rPr>
      </w:pPr>
    </w:p>
    <w:p>
      <w:pPr>
        <w:ind w:left="40" w:right="239" w:hanging="6"/>
        <w:spacing w:after="0" w:line="246" w:lineRule="auto"/>
        <w:rPr>
          <w:sz w:val="20"/>
          <w:szCs w:val="20"/>
          <w:color w:val="auto"/>
        </w:rPr>
      </w:pPr>
      <w:r>
        <w:rPr>
          <w:rFonts w:ascii="Arial" w:cs="Arial" w:eastAsia="Arial" w:hAnsi="Arial"/>
          <w:sz w:val="16"/>
          <w:szCs w:val="16"/>
          <w:color w:val="auto"/>
        </w:rPr>
        <w:t>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w:t>
      </w:r>
    </w:p>
    <w:p>
      <w:pPr>
        <w:spacing w:after="0" w:line="163" w:lineRule="exact"/>
        <w:rPr>
          <w:sz w:val="20"/>
          <w:szCs w:val="20"/>
          <w:color w:val="auto"/>
        </w:rPr>
      </w:pPr>
    </w:p>
    <w:p>
      <w:pPr>
        <w:ind w:left="40" w:right="99" w:hanging="6"/>
        <w:spacing w:after="0" w:line="250" w:lineRule="auto"/>
        <w:rPr>
          <w:sz w:val="20"/>
          <w:szCs w:val="20"/>
          <w:color w:val="auto"/>
        </w:rPr>
      </w:pPr>
      <w:r>
        <w:rPr>
          <w:rFonts w:ascii="Arial" w:cs="Arial" w:eastAsia="Arial" w:hAnsi="Arial"/>
          <w:sz w:val="16"/>
          <w:szCs w:val="16"/>
          <w:color w:val="auto"/>
        </w:rPr>
        <w:t xml:space="preserve">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 As of December 31, 2025, the gross amount of fees, penalties and interest owed was approximately $91 million with $46 million </w:t>
      </w:r>
      <w:r>
        <w:rPr>
          <w:rFonts w:ascii="Arial" w:cs="Arial" w:eastAsia="Arial" w:hAnsi="Arial"/>
          <w:sz w:val="16"/>
          <w:szCs w:val="16"/>
          <w:color w:val="222222"/>
        </w:rPr>
        <w:t>remaining outstanding as a result of historical payments</w:t>
      </w:r>
      <w:r>
        <w:rPr>
          <w:rFonts w:ascii="Arial" w:cs="Arial" w:eastAsia="Arial" w:hAnsi="Arial"/>
          <w:sz w:val="16"/>
          <w:szCs w:val="16"/>
          <w:color w:val="auto"/>
        </w:rPr>
        <w:t>.</w:t>
      </w:r>
    </w:p>
    <w:p>
      <w:pPr>
        <w:spacing w:after="0" w:line="157" w:lineRule="exact"/>
        <w:rPr>
          <w:sz w:val="20"/>
          <w:szCs w:val="20"/>
          <w:color w:val="auto"/>
        </w:rPr>
      </w:pPr>
    </w:p>
    <w:p>
      <w:pPr>
        <w:ind w:left="40" w:right="59" w:hanging="6"/>
        <w:spacing w:after="0" w:line="242" w:lineRule="auto"/>
        <w:rPr>
          <w:sz w:val="20"/>
          <w:szCs w:val="20"/>
          <w:color w:val="auto"/>
        </w:rPr>
      </w:pPr>
      <w:r>
        <w:rPr>
          <w:rFonts w:ascii="Arial" w:cs="Arial" w:eastAsia="Arial" w:hAnsi="Arial"/>
          <w:sz w:val="16"/>
          <w:szCs w:val="16"/>
          <w:color w:val="auto"/>
        </w:rPr>
        <w:t>Pursuant to the Contribution and Membership Interest Purchase Agreement (the “Purchase Agreement”) dated December 3, 2004 between The DirecTV Group, Inc. (“DirecTV”) and certain other entities relating to DirecTV’s spinoff of certain of its subsidiaries, including HCIPL, DirecTV undertook to indemnify HCIPL for certain pre-closing tax liabilities. On March 27, 2020, HCIPL filed an indemnification complaint against DirecTV in the United States District Court for the Southern District of New York, seeking to recover certain license fees, penalties and interest owed to the Indian government as a result of the aforementioned proceedings. On November 16, 2021, the New York court granted summary judgment in favor of DirecTV, but on June 22, 2023, the United States Court of Appeals for the Second Circuit reversed, holding that, under the Purchase Agreement, HCIPL is entitled to indemnification from DirecTV. The Second Circuit remanded the case back to the trial court to determine the amount of indemnification owed. The parties reached a conditional agreement to settle the matter, but the conditions were not met, so the stay entered on October 3, 2024 was lifted on November 22, 2024. On July 8, 2025, a magistrate judge issued a report and recommendation that DirecTV should have to indemnify HCIPL only for license fees, penalties and interest that would have been owing to the DOT as of the April 22, 2005 closing date of the spinoff, but not the penalties and interest that compounded on such pre-closing amounts during the course of the litigation in India. By agreement of the parties, the case was dismissed on September 2, 2025. This matter is now concluded.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06" w:name="page107"/>
    <w:bookmarkEnd w:id="10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00" w:type="dxa"/>
            <w:vAlign w:val="bottom"/>
            <w:gridSpan w:val="2"/>
          </w:tcPr>
          <w:p>
            <w:pPr>
              <w:spacing w:after="0"/>
              <w:rPr>
                <w:sz w:val="20"/>
                <w:szCs w:val="20"/>
                <w:color w:val="auto"/>
              </w:rPr>
            </w:pPr>
            <w:r>
              <w:rPr>
                <w:rFonts w:ascii="Arial" w:cs="Arial" w:eastAsia="Arial" w:hAnsi="Arial"/>
                <w:sz w:val="16"/>
                <w:szCs w:val="16"/>
                <w:color w:val="auto"/>
              </w:rPr>
              <w:t>The following table presents the components of the accrual:</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3"/>
        </w:trPr>
        <w:tc>
          <w:tcPr>
            <w:tcW w:w="2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ind w:left="200"/>
              <w:spacing w:after="0"/>
              <w:rPr>
                <w:sz w:val="20"/>
                <w:szCs w:val="20"/>
                <w:color w:val="auto"/>
              </w:rPr>
            </w:pPr>
            <w:r>
              <w:rPr>
                <w:rFonts w:ascii="Arial" w:cs="Arial" w:eastAsia="Arial" w:hAnsi="Arial"/>
                <w:sz w:val="16"/>
                <w:szCs w:val="16"/>
                <w:b w:val="1"/>
                <w:bCs w:val="1"/>
                <w:color w:val="auto"/>
              </w:rPr>
              <w:t>As of December 31,</w:t>
            </w:r>
          </w:p>
        </w:tc>
      </w:tr>
      <w:tr>
        <w:trPr>
          <w:trHeight w:val="184"/>
        </w:trPr>
        <w:tc>
          <w:tcPr>
            <w:tcW w:w="22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5"/>
                <w:szCs w:val="15"/>
                <w:color w:val="auto"/>
              </w:rPr>
            </w:pPr>
          </w:p>
        </w:tc>
      </w:tr>
      <w:tr>
        <w:trPr>
          <w:trHeight w:val="164"/>
        </w:trPr>
        <w:tc>
          <w:tcPr>
            <w:tcW w:w="22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4"/>
          </w:tcPr>
          <w:p>
            <w:pPr>
              <w:jc w:val="right"/>
              <w:ind w:right="598"/>
              <w:spacing w:after="0" w:line="164" w:lineRule="exact"/>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4"/>
                <w:szCs w:val="14"/>
                <w:color w:val="auto"/>
              </w:rPr>
            </w:pPr>
          </w:p>
        </w:tc>
      </w:tr>
      <w:tr>
        <w:trPr>
          <w:trHeight w:val="184"/>
        </w:trPr>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Additional license fees</w:t>
            </w:r>
          </w:p>
        </w:tc>
        <w:tc>
          <w:tcPr>
            <w:tcW w:w="134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20" w:type="dxa"/>
            <w:vAlign w:val="bottom"/>
          </w:tcPr>
          <w:p>
            <w:pPr>
              <w:spacing w:after="0"/>
              <w:rPr>
                <w:sz w:val="15"/>
                <w:szCs w:val="15"/>
                <w:color w:val="auto"/>
              </w:rPr>
            </w:pPr>
          </w:p>
        </w:tc>
      </w:tr>
      <w:tr>
        <w:trPr>
          <w:trHeight w:val="184"/>
        </w:trPr>
        <w:tc>
          <w:tcPr>
            <w:tcW w:w="5400" w:type="dxa"/>
            <w:vAlign w:val="bottom"/>
            <w:gridSpan w:val="2"/>
          </w:tcPr>
          <w:p>
            <w:pPr>
              <w:spacing w:after="0"/>
              <w:rPr>
                <w:sz w:val="20"/>
                <w:szCs w:val="20"/>
                <w:color w:val="auto"/>
              </w:rPr>
            </w:pPr>
            <w:r>
              <w:rPr>
                <w:rFonts w:ascii="Arial" w:cs="Arial" w:eastAsia="Arial" w:hAnsi="Arial"/>
                <w:sz w:val="16"/>
                <w:szCs w:val="16"/>
                <w:color w:val="auto"/>
              </w:rPr>
              <w:t>Penalties</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3,402</w:t>
            </w:r>
          </w:p>
        </w:tc>
        <w:tc>
          <w:tcPr>
            <w:tcW w:w="20" w:type="dxa"/>
            <w:vAlign w:val="bottom"/>
          </w:tcPr>
          <w:p>
            <w:pPr>
              <w:spacing w:after="0"/>
              <w:rPr>
                <w:sz w:val="15"/>
                <w:szCs w:val="15"/>
                <w:color w:val="auto"/>
              </w:rPr>
            </w:pPr>
          </w:p>
        </w:tc>
      </w:tr>
      <w:tr>
        <w:trPr>
          <w:trHeight w:val="184"/>
        </w:trPr>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on license fees and penalties</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84,190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84,643</w:t>
            </w:r>
          </w:p>
        </w:tc>
        <w:tc>
          <w:tcPr>
            <w:tcW w:w="20" w:type="dxa"/>
            <w:vAlign w:val="bottom"/>
          </w:tcPr>
          <w:p>
            <w:pPr>
              <w:spacing w:after="0"/>
              <w:rPr>
                <w:sz w:val="15"/>
                <w:szCs w:val="15"/>
                <w:color w:val="auto"/>
              </w:rPr>
            </w:pPr>
          </w:p>
        </w:tc>
      </w:tr>
      <w:tr>
        <w:trPr>
          <w:trHeight w:val="184"/>
        </w:trPr>
        <w:tc>
          <w:tcPr>
            <w:tcW w:w="54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Less: Payments</w:t>
            </w:r>
          </w:p>
        </w:tc>
        <w:tc>
          <w:tcPr>
            <w:tcW w:w="1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(44,559)</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(36,929)</w:t>
            </w:r>
          </w:p>
        </w:tc>
        <w:tc>
          <w:tcPr>
            <w:tcW w:w="20" w:type="dxa"/>
            <w:vAlign w:val="bottom"/>
          </w:tcPr>
          <w:p>
            <w:pPr>
              <w:spacing w:after="0"/>
              <w:rPr>
                <w:sz w:val="15"/>
                <w:szCs w:val="15"/>
                <w:color w:val="auto"/>
              </w:rPr>
            </w:pPr>
          </w:p>
        </w:tc>
      </w:tr>
      <w:tr>
        <w:trPr>
          <w:trHeight w:val="176"/>
        </w:trPr>
        <w:tc>
          <w:tcPr>
            <w:tcW w:w="54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6"/>
                <w:szCs w:val="16"/>
                <w:color w:val="auto"/>
              </w:rPr>
              <w:t>Total accrual</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46,027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54,430</w:t>
            </w:r>
          </w:p>
        </w:tc>
        <w:tc>
          <w:tcPr>
            <w:tcW w:w="20" w:type="dxa"/>
            <w:vAlign w:val="bottom"/>
          </w:tcPr>
          <w:p>
            <w:pPr>
              <w:spacing w:after="0"/>
              <w:rPr>
                <w:sz w:val="15"/>
                <w:szCs w:val="15"/>
                <w:color w:val="auto"/>
              </w:rPr>
            </w:pPr>
          </w:p>
        </w:tc>
      </w:tr>
      <w:tr>
        <w:trPr>
          <w:trHeight w:val="184"/>
        </w:trPr>
        <w:tc>
          <w:tcPr>
            <w:tcW w:w="54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Less: Current portion (1)</w:t>
            </w:r>
          </w:p>
        </w:tc>
        <w:tc>
          <w:tcPr>
            <w:tcW w:w="1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9,390</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9,860</w:t>
            </w:r>
          </w:p>
        </w:tc>
        <w:tc>
          <w:tcPr>
            <w:tcW w:w="20" w:type="dxa"/>
            <w:vAlign w:val="bottom"/>
          </w:tcPr>
          <w:p>
            <w:pPr>
              <w:spacing w:after="0"/>
              <w:rPr>
                <w:sz w:val="15"/>
                <w:szCs w:val="15"/>
                <w:color w:val="auto"/>
              </w:rPr>
            </w:pPr>
          </w:p>
        </w:tc>
      </w:tr>
      <w:tr>
        <w:trPr>
          <w:trHeight w:val="176"/>
        </w:trPr>
        <w:tc>
          <w:tcPr>
            <w:tcW w:w="5400" w:type="dxa"/>
            <w:vAlign w:val="bottom"/>
            <w:tcBorders>
              <w:bottom w:val="single" w:sz="8" w:color="CCEEFF"/>
            </w:tcBorders>
            <w:gridSpan w:val="2"/>
            <w:shd w:val="clear" w:color="auto" w:fill="CCEEFF"/>
          </w:tcPr>
          <w:p>
            <w:pPr>
              <w:ind w:left="400"/>
              <w:spacing w:after="0" w:line="176" w:lineRule="exact"/>
              <w:rPr>
                <w:sz w:val="20"/>
                <w:szCs w:val="20"/>
                <w:color w:val="auto"/>
              </w:rPr>
            </w:pPr>
            <w:r>
              <w:rPr>
                <w:rFonts w:ascii="Arial" w:cs="Arial" w:eastAsia="Arial" w:hAnsi="Arial"/>
                <w:sz w:val="16"/>
                <w:szCs w:val="16"/>
                <w:color w:val="auto"/>
              </w:rPr>
              <w:t>Total long-term accrual (2)(3)</w:t>
            </w:r>
          </w:p>
        </w:tc>
        <w:tc>
          <w:tcPr>
            <w:tcW w:w="1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36,637</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44,570</w:t>
            </w:r>
          </w:p>
        </w:tc>
        <w:tc>
          <w:tcPr>
            <w:tcW w:w="20" w:type="dxa"/>
            <w:vAlign w:val="bottom"/>
          </w:tcPr>
          <w:p>
            <w:pPr>
              <w:spacing w:after="0"/>
              <w:rPr>
                <w:sz w:val="15"/>
                <w:szCs w:val="15"/>
                <w:color w:val="auto"/>
              </w:rPr>
            </w:pP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3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69" w:lineRule="exact"/>
        <w:rPr>
          <w:sz w:val="20"/>
          <w:szCs w:val="20"/>
          <w:color w:val="auto"/>
        </w:rPr>
      </w:pPr>
    </w:p>
    <w:p>
      <w:pPr>
        <w:ind w:left="340" w:hanging="298"/>
        <w:spacing w:after="0"/>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current portion of the accrual is included in “Accrued expenses” on our Consolidated Balance Sheets.</w:t>
      </w:r>
    </w:p>
    <w:p>
      <w:pPr>
        <w:spacing w:after="0" w:line="15" w:lineRule="exact"/>
        <w:rPr>
          <w:rFonts w:ascii="Arial" w:cs="Arial" w:eastAsia="Arial" w:hAnsi="Arial"/>
          <w:sz w:val="16"/>
          <w:szCs w:val="16"/>
          <w:color w:val="auto"/>
        </w:rPr>
      </w:pPr>
    </w:p>
    <w:p>
      <w:pPr>
        <w:ind w:left="340" w:hanging="298"/>
        <w:spacing w:after="0"/>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long-term portion of the accrual is included in “Other noncurrent liabilities” on our Consolidated Balance Sheets.</w:t>
      </w:r>
    </w:p>
    <w:p>
      <w:pPr>
        <w:ind w:left="340" w:hanging="298"/>
        <w:spacing w:after="0"/>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 owed must be paid in Indian Rupees.</w:t>
      </w:r>
    </w:p>
    <w:p>
      <w:pPr>
        <w:spacing w:after="0" w:line="180"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Any eventual payments made with respect to the ultimate outcome of this matter may be different from our accrual and such differences could be significant.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Hughes Telecomunicações do Brasil v. State of São Paulo Treasury Department</w:t>
      </w:r>
    </w:p>
    <w:p>
      <w:pPr>
        <w:spacing w:after="0" w:line="194"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On December 12, 2019, Hughes Telecomunicações do Brasil (“HTB”) filed 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p>
    <w:p>
      <w:pPr>
        <w:spacing w:after="0" w:line="15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In June 2022, a judicial expert determined that HTB’s interpretation of the exemption was correct. Nonetheless, in July 2023, the Court entered judgment against HTB, and in October 2023, rejected HTB’s request for clarification. In November 2023, HTB filed an appeal to the Court of Justice, but on February 25, 2025, the Court of Justice ruled against HTB. On March 14, 2025, HTB filed a motion seeking clarification, but that motion was denied on October 24, 2025. HTB has filed a new motion for clarification.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intend to vigorously defend this case. We cannot predict with any degree of certainty the outcome of the suit.</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NewSpace India Limited</w:t>
      </w:r>
    </w:p>
    <w:p>
      <w:pPr>
        <w:spacing w:after="0" w:line="194"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In October 2025, NewSpace India Limited (“NSIL”) sued our wholly-owned subsidiary Hughes Communications India Private Limited (“HCIPL”), claiming that HCIPL unlawfully terminated the parties’ agreement for HCIPL to take capacity on the GSAT 20 satellite. HCIPL had terminated the parties’ agreement on December 6, 2024, citing, among other reasons, NSIL’s failure to meet the contractual provision for a timely launch. NSIL seeks a declaration that HCIPL’s termination was premature and void, a temporary and permanent injunction restraining HCIPL from terminating or breaching the agreement, and damages of approximately 10.6 billion Indian Rupees (USD $117 million).</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intend to vigorously defend this case. We cannot predict with any degree of certainty the outcome of the suit.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5">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07" w:name="page108"/>
    <w:bookmarkEnd w:id="10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Other</w:t>
      </w:r>
    </w:p>
    <w:p>
      <w:pPr>
        <w:spacing w:after="0" w:line="194"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In addition to the above actions, we are subject to various other legal proceedings and claims that arise in the ordinary course of business.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200" w:lineRule="exact"/>
        <w:rPr>
          <w:sz w:val="20"/>
          <w:szCs w:val="20"/>
          <w:color w:val="auto"/>
        </w:rPr>
      </w:pPr>
    </w:p>
    <w:p>
      <w:pPr>
        <w:spacing w:after="0" w:line="287" w:lineRule="exact"/>
        <w:rPr>
          <w:sz w:val="20"/>
          <w:szCs w:val="20"/>
          <w:color w:val="auto"/>
        </w:rPr>
      </w:pPr>
    </w:p>
    <w:p>
      <w:pPr>
        <w:ind w:left="640" w:hanging="598"/>
        <w:spacing w:after="0"/>
        <w:tabs>
          <w:tab w:leader="none" w:pos="64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Segment Reporting</w:t>
      </w:r>
    </w:p>
    <w:p>
      <w:pPr>
        <w:spacing w:after="0" w:line="19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Our chief operating decision maker (“CODM”) is our President and Chief Executive Officer. “OIBDA,”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 The CODM is not regularly provided assets in evaluating the results of our Hughes segment; therefore, such information is not presented.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manage our business activities on a consolidated basis and operate as a single operating segment, Hughes.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08" w:name="page109"/>
    <w:bookmarkEnd w:id="108"/>
    <w:tbl>
      <w:tblPr>
        <w:tblLayout w:type="fixed"/>
        <w:tblInd w:w="40" w:type="dxa"/>
        <w:tblCellMar>
          <w:top w:w="0" w:type="dxa"/>
          <w:left w:w="0" w:type="dxa"/>
          <w:bottom w:w="0" w:type="dxa"/>
          <w:right w:w="0" w:type="dxa"/>
        </w:tblCellMar>
      </w:tblPr>
      <w:tr>
        <w:trPr>
          <w:trHeight w:val="184"/>
        </w:trPr>
        <w:tc>
          <w:tcPr>
            <w:tcW w:w="4320" w:type="dxa"/>
            <w:vAlign w:val="bottom"/>
            <w:gridSpan w:val="4"/>
          </w:tcPr>
          <w:p>
            <w:pPr>
              <w:spacing w:after="0"/>
              <w:rPr>
                <w:sz w:val="20"/>
                <w:szCs w:val="20"/>
                <w:color w:val="auto"/>
              </w:rPr>
            </w:pPr>
            <w:r>
              <w:rPr>
                <w:rFonts w:ascii="Arial" w:cs="Arial" w:eastAsia="Arial" w:hAnsi="Arial"/>
                <w:sz w:val="16"/>
                <w:szCs w:val="16"/>
                <w:color w:val="0000EE"/>
              </w:rPr>
              <w:t>Table of Contents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180" w:type="dxa"/>
            <w:vAlign w:val="bottom"/>
            <w:gridSpan w:val="6"/>
          </w:tcPr>
          <w:p>
            <w:pPr>
              <w:jc w:val="right"/>
              <w:ind w:right="18"/>
              <w:spacing w:after="0"/>
              <w:rPr>
                <w:sz w:val="20"/>
                <w:szCs w:val="20"/>
                <w:color w:val="auto"/>
              </w:rPr>
            </w:pPr>
            <w:r>
              <w:rPr>
                <w:rFonts w:ascii="Arial" w:cs="Arial" w:eastAsia="Arial" w:hAnsi="Arial"/>
                <w:sz w:val="16"/>
                <w:szCs w:val="16"/>
                <w:b w:val="1"/>
                <w:bCs w:val="1"/>
                <w:color w:val="auto"/>
              </w:rPr>
              <w:t>HUGHES SATELLITE SYSTEMS CORPORATION</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0" w:type="dxa"/>
            <w:vAlign w:val="bottom"/>
            <w:gridSpan w:val="9"/>
          </w:tcPr>
          <w:p>
            <w:pPr>
              <w:jc w:val="right"/>
              <w:ind w:right="400"/>
              <w:spacing w:after="0"/>
              <w:rPr>
                <w:sz w:val="20"/>
                <w:szCs w:val="20"/>
                <w:color w:val="auto"/>
              </w:rPr>
            </w:pPr>
            <w:r>
              <w:rPr>
                <w:rFonts w:ascii="Arial" w:cs="Arial" w:eastAsia="Arial" w:hAnsi="Arial"/>
                <w:sz w:val="16"/>
                <w:szCs w:val="16"/>
                <w:b w:val="1"/>
                <w:bCs w:val="1"/>
                <w:color w:val="auto"/>
              </w:rPr>
              <w:t>NOTES TO CONSOLIDATED FINANCIAL STATEMENTS – Continued</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center"/>
              <w:ind w:left="498"/>
              <w:spacing w:after="0"/>
              <w:rPr>
                <w:sz w:val="20"/>
                <w:szCs w:val="20"/>
                <w:color w:val="auto"/>
              </w:rPr>
            </w:pPr>
            <w:r>
              <w:rPr>
                <w:rFonts w:ascii="Arial" w:cs="Arial" w:eastAsia="Arial" w:hAnsi="Arial"/>
                <w:sz w:val="16"/>
                <w:szCs w:val="16"/>
                <w:b w:val="1"/>
                <w:bCs w:val="1"/>
                <w:color w:val="auto"/>
              </w:rPr>
              <w:t>For the Years Ended December 31,</w:t>
            </w: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320" w:type="dxa"/>
            <w:vAlign w:val="bottom"/>
            <w:gridSpan w:val="4"/>
          </w:tcPr>
          <w:p>
            <w:pPr>
              <w:spacing w:after="0"/>
              <w:rPr>
                <w:sz w:val="20"/>
                <w:szCs w:val="20"/>
                <w:color w:val="auto"/>
              </w:rPr>
            </w:pPr>
            <w:r>
              <w:rPr>
                <w:rFonts w:ascii="Arial" w:cs="Arial" w:eastAsia="Arial" w:hAnsi="Arial"/>
                <w:sz w:val="16"/>
                <w:szCs w:val="16"/>
                <w:b w:val="1"/>
                <w:bCs w:val="1"/>
                <w:color w:val="auto"/>
              </w:rPr>
              <w:t>Hughes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8"/>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center"/>
              <w:ind w:right="278"/>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398"/>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top w:val="single" w:sz="8" w:color="auto"/>
            </w:tcBorders>
            <w:gridSpan w:val="2"/>
          </w:tcPr>
          <w:p>
            <w:pPr>
              <w:jc w:val="center"/>
              <w:spacing w:after="0" w:line="176" w:lineRule="exact"/>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00" w:type="dxa"/>
            <w:vAlign w:val="bottom"/>
            <w:gridSpan w:val="3"/>
          </w:tcPr>
          <w:p>
            <w:pPr>
              <w:ind w:left="80"/>
              <w:spacing w:after="0"/>
              <w:rPr>
                <w:sz w:val="20"/>
                <w:szCs w:val="20"/>
                <w:color w:val="auto"/>
              </w:rPr>
            </w:pPr>
            <w:r>
              <w:rPr>
                <w:rFonts w:ascii="Arial" w:cs="Arial" w:eastAsia="Arial" w:hAnsi="Arial"/>
                <w:sz w:val="16"/>
                <w:szCs w:val="16"/>
                <w:color w:val="auto"/>
              </w:rPr>
              <w:t>Service revenue</w:t>
            </w:r>
          </w:p>
        </w:tc>
        <w:tc>
          <w:tcPr>
            <w:tcW w:w="480" w:type="dxa"/>
            <w:vAlign w:val="bottom"/>
            <w:gridSpan w:val="2"/>
          </w:tcPr>
          <w:p>
            <w:pPr>
              <w:jc w:val="right"/>
              <w:ind w:right="123"/>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1,085,219</w:t>
            </w:r>
          </w:p>
        </w:tc>
        <w:tc>
          <w:tcPr>
            <w:tcW w:w="200" w:type="dxa"/>
            <w:vAlign w:val="bottom"/>
          </w:tcPr>
          <w:p>
            <w:pPr>
              <w:spacing w:after="0"/>
              <w:rPr>
                <w:sz w:val="15"/>
                <w:szCs w:val="15"/>
                <w:color w:val="auto"/>
              </w:rPr>
            </w:pPr>
          </w:p>
        </w:tc>
        <w:tc>
          <w:tcPr>
            <w:tcW w:w="380" w:type="dxa"/>
            <w:vAlign w:val="bottom"/>
          </w:tcPr>
          <w:p>
            <w:pPr>
              <w:jc w:val="right"/>
              <w:ind w:right="198"/>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1,210,840</w:t>
            </w:r>
          </w:p>
        </w:tc>
        <w:tc>
          <w:tcPr>
            <w:tcW w:w="100" w:type="dxa"/>
            <w:vAlign w:val="bottom"/>
          </w:tcPr>
          <w:p>
            <w:pPr>
              <w:spacing w:after="0"/>
              <w:rPr>
                <w:sz w:val="15"/>
                <w:szCs w:val="15"/>
                <w:color w:val="auto"/>
              </w:rPr>
            </w:pPr>
          </w:p>
        </w:tc>
        <w:tc>
          <w:tcPr>
            <w:tcW w:w="580" w:type="dxa"/>
            <w:vAlign w:val="bottom"/>
            <w:gridSpan w:val="2"/>
          </w:tcPr>
          <w:p>
            <w:pPr>
              <w:jc w:val="right"/>
              <w:ind w:right="323"/>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1,448,489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Equipment sales and other revenue</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350,686</w:t>
            </w:r>
          </w:p>
        </w:tc>
        <w:tc>
          <w:tcPr>
            <w:tcW w:w="2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299,367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Borders>
              <w:bottom w:val="single" w:sz="8" w:color="CCEEFF"/>
            </w:tcBorders>
            <w:gridSpan w:val="3"/>
          </w:tcPr>
          <w:p>
            <w:pPr>
              <w:spacing w:after="0" w:line="176" w:lineRule="exact"/>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1,435,905</w:t>
            </w:r>
          </w:p>
        </w:tc>
        <w:tc>
          <w:tcPr>
            <w:tcW w:w="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1,560,373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1,747,856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Cost of services:</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00" w:type="dxa"/>
            <w:vAlign w:val="bottom"/>
            <w:gridSpan w:val="3"/>
          </w:tcPr>
          <w:p>
            <w:pPr>
              <w:ind w:left="80"/>
              <w:spacing w:after="0"/>
              <w:rPr>
                <w:sz w:val="20"/>
                <w:szCs w:val="20"/>
                <w:color w:val="auto"/>
              </w:rPr>
            </w:pPr>
            <w:r>
              <w:rPr>
                <w:rFonts w:ascii="Arial" w:cs="Arial" w:eastAsia="Arial" w:hAnsi="Arial"/>
                <w:sz w:val="16"/>
                <w:szCs w:val="16"/>
                <w:color w:val="auto"/>
              </w:rPr>
              <w:t>Connectivity services (1)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388,391</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370,473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178,295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Other (2)</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249,233</w:t>
            </w:r>
          </w:p>
        </w:tc>
        <w:tc>
          <w:tcPr>
            <w:tcW w:w="2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310,548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362,650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Borders>
              <w:bottom w:val="single" w:sz="8" w:color="CCEEFF"/>
            </w:tcBorders>
            <w:gridSpan w:val="3"/>
          </w:tcPr>
          <w:p>
            <w:pPr>
              <w:spacing w:after="0" w:line="176" w:lineRule="exact"/>
              <w:rPr>
                <w:sz w:val="20"/>
                <w:szCs w:val="20"/>
                <w:color w:val="auto"/>
              </w:rPr>
            </w:pPr>
            <w:r>
              <w:rPr>
                <w:rFonts w:ascii="Arial" w:cs="Arial" w:eastAsia="Arial" w:hAnsi="Arial"/>
                <w:sz w:val="16"/>
                <w:szCs w:val="16"/>
                <w:color w:val="auto"/>
              </w:rPr>
              <w:t>Total cost of services</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637,624</w:t>
            </w:r>
          </w:p>
        </w:tc>
        <w:tc>
          <w:tcPr>
            <w:tcW w:w="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681,021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540,945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color w:val="auto"/>
              </w:rPr>
              <w:t>Cost of sales - equipment and other</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316,475</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307,742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239,336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6"/>
                <w:szCs w:val="16"/>
                <w:i w:val="1"/>
                <w:iCs w:val="1"/>
                <w:color w:val="auto"/>
              </w:rPr>
              <w:t>Selling, general and administrative expenses: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Subscriber acquisition costs</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166,253</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00" w:type="dxa"/>
            <w:vAlign w:val="bottom"/>
            <w:tcBorders>
              <w:bottom w:val="single" w:sz="8" w:color="CCEEFF"/>
            </w:tcBorders>
            <w:gridSpan w:val="3"/>
          </w:tcPr>
          <w:p>
            <w:pPr>
              <w:ind w:left="8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155,919</w:t>
            </w:r>
          </w:p>
        </w:tc>
        <w:tc>
          <w:tcPr>
            <w:tcW w:w="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193,881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color w:val="auto"/>
              </w:rPr>
              <w:t>Total selling, general and administrative expenses</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322,172</w:t>
            </w:r>
          </w:p>
        </w:tc>
        <w:tc>
          <w:tcPr>
            <w:tcW w:w="2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375,538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439,984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Impairments and other (Note 1)</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1,422,982</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532,940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220" w:type="dxa"/>
            <w:vAlign w:val="bottom"/>
            <w:tcBorders>
              <w:bottom w:val="single" w:sz="8" w:color="CCEEFF"/>
            </w:tcBorders>
            <w:gridSpan w:val="2"/>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OIBDA (3)</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(1,263,348)</w:t>
            </w:r>
          </w:p>
        </w:tc>
        <w:tc>
          <w:tcPr>
            <w:tcW w:w="2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196,072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(5,349)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333,003</w:t>
            </w:r>
          </w:p>
        </w:tc>
        <w:tc>
          <w:tcPr>
            <w:tcW w:w="2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Borders>
              <w:bottom w:val="single" w:sz="8" w:color="CCEEFF"/>
            </w:tcBorders>
            <w:gridSpan w:val="3"/>
          </w:tcPr>
          <w:p>
            <w:pPr>
              <w:spacing w:after="0" w:line="176" w:lineRule="exact"/>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3,032,256</w:t>
            </w:r>
          </w:p>
        </w:tc>
        <w:tc>
          <w:tcPr>
            <w:tcW w:w="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1,730,203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2,142,837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Borders>
              <w:bottom w:val="single" w:sz="8" w:color="CCEEFF"/>
            </w:tcBorders>
            <w:gridSpan w:val="3"/>
          </w:tcPr>
          <w:p>
            <w:pPr>
              <w:spacing w:after="0" w:line="176" w:lineRule="exact"/>
              <w:rPr>
                <w:sz w:val="20"/>
                <w:szCs w:val="20"/>
                <w:color w:val="auto"/>
              </w:rPr>
            </w:pPr>
            <w:r>
              <w:rPr>
                <w:rFonts w:ascii="Arial" w:cs="Arial" w:eastAsia="Arial" w:hAnsi="Arial"/>
                <w:sz w:val="16"/>
                <w:szCs w:val="16"/>
                <w:color w:val="auto"/>
              </w:rPr>
              <w:t>Operating income (loss)</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(1,596,351)</w:t>
            </w:r>
          </w:p>
        </w:tc>
        <w:tc>
          <w:tcPr>
            <w:tcW w:w="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198"/>
              <w:spacing w:after="0" w:line="176"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(169,830)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(394,981)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9,217</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25,393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85,036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expense, net of amounts capitalized</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(102,218)</w:t>
            </w:r>
          </w:p>
        </w:tc>
        <w:tc>
          <w:tcPr>
            <w:tcW w:w="3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(98,802)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00" w:type="dxa"/>
            <w:vAlign w:val="bottom"/>
            <w:gridSpan w:val="3"/>
          </w:tcPr>
          <w:p>
            <w:pPr>
              <w:spacing w:after="0"/>
              <w:rPr>
                <w:sz w:val="20"/>
                <w:szCs w:val="20"/>
                <w:color w:val="auto"/>
              </w:rPr>
            </w:pPr>
            <w:r>
              <w:rPr>
                <w:rFonts w:ascii="Arial" w:cs="Arial" w:eastAsia="Arial" w:hAnsi="Arial"/>
                <w:sz w:val="16"/>
                <w:szCs w:val="16"/>
                <w:color w:val="auto"/>
              </w:rPr>
              <w:t>Other, net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6,906</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(9,024)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(32,798)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6"/>
                <w:szCs w:val="16"/>
                <w:color w:val="auto"/>
              </w:rPr>
              <w:t>Total other income (expense)</w:t>
            </w: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(86,095)</w:t>
            </w:r>
          </w:p>
        </w:tc>
        <w:tc>
          <w:tcPr>
            <w:tcW w:w="2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(82,433)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(37,331)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(1,682,446)</w:t>
            </w:r>
          </w:p>
        </w:tc>
        <w:tc>
          <w:tcPr>
            <w:tcW w:w="3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(252,263)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Income tax benefit (provision), net</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398,940</w:t>
            </w:r>
          </w:p>
        </w:tc>
        <w:tc>
          <w:tcPr>
            <w:tcW w:w="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(1,283,506)</w:t>
            </w:r>
          </w:p>
        </w:tc>
        <w:tc>
          <w:tcPr>
            <w:tcW w:w="2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198"/>
              <w:spacing w:after="0" w:line="176"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(218,110)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(478,438)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restart"/>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Purchases of property and equipment, net of refunds</w:t>
            </w:r>
          </w:p>
        </w:tc>
        <w:tc>
          <w:tcPr>
            <w:tcW w:w="48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114,431</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205,330</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323"/>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40" w:right="499" w:hanging="298"/>
        <w:spacing w:after="0" w:line="250"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“Connectivity services” is the cost to deliver our services and products to customers, which includes, among other things, satellite and transmission and other related costs.</w:t>
      </w:r>
    </w:p>
    <w:p>
      <w:pPr>
        <w:ind w:left="340" w:right="259" w:hanging="298"/>
        <w:spacing w:after="0" w:line="239"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“Other” primarily consists of variable costs including call center, manufacturing, dealer incentive, bad debt, billing and other variable costs, as well as costs to retain our subscribers.</w:t>
      </w:r>
    </w:p>
    <w:p>
      <w:pPr>
        <w:spacing w:after="0" w:line="1" w:lineRule="exact"/>
        <w:rPr>
          <w:rFonts w:ascii="Arial" w:cs="Arial" w:eastAsia="Arial" w:hAnsi="Arial"/>
          <w:sz w:val="16"/>
          <w:szCs w:val="16"/>
          <w:color w:val="auto"/>
        </w:rPr>
      </w:pPr>
    </w:p>
    <w:p>
      <w:pPr>
        <w:ind w:left="340" w:right="239" w:hanging="298"/>
        <w:spacing w:after="0" w:line="245"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on a more variable cost basis as it excludes depreciation and amortization expenses related primarily to capital expenditures and acquisitions, as well as in evaluating operating performance in relation to our competitors.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7">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109" w:name="page110"/>
    <w:bookmarkEnd w:id="109"/>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40" w:right="59"/>
        <w:spacing w:after="0" w:line="253" w:lineRule="auto"/>
        <w:rPr>
          <w:sz w:val="20"/>
          <w:szCs w:val="20"/>
          <w:color w:val="auto"/>
        </w:rPr>
      </w:pPr>
      <w:r>
        <w:rPr>
          <w:rFonts w:ascii="Arial" w:cs="Arial" w:eastAsia="Arial" w:hAnsi="Arial"/>
          <w:sz w:val="16"/>
          <w:szCs w:val="16"/>
          <w:b w:val="1"/>
          <w:bCs w:val="1"/>
          <w:color w:val="auto"/>
        </w:rPr>
        <w:t xml:space="preserve">Geographic Information. </w:t>
      </w:r>
      <w:r>
        <w:rPr>
          <w:rFonts w:ascii="Arial" w:cs="Arial" w:eastAsia="Arial" w:hAnsi="Arial"/>
          <w:sz w:val="16"/>
          <w:szCs w:val="16"/>
          <w:color w:val="auto"/>
        </w:rPr>
        <w:t>Revenue is attributed to geographic regions based upon the customer billing location. Long-lived</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are associated with the geographic regions based upon the location where the asset resides. Geographic regions consist of: (i) North America, including the U.S. and its territories, Mexico, and Canada; (ii) South and Central America; (iii) Other, including Asia, Africa, Australia, Europe, India and the Middle East.</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00" w:type="dxa"/>
            <w:vAlign w:val="bottom"/>
            <w:gridSpan w:val="3"/>
          </w:tcPr>
          <w:p>
            <w:pPr>
              <w:spacing w:after="0"/>
              <w:rPr>
                <w:sz w:val="20"/>
                <w:szCs w:val="20"/>
                <w:color w:val="auto"/>
              </w:rPr>
            </w:pPr>
            <w:r>
              <w:rPr>
                <w:rFonts w:ascii="Arial" w:cs="Arial" w:eastAsia="Arial" w:hAnsi="Arial"/>
                <w:sz w:val="16"/>
                <w:szCs w:val="16"/>
                <w:color w:val="auto"/>
              </w:rPr>
              <w:t>The following table summarizes revenue by geographic market: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428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5"/>
          </w:tcPr>
          <w:p>
            <w:pPr>
              <w:jc w:val="right"/>
              <w:ind w:right="798"/>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4"/>
        </w:trPr>
        <w:tc>
          <w:tcPr>
            <w:tcW w:w="42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line="176"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52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1,146,197</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1,239,679</w:t>
            </w:r>
          </w:p>
        </w:tc>
        <w:tc>
          <w:tcPr>
            <w:tcW w:w="40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1,398,123</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20"/>
                <w:szCs w:val="20"/>
                <w:color w:val="auto"/>
              </w:rPr>
            </w:pPr>
            <w:r>
              <w:rPr>
                <w:rFonts w:ascii="Arial" w:cs="Arial" w:eastAsia="Arial" w:hAnsi="Arial"/>
                <w:sz w:val="16"/>
                <w:szCs w:val="16"/>
                <w:color w:val="auto"/>
              </w:rPr>
              <w:t>South and Central America</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133,490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147,694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159,520</w:t>
            </w:r>
          </w:p>
        </w:tc>
        <w:tc>
          <w:tcPr>
            <w:tcW w:w="0" w:type="dxa"/>
            <w:vAlign w:val="bottom"/>
          </w:tcPr>
          <w:p>
            <w:pPr>
              <w:spacing w:after="0"/>
              <w:rPr>
                <w:sz w:val="1"/>
                <w:szCs w:val="1"/>
                <w:color w:val="auto"/>
              </w:rPr>
            </w:pPr>
          </w:p>
        </w:tc>
      </w:tr>
      <w:tr>
        <w:trPr>
          <w:trHeight w:val="184"/>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156,218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173,000</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190,213</w:t>
            </w:r>
          </w:p>
        </w:tc>
        <w:tc>
          <w:tcPr>
            <w:tcW w:w="0" w:type="dxa"/>
            <w:vAlign w:val="bottom"/>
          </w:tcPr>
          <w:p>
            <w:pPr>
              <w:spacing w:after="0"/>
              <w:rPr>
                <w:sz w:val="1"/>
                <w:szCs w:val="1"/>
                <w:color w:val="auto"/>
              </w:rPr>
            </w:pPr>
          </w:p>
        </w:tc>
      </w:tr>
      <w:tr>
        <w:trPr>
          <w:trHeight w:val="176"/>
        </w:trPr>
        <w:tc>
          <w:tcPr>
            <w:tcW w:w="4280" w:type="dxa"/>
            <w:vAlign w:val="bottom"/>
          </w:tcPr>
          <w:p>
            <w:pPr>
              <w:ind w:left="100"/>
              <w:spacing w:after="0" w:line="176" w:lineRule="exact"/>
              <w:rPr>
                <w:sz w:val="20"/>
                <w:szCs w:val="20"/>
                <w:color w:val="auto"/>
              </w:rPr>
            </w:pPr>
            <w:r>
              <w:rPr>
                <w:rFonts w:ascii="Arial" w:cs="Arial" w:eastAsia="Arial" w:hAnsi="Arial"/>
                <w:sz w:val="16"/>
                <w:szCs w:val="16"/>
                <w:b w:val="1"/>
                <w:bCs w:val="1"/>
                <w:color w:val="auto"/>
              </w:rPr>
              <w:t>Total revenue</w:t>
            </w:r>
          </w:p>
        </w:tc>
        <w:tc>
          <w:tcPr>
            <w:tcW w:w="240" w:type="dxa"/>
            <w:vAlign w:val="bottom"/>
          </w:tcPr>
          <w:p>
            <w:pPr>
              <w:spacing w:after="0"/>
              <w:rPr>
                <w:sz w:val="15"/>
                <w:szCs w:val="15"/>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3"/>
          </w:tcPr>
          <w:p>
            <w:pPr>
              <w:jc w:val="right"/>
              <w:spacing w:after="0" w:line="176" w:lineRule="exact"/>
              <w:rPr>
                <w:sz w:val="20"/>
                <w:szCs w:val="20"/>
                <w:color w:val="auto"/>
              </w:rPr>
            </w:pPr>
            <w:r>
              <w:rPr>
                <w:rFonts w:ascii="Arial" w:cs="Arial" w:eastAsia="Arial" w:hAnsi="Arial"/>
                <w:sz w:val="16"/>
                <w:szCs w:val="16"/>
                <w:color w:val="auto"/>
              </w:rPr>
              <w:t>1,435,905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1,560,373</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1,747,856</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5960" w:type="dxa"/>
            <w:vAlign w:val="bottom"/>
            <w:gridSpan w:val="7"/>
          </w:tcPr>
          <w:p>
            <w:pPr>
              <w:spacing w:after="0"/>
              <w:rPr>
                <w:sz w:val="20"/>
                <w:szCs w:val="20"/>
                <w:color w:val="auto"/>
              </w:rPr>
            </w:pPr>
            <w:r>
              <w:rPr>
                <w:rFonts w:ascii="Arial" w:cs="Arial" w:eastAsia="Arial" w:hAnsi="Arial"/>
                <w:sz w:val="16"/>
                <w:szCs w:val="16"/>
                <w:color w:val="auto"/>
              </w:rPr>
              <w:t>The following table summarizes long-lived assets by geographic market: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jc w:val="right"/>
              <w:ind w:right="758"/>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84"/>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Long-lived assets:</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200" w:type="dxa"/>
            <w:vAlign w:val="bottom"/>
            <w:gridSpan w:val="3"/>
          </w:tcPr>
          <w:p>
            <w:pPr>
              <w:ind w:left="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gridSpan w:val="3"/>
          </w:tcPr>
          <w:p>
            <w:pPr>
              <w:spacing w:after="0"/>
              <w:rPr>
                <w:sz w:val="15"/>
                <w:szCs w:val="15"/>
                <w:color w:val="auto"/>
              </w:rPr>
            </w:pPr>
          </w:p>
        </w:tc>
        <w:tc>
          <w:tcPr>
            <w:tcW w:w="9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8"/>
          </w:tcPr>
          <w:p>
            <w:pPr>
              <w:ind w:left="640"/>
              <w:spacing w:after="0" w:line="176" w:lineRule="exact"/>
              <w:rPr>
                <w:sz w:val="20"/>
                <w:szCs w:val="20"/>
                <w:color w:val="auto"/>
              </w:rPr>
            </w:pPr>
            <w:r>
              <w:rPr>
                <w:rFonts w:ascii="Arial" w:cs="Arial" w:eastAsia="Arial" w:hAnsi="Arial"/>
                <w:sz w:val="16"/>
                <w:szCs w:val="16"/>
                <w:color w:val="auto"/>
              </w:rPr>
              <w:t>(In thousands)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716,631</w:t>
            </w:r>
          </w:p>
        </w:tc>
        <w:tc>
          <w:tcPr>
            <w:tcW w:w="14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2,342,387</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20"/>
                <w:szCs w:val="20"/>
                <w:color w:val="auto"/>
              </w:rPr>
            </w:pPr>
            <w:r>
              <w:rPr>
                <w:rFonts w:ascii="Arial" w:cs="Arial" w:eastAsia="Arial" w:hAnsi="Arial"/>
                <w:sz w:val="16"/>
                <w:szCs w:val="16"/>
                <w:color w:val="auto"/>
              </w:rPr>
              <w:t>South and Central America</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30,826</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74,365</w:t>
            </w:r>
          </w:p>
        </w:tc>
        <w:tc>
          <w:tcPr>
            <w:tcW w:w="0" w:type="dxa"/>
            <w:vAlign w:val="bottom"/>
          </w:tcPr>
          <w:p>
            <w:pPr>
              <w:spacing w:after="0"/>
              <w:rPr>
                <w:sz w:val="1"/>
                <w:szCs w:val="1"/>
                <w:color w:val="auto"/>
              </w:rPr>
            </w:pPr>
          </w:p>
        </w:tc>
      </w:tr>
      <w:tr>
        <w:trPr>
          <w:trHeight w:val="184"/>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7,812</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25,032</w:t>
            </w:r>
          </w:p>
        </w:tc>
        <w:tc>
          <w:tcPr>
            <w:tcW w:w="0" w:type="dxa"/>
            <w:vAlign w:val="bottom"/>
          </w:tcPr>
          <w:p>
            <w:pPr>
              <w:spacing w:after="0"/>
              <w:rPr>
                <w:sz w:val="1"/>
                <w:szCs w:val="1"/>
                <w:color w:val="auto"/>
              </w:rPr>
            </w:pPr>
          </w:p>
        </w:tc>
      </w:tr>
      <w:tr>
        <w:trPr>
          <w:trHeight w:val="176"/>
        </w:trPr>
        <w:tc>
          <w:tcPr>
            <w:tcW w:w="4280" w:type="dxa"/>
            <w:vAlign w:val="bottom"/>
          </w:tcPr>
          <w:p>
            <w:pPr>
              <w:spacing w:after="0" w:line="176" w:lineRule="exact"/>
              <w:rPr>
                <w:sz w:val="20"/>
                <w:szCs w:val="20"/>
                <w:color w:val="auto"/>
              </w:rPr>
            </w:pPr>
            <w:r>
              <w:rPr>
                <w:rFonts w:ascii="Arial" w:cs="Arial" w:eastAsia="Arial" w:hAnsi="Arial"/>
                <w:sz w:val="16"/>
                <w:szCs w:val="16"/>
                <w:b w:val="1"/>
                <w:bCs w:val="1"/>
                <w:color w:val="auto"/>
              </w:rPr>
              <w:t>Total long-lived assets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gridSpan w:val="2"/>
          </w:tcPr>
          <w:p>
            <w:pPr>
              <w:jc w:val="right"/>
              <w:ind w:right="100"/>
              <w:spacing w:after="0" w:line="176" w:lineRule="exact"/>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6"/>
                <w:szCs w:val="16"/>
                <w:color w:val="auto"/>
              </w:rPr>
              <w:t>755,269</w:t>
            </w:r>
          </w:p>
        </w:tc>
        <w:tc>
          <w:tcPr>
            <w:tcW w:w="14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2,441,784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6"/>
          <w:szCs w:val="16"/>
          <w:b w:val="1"/>
          <w:bCs w:val="1"/>
          <w:color w:val="auto"/>
        </w:rPr>
        <w:t>14.</w:t>
        <w:tab/>
        <w:t>Revenue Recognition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allowance for credit losses for trade accounts receivable were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8"/>
          </w:tcPr>
          <w:p>
            <w:pPr>
              <w:jc w:val="right"/>
              <w:ind w:right="218"/>
              <w:spacing w:after="0"/>
              <w:rPr>
                <w:sz w:val="20"/>
                <w:szCs w:val="20"/>
                <w:color w:val="auto"/>
              </w:rPr>
            </w:pPr>
            <w:r>
              <w:rPr>
                <w:rFonts w:ascii="Arial" w:cs="Arial" w:eastAsia="Arial" w:hAnsi="Arial"/>
                <w:sz w:val="16"/>
                <w:szCs w:val="16"/>
                <w:b w:val="1"/>
                <w:bCs w:val="1"/>
                <w:color w:val="auto"/>
              </w:rPr>
              <w:t>For the Years Ended December 31,</w:t>
            </w:r>
          </w:p>
        </w:tc>
      </w:tr>
      <w:tr>
        <w:trPr>
          <w:trHeight w:val="184"/>
        </w:trPr>
        <w:tc>
          <w:tcPr>
            <w:tcW w:w="4660" w:type="dxa"/>
            <w:vAlign w:val="bottom"/>
          </w:tcPr>
          <w:p>
            <w:pPr>
              <w:spacing w:after="0"/>
              <w:rPr>
                <w:sz w:val="15"/>
                <w:szCs w:val="15"/>
                <w:color w:val="auto"/>
              </w:rPr>
            </w:pPr>
          </w:p>
        </w:tc>
        <w:tc>
          <w:tcPr>
            <w:tcW w:w="1200" w:type="dxa"/>
            <w:vAlign w:val="bottom"/>
            <w:gridSpan w:val="2"/>
          </w:tcPr>
          <w:p>
            <w:pPr>
              <w:jc w:val="right"/>
              <w:ind w:right="58"/>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18"/>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18"/>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18"/>
              <w:spacing w:after="0"/>
              <w:rPr>
                <w:sz w:val="20"/>
                <w:szCs w:val="20"/>
                <w:color w:val="auto"/>
              </w:rPr>
            </w:pPr>
            <w:r>
              <w:rPr>
                <w:rFonts w:ascii="Arial" w:cs="Arial" w:eastAsia="Arial" w:hAnsi="Arial"/>
                <w:sz w:val="16"/>
                <w:szCs w:val="16"/>
                <w:b w:val="1"/>
                <w:bCs w:val="1"/>
                <w:color w:val="auto"/>
              </w:rPr>
              <w:t>2023</w:t>
            </w:r>
          </w:p>
        </w:tc>
      </w:tr>
      <w:tr>
        <w:trPr>
          <w:trHeight w:val="164"/>
        </w:trPr>
        <w:tc>
          <w:tcPr>
            <w:tcW w:w="4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6"/>
                <w:szCs w:val="16"/>
                <w:color w:val="auto"/>
                <w:w w:val="91"/>
              </w:rPr>
              <w:t>(In thousands)</w:t>
            </w: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84"/>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beginning of period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11,314</w:t>
            </w:r>
          </w:p>
        </w:tc>
        <w:tc>
          <w:tcPr>
            <w:tcW w:w="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20,399</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15,358</w:t>
            </w:r>
          </w:p>
        </w:tc>
      </w:tr>
      <w:tr>
        <w:trPr>
          <w:trHeight w:val="184"/>
        </w:trPr>
        <w:tc>
          <w:tcPr>
            <w:tcW w:w="4660" w:type="dxa"/>
            <w:vAlign w:val="bottom"/>
          </w:tcPr>
          <w:p>
            <w:pPr>
              <w:ind w:left="100"/>
              <w:spacing w:after="0"/>
              <w:rPr>
                <w:sz w:val="20"/>
                <w:szCs w:val="20"/>
                <w:color w:val="auto"/>
              </w:rPr>
            </w:pPr>
            <w:r>
              <w:rPr>
                <w:rFonts w:ascii="Arial" w:cs="Arial" w:eastAsia="Arial" w:hAnsi="Arial"/>
                <w:sz w:val="16"/>
                <w:szCs w:val="16"/>
                <w:color w:val="auto"/>
              </w:rPr>
              <w:t>Current period provision for expected credit losses</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21,073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25,653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34,085</w:t>
            </w:r>
          </w:p>
        </w:tc>
      </w:tr>
      <w:tr>
        <w:trPr>
          <w:trHeight w:val="184"/>
        </w:trPr>
        <w:tc>
          <w:tcPr>
            <w:tcW w:w="4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Write-offs charged against allowance</w:t>
            </w: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(14,877)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(34,193)</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(29,371)</w:t>
            </w:r>
          </w:p>
        </w:tc>
      </w:tr>
      <w:tr>
        <w:trPr>
          <w:trHeight w:val="184"/>
        </w:trPr>
        <w:tc>
          <w:tcPr>
            <w:tcW w:w="4660" w:type="dxa"/>
            <w:vAlign w:val="bottom"/>
          </w:tcPr>
          <w:p>
            <w:pPr>
              <w:ind w:left="100"/>
              <w:spacing w:after="0"/>
              <w:rPr>
                <w:sz w:val="20"/>
                <w:szCs w:val="20"/>
                <w:color w:val="auto"/>
              </w:rPr>
            </w:pPr>
            <w:r>
              <w:rPr>
                <w:rFonts w:ascii="Arial" w:cs="Arial" w:eastAsia="Arial" w:hAnsi="Arial"/>
                <w:sz w:val="16"/>
                <w:szCs w:val="16"/>
                <w:color w:val="auto"/>
              </w:rPr>
              <w:t>Foreign currency translation</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(545)</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176"/>
        </w:trPr>
        <w:tc>
          <w:tcPr>
            <w:tcW w:w="466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Balance, end of period</w:t>
            </w: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17,559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11,314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8"/>
              <w:spacing w:after="0" w:line="176"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20,399</w:t>
            </w:r>
          </w:p>
        </w:tc>
      </w:tr>
      <w:tr>
        <w:trPr>
          <w:trHeight w:val="20"/>
        </w:trPr>
        <w:tc>
          <w:tcPr>
            <w:tcW w:w="4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0" w:right="659"/>
        <w:spacing w:after="0" w:line="281" w:lineRule="auto"/>
        <w:rPr>
          <w:sz w:val="20"/>
          <w:szCs w:val="20"/>
          <w:color w:val="auto"/>
        </w:rPr>
      </w:pPr>
      <w:r>
        <w:rPr>
          <w:rFonts w:ascii="Arial" w:cs="Arial" w:eastAsia="Arial" w:hAnsi="Arial"/>
          <w:sz w:val="16"/>
          <w:szCs w:val="16"/>
          <w:color w:val="auto"/>
        </w:rPr>
        <w:t>As of December 31, 2025, accounts receivable balances for certain customers in Mexico and Brazil have been fully reserved in “Other noncurrent assets, net” in the amount of $17 million.</w:t>
      </w:r>
    </w:p>
    <w:p>
      <w:pPr>
        <w:spacing w:after="0" w:line="133"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Contract assets arise when we recognize revenue for providing a service in advance of billing our customers. Our contract assets typically relate to our long-term contracts where we recognize revenue using the cost-based input method and the revenue recognized exceeds the amount billed to the customer.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8">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10" w:name="page111"/>
    <w:bookmarkEnd w:id="110"/>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Our contract assets also include receivables related to sales-type leases recognized over the lease term as the customer is billed. Contract assets are amortized as the customer is billed for services. Contract assets are recorded in “Trade accounts receivable and contract assets, net” on our Consolidated Balance Sheets.</w:t>
      </w:r>
    </w:p>
    <w:p>
      <w:pPr>
        <w:spacing w:after="0" w:line="150"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6"/>
          <w:szCs w:val="16"/>
          <w:color w:val="auto"/>
        </w:rPr>
        <w:t>Contract liabilities arise when we bill our customers and receive consideration in advance of providing the service or equipment. Contract liabilities are recognized as revenue when the service or equipment has been provided to the customer. Contract liabilities are recorded in “Contract liabilities” and “Other noncurrent liabilities” on our Consolidated Balance Sheets.</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60" w:type="dxa"/>
            <w:vAlign w:val="bottom"/>
            <w:gridSpan w:val="2"/>
          </w:tcPr>
          <w:p>
            <w:pPr>
              <w:spacing w:after="0"/>
              <w:rPr>
                <w:sz w:val="20"/>
                <w:szCs w:val="20"/>
                <w:color w:val="auto"/>
              </w:rPr>
            </w:pPr>
            <w:r>
              <w:rPr>
                <w:rFonts w:ascii="Arial" w:cs="Arial" w:eastAsia="Arial" w:hAnsi="Arial"/>
                <w:sz w:val="16"/>
                <w:szCs w:val="16"/>
                <w:color w:val="auto"/>
              </w:rPr>
              <w:t>The following table summarizes our contract asset and liability balances: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398"/>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4"/>
          </w:tcPr>
          <w:p>
            <w:pPr>
              <w:jc w:val="right"/>
              <w:ind w:right="598"/>
              <w:spacing w:after="0" w:line="164" w:lineRule="exact"/>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Contract assets</w:t>
            </w:r>
          </w:p>
        </w:tc>
        <w:tc>
          <w:tcPr>
            <w:tcW w:w="88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138,541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restart"/>
          </w:tcPr>
          <w:p>
            <w:pPr>
              <w:spacing w:after="0"/>
              <w:rPr>
                <w:sz w:val="13"/>
                <w:szCs w:val="13"/>
                <w:color w:val="auto"/>
              </w:rPr>
            </w:pPr>
          </w:p>
        </w:tc>
        <w:tc>
          <w:tcPr>
            <w:tcW w:w="5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Contract liabilities</w:t>
            </w: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40" w:type="dxa"/>
            <w:vAlign w:val="bottom"/>
          </w:tcPr>
          <w:p>
            <w:pPr>
              <w:ind w:left="80"/>
              <w:spacing w:after="0"/>
              <w:rPr>
                <w:sz w:val="20"/>
                <w:szCs w:val="20"/>
                <w:color w:val="auto"/>
              </w:rPr>
            </w:pPr>
            <w:r>
              <w:rPr>
                <w:rFonts w:ascii="Arial" w:cs="Arial" w:eastAsia="Arial" w:hAnsi="Arial"/>
                <w:sz w:val="16"/>
                <w:szCs w:val="16"/>
                <w:color w:val="auto"/>
              </w:rPr>
              <w:t>Current</w:t>
            </w:r>
          </w:p>
        </w:tc>
        <w:tc>
          <w:tcPr>
            <w:tcW w:w="88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76,580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81,558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Noncurrent</w:t>
            </w:r>
          </w:p>
        </w:tc>
        <w:tc>
          <w:tcPr>
            <w:tcW w:w="6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tcPr>
          <w:p>
            <w:pPr>
              <w:ind w:left="180"/>
              <w:spacing w:after="0" w:line="176" w:lineRule="exact"/>
              <w:rPr>
                <w:sz w:val="20"/>
                <w:szCs w:val="20"/>
                <w:color w:val="auto"/>
              </w:rPr>
            </w:pPr>
            <w:r>
              <w:rPr>
                <w:rFonts w:ascii="Arial" w:cs="Arial" w:eastAsia="Arial" w:hAnsi="Arial"/>
                <w:sz w:val="16"/>
                <w:szCs w:val="16"/>
                <w:color w:val="auto"/>
              </w:rPr>
              <w:t>Total contract liabilities</w:t>
            </w:r>
          </w:p>
        </w:tc>
        <w:tc>
          <w:tcPr>
            <w:tcW w:w="640" w:type="dxa"/>
            <w:vAlign w:val="bottom"/>
          </w:tcPr>
          <w:p>
            <w:pPr>
              <w:spacing w:after="0"/>
              <w:rPr>
                <w:sz w:val="15"/>
                <w:szCs w:val="15"/>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76,930</w:t>
            </w:r>
          </w:p>
        </w:tc>
        <w:tc>
          <w:tcPr>
            <w:tcW w:w="3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82,626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beginning of period contract liability recorded as customer contract revenue during 2025 was $64 million.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Performance Obligations</w:t>
      </w:r>
    </w:p>
    <w:p>
      <w:pPr>
        <w:spacing w:after="0" w:line="194"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As of December 31, 2025, the remaining performance obligations for our customer contracts was approximately $1.4 billion. Performance obligations expected to be satisfied within one year and greater than one year are 28% and 72%, respectively. This amount and percentages exclude leasing arrangements and agreements with consumer customers.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Contract Acquisition Costs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presents the activity in our contract acquisition costs, net:</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8"/>
          </w:tcPr>
          <w:p>
            <w:pPr>
              <w:jc w:val="right"/>
              <w:ind w:right="618"/>
              <w:spacing w:after="0"/>
              <w:rPr>
                <w:sz w:val="20"/>
                <w:szCs w:val="20"/>
                <w:color w:val="auto"/>
              </w:rPr>
            </w:pPr>
            <w:r>
              <w:rPr>
                <w:rFonts w:ascii="Arial" w:cs="Arial" w:eastAsia="Arial" w:hAnsi="Arial"/>
                <w:sz w:val="16"/>
                <w:szCs w:val="16"/>
                <w:b w:val="1"/>
                <w:bCs w:val="1"/>
                <w:color w:val="auto"/>
              </w:rPr>
              <w:t>For the Years Ended December 31,</w:t>
            </w:r>
          </w:p>
        </w:tc>
      </w:tr>
      <w:tr>
        <w:trPr>
          <w:trHeight w:val="184"/>
        </w:trPr>
        <w:tc>
          <w:tcPr>
            <w:tcW w:w="3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38"/>
              <w:spacing w:after="0"/>
              <w:rPr>
                <w:sz w:val="20"/>
                <w:szCs w:val="20"/>
                <w:color w:val="auto"/>
              </w:rPr>
            </w:pPr>
            <w:r>
              <w:rPr>
                <w:rFonts w:ascii="Arial" w:cs="Arial" w:eastAsia="Arial" w:hAnsi="Arial"/>
                <w:sz w:val="16"/>
                <w:szCs w:val="16"/>
                <w:b w:val="1"/>
                <w:bCs w:val="1"/>
                <w:color w:val="auto"/>
              </w:rPr>
              <w:t>2025</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58"/>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38"/>
              <w:spacing w:after="0"/>
              <w:rPr>
                <w:sz w:val="20"/>
                <w:szCs w:val="20"/>
                <w:color w:val="auto"/>
              </w:rPr>
            </w:pPr>
            <w:r>
              <w:rPr>
                <w:rFonts w:ascii="Arial" w:cs="Arial" w:eastAsia="Arial" w:hAnsi="Arial"/>
                <w:sz w:val="16"/>
                <w:szCs w:val="16"/>
                <w:b w:val="1"/>
                <w:bCs w:val="1"/>
                <w:color w:val="auto"/>
              </w:rPr>
              <w:t>2023</w:t>
            </w:r>
          </w:p>
        </w:tc>
      </w:tr>
      <w:tr>
        <w:trPr>
          <w:trHeight w:val="164"/>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184"/>
        </w:trPr>
        <w:tc>
          <w:tcPr>
            <w:tcW w:w="3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beginning of period</w:t>
            </w:r>
          </w:p>
        </w:tc>
        <w:tc>
          <w:tcPr>
            <w:tcW w:w="156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49,343</w:t>
            </w:r>
          </w:p>
        </w:tc>
        <w:tc>
          <w:tcPr>
            <w:tcW w:w="1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64,447</w:t>
            </w:r>
          </w:p>
        </w:tc>
      </w:tr>
      <w:tr>
        <w:trPr>
          <w:trHeight w:val="184"/>
        </w:trPr>
        <w:tc>
          <w:tcPr>
            <w:tcW w:w="3560" w:type="dxa"/>
            <w:vAlign w:val="bottom"/>
          </w:tcPr>
          <w:p>
            <w:pPr>
              <w:ind w:left="100"/>
              <w:spacing w:after="0"/>
              <w:rPr>
                <w:sz w:val="20"/>
                <w:szCs w:val="20"/>
                <w:color w:val="auto"/>
              </w:rPr>
            </w:pPr>
            <w:r>
              <w:rPr>
                <w:rFonts w:ascii="Arial" w:cs="Arial" w:eastAsia="Arial" w:hAnsi="Arial"/>
                <w:sz w:val="16"/>
                <w:szCs w:val="16"/>
                <w:color w:val="auto"/>
              </w:rPr>
              <w:t>Additions</w:t>
            </w: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31,730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47,883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44,459</w:t>
            </w:r>
          </w:p>
        </w:tc>
      </w:tr>
      <w:tr>
        <w:trPr>
          <w:trHeight w:val="184"/>
        </w:trPr>
        <w:tc>
          <w:tcPr>
            <w:tcW w:w="3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Amortization expense</w:t>
            </w:r>
          </w:p>
        </w:tc>
        <w:tc>
          <w:tcPr>
            <w:tcW w:w="1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(60,512)</w:t>
            </w:r>
          </w:p>
        </w:tc>
      </w:tr>
      <w:tr>
        <w:trPr>
          <w:trHeight w:val="184"/>
        </w:trPr>
        <w:tc>
          <w:tcPr>
            <w:tcW w:w="3560" w:type="dxa"/>
            <w:vAlign w:val="bottom"/>
          </w:tcPr>
          <w:p>
            <w:pPr>
              <w:ind w:left="100"/>
              <w:spacing w:after="0"/>
              <w:rPr>
                <w:sz w:val="20"/>
                <w:szCs w:val="20"/>
                <w:color w:val="auto"/>
              </w:rPr>
            </w:pPr>
            <w:r>
              <w:rPr>
                <w:rFonts w:ascii="Arial" w:cs="Arial" w:eastAsia="Arial" w:hAnsi="Arial"/>
                <w:sz w:val="16"/>
                <w:szCs w:val="16"/>
                <w:color w:val="auto"/>
              </w:rPr>
              <w:t>Foreign currency translation</w:t>
            </w: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949</w:t>
            </w:r>
          </w:p>
        </w:tc>
      </w:tr>
      <w:tr>
        <w:trPr>
          <w:trHeight w:val="176"/>
        </w:trPr>
        <w:tc>
          <w:tcPr>
            <w:tcW w:w="356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Balance, end of period</w:t>
            </w: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49,811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57,337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8"/>
              <w:spacing w:after="0" w:line="176"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49,343</w:t>
            </w:r>
          </w:p>
        </w:tc>
      </w:tr>
      <w:tr>
        <w:trPr>
          <w:trHeight w:val="20"/>
        </w:trPr>
        <w:tc>
          <w:tcPr>
            <w:tcW w:w="3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9">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11" w:name="page112"/>
    <w:bookmarkEnd w:id="111"/>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Nature of Products and Services</w:t>
      </w:r>
    </w:p>
    <w:p>
      <w:pPr>
        <w:spacing w:after="0" w:line="194" w:lineRule="exact"/>
        <w:rPr>
          <w:sz w:val="20"/>
          <w:szCs w:val="20"/>
          <w:color w:val="auto"/>
        </w:rPr>
      </w:pPr>
    </w:p>
    <w:p>
      <w:pPr>
        <w:ind w:left="40" w:right="439"/>
        <w:spacing w:after="0" w:line="281" w:lineRule="auto"/>
        <w:rPr>
          <w:sz w:val="20"/>
          <w:szCs w:val="20"/>
          <w:color w:val="auto"/>
        </w:rPr>
      </w:pPr>
      <w:r>
        <w:rPr>
          <w:rFonts w:ascii="Arial" w:cs="Arial" w:eastAsia="Arial" w:hAnsi="Arial"/>
          <w:sz w:val="16"/>
          <w:szCs w:val="16"/>
          <w:color w:val="auto"/>
        </w:rPr>
        <w:t>The following tables present our revenue disaggregated by the nature of products and services. Substantially all of our revenue is related to our Hughes segment:</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7"/>
          </w:tcPr>
          <w:p>
            <w:pPr>
              <w:ind w:left="620"/>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7"/>
                <w:szCs w:val="17"/>
                <w:color w:val="auto"/>
              </w:rPr>
            </w:pPr>
          </w:p>
        </w:tc>
      </w:tr>
      <w:tr>
        <w:trPr>
          <w:trHeight w:val="184"/>
        </w:trPr>
        <w:tc>
          <w:tcPr>
            <w:tcW w:w="3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18"/>
              <w:spacing w:after="0"/>
              <w:rPr>
                <w:sz w:val="20"/>
                <w:szCs w:val="20"/>
                <w:color w:val="auto"/>
              </w:rPr>
            </w:pPr>
            <w:r>
              <w:rPr>
                <w:rFonts w:ascii="Arial" w:cs="Arial" w:eastAsia="Arial" w:hAnsi="Arial"/>
                <w:sz w:val="16"/>
                <w:szCs w:val="16"/>
                <w:b w:val="1"/>
                <w:bCs w:val="1"/>
                <w:color w:val="auto"/>
              </w:rPr>
              <w:t>2025</w:t>
            </w:r>
          </w:p>
        </w:tc>
        <w:tc>
          <w:tcPr>
            <w:tcW w:w="360" w:type="dxa"/>
            <w:vAlign w:val="bottom"/>
            <w:gridSpan w:val="2"/>
          </w:tcPr>
          <w:p>
            <w:pPr>
              <w:jc w:val="right"/>
              <w:ind w:right="63"/>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18"/>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ind w:right="418"/>
              <w:spacing w:after="0"/>
              <w:rPr>
                <w:sz w:val="20"/>
                <w:szCs w:val="20"/>
                <w:color w:val="auto"/>
              </w:rPr>
            </w:pPr>
            <w:r>
              <w:rPr>
                <w:rFonts w:ascii="Arial" w:cs="Arial" w:eastAsia="Arial" w:hAnsi="Arial"/>
                <w:sz w:val="16"/>
                <w:szCs w:val="16"/>
                <w:b w:val="1"/>
                <w:bCs w:val="1"/>
                <w:color w:val="auto"/>
              </w:rPr>
              <w:t>2023</w:t>
            </w:r>
          </w:p>
        </w:tc>
      </w:tr>
      <w:tr>
        <w:trPr>
          <w:trHeight w:val="164"/>
        </w:trPr>
        <w:tc>
          <w:tcPr>
            <w:tcW w:w="3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8"/>
              <w:spacing w:after="0" w:line="164"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184"/>
        </w:trPr>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Service revenue:</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4"/>
        </w:trPr>
        <w:tc>
          <w:tcPr>
            <w:tcW w:w="3940" w:type="dxa"/>
            <w:vAlign w:val="bottom"/>
          </w:tcPr>
          <w:p>
            <w:pPr>
              <w:ind w:left="100"/>
              <w:spacing w:after="0"/>
              <w:rPr>
                <w:sz w:val="20"/>
                <w:szCs w:val="20"/>
                <w:color w:val="auto"/>
              </w:rPr>
            </w:pPr>
            <w:r>
              <w:rPr>
                <w:rFonts w:ascii="Arial" w:cs="Arial" w:eastAsia="Arial" w:hAnsi="Arial"/>
                <w:sz w:val="16"/>
                <w:szCs w:val="16"/>
                <w:color w:val="auto"/>
              </w:rPr>
              <w:t>Services</w:t>
            </w:r>
          </w:p>
        </w:tc>
        <w:tc>
          <w:tcPr>
            <w:tcW w:w="700" w:type="dxa"/>
            <w:vAlign w:val="bottom"/>
            <w:gridSpan w:val="2"/>
          </w:tcPr>
          <w:p>
            <w:pPr>
              <w:jc w:val="right"/>
              <w:ind w:right="118"/>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1,069,486</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1,196,394</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1,401,438</w:t>
            </w:r>
          </w:p>
        </w:tc>
      </w:tr>
      <w:tr>
        <w:trPr>
          <w:trHeight w:val="184"/>
        </w:trPr>
        <w:tc>
          <w:tcPr>
            <w:tcW w:w="3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Lease revenue</w:t>
            </w:r>
          </w:p>
        </w:tc>
        <w:tc>
          <w:tcPr>
            <w:tcW w:w="4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15,733</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14,446</w:t>
            </w: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47,051</w:t>
            </w:r>
          </w:p>
        </w:tc>
      </w:tr>
      <w:tr>
        <w:trPr>
          <w:trHeight w:val="176"/>
        </w:trPr>
        <w:tc>
          <w:tcPr>
            <w:tcW w:w="3940" w:type="dxa"/>
            <w:vAlign w:val="bottom"/>
            <w:tcBorders>
              <w:bottom w:val="single" w:sz="8" w:color="CCEEFF"/>
            </w:tcBorders>
          </w:tcPr>
          <w:p>
            <w:pPr>
              <w:ind w:left="200"/>
              <w:spacing w:after="0" w:line="176" w:lineRule="exact"/>
              <w:rPr>
                <w:sz w:val="20"/>
                <w:szCs w:val="20"/>
                <w:color w:val="auto"/>
              </w:rPr>
            </w:pPr>
            <w:r>
              <w:rPr>
                <w:rFonts w:ascii="Arial" w:cs="Arial" w:eastAsia="Arial" w:hAnsi="Arial"/>
                <w:sz w:val="16"/>
                <w:szCs w:val="16"/>
                <w:color w:val="auto"/>
              </w:rPr>
              <w:t>Total service revenue</w:t>
            </w:r>
          </w:p>
        </w:tc>
        <w:tc>
          <w:tcPr>
            <w:tcW w:w="4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1,085,219</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1,210,840</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1,448,489</w:t>
            </w:r>
          </w:p>
        </w:tc>
      </w:tr>
      <w:tr>
        <w:trPr>
          <w:trHeight w:val="176"/>
        </w:trPr>
        <w:tc>
          <w:tcPr>
            <w:tcW w:w="394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Equipment sales and other revenue:</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4"/>
        </w:trPr>
        <w:tc>
          <w:tcPr>
            <w:tcW w:w="3940" w:type="dxa"/>
            <w:vAlign w:val="bottom"/>
          </w:tcPr>
          <w:p>
            <w:pPr>
              <w:ind w:left="100"/>
              <w:spacing w:after="0"/>
              <w:rPr>
                <w:sz w:val="20"/>
                <w:szCs w:val="20"/>
                <w:color w:val="auto"/>
              </w:rPr>
            </w:pPr>
            <w:r>
              <w:rPr>
                <w:rFonts w:ascii="Arial" w:cs="Arial" w:eastAsia="Arial" w:hAnsi="Arial"/>
                <w:sz w:val="16"/>
                <w:szCs w:val="16"/>
                <w:color w:val="auto"/>
              </w:rPr>
              <w:t>Equipment sales</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182,564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205,178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140,429</w:t>
            </w:r>
          </w:p>
        </w:tc>
      </w:tr>
      <w:tr>
        <w:trPr>
          <w:trHeight w:val="184"/>
        </w:trPr>
        <w:tc>
          <w:tcPr>
            <w:tcW w:w="3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Design, development and construction services</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161,419</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133,520</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145,507</w:t>
            </w:r>
          </w:p>
        </w:tc>
      </w:tr>
      <w:tr>
        <w:trPr>
          <w:trHeight w:val="184"/>
        </w:trPr>
        <w:tc>
          <w:tcPr>
            <w:tcW w:w="39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Lease revenue</w:t>
            </w:r>
          </w:p>
        </w:tc>
        <w:tc>
          <w:tcPr>
            <w:tcW w:w="4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6,703</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10,835</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13,431</w:t>
            </w:r>
          </w:p>
        </w:tc>
      </w:tr>
      <w:tr>
        <w:trPr>
          <w:trHeight w:val="176"/>
        </w:trPr>
        <w:tc>
          <w:tcPr>
            <w:tcW w:w="3940" w:type="dxa"/>
            <w:vAlign w:val="bottom"/>
            <w:shd w:val="clear" w:color="auto" w:fill="CCEEFF"/>
          </w:tcPr>
          <w:p>
            <w:pPr>
              <w:ind w:left="200"/>
              <w:spacing w:after="0" w:line="176" w:lineRule="exact"/>
              <w:rPr>
                <w:sz w:val="20"/>
                <w:szCs w:val="20"/>
                <w:color w:val="auto"/>
              </w:rPr>
            </w:pPr>
            <w:r>
              <w:rPr>
                <w:rFonts w:ascii="Arial" w:cs="Arial" w:eastAsia="Arial" w:hAnsi="Arial"/>
                <w:sz w:val="16"/>
                <w:szCs w:val="16"/>
                <w:color w:val="auto"/>
              </w:rPr>
              <w:t>Total equipment and other revenue</w:t>
            </w:r>
          </w:p>
        </w:tc>
        <w:tc>
          <w:tcPr>
            <w:tcW w:w="4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350,686</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349,533</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299,367</w:t>
            </w:r>
          </w:p>
        </w:tc>
      </w:tr>
      <w:tr>
        <w:trPr>
          <w:trHeight w:val="176"/>
        </w:trPr>
        <w:tc>
          <w:tcPr>
            <w:tcW w:w="3940" w:type="dxa"/>
            <w:vAlign w:val="bottom"/>
          </w:tcPr>
          <w:p>
            <w:pPr>
              <w:ind w:left="300"/>
              <w:spacing w:after="0" w:line="176" w:lineRule="exact"/>
              <w:rPr>
                <w:sz w:val="20"/>
                <w:szCs w:val="20"/>
                <w:color w:val="auto"/>
              </w:rPr>
            </w:pPr>
            <w:r>
              <w:rPr>
                <w:rFonts w:ascii="Arial" w:cs="Arial" w:eastAsia="Arial" w:hAnsi="Arial"/>
                <w:sz w:val="16"/>
                <w:szCs w:val="16"/>
                <w:color w:val="auto"/>
              </w:rPr>
              <w:t>Total revenue</w:t>
            </w:r>
          </w:p>
        </w:tc>
        <w:tc>
          <w:tcPr>
            <w:tcW w:w="400" w:type="dxa"/>
            <w:vAlign w:val="bottom"/>
          </w:tcPr>
          <w:p>
            <w:pPr>
              <w:spacing w:after="0"/>
              <w:rPr>
                <w:sz w:val="15"/>
                <w:szCs w:val="15"/>
                <w:color w:val="auto"/>
              </w:rPr>
            </w:pPr>
          </w:p>
        </w:tc>
        <w:tc>
          <w:tcPr>
            <w:tcW w:w="300" w:type="dxa"/>
            <w:vAlign w:val="bottom"/>
            <w:tcBorders>
              <w:bottom w:val="single" w:sz="8" w:color="auto"/>
            </w:tcBorders>
          </w:tcPr>
          <w:p>
            <w:pPr>
              <w:jc w:val="right"/>
              <w:ind w:right="118"/>
              <w:spacing w:after="0" w:line="176"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1,435,905</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1,560,373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1,747,856</w:t>
            </w:r>
          </w:p>
        </w:tc>
      </w:tr>
      <w:tr>
        <w:trPr>
          <w:trHeight w:val="20"/>
        </w:trPr>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ind w:left="480" w:hanging="438"/>
        <w:spacing w:after="0"/>
        <w:tabs>
          <w:tab w:leader="none" w:pos="48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Related Party Transactions with EchoStar, our Parent, and its subsidiaries.</w:t>
      </w:r>
    </w:p>
    <w:p>
      <w:pPr>
        <w:spacing w:after="0" w:line="196"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The following is a summary of the terms of our principal agreements with EchoStar, our parent, and its subsidiaries, that may have an impact on our financial condition and results of operations.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“Trade accounts receivable”</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2025 and 2024, trade accounts receivable from EchoStar was $57 million and $23 million, respectively.</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These amounts are recorded in “Other current assets” on our Consolidated Balance Sheets.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“Noncurrent receivables”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2025 and 2024, noncurrent receivables from EchoStar was $94 million and $83 million, respectively.</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These amounts are recorded in “Other noncurrent assets, net” on our Consolidated Balance Sheets.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“Trade accounts payable”</w:t>
      </w:r>
    </w:p>
    <w:p>
      <w:pPr>
        <w:spacing w:after="0" w:line="194" w:lineRule="exact"/>
        <w:rPr>
          <w:sz w:val="20"/>
          <w:szCs w:val="20"/>
          <w:color w:val="auto"/>
        </w:rPr>
      </w:pPr>
    </w:p>
    <w:p>
      <w:pPr>
        <w:jc w:val="both"/>
        <w:ind w:left="40" w:right="59"/>
        <w:spacing w:after="0" w:line="267" w:lineRule="auto"/>
        <w:rPr>
          <w:sz w:val="20"/>
          <w:szCs w:val="20"/>
          <w:color w:val="auto"/>
        </w:rPr>
      </w:pPr>
      <w:r>
        <w:rPr>
          <w:rFonts w:ascii="Arial" w:cs="Arial" w:eastAsia="Arial" w:hAnsi="Arial"/>
          <w:sz w:val="16"/>
          <w:szCs w:val="16"/>
          <w:color w:val="auto"/>
        </w:rPr>
        <w:t>As of December 31, 2025 and 2024, trade accounts payable to EchoStar was $36 million and $41 million, respectively. These amounts are recorded in “Trade accounts payable” and “Other current liabilities” on our Consolidated Balance Sheets.</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“Noncurrent payables”</w:t>
      </w:r>
    </w:p>
    <w:p>
      <w:pPr>
        <w:spacing w:after="0" w:line="194" w:lineRule="exact"/>
        <w:rPr>
          <w:sz w:val="20"/>
          <w:szCs w:val="20"/>
          <w:color w:val="auto"/>
        </w:rPr>
      </w:pPr>
    </w:p>
    <w:p>
      <w:pPr>
        <w:ind w:left="40" w:right="139"/>
        <w:spacing w:after="0" w:line="281" w:lineRule="auto"/>
        <w:rPr>
          <w:sz w:val="20"/>
          <w:szCs w:val="20"/>
          <w:color w:val="auto"/>
        </w:rPr>
      </w:pPr>
      <w:r>
        <w:rPr>
          <w:rFonts w:ascii="Arial" w:cs="Arial" w:eastAsia="Arial" w:hAnsi="Arial"/>
          <w:sz w:val="16"/>
          <w:szCs w:val="16"/>
          <w:color w:val="auto"/>
        </w:rPr>
        <w:t>As of December 31, 2025 and 2024, noncurrent payables to EchoStar was $28 million and $26 million, respectively. These amounts are recorded in “Other noncurrent liabilities” on our Consolidated Balance Sheets.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12" w:name="page113"/>
    <w:bookmarkEnd w:id="112"/>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“Current operating lease liabilities”</w:t>
      </w:r>
    </w:p>
    <w:p>
      <w:pPr>
        <w:spacing w:after="0" w:line="194" w:lineRule="exact"/>
        <w:rPr>
          <w:sz w:val="20"/>
          <w:szCs w:val="20"/>
          <w:color w:val="auto"/>
        </w:rPr>
      </w:pPr>
    </w:p>
    <w:p>
      <w:pPr>
        <w:ind w:left="40" w:right="139"/>
        <w:spacing w:after="0" w:line="260" w:lineRule="auto"/>
        <w:rPr>
          <w:sz w:val="20"/>
          <w:szCs w:val="20"/>
          <w:color w:val="auto"/>
        </w:rPr>
      </w:pPr>
      <w:r>
        <w:rPr>
          <w:rFonts w:ascii="Arial" w:cs="Arial" w:eastAsia="Arial" w:hAnsi="Arial"/>
          <w:sz w:val="16"/>
          <w:szCs w:val="16"/>
          <w:color w:val="auto"/>
        </w:rPr>
        <w:t>As of December 31, 2025 and 2024, current operating lease liabilities to EchoStar was $159 million and $56 million, respectively. These amounts are recorded in “Operating lease liabilities” on our Consolidated Balance Sheets and relate to the lease of the EchoStar XXIV satellite.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“Noncurrent operating lease liabilities”</w:t>
      </w:r>
    </w:p>
    <w:p>
      <w:pPr>
        <w:spacing w:after="0" w:line="194" w:lineRule="exact"/>
        <w:rPr>
          <w:sz w:val="20"/>
          <w:szCs w:val="20"/>
          <w:color w:val="auto"/>
        </w:rPr>
      </w:pPr>
    </w:p>
    <w:p>
      <w:pPr>
        <w:ind w:left="40" w:right="179"/>
        <w:spacing w:after="0" w:line="281" w:lineRule="auto"/>
        <w:rPr>
          <w:sz w:val="20"/>
          <w:szCs w:val="20"/>
          <w:color w:val="auto"/>
        </w:rPr>
      </w:pPr>
      <w:r>
        <w:rPr>
          <w:rFonts w:ascii="Arial" w:cs="Arial" w:eastAsia="Arial" w:hAnsi="Arial"/>
          <w:sz w:val="16"/>
          <w:szCs w:val="16"/>
          <w:color w:val="auto"/>
        </w:rPr>
        <w:t>As of December 31, 2025 and 2024, noncurrent operating lease liabilities to EchoStar was $587 million and $695 million, respectively. These amounts are recorded in “Operating lease liabilities, noncurrent” on our Consolidated Balance Sheets.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“Service revenue”</w:t>
      </w:r>
    </w:p>
    <w:p>
      <w:pPr>
        <w:spacing w:after="0" w:line="194"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During the years ended December 31, 2025, 2024 and 2023 we received $11 million, $14 million and $17 million, respectively, for the services provided to EchoStar. These amounts are recorded in “Service revenue” on our Consolidated Statements of Operations and Comprehensive Income (Loss). The primary agreements pertaining to these revenues are discussed below.</w:t>
      </w:r>
    </w:p>
    <w:p>
      <w:pPr>
        <w:spacing w:after="0" w:line="15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i w:val="1"/>
          <w:iCs w:val="1"/>
          <w:color w:val="auto"/>
        </w:rPr>
        <w:t xml:space="preserve">TerreStar Agreement. </w:t>
      </w:r>
      <w:r>
        <w:rPr>
          <w:rFonts w:ascii="Arial" w:cs="Arial" w:eastAsia="Arial" w:hAnsi="Arial"/>
          <w:sz w:val="16"/>
          <w:szCs w:val="16"/>
          <w:color w:val="auto"/>
        </w:rPr>
        <w:t>In March 2012, DISH Network completed its acquisition of substantially all the assets of TerreStar</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Inc. (“TerreStar”). Prior to DISH Network’s acquisition of substantially all the assets of TerreStar and EchoStar’s completion of the Hughes Acquisition, TerreStar and Hughes Network Systems L.L.C. (“HNS”) entered into various agreements pursuant to which we provide, among other things, warranty, operations and maintenance and hosting services for TerreStar’s ground-based communications equipment (the “TerreStar Agreements”).</w:t>
      </w:r>
    </w:p>
    <w:p>
      <w:pPr>
        <w:spacing w:after="0" w:line="157"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In May 2022, we and EchoStar amended the agreement for the provision of hosting services to extend the term until May 2027. We and EchoStar amended the agreements for warranty, operations, and maintenance services for TerreStar ground-based communications equipment, effective as of January 1, 2025, to extend the existing pricing and other terms through December 31, 2025. EchoStar generally has the right to continue to receive warranty services from us for our products on a month-to-month basis unless terminated by EchoStar upon at least 21 days’ written notice to us.</w:t>
      </w:r>
    </w:p>
    <w:p>
      <w:pPr>
        <w:spacing w:after="0" w:line="157"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EchoStar generally has the right to continue to receive operations and maintenance services from us on a quarter-to-quarter basis unless these services are terminated by EchoStar upon at least 90 days’ written notice to us. In addition, EchoStar generally may terminate any and all services for convenience subject to providing us with prior notice and/or payment of termination charges.</w:t>
      </w:r>
    </w:p>
    <w:p>
      <w:pPr>
        <w:spacing w:after="0" w:line="15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i w:val="1"/>
          <w:iCs w:val="1"/>
          <w:color w:val="auto"/>
        </w:rPr>
        <w:t xml:space="preserve">TerreStar Solutions. </w:t>
      </w:r>
      <w:r>
        <w:rPr>
          <w:rFonts w:ascii="Arial" w:cs="Arial" w:eastAsia="Arial" w:hAnsi="Arial"/>
          <w:sz w:val="16"/>
          <w:szCs w:val="16"/>
          <w:color w:val="auto"/>
        </w:rPr>
        <w:t>EchoStar has an investment in TerreStar Solutions, Inc. (“TSI”), an entity that provides wireless mobile</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 coverage in Canada using a satellite user terminal, that results in EchoStar having significant influence in the entity. In May 2018, we and TSI entered into an equipment and services agreement pursuant to which we design, manufacture and install upgraded ground communications network equipment for TSI’s network and provide, among other things, warranty and support services.</w:t>
      </w:r>
    </w:p>
    <w:p>
      <w:pPr>
        <w:spacing w:after="0" w:line="157"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i w:val="1"/>
          <w:iCs w:val="1"/>
          <w:color w:val="auto"/>
        </w:rPr>
        <w:t xml:space="preserve">DBSD North America Agreement. </w:t>
      </w:r>
      <w:r>
        <w:rPr>
          <w:rFonts w:ascii="Arial" w:cs="Arial" w:eastAsia="Arial" w:hAnsi="Arial"/>
          <w:sz w:val="16"/>
          <w:szCs w:val="16"/>
          <w:color w:val="auto"/>
        </w:rPr>
        <w:t>In March 2012, DISH Network completed its acquisition of all of the equity of DBSD</w:t>
      </w:r>
      <w:r>
        <w:rPr>
          <w:rFonts w:ascii="Arial" w:cs="Arial" w:eastAsia="Arial" w:hAnsi="Arial"/>
          <w:sz w:val="16"/>
          <w:szCs w:val="16"/>
          <w:i w:val="1"/>
          <w:iCs w:val="1"/>
          <w:color w:val="auto"/>
        </w:rPr>
        <w:t xml:space="preserve"> </w:t>
      </w:r>
      <w:r>
        <w:rPr>
          <w:rFonts w:ascii="Arial" w:cs="Arial" w:eastAsia="Arial" w:hAnsi="Arial"/>
          <w:sz w:val="16"/>
          <w:szCs w:val="16"/>
          <w:color w:val="auto"/>
        </w:rPr>
        <w:t>North America, Inc. (“DBSD North America”). Following the Merger, DISH Network’s ownership of DBSD North America was sold to our parent company, EchoStar, such that EchoStar now owns all of the equity of DBSD North America. Prior to DISH Network’s acquisition of DBSD North America and EchoStar’s completion of the Hughes Acquisition, DBSD North America and HNS entered into various agreements pursuant to which we provide, among other things, warranty, operations and maintenance and hosting services of DBSD North America’s gateway and ground-based communications equipment. DBSD North America has the right to</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1">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13" w:name="page114"/>
    <w:bookmarkEnd w:id="113"/>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color w:val="auto"/>
        </w:rPr>
        <w:t>continue to receive operations and maintenance services from us on a quarter-to-quarter basis, unless terminated by DBSD North America upon at least 120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 We and DBSD North America amended the agreements for warranty, operations, and maintenance services for DBSD’s gateway and ground-based communications equipment, effective as of January 1, 2025, to extend the existing pricing and other terms through December 31, 2025.</w:t>
      </w:r>
    </w:p>
    <w:p>
      <w:pPr>
        <w:spacing w:after="0" w:line="163"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i w:val="1"/>
          <w:iCs w:val="1"/>
          <w:color w:val="auto"/>
        </w:rPr>
        <w:t xml:space="preserve">EchoStar Mobile Limited Service Agreements. </w:t>
      </w:r>
      <w:r>
        <w:rPr>
          <w:rFonts w:ascii="Arial" w:cs="Arial" w:eastAsia="Arial" w:hAnsi="Arial"/>
          <w:sz w:val="16"/>
          <w:szCs w:val="16"/>
          <w:color w:val="auto"/>
        </w:rPr>
        <w:t>We provide services and lease equipment to support the business of</w:t>
      </w:r>
      <w:r>
        <w:rPr>
          <w:rFonts w:ascii="Arial" w:cs="Arial" w:eastAsia="Arial" w:hAnsi="Arial"/>
          <w:sz w:val="16"/>
          <w:szCs w:val="16"/>
          <w:i w:val="1"/>
          <w:iCs w:val="1"/>
          <w:color w:val="auto"/>
        </w:rPr>
        <w:t xml:space="preserve"> </w:t>
      </w:r>
      <w:r>
        <w:rPr>
          <w:rFonts w:ascii="Arial" w:cs="Arial" w:eastAsia="Arial" w:hAnsi="Arial"/>
          <w:sz w:val="16"/>
          <w:szCs w:val="16"/>
          <w:color w:val="auto"/>
        </w:rPr>
        <w:t>EchoStar Mobile Limited, a subsidiary of EchoStar that is licensed by the EU to provide mobile satellite services and complementary ground component services covering the entire EU using S-Band spectrum. Additionally, we have converted the receivables for certain of these services into loans, bearing an annual interest rate of 5%. These loans are included within “Other noncurrent assets, net” on our Consolidated Balance Sheets.</w:t>
      </w:r>
    </w:p>
    <w:p>
      <w:pPr>
        <w:spacing w:after="0" w:line="157" w:lineRule="exact"/>
        <w:rPr>
          <w:sz w:val="20"/>
          <w:szCs w:val="20"/>
          <w:color w:val="auto"/>
        </w:rPr>
      </w:pPr>
    </w:p>
    <w:p>
      <w:pPr>
        <w:jc w:val="both"/>
        <w:ind w:left="40" w:right="59"/>
        <w:spacing w:after="0" w:line="245" w:lineRule="auto"/>
        <w:rPr>
          <w:sz w:val="20"/>
          <w:szCs w:val="20"/>
          <w:color w:val="auto"/>
        </w:rPr>
      </w:pPr>
      <w:r>
        <w:rPr>
          <w:rFonts w:ascii="Arial" w:cs="Arial" w:eastAsia="Arial" w:hAnsi="Arial"/>
          <w:sz w:val="16"/>
          <w:szCs w:val="16"/>
          <w:i w:val="1"/>
          <w:iCs w:val="1"/>
          <w:color w:val="auto"/>
        </w:rPr>
        <w:t xml:space="preserve">Hughes Broadband Distribution Agreement. </w:t>
      </w:r>
      <w:r>
        <w:rPr>
          <w:rFonts w:ascii="Arial" w:cs="Arial" w:eastAsia="Arial" w:hAnsi="Arial"/>
          <w:sz w:val="16"/>
          <w:szCs w:val="16"/>
          <w:color w:val="auto"/>
        </w:rPr>
        <w:t>Effective October 2012, we and EchoStar entered into a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“Distribution Agreement”) pursuant to which EchoStar has the right, but not the obligation, to market, sell and distribute our satellite Internet service (the “Service”) and to purchase certain broadband equipment from us to support the sale of the Service for an extended initial term that ended March 1, 2024. Thereafter, the Distribution Agreement automatically renews for successive one-year terms unless either party gives written notice of its intent not to renew to the other party at least 180 days before the expiration of the then-current term. Upon expiration or termination of the Distribution Agreement, the parties will continue to provide the Service pursuant to the terms and conditions of the Distribution Agreement.</w:t>
      </w:r>
    </w:p>
    <w:p>
      <w:pPr>
        <w:spacing w:after="0" w:line="352"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i w:val="1"/>
          <w:iCs w:val="1"/>
          <w:color w:val="auto"/>
        </w:rPr>
        <w:t xml:space="preserve">Hughes Equipment and Services Agreement. </w:t>
      </w:r>
      <w:r>
        <w:rPr>
          <w:rFonts w:ascii="Arial" w:cs="Arial" w:eastAsia="Arial" w:hAnsi="Arial"/>
          <w:sz w:val="16"/>
          <w:szCs w:val="16"/>
          <w:color w:val="auto"/>
        </w:rPr>
        <w:t>In February 2019, we and EchoStar entered into an agreement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will provide EchoStar with satellite Internet service and equipment for the transmission of certain data related to EchoStar’s 5G Network Deployment. This agreement had an initial term that ended February 2024 with automatic renewal for successive one-year terms unless terminated by EchoStar with at least 180 days’ written notice to us or by us with at least 365 days’ written notice to EchoStar.</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“Equipment sales and other revenue”</w:t>
      </w:r>
    </w:p>
    <w:p>
      <w:pPr>
        <w:spacing w:after="0" w:line="194" w:lineRule="exact"/>
        <w:rPr>
          <w:sz w:val="20"/>
          <w:szCs w:val="20"/>
          <w:color w:val="auto"/>
        </w:rPr>
      </w:pPr>
    </w:p>
    <w:p>
      <w:pPr>
        <w:ind w:left="40" w:right="379"/>
        <w:spacing w:after="0" w:line="260" w:lineRule="auto"/>
        <w:rPr>
          <w:sz w:val="20"/>
          <w:szCs w:val="20"/>
          <w:color w:val="auto"/>
        </w:rPr>
      </w:pPr>
      <w:r>
        <w:rPr>
          <w:rFonts w:ascii="Arial" w:cs="Arial" w:eastAsia="Arial" w:hAnsi="Arial"/>
          <w:sz w:val="16"/>
          <w:szCs w:val="16"/>
          <w:color w:val="auto"/>
        </w:rPr>
        <w:t>During the years ended December 31, 2025, 2024 and 2023, we received $3 million, less than a million and less than a million respectively, for services provided to EchoStar. These amounts are recorded in “Equipment sales and other revenue” on our Consolidated Statements of Operations and Comprehensive Income (Loss).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“Cost of services”</w:t>
      </w:r>
    </w:p>
    <w:p>
      <w:pPr>
        <w:spacing w:after="0" w:line="194"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During the years ended December 31, 2025, 2024 and 2023, we incurred $ 196 million, $196 million, and $9 million, respectively, of costs for services provided to us by EchoStar. These amounts are recorded in “Cost of services” on our Consolidated Statements of Operations and Comprehensive Income (Loss). The primary agreements pertaining to these expenses are discussed below.</w:t>
      </w:r>
    </w:p>
    <w:p>
      <w:pPr>
        <w:spacing w:after="0" w:line="156"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i w:val="1"/>
          <w:iCs w:val="1"/>
          <w:color w:val="auto"/>
        </w:rPr>
        <w:t xml:space="preserve">EchoStar XXIV Satellite Lease. </w:t>
      </w:r>
      <w:r>
        <w:rPr>
          <w:rFonts w:ascii="Arial" w:cs="Arial" w:eastAsia="Arial" w:hAnsi="Arial"/>
          <w:sz w:val="16"/>
          <w:szCs w:val="16"/>
          <w:color w:val="auto"/>
        </w:rPr>
        <w:t>Effective December 2023, we lease all of the capacity of the EchoStar XXIV satellite under</w:t>
      </w:r>
      <w:r>
        <w:rPr>
          <w:rFonts w:ascii="Arial" w:cs="Arial" w:eastAsia="Arial" w:hAnsi="Arial"/>
          <w:sz w:val="16"/>
          <w:szCs w:val="16"/>
          <w:i w:val="1"/>
          <w:iCs w:val="1"/>
          <w:color w:val="auto"/>
        </w:rPr>
        <w:t xml:space="preserve"> </w:t>
      </w:r>
      <w:r>
        <w:rPr>
          <w:rFonts w:ascii="Arial" w:cs="Arial" w:eastAsia="Arial" w:hAnsi="Arial"/>
          <w:sz w:val="16"/>
          <w:szCs w:val="16"/>
          <w:color w:val="auto"/>
        </w:rPr>
        <w:t>an operating lease from EchoStar for a term of seven years for a monthly lease charge of approximately $16 million. We prepaid $185 million in lease obligations under the agreement during the year ended December 31, 2024. The prepayments resulted in the lease liability and associated asset being remeasured. The prepayment ended in March 2025 with regular payments continuing in April 2025. During the first quarter of 2026, we entered into secured and unsecured loan agreements for approximately $51 million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2">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14" w:name="page115"/>
    <w:bookmarkEnd w:id="114"/>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with EchoStar to finance certain historical amounts owed, including related interest, in connection with our EchoStar XXIV lease payments. This amount will be reclassified from “Operating lease liabilities” on our Consolidated Balance Sheets and will be reflected as a note payable in our first quarter filing.</w:t>
      </w:r>
    </w:p>
    <w:p>
      <w:pPr>
        <w:spacing w:after="0" w:line="150"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i w:val="1"/>
          <w:iCs w:val="1"/>
          <w:color w:val="auto"/>
        </w:rPr>
        <w:t xml:space="preserve">TT&amp;C Agreement – Master Transaction Agreement. </w:t>
      </w:r>
      <w:r>
        <w:rPr>
          <w:rFonts w:ascii="Arial" w:cs="Arial" w:eastAsia="Arial" w:hAnsi="Arial"/>
          <w:sz w:val="16"/>
          <w:szCs w:val="16"/>
          <w:color w:val="auto"/>
        </w:rPr>
        <w:t>In September 2019, we entered into an agreement pursuant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EchoStar provides TT&amp;C services to us for an initial term that ended in September 2021, (the “MTA TT&amp;C Agreement”). In September 2021, we amended the MTA TT&amp;C Agreement to extend the term until September 2022 and added the option for us to renew for three one-year renewal terms ending in September 2025 Effective September 2025, the MTA TT&amp;C Agreement was extended on a month-to-month basis. In December 2025, the MTA TT&amp;C Agreement was amended and automatically renews for successive one year terms unless either party gives written notice of its intent not to renew to the other party at least 90 days before the expiration of the then-current term.</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“Cost of sales – equipment and other”</w:t>
      </w:r>
    </w:p>
    <w:p>
      <w:pPr>
        <w:spacing w:after="0" w:line="194"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During the years ended December 31, 2025, 2024 and 2023, we incurred $2 million, $ 2 million, and $2 million, respectively, for satellite hosting, operations and maintenance services as well as transmission of certain data to EchoStar. These amounts are recorded in “Cost of sales – equipment and other” on our Consolidated Statements of Operations and Comprehensive Income (Loss). The primary agreements pertaining to these expenses are discussed below.</w:t>
      </w:r>
    </w:p>
    <w:p>
      <w:pPr>
        <w:spacing w:after="0" w:line="156" w:lineRule="exact"/>
        <w:rPr>
          <w:sz w:val="20"/>
          <w:szCs w:val="20"/>
          <w:color w:val="auto"/>
        </w:rPr>
      </w:pPr>
    </w:p>
    <w:p>
      <w:pPr>
        <w:jc w:val="both"/>
        <w:ind w:left="40" w:right="59"/>
        <w:spacing w:after="0" w:line="243" w:lineRule="auto"/>
        <w:rPr>
          <w:sz w:val="20"/>
          <w:szCs w:val="20"/>
          <w:color w:val="auto"/>
        </w:rPr>
      </w:pPr>
      <w:r>
        <w:rPr>
          <w:rFonts w:ascii="Arial" w:cs="Arial" w:eastAsia="Arial" w:hAnsi="Arial"/>
          <w:sz w:val="16"/>
          <w:szCs w:val="16"/>
          <w:i w:val="1"/>
          <w:iCs w:val="1"/>
          <w:color w:val="auto"/>
        </w:rPr>
        <w:t xml:space="preserve">Professional Services Agreement. </w:t>
      </w:r>
      <w:r>
        <w:rPr>
          <w:rFonts w:ascii="Arial" w:cs="Arial" w:eastAsia="Arial" w:hAnsi="Arial"/>
          <w:sz w:val="16"/>
          <w:szCs w:val="16"/>
          <w:color w:val="auto"/>
        </w:rPr>
        <w:t>Effective January 2010, we and EchoStar entered into the Professional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pursuant to which we have the right, but not the obligation, to receive the following services from EchoStar, among others: information technology, travel and event coordination, internal audit, legal, accounting and tax, benefits administration, program acquisition services and other support services, including uplink services. Additionally, we and EchoStar agreed that EchoStar shall continue to have the right, but not the obligation, to engage us to manage the process of procuring new satellite capacity for EchoStar and receive logistics, procurement and quality assurance services from us and other support services. In February 2017 and in September 2019, we and EchoStar amended the Professional Services Agreement to, among other things, provide certain transition services to each other. The Professional Services Agreement renews automatically for successive one-year periods,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6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i w:val="1"/>
          <w:iCs w:val="1"/>
          <w:color w:val="auto"/>
        </w:rPr>
        <w:t xml:space="preserve">Whidbey Island 5G Network Test Bed Subcontract. </w:t>
      </w:r>
      <w:r>
        <w:rPr>
          <w:rFonts w:ascii="Arial" w:cs="Arial" w:eastAsia="Arial" w:hAnsi="Arial"/>
          <w:sz w:val="16"/>
          <w:szCs w:val="16"/>
          <w:color w:val="auto"/>
        </w:rPr>
        <w:t>Effective June 2022, we entered into certain agreements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EchoStar provides us access and use of a lab, technical support and integration, and testing support for the 5G network test bed. In addition, we lease certain wireless spectrum, and receive construction and related services. We may terminate this agreement at any time by providing written notice to EchoStar.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94"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During the years ended December 31, 2025, 2024 and 2023, we incurred $1 million, $2 million, and less than $1 million, respectively, for selling, general and administrative expenses for services provided to us by EchoStar. These amounts are recorded in “Selling, general and administrative expenses” on our Consolidated Statements of Operations and Comprehensive Income (Loss). The primary agreements pertaining to these expenses are discussed below.</w:t>
      </w:r>
    </w:p>
    <w:p>
      <w:pPr>
        <w:spacing w:after="0" w:line="15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i w:val="1"/>
          <w:iCs w:val="1"/>
          <w:color w:val="auto"/>
        </w:rPr>
        <w:t xml:space="preserve">Shared Corporate Services. </w:t>
      </w:r>
      <w:r>
        <w:rPr>
          <w:rFonts w:ascii="Arial" w:cs="Arial" w:eastAsia="Arial" w:hAnsi="Arial"/>
          <w:sz w:val="16"/>
          <w:szCs w:val="16"/>
          <w:color w:val="auto"/>
        </w:rPr>
        <w:t>We and EchoStar, including EchoStar’s other subsidiaries, have agreed that we shall each</w:t>
      </w:r>
      <w:r>
        <w:rPr>
          <w:rFonts w:ascii="Arial" w:cs="Arial" w:eastAsia="Arial" w:hAnsi="Arial"/>
          <w:sz w:val="16"/>
          <w:szCs w:val="16"/>
          <w:i w:val="1"/>
          <w:iCs w:val="1"/>
          <w:color w:val="auto"/>
        </w:rPr>
        <w:t xml:space="preserve"> </w:t>
      </w:r>
      <w:r>
        <w:rPr>
          <w:rFonts w:ascii="Arial" w:cs="Arial" w:eastAsia="Arial" w:hAnsi="Arial"/>
          <w:sz w:val="16"/>
          <w:szCs w:val="16"/>
          <w:color w:val="auto"/>
        </w:rPr>
        <w:t>have the right, but not the obligation, to receive from the other certain shared corporate services, including among other things: treasury, tax, accounting and reporting, risk management, cybersecurity, legal,</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15" w:name="page116"/>
    <w:bookmarkEnd w:id="115"/>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internal audit, human resources, and information technology. We and EchoStar may each terminate a particular shared corporate service for any reason upon at least 30 days’ notice.</w:t>
      </w:r>
    </w:p>
    <w:p>
      <w:pPr>
        <w:spacing w:after="0" w:line="133"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i w:val="1"/>
          <w:iCs w:val="1"/>
          <w:color w:val="auto"/>
        </w:rPr>
        <w:t xml:space="preserve">Collocation and Antenna Space Agreements. </w:t>
      </w:r>
      <w:r>
        <w:rPr>
          <w:rFonts w:ascii="Arial" w:cs="Arial" w:eastAsia="Arial" w:hAnsi="Arial"/>
          <w:sz w:val="16"/>
          <w:szCs w:val="16"/>
          <w:color w:val="auto"/>
        </w:rPr>
        <w:t>We entered into certain agreements pursuant to which EchoStar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collocation and antenna space to us. We may terminate certain of these agreements with 180 days’ prior written notice to EchoStar and for certain other agreements with prior written notice no more than 120 days but no less than 90 days prior to the end of the then-current term. The term of each agreement is set forth below:</w:t>
      </w:r>
    </w:p>
    <w:p>
      <w:pPr>
        <w:spacing w:after="0" w:line="156" w:lineRule="exact"/>
        <w:rPr>
          <w:sz w:val="20"/>
          <w:szCs w:val="20"/>
          <w:color w:val="auto"/>
        </w:rPr>
      </w:pPr>
    </w:p>
    <w:p>
      <w:pPr>
        <w:jc w:val="both"/>
        <w:ind w:left="660" w:right="59" w:hanging="299"/>
        <w:spacing w:after="0" w:line="269" w:lineRule="auto"/>
        <w:tabs>
          <w:tab w:leader="none" w:pos="66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Effective March 2017 for an initial term that ended in February 2022 and renewal options ending in February 2034 at the following locations: Cheyenne, Wyoming; Gilbert, Arizona; Monee, Illinois; Englewood, Colorado; and Spokane, Washington.</w:t>
      </w:r>
    </w:p>
    <w:p>
      <w:pPr>
        <w:jc w:val="both"/>
        <w:ind w:left="660" w:right="59" w:hanging="299"/>
        <w:spacing w:after="0" w:line="266" w:lineRule="auto"/>
        <w:tabs>
          <w:tab w:leader="none" w:pos="66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Effective August 2017 for an initial term that ended in August 2022 and renewal options ending in August 2034 at the following locations: Monee, Illinois and Spokane, Washington. In March 2024, we provided a termination notice for one of the Spokane, Washington agreements, effective April 2024.</w:t>
      </w:r>
    </w:p>
    <w:p>
      <w:pPr>
        <w:ind w:left="660" w:right="59" w:hanging="299"/>
        <w:spacing w:after="0" w:line="271" w:lineRule="auto"/>
        <w:tabs>
          <w:tab w:leader="none" w:pos="66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Effective January 2022 for an initial term ending December 2026 and renewal options ending in December 2038 at the following location: Englewood, Colorado.</w:t>
      </w:r>
    </w:p>
    <w:p>
      <w:pPr>
        <w:ind w:left="660" w:right="59" w:hanging="299"/>
        <w:spacing w:after="0" w:line="270" w:lineRule="auto"/>
        <w:tabs>
          <w:tab w:leader="none" w:pos="66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Effective October 2020 with renewal options ending in October 2037 at the following location: Cheyenne, Wyoming.</w:t>
      </w:r>
    </w:p>
    <w:p>
      <w:pPr>
        <w:spacing w:after="0" w:line="398"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i w:val="1"/>
          <w:iCs w:val="1"/>
          <w:color w:val="auto"/>
        </w:rPr>
        <w:t xml:space="preserve">Real Estate. </w:t>
      </w:r>
      <w:r>
        <w:rPr>
          <w:rFonts w:ascii="Arial" w:cs="Arial" w:eastAsia="Arial" w:hAnsi="Arial"/>
          <w:sz w:val="16"/>
          <w:szCs w:val="16"/>
          <w:color w:val="auto"/>
        </w:rPr>
        <w:t>We occupy certain office space in buildings owned or leased by EchoStar and its other subsidiaries and pay a</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the taxes, insurance, utilities and maintenance of the premises in accordance with the percentage of the space we occupy.</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Other Agreements – EchoStar</w:t>
      </w:r>
    </w:p>
    <w:p>
      <w:pPr>
        <w:spacing w:after="0" w:line="194" w:lineRule="exact"/>
        <w:rPr>
          <w:sz w:val="20"/>
          <w:szCs w:val="20"/>
          <w:color w:val="auto"/>
        </w:rPr>
      </w:pPr>
    </w:p>
    <w:p>
      <w:pPr>
        <w:jc w:val="both"/>
        <w:ind w:left="40" w:right="59"/>
        <w:spacing w:after="0" w:line="246" w:lineRule="auto"/>
        <w:rPr>
          <w:sz w:val="20"/>
          <w:szCs w:val="20"/>
          <w:color w:val="auto"/>
        </w:rPr>
      </w:pPr>
      <w:r>
        <w:rPr>
          <w:rFonts w:ascii="Arial" w:cs="Arial" w:eastAsia="Arial" w:hAnsi="Arial"/>
          <w:sz w:val="16"/>
          <w:szCs w:val="16"/>
          <w:i w:val="1"/>
          <w:iCs w:val="1"/>
          <w:color w:val="auto"/>
        </w:rPr>
        <w:t xml:space="preserve">Hughes Broadband Master Services Agreement. </w:t>
      </w:r>
      <w:r>
        <w:rPr>
          <w:rFonts w:ascii="Arial" w:cs="Arial" w:eastAsia="Arial" w:hAnsi="Arial"/>
          <w:sz w:val="16"/>
          <w:szCs w:val="16"/>
          <w:color w:val="auto"/>
        </w:rPr>
        <w:t>In March 2017, we and EchoStar entered into the Master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(“MSA”) pursuant to which EchoStar, among other things: (i) have the right, but not the obligation, to market, promote and solicit orders for our satellite Internet service and related equipment; and (ii) install service equipment with respect to activations EchoStar generates. The MSA had an initial term that ended March 2022 with automatic renewal for successive one-year terms. Either party has the ability to terminate the MSA, in whole or in part, for any reason upon at least 90 days’ notice to the other party. Upon expiration or termination of the MSA, we will continue to provide the satellite Internet service to subscribers and make certain payments to EchoStar pursuant to the terms and conditions of the MSA.</w:t>
      </w:r>
    </w:p>
    <w:p>
      <w:pPr>
        <w:spacing w:after="0" w:line="163" w:lineRule="exact"/>
        <w:rPr>
          <w:sz w:val="20"/>
          <w:szCs w:val="20"/>
          <w:color w:val="auto"/>
        </w:rPr>
      </w:pPr>
    </w:p>
    <w:p>
      <w:pPr>
        <w:jc w:val="both"/>
        <w:ind w:left="40" w:right="59"/>
        <w:spacing w:after="0" w:line="248" w:lineRule="auto"/>
        <w:rPr>
          <w:sz w:val="20"/>
          <w:szCs w:val="20"/>
          <w:color w:val="auto"/>
        </w:rPr>
      </w:pPr>
      <w:r>
        <w:rPr>
          <w:rFonts w:ascii="Arial" w:cs="Arial" w:eastAsia="Arial" w:hAnsi="Arial"/>
          <w:sz w:val="16"/>
          <w:szCs w:val="16"/>
          <w:color w:val="auto"/>
        </w:rPr>
        <w:t>For the years ended December 31, 2025, 2024 and 2023, we incurred sales incentives and other costs under the MSA totaling $2 million, $5 million, and $2 million, respectively. These costs are capitalized and amortized to expense over the estimated customer life or the contract term. See Note 2 “Assets Recognized Related to the Costs to Obtain a Contract with a Customer” for further information. During the years ended December 31, 2025, 2024 and 2023, the amounts amortized to expense were $2 million, $1 million, and $2 million, respectively. These costs are expensed in “Selling, general and administrative expenses” on our Consolidated Statements of Operations and Comprehensive Income (Loss).</w:t>
      </w:r>
    </w:p>
    <w:p>
      <w:pPr>
        <w:spacing w:after="0" w:line="159"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i w:val="1"/>
          <w:iCs w:val="1"/>
          <w:color w:val="auto"/>
        </w:rPr>
        <w:t xml:space="preserve">Cash Advances. </w:t>
      </w:r>
      <w:r>
        <w:rPr>
          <w:rFonts w:ascii="Arial" w:cs="Arial" w:eastAsia="Arial" w:hAnsi="Arial"/>
          <w:sz w:val="16"/>
          <w:szCs w:val="16"/>
          <w:color w:val="auto"/>
        </w:rPr>
        <w:t>EchoStar and certain of its other subsidiaries have also provided cash advances to certain of our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to fund certain expenditures pursuant to loan agreements. Advances under these agreements bear interest at annual rates of three percent.</w:t>
      </w:r>
    </w:p>
    <w:p>
      <w:pPr>
        <w:spacing w:after="0" w:line="113"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On February 15, 2024, our Board of Directors declared and approved payment of a cash dividend on our</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common stock to EchoStar in the amount of $529 million. Payment of this dividend was made in the first quarter of 2024.</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16" w:name="page117"/>
    <w:bookmarkEnd w:id="116"/>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jc w:val="both"/>
        <w:ind w:left="40" w:right="59"/>
        <w:spacing w:after="0" w:line="267" w:lineRule="auto"/>
        <w:rPr>
          <w:sz w:val="20"/>
          <w:szCs w:val="20"/>
          <w:color w:val="auto"/>
        </w:rPr>
      </w:pPr>
      <w:r>
        <w:rPr>
          <w:rFonts w:ascii="Arial" w:cs="Arial" w:eastAsia="Arial" w:hAnsi="Arial"/>
          <w:sz w:val="16"/>
          <w:szCs w:val="16"/>
          <w:color w:val="auto"/>
        </w:rPr>
        <w:t>On March 12, 2024, our Board of Directors declared and approved payment of a cash dividend on the Company’s outstanding common stock to EchoStar in the amount of $500 million. Payment of the dividend was made in the first quarter of 2024.</w:t>
      </w: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Joint Ventures and Cost Investments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Deluxe/EchoStar LLC</w:t>
      </w:r>
    </w:p>
    <w:p>
      <w:pPr>
        <w:spacing w:after="0" w:line="194" w:lineRule="exact"/>
        <w:rPr>
          <w:sz w:val="20"/>
          <w:szCs w:val="20"/>
          <w:color w:val="auto"/>
        </w:rPr>
      </w:pPr>
    </w:p>
    <w:p>
      <w:pPr>
        <w:jc w:val="both"/>
        <w:ind w:left="40" w:right="59"/>
        <w:spacing w:after="0" w:line="281" w:lineRule="auto"/>
        <w:rPr>
          <w:sz w:val="20"/>
          <w:szCs w:val="20"/>
          <w:color w:val="auto"/>
        </w:rPr>
      </w:pPr>
      <w:r>
        <w:rPr>
          <w:rFonts w:ascii="Arial" w:cs="Arial" w:eastAsia="Arial" w:hAnsi="Arial"/>
          <w:sz w:val="16"/>
          <w:szCs w:val="16"/>
          <w:color w:val="auto"/>
        </w:rPr>
        <w:t>We own 50% of Deluxe, a joint venture that we entered into in 2010 to build an advanced digital cinema satellite distribution network targeting delivery to digitally equipped theaters in the U.S. and Canada. Refer to Note 5 for more information.</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table below summarizes our transactions with Deluxe:</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184"/>
        </w:trPr>
        <w:tc>
          <w:tcPr>
            <w:tcW w:w="4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tcPr>
          <w:p>
            <w:pPr>
              <w:jc w:val="center"/>
              <w:ind w:left="418"/>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2023</w:t>
            </w:r>
          </w:p>
        </w:tc>
      </w:tr>
      <w:tr>
        <w:trPr>
          <w:trHeight w:val="164"/>
        </w:trPr>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spacing w:after="0" w:line="164"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from Deluxe</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5,223</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6,002</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5,794</w:t>
            </w:r>
          </w:p>
        </w:tc>
      </w:tr>
      <w:tr>
        <w:trPr>
          <w:trHeight w:val="20"/>
        </w:trPr>
        <w:tc>
          <w:tcPr>
            <w:tcW w:w="4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49"/>
        </w:trPr>
        <w:tc>
          <w:tcPr>
            <w:tcW w:w="410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238"/>
              <w:spacing w:after="0"/>
              <w:rPr>
                <w:sz w:val="20"/>
                <w:szCs w:val="20"/>
                <w:color w:val="auto"/>
              </w:rPr>
            </w:pPr>
            <w:r>
              <w:rPr>
                <w:rFonts w:ascii="Arial" w:cs="Arial" w:eastAsia="Arial" w:hAnsi="Arial"/>
                <w:sz w:val="16"/>
                <w:szCs w:val="16"/>
                <w:b w:val="1"/>
                <w:bCs w:val="1"/>
                <w:color w:val="auto"/>
              </w:rPr>
              <w:t>As of December 31,</w:t>
            </w:r>
          </w:p>
        </w:tc>
        <w:tc>
          <w:tcPr>
            <w:tcW w:w="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4"/>
        </w:trPr>
        <w:tc>
          <w:tcPr>
            <w:tcW w:w="4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tcPr>
          <w:p>
            <w:pPr>
              <w:jc w:val="center"/>
              <w:ind w:left="418"/>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4"/>
        </w:trPr>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3"/>
          </w:tcPr>
          <w:p>
            <w:pPr>
              <w:jc w:val="right"/>
              <w:ind w:right="458"/>
              <w:spacing w:after="0" w:line="164" w:lineRule="exact"/>
              <w:rPr>
                <w:sz w:val="20"/>
                <w:szCs w:val="20"/>
                <w:color w:val="auto"/>
              </w:rPr>
            </w:pPr>
            <w:r>
              <w:rPr>
                <w:rFonts w:ascii="Arial" w:cs="Arial" w:eastAsia="Arial" w:hAnsi="Arial"/>
                <w:sz w:val="16"/>
                <w:szCs w:val="16"/>
                <w:color w:val="auto"/>
              </w:rPr>
              <w:t>(In thousands)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Trade accounts receivable from Deluxe</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2,504</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0" w:right="439"/>
        <w:spacing w:after="0" w:line="281" w:lineRule="auto"/>
        <w:rPr>
          <w:sz w:val="20"/>
          <w:szCs w:val="20"/>
          <w:color w:val="auto"/>
        </w:rPr>
      </w:pPr>
      <w:r>
        <w:rPr>
          <w:rFonts w:ascii="Arial" w:cs="Arial" w:eastAsia="Arial" w:hAnsi="Arial"/>
          <w:sz w:val="16"/>
          <w:szCs w:val="16"/>
          <w:color w:val="auto"/>
        </w:rPr>
        <w:t>During the years ended December 31, 2025 and 2024, we received dividends from Deluxe of $2 million and $6 million, respectively.</w:t>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Broadband Connectivity Solutions (Restricted) Limited</w:t>
      </w:r>
    </w:p>
    <w:p>
      <w:pPr>
        <w:spacing w:after="0" w:line="196" w:lineRule="exact"/>
        <w:rPr>
          <w:sz w:val="20"/>
          <w:szCs w:val="20"/>
          <w:color w:val="auto"/>
        </w:rPr>
      </w:pPr>
    </w:p>
    <w:p>
      <w:pPr>
        <w:jc w:val="both"/>
        <w:ind w:left="40" w:right="59"/>
        <w:spacing w:after="0" w:line="260" w:lineRule="auto"/>
        <w:rPr>
          <w:sz w:val="20"/>
          <w:szCs w:val="20"/>
          <w:color w:val="auto"/>
        </w:rPr>
      </w:pPr>
      <w:r>
        <w:rPr>
          <w:rFonts w:ascii="Arial" w:cs="Arial" w:eastAsia="Arial" w:hAnsi="Arial"/>
          <w:sz w:val="16"/>
          <w:szCs w:val="16"/>
          <w:color w:val="auto"/>
        </w:rPr>
        <w:t>We own 20% of BCS, a joint venture that we entered into in 2018 to provide commercial Ka-band satellite broadband services across Africa, the Middle East and southwest Asia operating over Yahsat’s Al Yah 2 and Al Yah 3 Ka-band satellites. The Al Yah 3 Ka-band satellite is no longer in service.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table below summarizes our transactions with BCS: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184"/>
        </w:trPr>
        <w:tc>
          <w:tcPr>
            <w:tcW w:w="4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tcPr>
          <w:p>
            <w:pPr>
              <w:jc w:val="center"/>
              <w:ind w:left="418"/>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2023</w:t>
            </w:r>
          </w:p>
        </w:tc>
      </w:tr>
      <w:tr>
        <w:trPr>
          <w:trHeight w:val="164"/>
        </w:trPr>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spacing w:after="0" w:line="164"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from BCS</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w:t>
            </w:r>
          </w:p>
        </w:tc>
      </w:tr>
      <w:tr>
        <w:trPr>
          <w:trHeight w:val="20"/>
        </w:trPr>
        <w:tc>
          <w:tcPr>
            <w:tcW w:w="4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49"/>
        </w:trPr>
        <w:tc>
          <w:tcPr>
            <w:tcW w:w="410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238"/>
              <w:spacing w:after="0"/>
              <w:rPr>
                <w:sz w:val="20"/>
                <w:szCs w:val="20"/>
                <w:color w:val="auto"/>
              </w:rPr>
            </w:pPr>
            <w:r>
              <w:rPr>
                <w:rFonts w:ascii="Arial" w:cs="Arial" w:eastAsia="Arial" w:hAnsi="Arial"/>
                <w:sz w:val="16"/>
                <w:szCs w:val="16"/>
                <w:b w:val="1"/>
                <w:bCs w:val="1"/>
                <w:color w:val="auto"/>
              </w:rPr>
              <w:t>As of December 31,</w:t>
            </w:r>
          </w:p>
        </w:tc>
        <w:tc>
          <w:tcPr>
            <w:tcW w:w="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4"/>
        </w:trPr>
        <w:tc>
          <w:tcPr>
            <w:tcW w:w="4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tcPr>
          <w:p>
            <w:pPr>
              <w:jc w:val="center"/>
              <w:ind w:left="418"/>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4"/>
        </w:trPr>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3"/>
          </w:tcPr>
          <w:p>
            <w:pPr>
              <w:jc w:val="right"/>
              <w:ind w:right="458"/>
              <w:spacing w:after="0" w:line="164" w:lineRule="exact"/>
              <w:rPr>
                <w:sz w:val="20"/>
                <w:szCs w:val="20"/>
                <w:color w:val="auto"/>
              </w:rPr>
            </w:pPr>
            <w:r>
              <w:rPr>
                <w:rFonts w:ascii="Arial" w:cs="Arial" w:eastAsia="Arial" w:hAnsi="Arial"/>
                <w:sz w:val="16"/>
                <w:szCs w:val="16"/>
                <w:color w:val="auto"/>
              </w:rPr>
              <w:t>(In thousands)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Trade accounts receivable from BCS</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321945</wp:posOffset>
            </wp:positionV>
            <wp:extent cx="5666105"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117" w:name="page118"/>
    <w:bookmarkEnd w:id="117"/>
    <w:p>
      <w:pPr>
        <w:ind w:left="40"/>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HUGHES SATELLITE SYSTEMS CORPORATION</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Hughes Systique Corporation</w:t>
      </w:r>
    </w:p>
    <w:p>
      <w:pPr>
        <w:spacing w:after="0" w:line="196" w:lineRule="exact"/>
        <w:rPr>
          <w:sz w:val="20"/>
          <w:szCs w:val="20"/>
          <w:color w:val="auto"/>
        </w:rPr>
      </w:pPr>
    </w:p>
    <w:p>
      <w:pPr>
        <w:jc w:val="both"/>
        <w:ind w:left="40" w:right="59"/>
        <w:spacing w:after="0" w:line="250" w:lineRule="auto"/>
        <w:rPr>
          <w:sz w:val="20"/>
          <w:szCs w:val="20"/>
          <w:color w:val="auto"/>
        </w:rPr>
      </w:pPr>
      <w:r>
        <w:rPr>
          <w:rFonts w:ascii="Arial" w:cs="Arial" w:eastAsia="Arial" w:hAnsi="Arial"/>
          <w:sz w:val="16"/>
          <w:szCs w:val="16"/>
          <w:color w:val="auto"/>
        </w:rPr>
        <w:t>We hold certain equity in Hughes Systique Corporation (“Hughes Systique”) and contract with Hughes Systique for software development services. Prior to December 31, 2023, consolidated Hughes Systique’s financial statements into our Consolidated Financial Statements. As of December 31, 2023, we have deconsolidated the Hughes Systique results from our Consolidated Financial Statements and recorded the investment as a cost method investment in “Other investments” on our Consolidated Balance Sheets.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table below summarizes our transactions with Hughes Systique:</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6"/>
          </w:tcPr>
          <w:p>
            <w:pPr>
              <w:jc w:val="center"/>
              <w:ind w:left="758"/>
              <w:spacing w:after="0"/>
              <w:rPr>
                <w:sz w:val="20"/>
                <w:szCs w:val="20"/>
                <w:color w:val="auto"/>
              </w:rPr>
            </w:pPr>
            <w:r>
              <w:rPr>
                <w:rFonts w:ascii="Arial" w:cs="Arial" w:eastAsia="Arial" w:hAnsi="Arial"/>
                <w:sz w:val="16"/>
                <w:szCs w:val="16"/>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184"/>
        </w:trPr>
        <w:tc>
          <w:tcPr>
            <w:tcW w:w="4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2023</w:t>
            </w:r>
          </w:p>
        </w:tc>
      </w:tr>
      <w:tr>
        <w:trPr>
          <w:trHeight w:val="164"/>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38"/>
              <w:spacing w:after="0" w:line="164"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Purchases from Hughes Systique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16,188</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17,528</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19,597</w:t>
            </w:r>
          </w:p>
        </w:tc>
      </w:tr>
      <w:tr>
        <w:trPr>
          <w:trHeight w:val="20"/>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49"/>
        </w:trPr>
        <w:tc>
          <w:tcPr>
            <w:tcW w:w="4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6"/>
                <w:szCs w:val="16"/>
                <w:b w:val="1"/>
                <w:bCs w:val="1"/>
                <w:color w:val="auto"/>
              </w:rPr>
              <w:t>As of December 31,</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4"/>
        </w:trPr>
        <w:tc>
          <w:tcPr>
            <w:tcW w:w="4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4"/>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4"/>
          </w:tcPr>
          <w:p>
            <w:pPr>
              <w:jc w:val="right"/>
              <w:ind w:right="958"/>
              <w:spacing w:after="0" w:line="164"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Amounts payable to Hughes Systique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776"/>
        </w:trPr>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F-60</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92"/>
        </w:trPr>
        <w:tc>
          <w:tcPr>
            <w:tcW w:w="4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8" w:right="1440" w:bottom="1440" w:gutter="0" w:footer="0" w:header="0"/>
        </w:sectPr>
      </w:pPr>
    </w:p>
    <w:bookmarkStart w:id="118" w:name="page119"/>
    <w:bookmarkEnd w:id="118"/>
    <w:p>
      <w:pPr>
        <w:jc w:val="right"/>
        <w:ind w:right="219"/>
        <w:spacing w:after="0"/>
        <w:rPr>
          <w:sz w:val="20"/>
          <w:szCs w:val="20"/>
          <w:color w:val="auto"/>
        </w:rPr>
      </w:pPr>
      <w:r>
        <w:rPr>
          <w:rFonts w:ascii="Arial" w:cs="Arial" w:eastAsia="Arial" w:hAnsi="Arial"/>
          <w:sz w:val="16"/>
          <w:szCs w:val="16"/>
          <w:b w:val="1"/>
          <w:bCs w:val="1"/>
          <w:color w:val="auto"/>
        </w:rPr>
        <w:t>Exhibit 22</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List of Subsidiary Guarantors</w:t>
      </w:r>
    </w:p>
    <w:p>
      <w:pPr>
        <w:spacing w:after="0" w:line="200" w:lineRule="exact"/>
        <w:rPr>
          <w:sz w:val="20"/>
          <w:szCs w:val="20"/>
          <w:color w:val="auto"/>
        </w:rPr>
      </w:pPr>
    </w:p>
    <w:p>
      <w:pPr>
        <w:spacing w:after="0" w:line="302" w:lineRule="exact"/>
        <w:rPr>
          <w:sz w:val="20"/>
          <w:szCs w:val="20"/>
          <w:color w:val="auto"/>
        </w:rPr>
      </w:pPr>
    </w:p>
    <w:p>
      <w:pPr>
        <w:ind w:left="200" w:right="219"/>
        <w:spacing w:after="0" w:line="292" w:lineRule="auto"/>
        <w:rPr>
          <w:sz w:val="20"/>
          <w:szCs w:val="20"/>
          <w:color w:val="auto"/>
        </w:rPr>
      </w:pPr>
      <w:r>
        <w:rPr>
          <w:rFonts w:ascii="Arial" w:cs="Arial" w:eastAsia="Arial" w:hAnsi="Arial"/>
          <w:sz w:val="16"/>
          <w:szCs w:val="16"/>
          <w:color w:val="auto"/>
        </w:rPr>
        <w:t>The 5 1/4% Senior Secured Notes due 2026 and 6 5/8% Senior Unsecured Notes due 2026 issued by Hughes Satellite Services Corporation (incorporated in Colorado) are jointly and severally guaranteed on a full and unconditional basis by the following 100% owned subsidiaries of Hughes Satellite Systems Corporation as of December 31, 2025:</w:t>
      </w:r>
    </w:p>
    <w:p>
      <w:pPr>
        <w:spacing w:after="0" w:line="346" w:lineRule="exact"/>
        <w:rPr>
          <w:sz w:val="20"/>
          <w:szCs w:val="20"/>
          <w:color w:val="auto"/>
        </w:rPr>
      </w:pPr>
    </w:p>
    <w:tbl>
      <w:tblPr>
        <w:tblLayout w:type="fixed"/>
        <w:tblInd w:w="20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220" w:type="dxa"/>
            <w:vAlign w:val="bottom"/>
          </w:tcPr>
          <w:p>
            <w:pPr>
              <w:jc w:val="center"/>
              <w:ind w:left="1339"/>
              <w:spacing w:after="0"/>
              <w:rPr>
                <w:sz w:val="20"/>
                <w:szCs w:val="20"/>
                <w:color w:val="auto"/>
              </w:rPr>
            </w:pPr>
            <w:r>
              <w:rPr>
                <w:rFonts w:ascii="Arial" w:cs="Arial" w:eastAsia="Arial" w:hAnsi="Arial"/>
                <w:sz w:val="16"/>
                <w:szCs w:val="16"/>
                <w:b w:val="1"/>
                <w:bCs w:val="1"/>
                <w:color w:val="auto"/>
              </w:rPr>
              <w:t>State or Country of</w:t>
            </w:r>
          </w:p>
        </w:tc>
      </w:tr>
      <w:tr>
        <w:trPr>
          <w:trHeight w:val="224"/>
        </w:trPr>
        <w:tc>
          <w:tcPr>
            <w:tcW w:w="2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Entity</w:t>
            </w:r>
          </w:p>
        </w:tc>
        <w:tc>
          <w:tcPr>
            <w:tcW w:w="3220" w:type="dxa"/>
            <w:vAlign w:val="bottom"/>
          </w:tcPr>
          <w:p>
            <w:pPr>
              <w:jc w:val="center"/>
              <w:ind w:left="1319"/>
              <w:spacing w:after="0"/>
              <w:rPr>
                <w:sz w:val="20"/>
                <w:szCs w:val="20"/>
                <w:color w:val="auto"/>
              </w:rPr>
            </w:pPr>
            <w:r>
              <w:rPr>
                <w:rFonts w:ascii="Arial" w:cs="Arial" w:eastAsia="Arial" w:hAnsi="Arial"/>
                <w:sz w:val="16"/>
                <w:szCs w:val="16"/>
                <w:b w:val="1"/>
                <w:bCs w:val="1"/>
                <w:color w:val="auto"/>
              </w:rPr>
              <w:t>Incorporation</w:t>
            </w: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236"/>
        </w:trPr>
        <w:tc>
          <w:tcPr>
            <w:tcW w:w="20" w:type="dxa"/>
            <w:vAlign w:val="bottom"/>
          </w:tcPr>
          <w:p>
            <w:pPr>
              <w:spacing w:after="0"/>
              <w:rPr>
                <w:sz w:val="20"/>
                <w:szCs w:val="20"/>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EchoStar Orbital, L.L.C.</w:t>
            </w:r>
          </w:p>
        </w:tc>
        <w:tc>
          <w:tcPr>
            <w:tcW w:w="3220" w:type="dxa"/>
            <w:vAlign w:val="bottom"/>
            <w:shd w:val="clear" w:color="auto" w:fill="CCEEFF"/>
          </w:tcPr>
          <w:p>
            <w:pPr>
              <w:jc w:val="center"/>
              <w:ind w:left="1319"/>
              <w:spacing w:after="0"/>
              <w:rPr>
                <w:sz w:val="20"/>
                <w:szCs w:val="20"/>
                <w:color w:val="auto"/>
              </w:rPr>
            </w:pPr>
            <w:r>
              <w:rPr>
                <w:rFonts w:ascii="Arial" w:cs="Arial" w:eastAsia="Arial" w:hAnsi="Arial"/>
                <w:sz w:val="16"/>
                <w:szCs w:val="16"/>
                <w:color w:val="auto"/>
              </w:rPr>
              <w:t>Colorado</w:t>
            </w: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r>
      <w:tr>
        <w:trPr>
          <w:trHeight w:val="236"/>
        </w:trPr>
        <w:tc>
          <w:tcPr>
            <w:tcW w:w="2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EchoStar Government Services, L.L.C.</w:t>
            </w:r>
          </w:p>
        </w:tc>
        <w:tc>
          <w:tcPr>
            <w:tcW w:w="3220" w:type="dxa"/>
            <w:vAlign w:val="bottom"/>
          </w:tcPr>
          <w:p>
            <w:pPr>
              <w:jc w:val="center"/>
              <w:ind w:left="1319"/>
              <w:spacing w:after="0"/>
              <w:rPr>
                <w:sz w:val="20"/>
                <w:szCs w:val="20"/>
                <w:color w:val="auto"/>
              </w:rPr>
            </w:pPr>
            <w:r>
              <w:rPr>
                <w:rFonts w:ascii="Arial" w:cs="Arial" w:eastAsia="Arial" w:hAnsi="Arial"/>
                <w:sz w:val="16"/>
                <w:szCs w:val="16"/>
                <w:color w:val="auto"/>
              </w:rPr>
              <w:t>Colorado</w:t>
            </w: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236"/>
        </w:trPr>
        <w:tc>
          <w:tcPr>
            <w:tcW w:w="20" w:type="dxa"/>
            <w:vAlign w:val="bottom"/>
          </w:tcPr>
          <w:p>
            <w:pPr>
              <w:spacing w:after="0"/>
              <w:rPr>
                <w:sz w:val="20"/>
                <w:szCs w:val="20"/>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EchoStar Satellite Services L.L.C.</w:t>
            </w:r>
          </w:p>
        </w:tc>
        <w:tc>
          <w:tcPr>
            <w:tcW w:w="3220" w:type="dxa"/>
            <w:vAlign w:val="bottom"/>
            <w:shd w:val="clear" w:color="auto" w:fill="CCEEFF"/>
          </w:tcPr>
          <w:p>
            <w:pPr>
              <w:jc w:val="center"/>
              <w:ind w:left="1319"/>
              <w:spacing w:after="0"/>
              <w:rPr>
                <w:sz w:val="20"/>
                <w:szCs w:val="20"/>
                <w:color w:val="auto"/>
              </w:rPr>
            </w:pPr>
            <w:r>
              <w:rPr>
                <w:rFonts w:ascii="Arial" w:cs="Arial" w:eastAsia="Arial" w:hAnsi="Arial"/>
                <w:sz w:val="16"/>
                <w:szCs w:val="16"/>
                <w:color w:val="auto"/>
              </w:rPr>
              <w:t>Delaware</w:t>
            </w: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r>
      <w:tr>
        <w:trPr>
          <w:trHeight w:val="236"/>
        </w:trPr>
        <w:tc>
          <w:tcPr>
            <w:tcW w:w="2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HNS-India VSAT, Inc</w:t>
            </w:r>
          </w:p>
        </w:tc>
        <w:tc>
          <w:tcPr>
            <w:tcW w:w="3220" w:type="dxa"/>
            <w:vAlign w:val="bottom"/>
          </w:tcPr>
          <w:p>
            <w:pPr>
              <w:jc w:val="center"/>
              <w:ind w:left="1319"/>
              <w:spacing w:after="0"/>
              <w:rPr>
                <w:sz w:val="20"/>
                <w:szCs w:val="20"/>
                <w:color w:val="auto"/>
              </w:rPr>
            </w:pPr>
            <w:r>
              <w:rPr>
                <w:rFonts w:ascii="Arial" w:cs="Arial" w:eastAsia="Arial" w:hAnsi="Arial"/>
                <w:sz w:val="16"/>
                <w:szCs w:val="16"/>
                <w:color w:val="auto"/>
              </w:rPr>
              <w:t>Delaware</w:t>
            </w: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236"/>
        </w:trPr>
        <w:tc>
          <w:tcPr>
            <w:tcW w:w="20" w:type="dxa"/>
            <w:vAlign w:val="bottom"/>
          </w:tcPr>
          <w:p>
            <w:pPr>
              <w:spacing w:after="0"/>
              <w:rPr>
                <w:sz w:val="20"/>
                <w:szCs w:val="20"/>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Hughes Network Systems, L.L.C.</w:t>
            </w:r>
          </w:p>
        </w:tc>
        <w:tc>
          <w:tcPr>
            <w:tcW w:w="3220" w:type="dxa"/>
            <w:vAlign w:val="bottom"/>
            <w:shd w:val="clear" w:color="auto" w:fill="CCEEFF"/>
          </w:tcPr>
          <w:p>
            <w:pPr>
              <w:jc w:val="center"/>
              <w:ind w:left="1319"/>
              <w:spacing w:after="0"/>
              <w:rPr>
                <w:sz w:val="20"/>
                <w:szCs w:val="20"/>
                <w:color w:val="auto"/>
              </w:rPr>
            </w:pPr>
            <w:r>
              <w:rPr>
                <w:rFonts w:ascii="Arial" w:cs="Arial" w:eastAsia="Arial" w:hAnsi="Arial"/>
                <w:sz w:val="16"/>
                <w:szCs w:val="16"/>
                <w:color w:val="auto"/>
              </w:rPr>
              <w:t>Delaware</w:t>
            </w: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r>
      <w:tr>
        <w:trPr>
          <w:trHeight w:val="236"/>
        </w:trPr>
        <w:tc>
          <w:tcPr>
            <w:tcW w:w="2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HNS License-Sub L.L.C.</w:t>
            </w:r>
          </w:p>
        </w:tc>
        <w:tc>
          <w:tcPr>
            <w:tcW w:w="3220" w:type="dxa"/>
            <w:vAlign w:val="bottom"/>
          </w:tcPr>
          <w:p>
            <w:pPr>
              <w:jc w:val="center"/>
              <w:ind w:left="1319"/>
              <w:spacing w:after="0"/>
              <w:rPr>
                <w:sz w:val="20"/>
                <w:szCs w:val="20"/>
                <w:color w:val="auto"/>
              </w:rPr>
            </w:pPr>
            <w:r>
              <w:rPr>
                <w:rFonts w:ascii="Arial" w:cs="Arial" w:eastAsia="Arial" w:hAnsi="Arial"/>
                <w:sz w:val="16"/>
                <w:szCs w:val="16"/>
                <w:color w:val="auto"/>
              </w:rPr>
              <w:t>Delaware</w:t>
            </w: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HNS Real Estate L.L.C.</w:t>
            </w:r>
          </w:p>
        </w:tc>
        <w:tc>
          <w:tcPr>
            <w:tcW w:w="3220" w:type="dxa"/>
            <w:vAlign w:val="bottom"/>
            <w:shd w:val="clear" w:color="auto" w:fill="CCEEFF"/>
          </w:tcPr>
          <w:p>
            <w:pPr>
              <w:jc w:val="center"/>
              <w:ind w:left="1319"/>
              <w:spacing w:after="0"/>
              <w:rPr>
                <w:sz w:val="20"/>
                <w:szCs w:val="20"/>
                <w:color w:val="auto"/>
              </w:rPr>
            </w:pPr>
            <w:r>
              <w:rPr>
                <w:rFonts w:ascii="Arial" w:cs="Arial" w:eastAsia="Arial" w:hAnsi="Arial"/>
                <w:sz w:val="15"/>
                <w:szCs w:val="15"/>
                <w:color w:val="auto"/>
                <w:w w:val="97"/>
              </w:rPr>
              <w:t>Delaware</w:t>
            </w:r>
          </w:p>
        </w:tc>
      </w:tr>
      <w:tr>
        <w:trPr>
          <w:trHeight w:val="162"/>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236"/>
        </w:trPr>
        <w:tc>
          <w:tcPr>
            <w:tcW w:w="2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Hughes Communications, Inc.</w:t>
            </w:r>
          </w:p>
        </w:tc>
        <w:tc>
          <w:tcPr>
            <w:tcW w:w="3220" w:type="dxa"/>
            <w:vAlign w:val="bottom"/>
          </w:tcPr>
          <w:p>
            <w:pPr>
              <w:jc w:val="center"/>
              <w:ind w:left="1319"/>
              <w:spacing w:after="0"/>
              <w:rPr>
                <w:sz w:val="20"/>
                <w:szCs w:val="20"/>
                <w:color w:val="auto"/>
              </w:rPr>
            </w:pPr>
            <w:r>
              <w:rPr>
                <w:rFonts w:ascii="Arial" w:cs="Arial" w:eastAsia="Arial" w:hAnsi="Arial"/>
                <w:sz w:val="16"/>
                <w:szCs w:val="16"/>
                <w:color w:val="auto"/>
              </w:rPr>
              <w:t>Delaware</w:t>
            </w: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236"/>
        </w:trPr>
        <w:tc>
          <w:tcPr>
            <w:tcW w:w="20" w:type="dxa"/>
            <w:vAlign w:val="bottom"/>
          </w:tcPr>
          <w:p>
            <w:pPr>
              <w:spacing w:after="0"/>
              <w:rPr>
                <w:sz w:val="20"/>
                <w:szCs w:val="20"/>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Hughes Network Systems International Service, Co.</w:t>
            </w:r>
          </w:p>
        </w:tc>
        <w:tc>
          <w:tcPr>
            <w:tcW w:w="3220" w:type="dxa"/>
            <w:vAlign w:val="bottom"/>
            <w:shd w:val="clear" w:color="auto" w:fill="CCEEFF"/>
          </w:tcPr>
          <w:p>
            <w:pPr>
              <w:jc w:val="center"/>
              <w:ind w:left="1319"/>
              <w:spacing w:after="0"/>
              <w:rPr>
                <w:sz w:val="20"/>
                <w:szCs w:val="20"/>
                <w:color w:val="auto"/>
              </w:rPr>
            </w:pPr>
            <w:r>
              <w:rPr>
                <w:rFonts w:ascii="Arial" w:cs="Arial" w:eastAsia="Arial" w:hAnsi="Arial"/>
                <w:sz w:val="16"/>
                <w:szCs w:val="16"/>
                <w:color w:val="auto"/>
              </w:rPr>
              <w:t>Delaware</w:t>
            </w: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r>
      <w:tr>
        <w:trPr>
          <w:trHeight w:val="236"/>
        </w:trPr>
        <w:tc>
          <w:tcPr>
            <w:tcW w:w="2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HNS Americas, L.L.C.</w:t>
            </w:r>
          </w:p>
        </w:tc>
        <w:tc>
          <w:tcPr>
            <w:tcW w:w="3220" w:type="dxa"/>
            <w:vAlign w:val="bottom"/>
          </w:tcPr>
          <w:p>
            <w:pPr>
              <w:jc w:val="center"/>
              <w:ind w:left="1319"/>
              <w:spacing w:after="0"/>
              <w:rPr>
                <w:sz w:val="20"/>
                <w:szCs w:val="20"/>
                <w:color w:val="auto"/>
              </w:rPr>
            </w:pPr>
            <w:r>
              <w:rPr>
                <w:rFonts w:ascii="Arial" w:cs="Arial" w:eastAsia="Arial" w:hAnsi="Arial"/>
                <w:sz w:val="16"/>
                <w:szCs w:val="16"/>
                <w:color w:val="auto"/>
              </w:rPr>
              <w:t>Delaware</w:t>
            </w: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236"/>
        </w:trPr>
        <w:tc>
          <w:tcPr>
            <w:tcW w:w="20" w:type="dxa"/>
            <w:vAlign w:val="bottom"/>
          </w:tcPr>
          <w:p>
            <w:pPr>
              <w:spacing w:after="0"/>
              <w:rPr>
                <w:sz w:val="20"/>
                <w:szCs w:val="20"/>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HNS Americas II, L.L.C.</w:t>
            </w:r>
          </w:p>
        </w:tc>
        <w:tc>
          <w:tcPr>
            <w:tcW w:w="3220" w:type="dxa"/>
            <w:vAlign w:val="bottom"/>
            <w:shd w:val="clear" w:color="auto" w:fill="CCEEFF"/>
          </w:tcPr>
          <w:p>
            <w:pPr>
              <w:jc w:val="center"/>
              <w:ind w:left="1319"/>
              <w:spacing w:after="0"/>
              <w:rPr>
                <w:sz w:val="20"/>
                <w:szCs w:val="20"/>
                <w:color w:val="auto"/>
              </w:rPr>
            </w:pPr>
            <w:r>
              <w:rPr>
                <w:rFonts w:ascii="Arial" w:cs="Arial" w:eastAsia="Arial" w:hAnsi="Arial"/>
                <w:sz w:val="16"/>
                <w:szCs w:val="16"/>
                <w:color w:val="auto"/>
              </w:rPr>
              <w:t>Delaware</w:t>
            </w: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r>
      <w:tr>
        <w:trPr>
          <w:trHeight w:val="740"/>
        </w:trPr>
        <w:tc>
          <w:tcPr>
            <w:tcW w:w="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8"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31.1</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I, Hamid Akhavan, certify that:</w:t>
      </w:r>
    </w:p>
    <w:p>
      <w:pPr>
        <w:spacing w:after="0" w:line="184" w:lineRule="exact"/>
        <w:rPr>
          <w:sz w:val="20"/>
          <w:szCs w:val="20"/>
          <w:color w:val="auto"/>
        </w:rPr>
      </w:pPr>
    </w:p>
    <w:p>
      <w:pPr>
        <w:ind w:left="300" w:hanging="300"/>
        <w:spacing w:after="0"/>
        <w:tabs>
          <w:tab w:leader="none" w:pos="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Hughes Satellite Systems Corporation;</w:t>
      </w:r>
    </w:p>
    <w:p>
      <w:pPr>
        <w:spacing w:after="0" w:line="183" w:lineRule="exact"/>
        <w:rPr>
          <w:rFonts w:ascii="Arial" w:cs="Arial" w:eastAsia="Arial" w:hAnsi="Arial"/>
          <w:sz w:val="16"/>
          <w:szCs w:val="16"/>
          <w:color w:val="auto"/>
        </w:rPr>
      </w:pPr>
    </w:p>
    <w:p>
      <w:pPr>
        <w:ind w:left="300" w:right="80" w:hanging="300"/>
        <w:spacing w:after="0" w:line="260" w:lineRule="auto"/>
        <w:tabs>
          <w:tab w:leader="none" w:pos="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300" w:right="120" w:hanging="300"/>
        <w:spacing w:after="0" w:line="260" w:lineRule="auto"/>
        <w:tabs>
          <w:tab w:leader="none" w:pos="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300" w:right="40" w:hanging="300"/>
        <w:spacing w:after="0" w:line="260" w:lineRule="auto"/>
        <w:tabs>
          <w:tab w:leader="none" w:pos="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6"/>
          <w:szCs w:val="16"/>
          <w:color w:val="auto"/>
        </w:rPr>
      </w:pPr>
    </w:p>
    <w:p>
      <w:pPr>
        <w:jc w:val="both"/>
        <w:ind w:left="580" w:hanging="286"/>
        <w:spacing w:after="0" w:line="260" w:lineRule="auto"/>
        <w:tabs>
          <w:tab w:leader="none" w:pos="5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580" w:right="300" w:hanging="286"/>
        <w:spacing w:after="0" w:line="260" w:lineRule="auto"/>
        <w:tabs>
          <w:tab w:leader="none" w:pos="5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jc w:val="both"/>
        <w:ind w:left="580" w:right="240" w:hanging="286"/>
        <w:spacing w:after="0" w:line="260" w:lineRule="auto"/>
        <w:tabs>
          <w:tab w:leader="none" w:pos="5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580" w:right="80" w:hanging="286"/>
        <w:spacing w:after="0" w:line="260" w:lineRule="auto"/>
        <w:tabs>
          <w:tab w:leader="none" w:pos="5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300" w:right="140" w:hanging="300"/>
        <w:spacing w:after="0" w:line="260" w:lineRule="auto"/>
        <w:tabs>
          <w:tab w:leader="none" w:pos="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580" w:hanging="286"/>
        <w:spacing w:after="0" w:line="281" w:lineRule="auto"/>
        <w:tabs>
          <w:tab w:leader="none" w:pos="5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6"/>
          <w:szCs w:val="16"/>
          <w:color w:val="auto"/>
        </w:rPr>
      </w:pPr>
    </w:p>
    <w:p>
      <w:pPr>
        <w:ind w:left="580" w:right="180" w:hanging="286"/>
        <w:spacing w:after="0" w:line="281" w:lineRule="auto"/>
        <w:tabs>
          <w:tab w:leader="none" w:pos="5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March 31, 2026</w:t>
      </w: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305879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6">
                      <a:extLst>
                        <a:ext uri="{28A0092B-C50C-407E-A947-70E740481C1C}"/>
                      </a:extLst>
                    </a:blip>
                    <a:srcRect/>
                    <a:stretch>
                      <a:fillRect/>
                    </a:stretch>
                  </pic:blipFill>
                  <pic:spPr bwMode="auto">
                    <a:xfrm>
                      <a:off x="0" y="0"/>
                      <a:ext cx="3058795" cy="762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623570</wp:posOffset>
            </wp:positionV>
            <wp:extent cx="6304280" cy="23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7">
                      <a:extLst>
                        <a:ext uri="{28A0092B-C50C-407E-A947-70E740481C1C}"/>
                      </a:extLst>
                    </a:blip>
                    <a:srcRect/>
                    <a:stretch>
                      <a:fillRect/>
                    </a:stretch>
                  </pic:blipFill>
                  <pic:spPr bwMode="auto">
                    <a:xfrm>
                      <a:off x="0" y="0"/>
                      <a:ext cx="6304280" cy="23495"/>
                    </a:xfrm>
                    <a:prstGeom prst="rect">
                      <a:avLst/>
                    </a:prstGeom>
                    <a:noFill/>
                  </pic:spPr>
                </pic:pic>
              </a:graphicData>
            </a:graphic>
          </wp:anchor>
        </w:drawing>
      </w:r>
    </w:p>
    <w:p>
      <w:pPr>
        <w:sectPr>
          <w:pgSz w:w="11900" w:h="16838" w:orient="portrait"/>
          <w:cols w:equalWidth="0" w:num="1">
            <w:col w:w="9920"/>
          </w:cols>
          <w:pgMar w:left="980" w:top="380" w:right="9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b w:val="1"/>
          <w:bCs w:val="1"/>
          <w:color w:val="auto"/>
        </w:rPr>
        <w:t>EXHIBIT 31.2</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I, Paul W. Orban, certify that:</w:t>
      </w:r>
    </w:p>
    <w:p>
      <w:pPr>
        <w:spacing w:after="0" w:line="257" w:lineRule="exact"/>
        <w:rPr>
          <w:sz w:val="20"/>
          <w:szCs w:val="20"/>
          <w:color w:val="auto"/>
        </w:rPr>
      </w:pPr>
    </w:p>
    <w:p>
      <w:pPr>
        <w:ind w:left="300" w:hanging="300"/>
        <w:spacing w:after="0"/>
        <w:tabs>
          <w:tab w:leader="none" w:pos="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Hughes Satellite Systems Corporation;</w:t>
      </w:r>
    </w:p>
    <w:p>
      <w:pPr>
        <w:spacing w:after="0" w:line="183" w:lineRule="exact"/>
        <w:rPr>
          <w:rFonts w:ascii="Arial" w:cs="Arial" w:eastAsia="Arial" w:hAnsi="Arial"/>
          <w:sz w:val="16"/>
          <w:szCs w:val="16"/>
          <w:color w:val="auto"/>
        </w:rPr>
      </w:pPr>
    </w:p>
    <w:p>
      <w:pPr>
        <w:ind w:left="300" w:right="80" w:hanging="300"/>
        <w:spacing w:after="0" w:line="260" w:lineRule="auto"/>
        <w:tabs>
          <w:tab w:leader="none" w:pos="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300" w:right="120" w:hanging="300"/>
        <w:spacing w:after="0" w:line="260" w:lineRule="auto"/>
        <w:tabs>
          <w:tab w:leader="none" w:pos="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300" w:right="40" w:hanging="300"/>
        <w:spacing w:after="0" w:line="260" w:lineRule="auto"/>
        <w:tabs>
          <w:tab w:leader="none" w:pos="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jc w:val="both"/>
        <w:ind w:left="580" w:hanging="286"/>
        <w:spacing w:after="0" w:line="260" w:lineRule="auto"/>
        <w:tabs>
          <w:tab w:leader="none" w:pos="5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580" w:right="300" w:hanging="286"/>
        <w:spacing w:after="0" w:line="260" w:lineRule="auto"/>
        <w:tabs>
          <w:tab w:leader="none" w:pos="5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jc w:val="both"/>
        <w:ind w:left="580" w:right="240" w:hanging="286"/>
        <w:spacing w:after="0" w:line="260" w:lineRule="auto"/>
        <w:tabs>
          <w:tab w:leader="none" w:pos="5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580" w:right="80" w:hanging="286"/>
        <w:spacing w:after="0" w:line="260" w:lineRule="auto"/>
        <w:tabs>
          <w:tab w:leader="none" w:pos="5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300" w:right="140" w:hanging="300"/>
        <w:spacing w:after="0" w:line="260" w:lineRule="auto"/>
        <w:tabs>
          <w:tab w:leader="none" w:pos="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580" w:hanging="286"/>
        <w:spacing w:after="0" w:line="281" w:lineRule="auto"/>
        <w:tabs>
          <w:tab w:leader="none" w:pos="5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6"/>
          <w:szCs w:val="16"/>
          <w:color w:val="auto"/>
        </w:rPr>
      </w:pPr>
    </w:p>
    <w:p>
      <w:pPr>
        <w:ind w:left="580" w:right="180" w:hanging="286"/>
        <w:spacing w:after="0" w:line="281" w:lineRule="auto"/>
        <w:tabs>
          <w:tab w:leader="none" w:pos="5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Date: March 31, 2026</w:t>
      </w: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305879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8">
                      <a:extLst>
                        <a:ext uri="{28A0092B-C50C-407E-A947-70E740481C1C}"/>
                      </a:extLst>
                    </a:blip>
                    <a:srcRect/>
                    <a:stretch>
                      <a:fillRect/>
                    </a:stretch>
                  </pic:blipFill>
                  <pic:spPr bwMode="auto">
                    <a:xfrm>
                      <a:off x="0" y="0"/>
                      <a:ext cx="3058795" cy="762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625475</wp:posOffset>
            </wp:positionV>
            <wp:extent cx="630428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9">
                      <a:extLst>
                        <a:ext uri="{28A0092B-C50C-407E-A947-70E740481C1C}"/>
                      </a:extLst>
                    </a:blip>
                    <a:srcRect/>
                    <a:stretch>
                      <a:fillRect/>
                    </a:stretch>
                  </pic:blipFill>
                  <pic:spPr bwMode="auto">
                    <a:xfrm>
                      <a:off x="0" y="0"/>
                      <a:ext cx="6304280" cy="15875"/>
                    </a:xfrm>
                    <a:prstGeom prst="rect">
                      <a:avLst/>
                    </a:prstGeom>
                    <a:noFill/>
                  </pic:spPr>
                </pic:pic>
              </a:graphicData>
            </a:graphic>
          </wp:anchor>
        </w:drawing>
      </w:r>
    </w:p>
    <w:p>
      <w:pPr>
        <w:sectPr>
          <w:pgSz w:w="11900" w:h="16838" w:orient="portrait"/>
          <w:cols w:equalWidth="0" w:num="1">
            <w:col w:w="9920"/>
          </w:cols>
          <w:pgMar w:left="980" w:top="380" w:right="9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b w:val="1"/>
          <w:bCs w:val="1"/>
          <w:color w:val="auto"/>
        </w:rPr>
        <w:t>EXHIBIT 32.1</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Certification</w:t>
      </w:r>
    </w:p>
    <w:p>
      <w:pPr>
        <w:spacing w:after="0" w:line="2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Pursuant to 18 U.S.C. § 1350, the undersigned officer of Hughes Satellite Systems Corporation (the “Company”) hereby certifies that to the best of his knowledge the Company’s Annual Report on Form 10-K for the year ended December 31,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15" w:lineRule="exact"/>
        <w:rPr>
          <w:sz w:val="20"/>
          <w:szCs w:val="20"/>
          <w:color w:val="auto"/>
        </w:rPr>
      </w:pPr>
    </w:p>
    <w:p>
      <w:pPr>
        <w:ind w:left="5100"/>
        <w:spacing w:after="0"/>
        <w:tabs>
          <w:tab w:leader="none" w:pos="5780" w:val="left"/>
        </w:tabs>
        <w:rPr>
          <w:sz w:val="20"/>
          <w:szCs w:val="20"/>
          <w:color w:val="auto"/>
        </w:rPr>
      </w:pPr>
      <w:r>
        <w:rPr>
          <w:rFonts w:ascii="Arial" w:cs="Arial" w:eastAsia="Arial" w:hAnsi="Arial"/>
          <w:sz w:val="16"/>
          <w:szCs w:val="16"/>
          <w:color w:val="auto"/>
        </w:rPr>
        <w:t>Dated:</w:t>
        <w:tab/>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29845</wp:posOffset>
            </wp:positionV>
            <wp:extent cx="214058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0">
                      <a:extLst>
                        <a:ext uri="{28A0092B-C50C-407E-A947-70E740481C1C}"/>
                      </a:extLst>
                    </a:blip>
                    <a:srcRect/>
                    <a:stretch>
                      <a:fillRect/>
                    </a:stretch>
                  </pic:blipFill>
                  <pic:spPr bwMode="auto">
                    <a:xfrm>
                      <a:off x="0" y="0"/>
                      <a:ext cx="2140585" cy="7620"/>
                    </a:xfrm>
                    <a:prstGeom prst="rect">
                      <a:avLst/>
                    </a:prstGeom>
                    <a:noFill/>
                  </pic:spPr>
                </pic:pic>
              </a:graphicData>
            </a:graphic>
          </wp:anchor>
        </w:drawing>
      </w:r>
    </w:p>
    <w:p>
      <w:pPr>
        <w:spacing w:after="0" w:line="294" w:lineRule="exact"/>
        <w:rPr>
          <w:sz w:val="20"/>
          <w:szCs w:val="20"/>
          <w:color w:val="auto"/>
        </w:rPr>
      </w:pPr>
    </w:p>
    <w:p>
      <w:pPr>
        <w:ind w:left="5100"/>
        <w:spacing w:after="0"/>
        <w:tabs>
          <w:tab w:leader="none" w:pos="5780" w:val="left"/>
        </w:tabs>
        <w:rPr>
          <w:sz w:val="20"/>
          <w:szCs w:val="20"/>
          <w:color w:val="auto"/>
        </w:rPr>
      </w:pPr>
      <w:r>
        <w:rPr>
          <w:rFonts w:ascii="Arial" w:cs="Arial" w:eastAsia="Arial" w:hAnsi="Arial"/>
          <w:sz w:val="16"/>
          <w:szCs w:val="16"/>
          <w:color w:val="auto"/>
        </w:rPr>
        <w:t>Name:</w:t>
      </w:r>
      <w:r>
        <w:rPr>
          <w:sz w:val="20"/>
          <w:szCs w:val="20"/>
          <w:color w:val="auto"/>
        </w:rPr>
        <w:tab/>
      </w:r>
      <w:r>
        <w:rPr>
          <w:rFonts w:ascii="Times New Roman" w:cs="Times New Roman" w:eastAsia="Times New Roman" w:hAnsi="Times New Roman"/>
          <w:sz w:val="20"/>
          <w:szCs w:val="20"/>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3810</wp:posOffset>
            </wp:positionV>
            <wp:extent cx="214058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1">
                      <a:extLst>
                        <a:ext uri="{28A0092B-C50C-407E-A947-70E740481C1C}"/>
                      </a:extLst>
                    </a:blip>
                    <a:srcRect/>
                    <a:stretch>
                      <a:fillRect/>
                    </a:stretch>
                  </pic:blipFill>
                  <pic:spPr bwMode="auto">
                    <a:xfrm>
                      <a:off x="0" y="0"/>
                      <a:ext cx="2140585" cy="7620"/>
                    </a:xfrm>
                    <a:prstGeom prst="rect">
                      <a:avLst/>
                    </a:prstGeom>
                    <a:noFill/>
                  </pic:spPr>
                </pic:pic>
              </a:graphicData>
            </a:graphic>
          </wp:anchor>
        </w:drawing>
      </w:r>
    </w:p>
    <w:p>
      <w:pPr>
        <w:spacing w:after="0" w:line="275" w:lineRule="exact"/>
        <w:rPr>
          <w:sz w:val="20"/>
          <w:szCs w:val="20"/>
          <w:color w:val="auto"/>
        </w:rPr>
      </w:pPr>
    </w:p>
    <w:p>
      <w:pPr>
        <w:ind w:left="5100"/>
        <w:spacing w:after="0"/>
        <w:tabs>
          <w:tab w:leader="none" w:pos="57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90" w:lineRule="exact"/>
        <w:rPr>
          <w:sz w:val="20"/>
          <w:szCs w:val="20"/>
          <w:color w:val="auto"/>
        </w:rPr>
      </w:pPr>
    </w:p>
    <w:p>
      <w:pPr>
        <w:jc w:val="both"/>
        <w:spacing w:after="0" w:line="345" w:lineRule="auto"/>
        <w:rPr>
          <w:sz w:val="20"/>
          <w:szCs w:val="20"/>
          <w:color w:val="auto"/>
        </w:rPr>
      </w:pPr>
      <w:r>
        <w:rPr>
          <w:rFonts w:ascii="Arial" w:cs="Arial" w:eastAsia="Arial" w:hAnsi="Arial"/>
          <w:sz w:val="16"/>
          <w:szCs w:val="16"/>
          <w:color w:val="auto"/>
        </w:rPr>
        <w:t>The foregoing certification is being furnished solely pursuant to 18 U.S.C. § 1350 and is not being filed as part of the Report or as a separate disclosure document.</w:t>
      </w:r>
    </w:p>
    <w:p>
      <w:pPr>
        <w:spacing w:after="0" w:line="170"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428625</wp:posOffset>
            </wp:positionV>
            <wp:extent cx="5993130" cy="23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2">
                      <a:extLst>
                        <a:ext uri="{28A0092B-C50C-407E-A947-70E740481C1C}"/>
                      </a:extLst>
                    </a:blip>
                    <a:srcRect/>
                    <a:stretch>
                      <a:fillRect/>
                    </a:stretch>
                  </pic:blipFill>
                  <pic:spPr bwMode="auto">
                    <a:xfrm>
                      <a:off x="0" y="0"/>
                      <a:ext cx="5993130" cy="23495"/>
                    </a:xfrm>
                    <a:prstGeom prst="rect">
                      <a:avLst/>
                    </a:prstGeom>
                    <a:noFill/>
                  </pic:spPr>
                </pic:pic>
              </a:graphicData>
            </a:graphic>
          </wp:anchor>
        </w:drawing>
      </w:r>
    </w:p>
    <w:p>
      <w:pPr>
        <w:sectPr>
          <w:pgSz w:w="11900" w:h="16838" w:orient="portrait"/>
          <w:cols w:equalWidth="0" w:num="1">
            <w:col w:w="9440"/>
          </w:cols>
          <w:pgMar w:left="1220" w:top="380" w:right="1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6"/>
          <w:szCs w:val="16"/>
          <w:b w:val="1"/>
          <w:bCs w:val="1"/>
          <w:color w:val="auto"/>
        </w:rPr>
        <w:t>EXHIBIT 32.2</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Certification</w:t>
      </w:r>
    </w:p>
    <w:p>
      <w:pPr>
        <w:spacing w:after="0" w:line="2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Pursuant to 18 U.S.C. § 1350, the undersigned officer of Hughes Satellite Systems Corporation (the “Company”) hereby certifies that to the best of his knowledge the Company’s Annual Report on Form 10-K for the year ended December 31,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5200"/>
        <w:spacing w:after="0"/>
        <w:tabs>
          <w:tab w:leader="none" w:pos="5800" w:val="left"/>
        </w:tabs>
        <w:rPr>
          <w:sz w:val="20"/>
          <w:szCs w:val="20"/>
          <w:color w:val="auto"/>
        </w:rPr>
      </w:pPr>
      <w:r>
        <w:rPr>
          <w:rFonts w:ascii="Arial" w:cs="Arial" w:eastAsia="Arial" w:hAnsi="Arial"/>
          <w:sz w:val="16"/>
          <w:szCs w:val="16"/>
          <w:color w:val="auto"/>
        </w:rPr>
        <w:t>Dated:</w:t>
        <w:tab/>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3669030</wp:posOffset>
            </wp:positionH>
            <wp:positionV relativeFrom="paragraph">
              <wp:posOffset>26035</wp:posOffset>
            </wp:positionV>
            <wp:extent cx="209359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3">
                      <a:extLst>
                        <a:ext uri="{28A0092B-C50C-407E-A947-70E740481C1C}"/>
                      </a:extLst>
                    </a:blip>
                    <a:srcRect/>
                    <a:stretch>
                      <a:fillRect/>
                    </a:stretch>
                  </pic:blipFill>
                  <pic:spPr bwMode="auto">
                    <a:xfrm>
                      <a:off x="0" y="0"/>
                      <a:ext cx="2093595" cy="7620"/>
                    </a:xfrm>
                    <a:prstGeom prst="rect">
                      <a:avLst/>
                    </a:prstGeom>
                    <a:noFill/>
                  </pic:spPr>
                </pic:pic>
              </a:graphicData>
            </a:graphic>
          </wp:anchor>
        </w:drawing>
      </w:r>
    </w:p>
    <w:p>
      <w:pPr>
        <w:spacing w:after="0" w:line="288" w:lineRule="exact"/>
        <w:rPr>
          <w:sz w:val="20"/>
          <w:szCs w:val="20"/>
          <w:color w:val="auto"/>
        </w:rPr>
      </w:pPr>
    </w:p>
    <w:p>
      <w:pPr>
        <w:ind w:left="5200"/>
        <w:spacing w:after="0"/>
        <w:tabs>
          <w:tab w:leader="none" w:pos="5800" w:val="left"/>
        </w:tabs>
        <w:rPr>
          <w:sz w:val="20"/>
          <w:szCs w:val="20"/>
          <w:color w:val="auto"/>
        </w:rPr>
      </w:pPr>
      <w:r>
        <w:rPr>
          <w:rFonts w:ascii="Arial" w:cs="Arial" w:eastAsia="Arial" w:hAnsi="Arial"/>
          <w:sz w:val="16"/>
          <w:szCs w:val="16"/>
          <w:color w:val="auto"/>
        </w:rPr>
        <w:t>Name:</w:t>
      </w:r>
      <w:r>
        <w:rPr>
          <w:sz w:val="20"/>
          <w:szCs w:val="20"/>
          <w:color w:val="auto"/>
        </w:rPr>
        <w:tab/>
      </w:r>
      <w:r>
        <w:rPr>
          <w:rFonts w:ascii="Times New Roman" w:cs="Times New Roman" w:eastAsia="Times New Roman" w:hAnsi="Times New Roman"/>
          <w:sz w:val="19"/>
          <w:szCs w:val="19"/>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3669030</wp:posOffset>
            </wp:positionH>
            <wp:positionV relativeFrom="paragraph">
              <wp:posOffset>10795</wp:posOffset>
            </wp:positionV>
            <wp:extent cx="209359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4">
                      <a:extLst>
                        <a:ext uri="{28A0092B-C50C-407E-A947-70E740481C1C}"/>
                      </a:extLst>
                    </a:blip>
                    <a:srcRect/>
                    <a:stretch>
                      <a:fillRect/>
                    </a:stretch>
                  </pic:blipFill>
                  <pic:spPr bwMode="auto">
                    <a:xfrm>
                      <a:off x="0" y="0"/>
                      <a:ext cx="2093595" cy="7620"/>
                    </a:xfrm>
                    <a:prstGeom prst="rect">
                      <a:avLst/>
                    </a:prstGeom>
                    <a:noFill/>
                  </pic:spPr>
                </pic:pic>
              </a:graphicData>
            </a:graphic>
          </wp:anchor>
        </w:drawing>
      </w:r>
    </w:p>
    <w:p>
      <w:pPr>
        <w:spacing w:after="0" w:line="287" w:lineRule="exact"/>
        <w:rPr>
          <w:sz w:val="20"/>
          <w:szCs w:val="20"/>
          <w:color w:val="auto"/>
        </w:rPr>
      </w:pPr>
    </w:p>
    <w:p>
      <w:pPr>
        <w:ind w:left="5200"/>
        <w:spacing w:after="0"/>
        <w:tabs>
          <w:tab w:leader="none" w:pos="58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90" w:lineRule="exact"/>
        <w:rPr>
          <w:sz w:val="20"/>
          <w:szCs w:val="20"/>
          <w:color w:val="auto"/>
        </w:rPr>
      </w:pPr>
    </w:p>
    <w:p>
      <w:pPr>
        <w:jc w:val="both"/>
        <w:spacing w:after="0" w:line="345" w:lineRule="auto"/>
        <w:rPr>
          <w:sz w:val="20"/>
          <w:szCs w:val="20"/>
          <w:color w:val="auto"/>
        </w:rPr>
      </w:pPr>
      <w:r>
        <w:rPr>
          <w:rFonts w:ascii="Arial" w:cs="Arial" w:eastAsia="Arial" w:hAnsi="Arial"/>
          <w:sz w:val="16"/>
          <w:szCs w:val="16"/>
          <w:color w:val="auto"/>
        </w:rPr>
        <w:t>The foregoing certification is being furnished solely pursuant to 18 U.S.C. § 1350 and is not being filed as part of the Report or as a separate disclosure document.</w:t>
      </w:r>
    </w:p>
    <w:p>
      <w:pPr>
        <w:spacing w:after="0" w:line="170"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428625</wp:posOffset>
            </wp:positionV>
            <wp:extent cx="5993130" cy="23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5993130" cy="23495"/>
                    </a:xfrm>
                    <a:prstGeom prst="rect">
                      <a:avLst/>
                    </a:prstGeom>
                    <a:noFill/>
                  </pic:spPr>
                </pic:pic>
              </a:graphicData>
            </a:graphic>
          </wp:anchor>
        </w:drawing>
      </w:r>
    </w:p>
    <w:sectPr>
      <w:pgSz w:w="11900" w:h="16838" w:orient="portrait"/>
      <w:cols w:equalWidth="0" w:num="1">
        <w:col w:w="9440"/>
      </w:cols>
      <w:pgMar w:left="1220" w:top="38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lowerRoman"/>
      <w:start w:val="2"/>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lowerRoman"/>
      <w:start w:val="3"/>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1)"/>
      <w:numFmt w:val="lowerRoman"/>
      <w:start w:val="2"/>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1)"/>
      <w:numFmt w:val="lowerRoman"/>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upperLetter"/>
      <w:start w:val="1"/>
    </w:lvl>
    <w:lvl w:ilvl="1">
      <w:lvlJc w:val="left"/>
      <w:lvlText w:val="%2"/>
      <w:numFmt w:val="decimal"/>
      <w:start w:val="104"/>
    </w:lvl>
  </w:abstractNum>
  <w:abstractNum w:abstractNumId="31">
    <w:nsid w:val="520EEDD1"/>
    <w:multiLevelType w:val="hybridMultilevel"/>
    <w:lvl w:ilvl="0">
      <w:lvlJc w:val="left"/>
      <w:lvlText w:val="(%1)"/>
      <w:numFmt w:val="upperLetter"/>
      <w:start w:val="8"/>
    </w:lvl>
    <w:lvl w:ilvl="1">
      <w:lvlJc w:val="left"/>
      <w:lvlText w:val="%2"/>
      <w:numFmt w:val="decimal"/>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2"/>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endash "/>
      <w:numFmt w:val="bullet"/>
      <w:start w:val="1"/>
    </w:lvl>
  </w:abstractNum>
  <w:abstractNum w:abstractNumId="41">
    <w:nsid w:val="47398C89"/>
    <w:multiLevelType w:val="hybridMultilevel"/>
    <w:lvl w:ilvl="0">
      <w:lvlJc w:val="left"/>
      <w:lvlText w:val="%1."/>
      <w:numFmt w:val="decimal"/>
      <w:start w:val="3"/>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4"/>
    </w:lvl>
  </w:abstractNum>
  <w:abstractNum w:abstractNumId="44">
    <w:nsid w:val="741226BB"/>
    <w:multiLevelType w:val="hybridMultilevel"/>
    <w:lvl w:ilvl="0">
      <w:lvlJc w:val="left"/>
      <w:lvlText w:val="%1."/>
      <w:numFmt w:val="decimal"/>
      <w:start w:val="5"/>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6"/>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8"/>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9"/>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1."/>
      <w:numFmt w:val="decimal"/>
      <w:start w:val="10"/>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11"/>
    </w:lvl>
  </w:abstractNum>
  <w:abstractNum w:abstractNumId="65">
    <w:nsid w:val="98A3148"/>
    <w:multiLevelType w:val="hybridMultilevel"/>
    <w:lvl w:ilvl="0">
      <w:lvlJc w:val="left"/>
      <w:lvlText w:val="%1."/>
      <w:numFmt w:val="decimal"/>
      <w:start w:val="12"/>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lowerRoman"/>
      <w:start w:val="2"/>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13"/>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5"/>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114" Type="http://schemas.openxmlformats.org/officeDocument/2006/relationships/image" Target="media/image58.png"/><Relationship Id="rId115" Type="http://schemas.openxmlformats.org/officeDocument/2006/relationships/image" Target="media/image59.png"/><Relationship Id="rId116" Type="http://schemas.openxmlformats.org/officeDocument/2006/relationships/image" Target="media/image60.png"/><Relationship Id="rId117" Type="http://schemas.openxmlformats.org/officeDocument/2006/relationships/image" Target="media/image61.png"/><Relationship Id="rId118" Type="http://schemas.openxmlformats.org/officeDocument/2006/relationships/image" Target="media/image62.png"/><Relationship Id="rId119" Type="http://schemas.openxmlformats.org/officeDocument/2006/relationships/image" Target="media/image63.png"/><Relationship Id="rId120" Type="http://schemas.openxmlformats.org/officeDocument/2006/relationships/image" Target="media/image64.png"/><Relationship Id="rId121" Type="http://schemas.openxmlformats.org/officeDocument/2006/relationships/image" Target="media/image65.png"/><Relationship Id="rId122" Type="http://schemas.openxmlformats.org/officeDocument/2006/relationships/image" Target="media/image66.png"/><Relationship Id="rId123" Type="http://schemas.openxmlformats.org/officeDocument/2006/relationships/image" Target="media/image67.png"/><Relationship Id="rId124" Type="http://schemas.openxmlformats.org/officeDocument/2006/relationships/image" Target="media/image68.png"/><Relationship Id="rId125" Type="http://schemas.openxmlformats.org/officeDocument/2006/relationships/image" Target="media/image69.png"/><Relationship Id="rId126" Type="http://schemas.openxmlformats.org/officeDocument/2006/relationships/image" Target="media/image70.png"/><Relationship Id="rId127" Type="http://schemas.openxmlformats.org/officeDocument/2006/relationships/image" Target="media/image71.png"/><Relationship Id="rId128" Type="http://schemas.openxmlformats.org/officeDocument/2006/relationships/image" Target="media/image72.png"/><Relationship Id="rId129" Type="http://schemas.openxmlformats.org/officeDocument/2006/relationships/image" Target="media/image73.png"/><Relationship Id="rId130" Type="http://schemas.openxmlformats.org/officeDocument/2006/relationships/image" Target="media/image74.png"/><Relationship Id="rId131" Type="http://schemas.openxmlformats.org/officeDocument/2006/relationships/image" Target="media/image75.png"/><Relationship Id="rId132" Type="http://schemas.openxmlformats.org/officeDocument/2006/relationships/image" Target="media/image76.png"/><Relationship Id="rId133" Type="http://schemas.openxmlformats.org/officeDocument/2006/relationships/image" Target="media/image77.png"/><Relationship Id="rId134" Type="http://schemas.openxmlformats.org/officeDocument/2006/relationships/image" Target="media/image78.png"/><Relationship Id="rId135" Type="http://schemas.openxmlformats.org/officeDocument/2006/relationships/image" Target="media/image79.png"/><Relationship Id="rId136" Type="http://schemas.openxmlformats.org/officeDocument/2006/relationships/image" Target="media/image80.png"/><Relationship Id="rId137" Type="http://schemas.openxmlformats.org/officeDocument/2006/relationships/image" Target="media/image81.png"/><Relationship Id="rId138" Type="http://schemas.openxmlformats.org/officeDocument/2006/relationships/image" Target="media/image82.png"/><Relationship Id="rId139" Type="http://schemas.openxmlformats.org/officeDocument/2006/relationships/image" Target="media/image83.png"/><Relationship Id="rId140" Type="http://schemas.openxmlformats.org/officeDocument/2006/relationships/image" Target="media/image84.png"/><Relationship Id="rId141" Type="http://schemas.openxmlformats.org/officeDocument/2006/relationships/image" Target="media/image85.png"/><Relationship Id="rId142" Type="http://schemas.openxmlformats.org/officeDocument/2006/relationships/image" Target="media/image86.png"/><Relationship Id="rId143" Type="http://schemas.openxmlformats.org/officeDocument/2006/relationships/image" Target="media/image87.png"/><Relationship Id="rId144" Type="http://schemas.openxmlformats.org/officeDocument/2006/relationships/image" Target="media/image88.png"/><Relationship Id="rId145" Type="http://schemas.openxmlformats.org/officeDocument/2006/relationships/image" Target="media/image89.png"/><Relationship Id="rId146" Type="http://schemas.openxmlformats.org/officeDocument/2006/relationships/image" Target="media/image90.png"/><Relationship Id="rId147" Type="http://schemas.openxmlformats.org/officeDocument/2006/relationships/image" Target="media/image91.png"/><Relationship Id="rId148" Type="http://schemas.openxmlformats.org/officeDocument/2006/relationships/image" Target="media/image92.png"/><Relationship Id="rId149" Type="http://schemas.openxmlformats.org/officeDocument/2006/relationships/image" Target="media/image93.png"/><Relationship Id="rId150" Type="http://schemas.openxmlformats.org/officeDocument/2006/relationships/image" Target="media/image94.png"/><Relationship Id="rId151" Type="http://schemas.openxmlformats.org/officeDocument/2006/relationships/image" Target="media/image95.png"/><Relationship Id="rId152" Type="http://schemas.openxmlformats.org/officeDocument/2006/relationships/image" Target="media/image96.png"/><Relationship Id="rId153" Type="http://schemas.openxmlformats.org/officeDocument/2006/relationships/image" Target="media/image97.png"/><Relationship Id="rId154" Type="http://schemas.openxmlformats.org/officeDocument/2006/relationships/image" Target="media/image98.png"/><Relationship Id="rId155" Type="http://schemas.openxmlformats.org/officeDocument/2006/relationships/image" Target="media/image99.png"/><Relationship Id="rId156" Type="http://schemas.openxmlformats.org/officeDocument/2006/relationships/image" Target="media/image100.png"/><Relationship Id="rId157" Type="http://schemas.openxmlformats.org/officeDocument/2006/relationships/image" Target="media/image101.png"/><Relationship Id="rId158" Type="http://schemas.openxmlformats.org/officeDocument/2006/relationships/image" Target="media/image102.png"/><Relationship Id="rId159" Type="http://schemas.openxmlformats.org/officeDocument/2006/relationships/image" Target="media/image103.png"/><Relationship Id="rId160" Type="http://schemas.openxmlformats.org/officeDocument/2006/relationships/image" Target="media/image104.png"/><Relationship Id="rId161" Type="http://schemas.openxmlformats.org/officeDocument/2006/relationships/image" Target="media/image105.png"/><Relationship Id="rId162" Type="http://schemas.openxmlformats.org/officeDocument/2006/relationships/image" Target="media/image106.png"/><Relationship Id="rId163" Type="http://schemas.openxmlformats.org/officeDocument/2006/relationships/image" Target="media/image107.png"/><Relationship Id="rId164" Type="http://schemas.openxmlformats.org/officeDocument/2006/relationships/image" Target="media/image108.png"/><Relationship Id="rId165" Type="http://schemas.openxmlformats.org/officeDocument/2006/relationships/image" Target="media/image109.png"/><Relationship Id="rId166" Type="http://schemas.openxmlformats.org/officeDocument/2006/relationships/image" Target="media/image110.png"/><Relationship Id="rId167" Type="http://schemas.openxmlformats.org/officeDocument/2006/relationships/image" Target="media/image111.png"/><Relationship Id="rId168" Type="http://schemas.openxmlformats.org/officeDocument/2006/relationships/image" Target="media/image112.png"/><Relationship Id="rId169" Type="http://schemas.openxmlformats.org/officeDocument/2006/relationships/image" Target="media/image113.png"/><Relationship Id="rId170" Type="http://schemas.openxmlformats.org/officeDocument/2006/relationships/image" Target="media/image114.png"/><Relationship Id="rId171" Type="http://schemas.openxmlformats.org/officeDocument/2006/relationships/image" Target="media/image115.png"/><Relationship Id="rId172" Type="http://schemas.openxmlformats.org/officeDocument/2006/relationships/image" Target="media/image116.png"/><Relationship Id="rId173" Type="http://schemas.openxmlformats.org/officeDocument/2006/relationships/image" Target="media/image117.png"/><Relationship Id="rId174" Type="http://schemas.openxmlformats.org/officeDocument/2006/relationships/image" Target="media/image118.png"/><Relationship Id="rId175" Type="http://schemas.openxmlformats.org/officeDocument/2006/relationships/image" Target="media/image119.png"/><Relationship Id="rId176" Type="http://schemas.openxmlformats.org/officeDocument/2006/relationships/image" Target="media/image120.png"/><Relationship Id="rId177" Type="http://schemas.openxmlformats.org/officeDocument/2006/relationships/image" Target="media/image121.png"/><Relationship Id="rId178" Type="http://schemas.openxmlformats.org/officeDocument/2006/relationships/image" Target="media/image122.png"/><Relationship Id="rId179" Type="http://schemas.openxmlformats.org/officeDocument/2006/relationships/image" Target="media/image123.png"/><Relationship Id="rId180" Type="http://schemas.openxmlformats.org/officeDocument/2006/relationships/image" Target="media/image124.png"/><Relationship Id="rId181" Type="http://schemas.openxmlformats.org/officeDocument/2006/relationships/image" Target="media/image125.png"/><Relationship Id="rId182" Type="http://schemas.openxmlformats.org/officeDocument/2006/relationships/image" Target="media/image126.png"/><Relationship Id="rId183" Type="http://schemas.openxmlformats.org/officeDocument/2006/relationships/image" Target="media/image127.png"/><Relationship Id="rId184" Type="http://schemas.openxmlformats.org/officeDocument/2006/relationships/image" Target="media/image128.png"/><Relationship Id="rId185" Type="http://schemas.openxmlformats.org/officeDocument/2006/relationships/image" Target="media/image129.png"/><Relationship Id="rId65" Type="http://schemas.openxmlformats.org/officeDocument/2006/relationships/hyperlink" Target="https://www.sec.gov/Archives/edgar/data/1415404/000110465923106152/tm2326297d1_ex2-1.htm" TargetMode="External"/><Relationship Id="rId66" Type="http://schemas.openxmlformats.org/officeDocument/2006/relationships/hyperlink" Target="https://www.sec.gov/Archives/edgar/data/1345840/000110465912003165/a12-2227_1ex3d1a.htm" TargetMode="External"/><Relationship Id="rId67" Type="http://schemas.openxmlformats.org/officeDocument/2006/relationships/hyperlink" Target="https://www.sec.gov/Archives/edgar/data/1345840/000110465912003165/a12-2227_1ex3d1b.htm" TargetMode="External"/><Relationship Id="rId68" Type="http://schemas.openxmlformats.org/officeDocument/2006/relationships/hyperlink" Target="https://www.sec.gov/Archives/edgar/data/1533758/000104746914001114/a2218342zex-3_1c.htm" TargetMode="External"/><Relationship Id="rId69" Type="http://schemas.openxmlformats.org/officeDocument/2006/relationships/hyperlink" Target="https://www.sec.gov/Archives/edgar/data/1533758/000104746914001114/a2218342zex-3_1d.htm" TargetMode="External"/><Relationship Id="rId70" Type="http://schemas.openxmlformats.org/officeDocument/2006/relationships/hyperlink" Target="https://www.sec.gov/Archives/edgar/data/1533758/000110465914036643/a14-9519_1ex3d1a.htm" TargetMode="External"/><Relationship Id="rId71" Type="http://schemas.openxmlformats.org/officeDocument/2006/relationships/hyperlink" Target="https://www.sec.gov/Archives/edgar/data/1415404/000141540417000016/ex32carticlesofamendment.htm" TargetMode="External"/><Relationship Id="rId72" Type="http://schemas.openxmlformats.org/officeDocument/2006/relationships/hyperlink" Target="https://www.sec.gov/Archives/edgar/data/1345840/000110465912003165/a12-2227_1ex3d2.htm" TargetMode="External"/><Relationship Id="rId73" Type="http://schemas.openxmlformats.org/officeDocument/2006/relationships/hyperlink" Target="https://www.sec.gov/Archives/edgar/data/1415404/000110465911033872/a11-14479_1ex4d1.htm" TargetMode="External"/><Relationship Id="rId74" Type="http://schemas.openxmlformats.org/officeDocument/2006/relationships/hyperlink" Target="https://www.sec.gov/Archives/edgar/data/1415404/000110465916134602/a16-15573_1ex4d1.htm" TargetMode="External"/><Relationship Id="rId75" Type="http://schemas.openxmlformats.org/officeDocument/2006/relationships/hyperlink" Target="https://www.sec.gov/Archives/edgar/data/1415404/000110465916134602/a16-15573_1ex4d2.htm" TargetMode="External"/><Relationship Id="rId76" Type="http://schemas.openxmlformats.org/officeDocument/2006/relationships/hyperlink" Target="https://www.sec.gov/Archives/edgar/data/1415404/000110465916134602/a16-15573_1ex4d4.htm" TargetMode="External"/><Relationship Id="rId77" Type="http://schemas.openxmlformats.org/officeDocument/2006/relationships/hyperlink" Target="https://www.sec.gov/Archives/edgar/data/1345840/000153375817000023/hssc_2017exchexhibit4d19.htm" TargetMode="External"/><Relationship Id="rId78" Type="http://schemas.openxmlformats.org/officeDocument/2006/relationships/hyperlink" Target="https://www.sec.gov/Archives/edgar/data/1345840/000153375817000023/hssc_2017exchexhibitx4d20.htm" TargetMode="External"/><Relationship Id="rId79" Type="http://schemas.openxmlformats.org/officeDocument/2006/relationships/hyperlink" Target="https://www.sec.gov/Archives/edgar/data/1533758/000153375818000004/exhibit423-xjoinderagr.htm" TargetMode="External"/><Relationship Id="rId80" Type="http://schemas.openxmlformats.org/officeDocument/2006/relationships/hyperlink" Target="https://www.sec.gov/Archives/edgar/data/1533758/000153375818000004/exhibit424-xhsscxsecon.htm" TargetMode="External"/><Relationship Id="rId81" Type="http://schemas.openxmlformats.org/officeDocument/2006/relationships/hyperlink" Target="https://www.sec.gov/Archives/edgar/data/1533758/000153375818000004/exhibit425-xhsscxsecon.htm" TargetMode="External"/><Relationship Id="rId82" Type="http://schemas.openxmlformats.org/officeDocument/2006/relationships/hyperlink" Target="https://www.sec.gov/Archives/edgar/data/1533758/000153375819000025/ex41-joinderagreement1.htm" TargetMode="External"/><Relationship Id="rId83" Type="http://schemas.openxmlformats.org/officeDocument/2006/relationships/hyperlink" Target="https://www.sec.gov/Archives/edgar/data/1533758/000153375819000025/ex42-thirdsupplemental.htm" TargetMode="External"/><Relationship Id="rId84" Type="http://schemas.openxmlformats.org/officeDocument/2006/relationships/hyperlink" Target="https://www.sec.gov/Archives/edgar/data/1533758/000153375819000025/ex43-thirdsupplemental.htm" TargetMode="External"/><Relationship Id="rId85" Type="http://schemas.openxmlformats.org/officeDocument/2006/relationships/hyperlink" Target="https://www.sec.gov/Archives/edgar/data/1415404/000110465926021817/tmb-20251231xex4d44.htm" TargetMode="External"/><Relationship Id="rId86" Type="http://schemas.openxmlformats.org/officeDocument/2006/relationships/hyperlink" Target="https://www.sec.gov/Archives/edgar/data/1415404/000110465914067061/a14-20006_2def14a.htm" TargetMode="External"/><Relationship Id="rId87" Type="http://schemas.openxmlformats.org/officeDocument/2006/relationships/hyperlink" Target="https://www.sec.gov/Archives/edgar/data/1345840/000092153006000278/hughes_exh1001-062206.txt" TargetMode="External"/><Relationship Id="rId88" Type="http://schemas.openxmlformats.org/officeDocument/2006/relationships/hyperlink" Target="https://www.sec.gov/Archives/edgar/data/1415404/000110465915076360/a15-17922_1ex10d1.htm" TargetMode="External"/><Relationship Id="rId89" Type="http://schemas.openxmlformats.org/officeDocument/2006/relationships/hyperlink" Target="https://www.sec.gov/Archives/edgar/data/1533758/000110465916099382/a15-23245_1ex10d31.htm" TargetMode="External"/><Relationship Id="rId90" Type="http://schemas.openxmlformats.org/officeDocument/2006/relationships/hyperlink" Target="https://www.sec.gov/Archives/edgar/data/1533758/000110465916099382/a15-23245_1ex10d32.htm" TargetMode="External"/><Relationship Id="rId91" Type="http://schemas.openxmlformats.org/officeDocument/2006/relationships/hyperlink" Target="https://www.sec.gov/Archives/edgar/data/1533758/000110465916099382/a15-23245_1ex10d33.htm" TargetMode="External"/><Relationship Id="rId92" Type="http://schemas.openxmlformats.org/officeDocument/2006/relationships/hyperlink" Target="https://www.sec.gov/Archives/edgar/data/1533758/000110465916099382/a15-23245_1ex10d34.htm" TargetMode="External"/><Relationship Id="rId93" Type="http://schemas.openxmlformats.org/officeDocument/2006/relationships/hyperlink" Target="https://www.sec.gov/Archives/edgar/data/1533758/000110465916099382/a15-23245_1ex10d35.htm" TargetMode="External"/><Relationship Id="rId94" Type="http://schemas.openxmlformats.org/officeDocument/2006/relationships/hyperlink" Target="https://www.sec.gov/Archives/edgar/data/1533758/000110465916099382/a15-23245_1ex10d36.htm" TargetMode="External"/><Relationship Id="rId95" Type="http://schemas.openxmlformats.org/officeDocument/2006/relationships/hyperlink" Target="https://www.sec.gov/Archives/edgar/data/1415404/000141540417000022/sats2017proxystatement.htm" TargetMode="External"/><Relationship Id="rId96" Type="http://schemas.openxmlformats.org/officeDocument/2006/relationships/hyperlink" Target="https://www.sec.gov/Archives/edgar/data/1415404/000141540422000080/sats093022-ex105xamendedan.htm" TargetMode="External"/><Relationship Id="rId97" Type="http://schemas.openxmlformats.org/officeDocument/2006/relationships/hyperlink" Target="https://www.sec.gov/Archives/edgar/data/1415404/000141540417000045/a101echostarnon-qualifiedp.htm" TargetMode="External"/><Relationship Id="rId98" Type="http://schemas.openxmlformats.org/officeDocument/2006/relationships/hyperlink" Target="https://www.sec.gov/Archives/edgar/data/1415404/000141540417000045/ex102-formofstockoptionagr.htm" TargetMode="External"/><Relationship Id="rId99" Type="http://schemas.openxmlformats.org/officeDocument/2006/relationships/hyperlink" Target="https://www.sec.gov/Archives/edgar/data/1415404/000141540417000045/ex103-formofstockoptionagr.htm" TargetMode="External"/><Relationship Id="rId100" Type="http://schemas.openxmlformats.org/officeDocument/2006/relationships/hyperlink" Target="https://www.sec.gov/Archives/edgar/data/1415404/000141540417000045/ex105formofrsuagreementfor.htm" TargetMode="External"/><Relationship Id="rId101" Type="http://schemas.openxmlformats.org/officeDocument/2006/relationships/hyperlink" Target="https://www.sec.gov/Archives/edgar/data/1415404/000141540422000080/sats093022-ex101xformofsto.htm" TargetMode="External"/><Relationship Id="rId102" Type="http://schemas.openxmlformats.org/officeDocument/2006/relationships/hyperlink" Target="https://www.sec.gov/Archives/edgar/data/1415404/000141540422000080/sats093022-ex102xformofsto.htm" TargetMode="External"/><Relationship Id="rId103" Type="http://schemas.openxmlformats.org/officeDocument/2006/relationships/hyperlink" Target="https://www.sec.gov/Archives/edgar/data/1415404/000141540422000080/sats093022-ex103xformofnon.htm" TargetMode="External"/><Relationship Id="rId104" Type="http://schemas.openxmlformats.org/officeDocument/2006/relationships/hyperlink" Target="https://www.sec.gov/Archives/edgar/data/1415404/000141540422000080/sats093022-ex104xformofrsu.htm" TargetMode="External"/><Relationship Id="rId105" Type="http://schemas.openxmlformats.org/officeDocument/2006/relationships/hyperlink" Target="https://www.sec.gov/Archives/edgar/data/1533758/000153375819000005/ex1030amendmenttonon-q.htm" TargetMode="External"/><Relationship Id="rId106" Type="http://schemas.openxmlformats.org/officeDocument/2006/relationships/hyperlink" Target="https://www.sec.gov/Archives/edgar/data/1533758/000153375819000025/hssc063019ex-1011.htm" TargetMode="External"/><Relationship Id="rId107" Type="http://schemas.openxmlformats.org/officeDocument/2006/relationships/hyperlink" Target="https://www.sec.gov/Archives/edgar/data/1415404/000141540420000033/ex-101xadoptionagreeme.htm" TargetMode="External"/><Relationship Id="rId108" Type="http://schemas.openxmlformats.org/officeDocument/2006/relationships/hyperlink" Target="https://www.sec.gov/Archives/edgar/data/1415404/000141540421000011/a2021satsproxystatement.htm#i6d1879bc289540a3ba8fc082b625c96b_1265" TargetMode="External"/><Relationship Id="rId109" Type="http://schemas.openxmlformats.org/officeDocument/2006/relationships/hyperlink" Target="https://www.sec.gov/Archives/edgar/data/1533758/000153375822000003/hssc202110-kxexx1022.htm" TargetMode="External"/><Relationship Id="rId110" Type="http://schemas.openxmlformats.org/officeDocument/2006/relationships/hyperlink" Target="https://www.sec.gov/Archives/edgar/data/1415404/000110465923106152/tm2326297d1_ex10-1.htm" TargetMode="External"/><Relationship Id="rId111" Type="http://schemas.openxmlformats.org/officeDocument/2006/relationships/hyperlink" Target="https://www.sec.gov/Archives/edgar/data/1415404/000155837025001663/tmb-20241231xex19.htm" TargetMode="External"/><Relationship Id="rId112" Type="http://schemas.openxmlformats.org/officeDocument/2006/relationships/hyperlink" Target="https://www.sec.gov/Archives/edgar/data/1415404/000141540425000010/tmb-20250509xex99d1.htm" TargetMode="External"/><Relationship Id="rId113" Type="http://schemas.openxmlformats.org/officeDocument/2006/relationships/hyperlink" Target="https://www.sec.gov/Archives/edgar/data/1001082/000141540425000045/tmb-20250908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2026-03-31T05:38:12Z</dcterms:created>
  <dcterms:modified xsi:type="dcterms:W3CDTF">2026-03-31T05:38:12Z</dcterms:modified>
</cp:coreProperties>
</file>