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3520" w:right="2740" w:hanging="3512"/>
        <w:spacing w:after="0" w:line="286" w:lineRule="auto"/>
        <w:tabs>
          <w:tab w:leader="none" w:pos="21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8"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 w:lineRule="exact"/>
        <w:rPr>
          <w:sz w:val="24"/>
          <w:szCs w:val="24"/>
          <w:color w:val="auto"/>
        </w:rPr>
      </w:pPr>
    </w:p>
    <w:p>
      <w:pPr>
        <w:ind w:left="33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4003675</wp:posOffset>
            </wp:positionH>
            <wp:positionV relativeFrom="paragraph">
              <wp:posOffset>-14605</wp:posOffset>
            </wp:positionV>
            <wp:extent cx="1026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247" w:right="339" w:bottom="1440" w:gutter="0" w:footer="0" w:header="0"/>
        </w:sectPr>
      </w:pPr>
    </w:p>
    <w:p>
      <w:pPr>
        <w:spacing w:after="0" w:line="129" w:lineRule="exact"/>
        <w:rPr>
          <w:sz w:val="24"/>
          <w:szCs w:val="24"/>
          <w:color w:val="auto"/>
        </w:rPr>
      </w:pPr>
    </w:p>
    <w:p>
      <w:pPr>
        <w:ind w:left="2600"/>
        <w:spacing w:after="0"/>
        <w:rPr>
          <w:sz w:val="20"/>
          <w:szCs w:val="20"/>
          <w:color w:val="auto"/>
        </w:rPr>
      </w:pPr>
      <w:r>
        <w:rPr>
          <w:rFonts w:ascii="Arial" w:cs="Arial" w:eastAsia="Arial" w:hAnsi="Arial"/>
          <w:sz w:val="17"/>
          <w:szCs w:val="17"/>
          <w:b w:val="1"/>
          <w:bCs w:val="1"/>
          <w:color w:val="auto"/>
        </w:rPr>
        <w:t>Nevada</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26-1232727</w:t>
      </w:r>
    </w:p>
    <w:p>
      <w:pPr>
        <w:spacing w:after="0" w:line="86" w:lineRule="exact"/>
        <w:rPr>
          <w:sz w:val="24"/>
          <w:szCs w:val="24"/>
          <w:color w:val="auto"/>
        </w:rPr>
      </w:pPr>
    </w:p>
    <w:p>
      <w:pPr>
        <w:sectPr>
          <w:pgSz w:w="11900" w:h="16838" w:orient="portrait"/>
          <w:cols w:equalWidth="0" w:num="2">
            <w:col w:w="7400" w:space="720"/>
            <w:col w:w="3120"/>
          </w:cols>
          <w:pgMar w:left="320" w:top="247" w:right="3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56" w:lineRule="exact"/>
        <w:rPr>
          <w:sz w:val="24"/>
          <w:szCs w:val="24"/>
          <w:color w:val="auto"/>
        </w:rPr>
      </w:pPr>
    </w:p>
    <w:p>
      <w:pPr>
        <w:sectPr>
          <w:pgSz w:w="11900" w:h="16838" w:orient="portrait"/>
          <w:cols w:equalWidth="0" w:num="2">
            <w:col w:w="6620" w:space="720"/>
            <w:col w:w="3900"/>
          </w:cols>
          <w:pgMar w:left="320" w:top="247" w:right="339" w:bottom="1440" w:gutter="0" w:footer="0" w:header="0"/>
          <w:type w:val="continuous"/>
        </w:sectPr>
      </w:pPr>
    </w:p>
    <w:p>
      <w:pPr>
        <w:ind w:left="780"/>
        <w:spacing w:after="0"/>
        <w:rPr>
          <w:sz w:val="20"/>
          <w:szCs w:val="20"/>
          <w:color w:val="auto"/>
        </w:rPr>
      </w:pPr>
      <w:r>
        <w:rPr>
          <w:rFonts w:ascii="Arial" w:cs="Arial" w:eastAsia="Arial" w:hAnsi="Arial"/>
          <w:sz w:val="17"/>
          <w:szCs w:val="17"/>
          <w:b w:val="1"/>
          <w:bCs w:val="1"/>
          <w:color w:val="auto"/>
        </w:rPr>
        <w:t>100 Inverness Terrace East, Englewood,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80112-5308</w:t>
      </w:r>
    </w:p>
    <w:p>
      <w:pPr>
        <w:spacing w:after="0" w:line="85" w:lineRule="exact"/>
        <w:rPr>
          <w:sz w:val="24"/>
          <w:szCs w:val="24"/>
          <w:color w:val="auto"/>
        </w:rPr>
      </w:pPr>
    </w:p>
    <w:p>
      <w:pPr>
        <w:sectPr>
          <w:pgSz w:w="11900" w:h="16838" w:orient="portrait"/>
          <w:cols w:equalWidth="0" w:num="3">
            <w:col w:w="4180" w:space="320"/>
            <w:col w:w="2900" w:space="720"/>
            <w:col w:w="3120"/>
          </w:cols>
          <w:pgMar w:left="320" w:top="247" w:right="3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42" w:lineRule="exact"/>
        <w:rPr>
          <w:sz w:val="24"/>
          <w:szCs w:val="24"/>
          <w:color w:val="auto"/>
        </w:rPr>
      </w:pPr>
    </w:p>
    <w:p>
      <w:pPr>
        <w:sectPr>
          <w:pgSz w:w="11900" w:h="16838" w:orient="portrait"/>
          <w:cols w:equalWidth="0" w:num="2">
            <w:col w:w="7500" w:space="720"/>
            <w:col w:w="3020"/>
          </w:cols>
          <w:pgMar w:left="320" w:top="247" w:right="339" w:bottom="1440" w:gutter="0" w:footer="0" w:header="0"/>
          <w:type w:val="continuous"/>
        </w:sectPr>
      </w:pPr>
    </w:p>
    <w:p>
      <w:pPr>
        <w:ind w:left="2720"/>
        <w:spacing w:after="0"/>
        <w:rPr>
          <w:sz w:val="20"/>
          <w:szCs w:val="20"/>
          <w:color w:val="auto"/>
        </w:rPr>
      </w:pPr>
      <w:r>
        <w:rPr>
          <w:rFonts w:ascii="Arial" w:cs="Arial" w:eastAsia="Arial" w:hAnsi="Arial"/>
          <w:sz w:val="17"/>
          <w:szCs w:val="17"/>
          <w:b w:val="1"/>
          <w:bCs w:val="1"/>
          <w:color w:val="auto"/>
        </w:rPr>
        <w:t>(303) 706-4000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Not Applicable</w:t>
      </w:r>
    </w:p>
    <w:p>
      <w:pPr>
        <w:spacing w:after="0" w:line="86" w:lineRule="exact"/>
        <w:rPr>
          <w:sz w:val="24"/>
          <w:szCs w:val="24"/>
          <w:color w:val="auto"/>
        </w:rPr>
      </w:pPr>
    </w:p>
    <w:p>
      <w:pPr>
        <w:sectPr>
          <w:pgSz w:w="11900" w:h="16838" w:orient="portrait"/>
          <w:cols w:equalWidth="0" w:num="2">
            <w:col w:w="7240" w:space="720"/>
            <w:col w:w="3280"/>
          </w:cols>
          <w:pgMar w:left="320" w:top="247" w:right="33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jc w:val="center"/>
        <w:ind w:right="320"/>
        <w:spacing w:after="0"/>
        <w:rPr>
          <w:sz w:val="20"/>
          <w:szCs w:val="20"/>
          <w:color w:val="auto"/>
        </w:rPr>
      </w:pPr>
      <w:r>
        <w:rPr>
          <w:rFonts w:ascii="Arial" w:cs="Arial" w:eastAsia="Arial" w:hAnsi="Arial"/>
          <w:sz w:val="16"/>
          <w:szCs w:val="16"/>
          <w:color w:val="auto"/>
        </w:rPr>
        <w:t>(Former name, former address and former fiscal year, if changed</w:t>
      </w:r>
    </w:p>
    <w:p>
      <w:pPr>
        <w:spacing w:after="0" w:line="5"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since last report)</w:t>
      </w:r>
    </w:p>
    <w:p>
      <w:pPr>
        <w:spacing w:after="0" w:line="167" w:lineRule="exact"/>
        <w:rPr>
          <w:sz w:val="24"/>
          <w:szCs w:val="24"/>
          <w:color w:val="auto"/>
        </w:rPr>
      </w:pPr>
    </w:p>
    <w:p>
      <w:pPr>
        <w:sectPr>
          <w:pgSz w:w="11900" w:h="16838" w:orient="portrait"/>
          <w:cols w:equalWidth="0" w:num="2">
            <w:col w:w="5560" w:space="720"/>
            <w:col w:w="4960"/>
          </w:cols>
          <w:pgMar w:left="320" w:top="247" w:right="3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47" w:right="339" w:bottom="1440" w:gutter="0" w:footer="0" w:header="0"/>
          <w:type w:val="continuous"/>
        </w:sectPr>
      </w:pPr>
    </w:p>
    <w:p>
      <w:pPr>
        <w:spacing w:after="0" w:line="39"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Class A common stock $0.001 par value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79" w:lineRule="exact"/>
        <w:rPr>
          <w:sz w:val="24"/>
          <w:szCs w:val="24"/>
          <w:color w:val="auto"/>
        </w:rPr>
      </w:pPr>
    </w:p>
    <w:p>
      <w:pPr>
        <w:sectPr>
          <w:pgSz w:w="11900" w:h="16838" w:orient="portrait"/>
          <w:cols w:equalWidth="0" w:num="2">
            <w:col w:w="6640" w:space="720"/>
            <w:col w:w="3880"/>
          </w:cols>
          <w:pgMar w:left="320" w:top="247" w:right="339" w:bottom="1440" w:gutter="0" w:footer="0" w:header="0"/>
          <w:type w:val="continuous"/>
        </w:sectPr>
      </w:pPr>
    </w:p>
    <w:p>
      <w:pPr>
        <w:ind w:left="22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(Name of each exchange on which registered)</w:t>
      </w:r>
    </w:p>
    <w:p>
      <w:pPr>
        <w:spacing w:after="0" w:line="39" w:lineRule="exact"/>
        <w:rPr>
          <w:sz w:val="24"/>
          <w:szCs w:val="24"/>
          <w:color w:val="auto"/>
        </w:rPr>
      </w:pPr>
    </w:p>
    <w:p>
      <w:pPr>
        <w:sectPr>
          <w:pgSz w:w="11900" w:h="16838" w:orient="portrait"/>
          <w:cols w:equalWidth="0" w:num="2">
            <w:col w:w="6220" w:space="720"/>
            <w:col w:w="4300"/>
          </w:cols>
          <w:pgMar w:left="320" w:top="247" w:right="339" w:bottom="1440" w:gutter="0" w:footer="0" w:header="0"/>
          <w:type w:val="continuous"/>
        </w:sectPr>
      </w:pPr>
    </w:p>
    <w:p>
      <w:pPr>
        <w:jc w:val="center"/>
        <w:ind w:right="5420"/>
        <w:spacing w:after="0"/>
        <w:rPr>
          <w:sz w:val="20"/>
          <w:szCs w:val="20"/>
          <w:color w:val="auto"/>
        </w:rPr>
      </w:pPr>
      <w:r>
        <w:rPr>
          <w:rFonts w:ascii="Arial" w:cs="Arial" w:eastAsia="Arial" w:hAnsi="Arial"/>
          <w:sz w:val="16"/>
          <w:szCs w:val="16"/>
          <w:b w:val="1"/>
          <w:bCs w:val="1"/>
          <w:color w:val="auto"/>
        </w:rPr>
        <w:t>SATS</w:t>
      </w:r>
    </w:p>
    <w:p>
      <w:pPr>
        <w:spacing w:after="0" w:line="79" w:lineRule="exact"/>
        <w:rPr>
          <w:sz w:val="24"/>
          <w:szCs w:val="24"/>
          <w:color w:val="auto"/>
        </w:rPr>
      </w:pPr>
    </w:p>
    <w:p>
      <w:pPr>
        <w:jc w:val="center"/>
        <w:ind w:right="5420"/>
        <w:spacing w:after="0"/>
        <w:rPr>
          <w:sz w:val="20"/>
          <w:szCs w:val="20"/>
          <w:color w:val="auto"/>
        </w:rPr>
      </w:pPr>
      <w:r>
        <w:rPr>
          <w:rFonts w:ascii="Arial" w:cs="Arial" w:eastAsia="Arial" w:hAnsi="Arial"/>
          <w:sz w:val="16"/>
          <w:szCs w:val="16"/>
          <w:color w:val="auto"/>
        </w:rPr>
        <w:t>(Ticker symbol)</w:t>
      </w:r>
    </w:p>
    <w:p>
      <w:pPr>
        <w:sectPr>
          <w:pgSz w:w="11900" w:h="16838" w:orient="portrait"/>
          <w:cols w:equalWidth="0" w:num="1">
            <w:col w:w="11240"/>
          </w:cols>
          <w:pgMar w:left="320" w:top="247" w:right="339" w:bottom="1440" w:gutter="0" w:footer="0" w:header="0"/>
          <w:type w:val="continuous"/>
        </w:sectPr>
      </w:pPr>
    </w:p>
    <w:p>
      <w:pPr>
        <w:spacing w:after="0" w:line="356"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jc w:val="both"/>
        <w:spacing w:after="0" w:line="21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2"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257"/>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8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79"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As of July 30, 2020, the registrant’s outstanding common stock consisted of 50,306,575 shares of Class A common stock and 47,687,039 shares of Class B common stock, each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00" w:type="dxa"/>
            <w:vAlign w:val="bottom"/>
            <w:gridSpan w:val="11"/>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40" w:type="dxa"/>
            <w:vAlign w:val="bottom"/>
          </w:tcPr>
          <w:p>
            <w:pPr>
              <w:spacing w:after="0"/>
              <w:rPr>
                <w:sz w:val="18"/>
                <w:szCs w:val="18"/>
                <w:color w:val="auto"/>
              </w:rPr>
            </w:pPr>
          </w:p>
        </w:tc>
      </w:tr>
      <w:tr>
        <w:trPr>
          <w:trHeight w:val="769"/>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60" w:type="dxa"/>
            <w:vAlign w:val="bottom"/>
            <w:gridSpan w:val="6"/>
          </w:tcPr>
          <w:p>
            <w:pPr>
              <w:ind w:left="72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4"/>
                <w:szCs w:val="24"/>
                <w:color w:val="auto"/>
              </w:rPr>
            </w:pPr>
          </w:p>
        </w:tc>
      </w:tr>
      <w:tr>
        <w:trPr>
          <w:trHeight w:val="567"/>
        </w:trPr>
        <w:tc>
          <w:tcPr>
            <w:tcW w:w="10400" w:type="dxa"/>
            <w:vAlign w:val="bottom"/>
            <w:gridSpan w:val="11"/>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Disclosure Regarding Forward-Looking Statements</w:t>
              </w:r>
            </w:hyperlink>
          </w:p>
        </w:tc>
        <w:tc>
          <w:tcPr>
            <w:tcW w:w="84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513"/>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60" w:type="dxa"/>
            <w:vAlign w:val="bottom"/>
            <w:gridSpan w:val="6"/>
          </w:tcPr>
          <w:p>
            <w:pPr>
              <w:jc w:val="center"/>
              <w:ind w:right="3380"/>
              <w:spacing w:after="0"/>
              <w:rPr>
                <w:rFonts w:ascii="Arial" w:cs="Arial" w:eastAsia="Arial" w:hAnsi="Arial"/>
                <w:sz w:val="18"/>
                <w:szCs w:val="18"/>
                <w:b w:val="1"/>
                <w:bCs w:val="1"/>
                <w:u w:val="single" w:color="auto"/>
                <w:color w:val="0000FF"/>
                <w:w w:val="98"/>
              </w:rPr>
            </w:pPr>
            <w:hyperlink w:anchor="page4">
              <w:r>
                <w:rPr>
                  <w:rFonts w:ascii="Arial" w:cs="Arial" w:eastAsia="Arial" w:hAnsi="Arial"/>
                  <w:sz w:val="18"/>
                  <w:szCs w:val="18"/>
                  <w:b w:val="1"/>
                  <w:bCs w:val="1"/>
                  <w:u w:val="single" w:color="auto"/>
                  <w:color w:val="0000FF"/>
                  <w:w w:val="98"/>
                </w:rPr>
                <w:t>PART I - FINANCIAL INFORMATION</w:t>
              </w:r>
            </w:hyperlink>
          </w:p>
        </w:tc>
        <w:tc>
          <w:tcPr>
            <w:tcW w:w="840" w:type="dxa"/>
            <w:vAlign w:val="bottom"/>
          </w:tcPr>
          <w:p>
            <w:pPr>
              <w:spacing w:after="0"/>
              <w:rPr>
                <w:sz w:val="24"/>
                <w:szCs w:val="24"/>
                <w:color w:val="auto"/>
              </w:rPr>
            </w:pPr>
          </w:p>
        </w:tc>
      </w:tr>
      <w:tr>
        <w:trPr>
          <w:trHeight w:val="486"/>
        </w:trPr>
        <w:tc>
          <w:tcPr>
            <w:tcW w:w="104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8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257"/>
        </w:trPr>
        <w:tc>
          <w:tcPr>
            <w:tcW w:w="1040" w:type="dxa"/>
            <w:vAlign w:val="bottom"/>
          </w:tcPr>
          <w:p>
            <w:pPr>
              <w:spacing w:after="0"/>
              <w:rPr>
                <w:sz w:val="22"/>
                <w:szCs w:val="22"/>
                <w:color w:val="auto"/>
              </w:rPr>
            </w:pPr>
          </w:p>
        </w:tc>
        <w:tc>
          <w:tcPr>
            <w:tcW w:w="9360" w:type="dxa"/>
            <w:vAlign w:val="bottom"/>
            <w:gridSpan w:val="10"/>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as of June 30, 2020 (unaudited) and December 31, 2019 (audited)</w:t>
              </w:r>
            </w:hyperlink>
          </w:p>
        </w:tc>
        <w:tc>
          <w:tcPr>
            <w:tcW w:w="8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189"/>
        </w:trPr>
        <w:tc>
          <w:tcPr>
            <w:tcW w:w="1040" w:type="dxa"/>
            <w:vAlign w:val="bottom"/>
          </w:tcPr>
          <w:p>
            <w:pPr>
              <w:spacing w:after="0"/>
              <w:rPr>
                <w:sz w:val="16"/>
                <w:szCs w:val="16"/>
                <w:color w:val="auto"/>
              </w:rPr>
            </w:pPr>
          </w:p>
        </w:tc>
        <w:tc>
          <w:tcPr>
            <w:tcW w:w="9360" w:type="dxa"/>
            <w:vAlign w:val="bottom"/>
            <w:gridSpan w:val="10"/>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for the three and six months ended June 30, 2020 and</w:t>
              </w:r>
            </w:hyperlink>
          </w:p>
        </w:tc>
        <w:tc>
          <w:tcPr>
            <w:tcW w:w="840" w:type="dxa"/>
            <w:vAlign w:val="bottom"/>
          </w:tcPr>
          <w:p>
            <w:pPr>
              <w:jc w:val="right"/>
              <w:spacing w:after="0" w:line="189"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3</w:t>
              </w:r>
            </w:hyperlink>
          </w:p>
        </w:tc>
      </w:tr>
      <w:tr>
        <w:trPr>
          <w:trHeight w:val="155"/>
        </w:trPr>
        <w:tc>
          <w:tcPr>
            <w:tcW w:w="10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2019 (unaudited)</w:t>
              </w:r>
            </w:hyperlink>
          </w:p>
        </w:tc>
        <w:tc>
          <w:tcPr>
            <w:tcW w:w="71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0"/>
        </w:trPr>
        <w:tc>
          <w:tcPr>
            <w:tcW w:w="1040" w:type="dxa"/>
            <w:vAlign w:val="bottom"/>
          </w:tcPr>
          <w:p>
            <w:pPr>
              <w:spacing w:after="0"/>
              <w:rPr>
                <w:sz w:val="18"/>
                <w:szCs w:val="18"/>
                <w:color w:val="auto"/>
              </w:rPr>
            </w:pPr>
          </w:p>
        </w:tc>
        <w:tc>
          <w:tcPr>
            <w:tcW w:w="9360" w:type="dxa"/>
            <w:vAlign w:val="bottom"/>
            <w:gridSpan w:val="1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Comprehensive Income (Loss) for the three and six months ended</w:t>
              </w:r>
            </w:hyperlink>
          </w:p>
        </w:tc>
        <w:tc>
          <w:tcPr>
            <w:tcW w:w="8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4</w:t>
              </w:r>
            </w:hyperlink>
          </w:p>
        </w:tc>
      </w:tr>
      <w:tr>
        <w:trPr>
          <w:trHeight w:val="155"/>
        </w:trPr>
        <w:tc>
          <w:tcPr>
            <w:tcW w:w="104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June 30, 2020 and 2019 (unaudited)</w:t>
              </w:r>
            </w:hyperlink>
          </w:p>
        </w:tc>
        <w:tc>
          <w:tcPr>
            <w:tcW w:w="560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0"/>
        </w:trPr>
        <w:tc>
          <w:tcPr>
            <w:tcW w:w="1040" w:type="dxa"/>
            <w:vAlign w:val="bottom"/>
          </w:tcPr>
          <w:p>
            <w:pPr>
              <w:spacing w:after="0"/>
              <w:rPr>
                <w:sz w:val="18"/>
                <w:szCs w:val="18"/>
                <w:color w:val="auto"/>
              </w:rPr>
            </w:pPr>
          </w:p>
        </w:tc>
        <w:tc>
          <w:tcPr>
            <w:tcW w:w="9360" w:type="dxa"/>
            <w:vAlign w:val="bottom"/>
            <w:gridSpan w:val="1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in Stockholders’ Equity for the three months ended June 30,</w:t>
              </w:r>
            </w:hyperlink>
          </w:p>
        </w:tc>
        <w:tc>
          <w:tcPr>
            <w:tcW w:w="84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5</w:t>
              </w:r>
            </w:hyperlink>
          </w:p>
        </w:tc>
      </w:tr>
      <w:tr>
        <w:trPr>
          <w:trHeight w:val="155"/>
        </w:trPr>
        <w:tc>
          <w:tcPr>
            <w:tcW w:w="104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w:anchor="page8">
              <w:r>
                <w:rPr>
                  <w:rFonts w:ascii="Arial" w:cs="Arial" w:eastAsia="Arial" w:hAnsi="Arial"/>
                  <w:sz w:val="18"/>
                  <w:szCs w:val="18"/>
                  <w:color w:val="0000FF"/>
                  <w:w w:val="98"/>
                </w:rPr>
                <w:t>2020 and 2019 (unaudited)</w:t>
              </w:r>
            </w:hyperlink>
          </w:p>
        </w:tc>
        <w:tc>
          <w:tcPr>
            <w:tcW w:w="6620" w:type="dxa"/>
            <w:vAlign w:val="bottom"/>
            <w:tcBorders>
              <w:top w:val="single" w:sz="8" w:color="0000FF"/>
            </w:tcBorders>
            <w:gridSpan w:val="6"/>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0"/>
        </w:trPr>
        <w:tc>
          <w:tcPr>
            <w:tcW w:w="1040" w:type="dxa"/>
            <w:vAlign w:val="bottom"/>
          </w:tcPr>
          <w:p>
            <w:pPr>
              <w:spacing w:after="0"/>
              <w:rPr>
                <w:sz w:val="18"/>
                <w:szCs w:val="18"/>
                <w:color w:val="auto"/>
              </w:rPr>
            </w:pPr>
          </w:p>
        </w:tc>
        <w:tc>
          <w:tcPr>
            <w:tcW w:w="9360" w:type="dxa"/>
            <w:vAlign w:val="bottom"/>
            <w:gridSpan w:val="1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Changes in Stockholders’ Equity for the six months ended June 30,</w:t>
              </w:r>
            </w:hyperlink>
          </w:p>
        </w:tc>
        <w:tc>
          <w:tcPr>
            <w:tcW w:w="8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6</w:t>
              </w:r>
            </w:hyperlink>
          </w:p>
        </w:tc>
      </w:tr>
      <w:tr>
        <w:trPr>
          <w:trHeight w:val="155"/>
        </w:trPr>
        <w:tc>
          <w:tcPr>
            <w:tcW w:w="104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w:anchor="page9">
              <w:r>
                <w:rPr>
                  <w:rFonts w:ascii="Arial" w:cs="Arial" w:eastAsia="Arial" w:hAnsi="Arial"/>
                  <w:sz w:val="18"/>
                  <w:szCs w:val="18"/>
                  <w:color w:val="0000FF"/>
                  <w:w w:val="98"/>
                </w:rPr>
                <w:t>2020 and 2019 (unaudited)</w:t>
              </w:r>
            </w:hyperlink>
          </w:p>
        </w:tc>
        <w:tc>
          <w:tcPr>
            <w:tcW w:w="6420" w:type="dxa"/>
            <w:vAlign w:val="bottom"/>
            <w:tcBorders>
              <w:top w:val="single" w:sz="8" w:color="0000FF"/>
            </w:tcBorders>
            <w:gridSpan w:val="5"/>
          </w:tcPr>
          <w:p>
            <w:pPr>
              <w:spacing w:after="0"/>
              <w:rPr>
                <w:sz w:val="13"/>
                <w:szCs w:val="13"/>
                <w:color w:val="auto"/>
              </w:rPr>
            </w:pPr>
          </w:p>
        </w:tc>
        <w:tc>
          <w:tcPr>
            <w:tcW w:w="78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r>
      <w:tr>
        <w:trPr>
          <w:trHeight w:val="210"/>
        </w:trPr>
        <w:tc>
          <w:tcPr>
            <w:tcW w:w="1040" w:type="dxa"/>
            <w:vAlign w:val="bottom"/>
          </w:tcPr>
          <w:p>
            <w:pPr>
              <w:spacing w:after="0"/>
              <w:rPr>
                <w:sz w:val="18"/>
                <w:szCs w:val="18"/>
                <w:color w:val="auto"/>
              </w:rPr>
            </w:pPr>
          </w:p>
        </w:tc>
        <w:tc>
          <w:tcPr>
            <w:tcW w:w="9360" w:type="dxa"/>
            <w:vAlign w:val="bottom"/>
            <w:gridSpan w:val="1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 for the six months ended June 30, 2020 and 2019</w:t>
              </w:r>
            </w:hyperlink>
          </w:p>
        </w:tc>
        <w:tc>
          <w:tcPr>
            <w:tcW w:w="84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7</w:t>
              </w:r>
            </w:hyperlink>
          </w:p>
        </w:tc>
      </w:tr>
      <w:tr>
        <w:trPr>
          <w:trHeight w:val="155"/>
        </w:trPr>
        <w:tc>
          <w:tcPr>
            <w:tcW w:w="1040" w:type="dxa"/>
            <w:vAlign w:val="bottom"/>
          </w:tcPr>
          <w:p>
            <w:pPr>
              <w:spacing w:after="0"/>
              <w:rPr>
                <w:sz w:val="13"/>
                <w:szCs w:val="13"/>
                <w:color w:val="auto"/>
              </w:rPr>
            </w:pPr>
          </w:p>
        </w:tc>
        <w:tc>
          <w:tcPr>
            <w:tcW w:w="81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0">
              <w:r>
                <w:rPr>
                  <w:rFonts w:ascii="Arial" w:cs="Arial" w:eastAsia="Arial" w:hAnsi="Arial"/>
                  <w:sz w:val="18"/>
                  <w:szCs w:val="18"/>
                  <w:color w:val="0000FF"/>
                </w:rPr>
                <w:t>(unaudited)</w:t>
              </w:r>
            </w:hyperlink>
          </w:p>
        </w:tc>
        <w:tc>
          <w:tcPr>
            <w:tcW w:w="1180" w:type="dxa"/>
            <w:vAlign w:val="bottom"/>
            <w:gridSpan w:val="5"/>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1040" w:type="dxa"/>
            <w:vAlign w:val="bottom"/>
          </w:tcPr>
          <w:p>
            <w:pPr>
              <w:spacing w:after="0"/>
              <w:rPr>
                <w:sz w:val="24"/>
                <w:szCs w:val="24"/>
                <w:color w:val="auto"/>
              </w:rPr>
            </w:pPr>
          </w:p>
        </w:tc>
        <w:tc>
          <w:tcPr>
            <w:tcW w:w="9360" w:type="dxa"/>
            <w:vAlign w:val="bottom"/>
            <w:gridSpan w:val="10"/>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Condensed Consolidated Financial Statements (unaudited)</w:t>
              </w:r>
            </w:hyperlink>
          </w:p>
        </w:tc>
        <w:tc>
          <w:tcPr>
            <w:tcW w:w="84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8</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2.</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Management’s Discussion and Analysis of Financial Condition and Results of Operations</w:t>
              </w:r>
            </w:hyperlink>
          </w:p>
        </w:tc>
        <w:tc>
          <w:tcPr>
            <w:tcW w:w="8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3.</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Quantitative and Qualitative Disclosures about Market Risk</w:t>
              </w:r>
            </w:hyperlink>
          </w:p>
        </w:tc>
        <w:tc>
          <w:tcPr>
            <w:tcW w:w="84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71</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4.</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Controls and Procedures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71</w:t>
              </w:r>
            </w:hyperlink>
          </w:p>
        </w:tc>
      </w:tr>
      <w:tr>
        <w:trPr>
          <w:trHeight w:val="513"/>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60" w:type="dxa"/>
            <w:vAlign w:val="bottom"/>
            <w:gridSpan w:val="6"/>
          </w:tcPr>
          <w:p>
            <w:pPr>
              <w:jc w:val="center"/>
              <w:ind w:right="3380"/>
              <w:spacing w:after="0"/>
              <w:rPr>
                <w:rFonts w:ascii="Arial" w:cs="Arial" w:eastAsia="Arial" w:hAnsi="Arial"/>
                <w:sz w:val="18"/>
                <w:szCs w:val="18"/>
                <w:b w:val="1"/>
                <w:bCs w:val="1"/>
                <w:u w:val="single" w:color="auto"/>
                <w:color w:val="0000FF"/>
                <w:w w:val="98"/>
              </w:rPr>
            </w:pPr>
            <w:hyperlink w:anchor="page75">
              <w:r>
                <w:rPr>
                  <w:rFonts w:ascii="Arial" w:cs="Arial" w:eastAsia="Arial" w:hAnsi="Arial"/>
                  <w:sz w:val="18"/>
                  <w:szCs w:val="18"/>
                  <w:b w:val="1"/>
                  <w:bCs w:val="1"/>
                  <w:u w:val="single" w:color="auto"/>
                  <w:color w:val="0000FF"/>
                  <w:w w:val="98"/>
                </w:rPr>
                <w:t>PART II - OTHER INFORMATION</w:t>
              </w:r>
            </w:hyperlink>
          </w:p>
        </w:tc>
        <w:tc>
          <w:tcPr>
            <w:tcW w:w="840" w:type="dxa"/>
            <w:vAlign w:val="bottom"/>
          </w:tcPr>
          <w:p>
            <w:pPr>
              <w:spacing w:after="0"/>
              <w:rPr>
                <w:sz w:val="24"/>
                <w:szCs w:val="24"/>
                <w:color w:val="auto"/>
              </w:rPr>
            </w:pPr>
          </w:p>
        </w:tc>
      </w:tr>
      <w:tr>
        <w:trPr>
          <w:trHeight w:val="486"/>
        </w:trPr>
        <w:tc>
          <w:tcPr>
            <w:tcW w:w="10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Legal Proceedings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72</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1A.</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Risk Factors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72</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2.</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Unregistered Sales of Equity Securities and Use of Proceeds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3.</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Defaults Upon Senior Securities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74</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4.</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Mine Safety Disclosures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74</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5.</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Other Information</w:t>
              </w:r>
            </w:hyperlink>
          </w:p>
        </w:tc>
        <w:tc>
          <w:tcPr>
            <w:tcW w:w="84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74</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6.</w:t>
              </w:r>
            </w:hyperlink>
          </w:p>
        </w:tc>
        <w:tc>
          <w:tcPr>
            <w:tcW w:w="9360" w:type="dxa"/>
            <w:vAlign w:val="bottom"/>
            <w:gridSpan w:val="10"/>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Exhibits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75</w:t>
              </w:r>
            </w:hyperlink>
          </w:p>
        </w:tc>
      </w:tr>
      <w:tr>
        <w:trPr>
          <w:trHeight w:val="257"/>
        </w:trPr>
        <w:tc>
          <w:tcPr>
            <w:tcW w:w="1040" w:type="dxa"/>
            <w:vAlign w:val="bottom"/>
          </w:tcPr>
          <w:p>
            <w:pPr>
              <w:spacing w:after="0"/>
              <w:rPr>
                <w:sz w:val="22"/>
                <w:szCs w:val="22"/>
                <w:color w:val="auto"/>
              </w:rPr>
            </w:pPr>
          </w:p>
        </w:tc>
        <w:tc>
          <w:tcPr>
            <w:tcW w:w="9360" w:type="dxa"/>
            <w:vAlign w:val="bottom"/>
            <w:gridSpan w:val="10"/>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Signatures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r>
      <w:tr>
        <w:trPr>
          <w:trHeight w:val="1208"/>
        </w:trPr>
        <w:tc>
          <w:tcPr>
            <w:tcW w:w="1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237" w:lineRule="exact"/>
        <w:rPr>
          <w:sz w:val="20"/>
          <w:szCs w:val="20"/>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the construction and operation of our satellites, such as the risk of not being able to timely complete the construction, or a material malfunction on one or more, of our satellites, changes in the space weather environment that could interfere with the operation of our satellites and our general lack of commercial insurance coverage on our satellites;</w:t>
      </w:r>
    </w:p>
    <w:p>
      <w:pPr>
        <w:spacing w:after="0" w:line="6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in order to operate our business, including customers, suppliers, vendors, financing sources, governmental entities and others, to successfully or fully operate as a result of outbreaks of viruses or widespread illness, including existing, continuing and future impacts and consequences of the COVID-19 pandemic caused by the novel coronavirus;</w:t>
      </w:r>
    </w:p>
    <w:p>
      <w:pPr>
        <w:spacing w:after="0" w:line="6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domestic and/or international investments, commercial alliances, partnerships, joint ventures, acquisitions, dispositions and other strategic initiatives and transactions;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AGR matter (each as defined herein), which could result in substantial costs and material adverse effects on our business, results of operations, financial condition and prospects;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9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 including changes in foreign exchange rates between foreign currencies and the United States (“U.S.”) dollar, economic instability, political disturbances and the consequences of being subject to foreign regulation and foreign legal proceedings, including increased operations costs and potential fines and penalties for violations, which may be substantial;</w:t>
      </w:r>
    </w:p>
    <w:p>
      <w:pPr>
        <w:spacing w:after="0" w:line="6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9"/>
              </w:rPr>
              <w:t>As of</w:t>
            </w:r>
          </w:p>
        </w:tc>
        <w:tc>
          <w:tcPr>
            <w:tcW w:w="1380" w:type="dxa"/>
            <w:vAlign w:val="bottom"/>
            <w:tcBorders>
              <w:bottom w:val="single" w:sz="8" w:color="auto"/>
            </w:tcBorders>
          </w:tcPr>
          <w:p>
            <w:pPr>
              <w:spacing w:after="0"/>
              <w:rPr>
                <w:sz w:val="19"/>
                <w:szCs w:val="19"/>
                <w:color w:val="auto"/>
              </w:rPr>
            </w:pPr>
          </w:p>
        </w:tc>
      </w:tr>
      <w:tr>
        <w:trPr>
          <w:trHeight w:val="198"/>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29"/>
        </w:trPr>
        <w:tc>
          <w:tcPr>
            <w:tcW w:w="790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1,948,464</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1,519,431</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509,980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940,623</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receivable and contract assets, net</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183,379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196,629</w:t>
            </w:r>
          </w:p>
        </w:tc>
      </w:tr>
      <w:tr>
        <w:trPr>
          <w:trHeight w:val="237"/>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 net</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185,699</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179,531</w:t>
            </w:r>
          </w:p>
        </w:tc>
      </w:tr>
      <w:tr>
        <w:trPr>
          <w:trHeight w:val="243"/>
        </w:trPr>
        <w:tc>
          <w:tcPr>
            <w:tcW w:w="7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2,827,522</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2,836,214</w:t>
            </w:r>
          </w:p>
        </w:tc>
      </w:tr>
      <w:tr>
        <w:trPr>
          <w:trHeight w:val="204"/>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2,399,711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2,528,738</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125,996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114,042</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509,054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506,953</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474,463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478,598</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29,507</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275,873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325,405</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 net</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340,904</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334,841</w:t>
            </w:r>
          </w:p>
        </w:tc>
      </w:tr>
      <w:tr>
        <w:trPr>
          <w:trHeight w:val="230"/>
        </w:trPr>
        <w:tc>
          <w:tcPr>
            <w:tcW w:w="7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assets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4,148,668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4,318,084</w:t>
            </w:r>
          </w:p>
        </w:tc>
      </w:tr>
      <w:tr>
        <w:trPr>
          <w:trHeight w:val="256"/>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6,976,190</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7,154,298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3"/>
        </w:trPr>
        <w:tc>
          <w:tcPr>
            <w:tcW w:w="7900" w:type="dxa"/>
            <w:vAlign w:val="bottom"/>
            <w:shd w:val="clear" w:color="auto" w:fill="CCEEFF"/>
          </w:tcPr>
          <w:p>
            <w:pPr>
              <w:ind w:left="25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112,748</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124,080</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Current portion of long-term debt, net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896,386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liabilities</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89,831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101,060</w:t>
            </w:r>
          </w:p>
        </w:tc>
      </w:tr>
      <w:tr>
        <w:trPr>
          <w:trHeight w:val="237"/>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262,944</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270,879</w:t>
            </w:r>
          </w:p>
        </w:tc>
      </w:tr>
      <w:tr>
        <w:trPr>
          <w:trHeight w:val="243"/>
        </w:trPr>
        <w:tc>
          <w:tcPr>
            <w:tcW w:w="7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1,361,909</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496,019</w:t>
            </w:r>
          </w:p>
        </w:tc>
      </w:tr>
      <w:tr>
        <w:trPr>
          <w:trHeight w:val="20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1,494,902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2,389,168</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Deferred tax liabilities, net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349,973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351,692</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110,899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96,941</w:t>
            </w:r>
          </w:p>
        </w:tc>
      </w:tr>
      <w:tr>
        <w:trPr>
          <w:trHeight w:val="236"/>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74,239</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74,925</w:t>
            </w:r>
          </w:p>
        </w:tc>
      </w:tr>
      <w:tr>
        <w:trPr>
          <w:trHeight w:val="243"/>
        </w:trPr>
        <w:tc>
          <w:tcPr>
            <w:tcW w:w="7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2,030,013</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2,912,726</w:t>
            </w:r>
          </w:p>
        </w:tc>
      </w:tr>
      <w:tr>
        <w:trPr>
          <w:trHeight w:val="230"/>
        </w:trPr>
        <w:tc>
          <w:tcPr>
            <w:tcW w:w="790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3,391,922</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3,408,745</w:t>
            </w:r>
          </w:p>
        </w:tc>
      </w:tr>
      <w:tr>
        <w:trPr>
          <w:trHeight w:val="243"/>
        </w:trPr>
        <w:tc>
          <w:tcPr>
            <w:tcW w:w="7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bl>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Commitments and contingencies</w:t>
      </w:r>
    </w:p>
    <w:p>
      <w:pPr>
        <w:sectPr>
          <w:pgSz w:w="11900" w:h="16838" w:orient="portrait"/>
          <w:cols w:equalWidth="0" w:num="1">
            <w:col w:w="11200"/>
          </w:cols>
          <w:pgMar w:left="320" w:top="140" w:right="379" w:bottom="1440" w:gutter="0" w:footer="0" w:header="0"/>
        </w:sectPr>
      </w:pPr>
    </w:p>
    <w:bookmarkStart w:id="5" w:name="page6"/>
    <w:bookmarkEnd w:id="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7199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1995" cy="154305"/>
                    </a:xfrm>
                    <a:prstGeom prst="rect">
                      <a:avLst/>
                    </a:prstGeom>
                    <a:noFill/>
                  </pic:spPr>
                </pic:pic>
              </a:graphicData>
            </a:graphic>
          </wp:anchor>
        </w:drawing>
        <w:t>Stockholders’ equity: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ind w:left="220"/>
              <w:spacing w:after="0"/>
              <w:rPr>
                <w:sz w:val="20"/>
                <w:szCs w:val="20"/>
                <w:color w:val="auto"/>
              </w:rPr>
            </w:pPr>
            <w:r>
              <w:rPr>
                <w:rFonts w:ascii="Arial" w:cs="Arial" w:eastAsia="Arial" w:hAnsi="Arial"/>
                <w:sz w:val="16"/>
                <w:szCs w:val="16"/>
                <w:color w:val="auto"/>
              </w:rPr>
              <w:t>Preferred stock, $0.001 par value, 20,000,000 shares authorized, none issued and outstanding at both June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4"/>
        </w:trPr>
        <w:tc>
          <w:tcPr>
            <w:tcW w:w="8100" w:type="dxa"/>
            <w:vAlign w:val="bottom"/>
          </w:tcPr>
          <w:p>
            <w:pPr>
              <w:ind w:left="220"/>
              <w:spacing w:after="0"/>
              <w:rPr>
                <w:sz w:val="20"/>
                <w:szCs w:val="20"/>
                <w:color w:val="auto"/>
              </w:rPr>
            </w:pPr>
            <w:r>
              <w:rPr>
                <w:rFonts w:ascii="Arial" w:cs="Arial" w:eastAsia="Arial" w:hAnsi="Arial"/>
                <w:sz w:val="16"/>
                <w:szCs w:val="16"/>
                <w:color w:val="auto"/>
              </w:rPr>
              <w:t>30, 2020 and December 31, 2019</w:t>
            </w:r>
          </w:p>
        </w:tc>
        <w:tc>
          <w:tcPr>
            <w:tcW w:w="3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3"/>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8"/>
        </w:trPr>
        <w:tc>
          <w:tcPr>
            <w:tcW w:w="8100" w:type="dxa"/>
            <w:vAlign w:val="bottom"/>
          </w:tcPr>
          <w:p>
            <w:pPr>
              <w:ind w:left="420"/>
              <w:spacing w:after="0"/>
              <w:rPr>
                <w:sz w:val="20"/>
                <w:szCs w:val="20"/>
                <w:color w:val="auto"/>
              </w:rPr>
            </w:pPr>
            <w:r>
              <w:rPr>
                <w:rFonts w:ascii="Arial" w:cs="Arial" w:eastAsia="Arial" w:hAnsi="Arial"/>
                <w:sz w:val="16"/>
                <w:szCs w:val="16"/>
                <w:color w:val="auto"/>
              </w:rPr>
              <w:t>Class A common stock, $0.001 par value, 1,600,000,000 shares authorized, 56,988,365 shares issued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8100" w:type="dxa"/>
            <w:vAlign w:val="bottom"/>
          </w:tcPr>
          <w:p>
            <w:pPr>
              <w:ind w:left="420"/>
              <w:spacing w:after="0"/>
              <w:rPr>
                <w:sz w:val="20"/>
                <w:szCs w:val="20"/>
                <w:color w:val="auto"/>
              </w:rPr>
            </w:pPr>
            <w:r>
              <w:rPr>
                <w:rFonts w:ascii="Arial" w:cs="Arial" w:eastAsia="Arial" w:hAnsi="Arial"/>
                <w:sz w:val="16"/>
                <w:szCs w:val="16"/>
                <w:color w:val="auto"/>
              </w:rPr>
              <w:t>and 50,306,445 shares outstanding at June 30, 2020 and 56,592,251 shares issued and 50,107,330</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4"/>
        </w:trPr>
        <w:tc>
          <w:tcPr>
            <w:tcW w:w="8100" w:type="dxa"/>
            <w:vAlign w:val="bottom"/>
          </w:tcPr>
          <w:p>
            <w:pPr>
              <w:ind w:left="420"/>
              <w:spacing w:after="0"/>
              <w:rPr>
                <w:sz w:val="20"/>
                <w:szCs w:val="20"/>
                <w:color w:val="auto"/>
              </w:rPr>
            </w:pPr>
            <w:r>
              <w:rPr>
                <w:rFonts w:ascii="Arial" w:cs="Arial" w:eastAsia="Arial" w:hAnsi="Arial"/>
                <w:sz w:val="16"/>
                <w:szCs w:val="16"/>
                <w:color w:val="auto"/>
              </w:rPr>
              <w:t>shares outstanding at December 31, 2019</w:t>
            </w:r>
          </w:p>
        </w:tc>
        <w:tc>
          <w:tcPr>
            <w:tcW w:w="3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57</w:t>
            </w:r>
          </w:p>
        </w:tc>
      </w:tr>
      <w:tr>
        <w:trPr>
          <w:trHeight w:val="228"/>
        </w:trPr>
        <w:tc>
          <w:tcPr>
            <w:tcW w:w="81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81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issued and outstanding at both June 30, 2020 and December 31, 2019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r>
      <w:tr>
        <w:trPr>
          <w:trHeight w:val="218"/>
        </w:trPr>
        <w:tc>
          <w:tcPr>
            <w:tcW w:w="8100" w:type="dxa"/>
            <w:vAlign w:val="bottom"/>
          </w:tcPr>
          <w:p>
            <w:pPr>
              <w:ind w:left="42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4"/>
        </w:trPr>
        <w:tc>
          <w:tcPr>
            <w:tcW w:w="8100" w:type="dxa"/>
            <w:vAlign w:val="bottom"/>
          </w:tcPr>
          <w:p>
            <w:pPr>
              <w:ind w:left="420"/>
              <w:spacing w:after="0"/>
              <w:rPr>
                <w:sz w:val="20"/>
                <w:szCs w:val="20"/>
                <w:color w:val="auto"/>
              </w:rPr>
            </w:pPr>
            <w:r>
              <w:rPr>
                <w:rFonts w:ascii="Arial" w:cs="Arial" w:eastAsia="Arial" w:hAnsi="Arial"/>
                <w:sz w:val="16"/>
                <w:szCs w:val="16"/>
                <w:color w:val="auto"/>
              </w:rPr>
              <w:t>outstanding at both June 30, 2020 and December 31, 2019</w:t>
            </w:r>
          </w:p>
        </w:tc>
        <w:tc>
          <w:tcPr>
            <w:tcW w:w="3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28"/>
        </w:trPr>
        <w:tc>
          <w:tcPr>
            <w:tcW w:w="81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Class D common stock, $0.001 par value, 800,000,000 shares authorized, none issued and outstanding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81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at both June 30, 2020 and December 31, 2019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81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3,311,861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3,290,483</w:t>
            </w:r>
          </w:p>
        </w:tc>
      </w:tr>
      <w:tr>
        <w:trPr>
          <w:trHeight w:val="253"/>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(206,810)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(122,138)</w:t>
            </w:r>
          </w:p>
        </w:tc>
      </w:tr>
      <w:tr>
        <w:trPr>
          <w:trHeight w:val="233"/>
        </w:trPr>
        <w:tc>
          <w:tcPr>
            <w:tcW w:w="8100" w:type="dxa"/>
            <w:vAlign w:val="bottom"/>
          </w:tcPr>
          <w:p>
            <w:pPr>
              <w:ind w:left="220"/>
              <w:spacing w:after="0"/>
              <w:rPr>
                <w:sz w:val="20"/>
                <w:szCs w:val="20"/>
                <w:color w:val="auto"/>
              </w:rPr>
            </w:pPr>
            <w:r>
              <w:rPr>
                <w:rFonts w:ascii="Arial" w:cs="Arial" w:eastAsia="Arial" w:hAnsi="Arial"/>
                <w:sz w:val="16"/>
                <w:szCs w:val="16"/>
                <w:color w:val="auto"/>
              </w:rPr>
              <w:t>Accumulated earnings (losses)</w:t>
            </w:r>
          </w:p>
        </w:tc>
        <w:tc>
          <w:tcPr>
            <w:tcW w:w="3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558,034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632,809</w:t>
            </w:r>
          </w:p>
        </w:tc>
      </w:tr>
      <w:tr>
        <w:trPr>
          <w:trHeight w:val="253"/>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(137,347)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(131,454)</w:t>
            </w:r>
          </w:p>
        </w:tc>
      </w:tr>
      <w:tr>
        <w:trPr>
          <w:trHeight w:val="227"/>
        </w:trPr>
        <w:tc>
          <w:tcPr>
            <w:tcW w:w="810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3,525,843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3,669,805</w:t>
            </w:r>
          </w:p>
        </w:tc>
      </w:tr>
      <w:tr>
        <w:trPr>
          <w:trHeight w:val="253"/>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58,425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75,748</w:t>
            </w:r>
          </w:p>
        </w:tc>
      </w:tr>
      <w:tr>
        <w:trPr>
          <w:trHeight w:val="230"/>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3,584,268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3,745,553</w:t>
            </w:r>
          </w:p>
        </w:tc>
      </w:tr>
      <w:tr>
        <w:trPr>
          <w:trHeight w:val="262"/>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6,976,190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7,154,298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75"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7"/>
        </w:trPr>
        <w:tc>
          <w:tcPr>
            <w:tcW w:w="7200" w:type="dxa"/>
            <w:vAlign w:val="bottom"/>
            <w:gridSpan w:val="4"/>
          </w:tcPr>
          <w:p>
            <w:pPr>
              <w:jc w:val="center"/>
              <w:ind w:left="3970"/>
              <w:spacing w:after="0"/>
              <w:rPr>
                <w:sz w:val="20"/>
                <w:szCs w:val="20"/>
                <w:color w:val="auto"/>
              </w:rPr>
            </w:pPr>
            <w:r>
              <w:rPr>
                <w:rFonts w:ascii="Arial" w:cs="Arial" w:eastAsia="Arial" w:hAnsi="Arial"/>
                <w:sz w:val="18"/>
                <w:szCs w:val="18"/>
                <w:b w:val="1"/>
                <w:bCs w:val="1"/>
                <w:color w:val="auto"/>
                <w:w w:val="98"/>
              </w:rPr>
              <w:t>ECHOSTAR CORPORATION</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560" w:type="dxa"/>
            <w:vAlign w:val="bottom"/>
            <w:gridSpan w:val="7"/>
          </w:tcPr>
          <w:p>
            <w:pPr>
              <w:jc w:val="center"/>
              <w:ind w:left="2590"/>
              <w:spacing w:after="0"/>
              <w:rPr>
                <w:sz w:val="20"/>
                <w:szCs w:val="20"/>
                <w:color w:val="auto"/>
              </w:rPr>
            </w:pPr>
            <w:r>
              <w:rPr>
                <w:rFonts w:ascii="Arial" w:cs="Arial" w:eastAsia="Arial" w:hAnsi="Arial"/>
                <w:sz w:val="18"/>
                <w:szCs w:val="18"/>
                <w:b w:val="1"/>
                <w:bCs w:val="1"/>
                <w:color w:val="auto"/>
                <w:w w:val="99"/>
              </w:rPr>
              <w:t>CONDENSED CONSOLIDATED STATEMENTS OF OPERATIONS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gridSpan w:val="7"/>
          </w:tcPr>
          <w:p>
            <w:pPr>
              <w:jc w:val="center"/>
              <w:ind w:left="2590"/>
              <w:spacing w:after="0"/>
              <w:rPr>
                <w:sz w:val="20"/>
                <w:szCs w:val="20"/>
                <w:color w:val="auto"/>
              </w:rPr>
            </w:pPr>
            <w:r>
              <w:rPr>
                <w:rFonts w:ascii="Arial" w:cs="Arial" w:eastAsia="Arial" w:hAnsi="Arial"/>
                <w:sz w:val="18"/>
                <w:szCs w:val="18"/>
                <w:color w:val="auto"/>
                <w:w w:val="99"/>
              </w:rPr>
              <w:t>(Amounts in thousands, except per share amounts)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gridSpan w:val="4"/>
          </w:tcPr>
          <w:p>
            <w:pPr>
              <w:jc w:val="center"/>
              <w:ind w:left="3970"/>
              <w:spacing w:after="0"/>
              <w:rPr>
                <w:sz w:val="20"/>
                <w:szCs w:val="20"/>
                <w:color w:val="auto"/>
              </w:rPr>
            </w:pPr>
            <w:r>
              <w:rPr>
                <w:rFonts w:ascii="Arial" w:cs="Arial" w:eastAsia="Arial" w:hAnsi="Arial"/>
                <w:sz w:val="18"/>
                <w:szCs w:val="18"/>
                <w:color w:val="auto"/>
                <w:w w:val="99"/>
              </w:rPr>
              <w:t>(Unaudited)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24"/>
                <w:szCs w:val="24"/>
                <w:color w:val="auto"/>
              </w:rPr>
            </w:pPr>
          </w:p>
        </w:tc>
        <w:tc>
          <w:tcPr>
            <w:tcW w:w="2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6"/>
        </w:trPr>
        <w:tc>
          <w:tcPr>
            <w:tcW w:w="5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417,043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402,786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825,400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805,454</w:t>
            </w: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42,423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57,645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99,732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109,359</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459,466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460,431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925,132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914,813</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Cost of sales - services and other (exclusive of depreciation and</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141,019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142,680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286,271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286,027</w:t>
            </w:r>
          </w:p>
        </w:tc>
        <w:tc>
          <w:tcPr>
            <w:tcW w:w="0" w:type="dxa"/>
            <w:vAlign w:val="bottom"/>
          </w:tcPr>
          <w:p>
            <w:pPr>
              <w:spacing w:after="0"/>
              <w:rPr>
                <w:sz w:val="1"/>
                <w:szCs w:val="1"/>
                <w:color w:val="auto"/>
              </w:rPr>
            </w:pPr>
          </w:p>
        </w:tc>
      </w:tr>
      <w:tr>
        <w:trPr>
          <w:trHeight w:val="235"/>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32,542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46,549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78,450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91,556</w:t>
            </w:r>
          </w:p>
        </w:tc>
        <w:tc>
          <w:tcPr>
            <w:tcW w:w="0" w:type="dxa"/>
            <w:vAlign w:val="bottom"/>
          </w:tcPr>
          <w:p>
            <w:pPr>
              <w:spacing w:after="0"/>
              <w:rPr>
                <w:sz w:val="1"/>
                <w:szCs w:val="1"/>
                <w:color w:val="auto"/>
              </w:rPr>
            </w:pP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113,798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149,209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239,079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261,323</w:t>
            </w: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13,276</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129,887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120,266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262,255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239,244</w:t>
            </w: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424,694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465,092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879,757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891,426</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34,772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45,375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23,387</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23,213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26,343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47,642</w:t>
            </w: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(38,258)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(106,948)</w:t>
            </w:r>
          </w:p>
        </w:tc>
        <w:tc>
          <w:tcPr>
            <w:tcW w:w="0" w:type="dxa"/>
            <w:vAlign w:val="bottom"/>
          </w:tcPr>
          <w:p>
            <w:pPr>
              <w:spacing w:after="0"/>
              <w:rPr>
                <w:sz w:val="1"/>
                <w:szCs w:val="1"/>
                <w:color w:val="auto"/>
              </w:rPr>
            </w:pP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(52,762)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19,791</w:t>
            </w: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1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(38,764)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(114,596)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(50,064)</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(14,843)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(34,267)</w:t>
            </w:r>
          </w:p>
        </w:tc>
        <w:tc>
          <w:tcPr>
            <w:tcW w:w="0" w:type="dxa"/>
            <w:vAlign w:val="bottom"/>
          </w:tcPr>
          <w:p>
            <w:pPr>
              <w:spacing w:after="0"/>
              <w:rPr>
                <w:sz w:val="1"/>
                <w:szCs w:val="1"/>
                <w:color w:val="auto"/>
              </w:rPr>
            </w:pP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44,215</w:t>
            </w:r>
          </w:p>
        </w:tc>
        <w:tc>
          <w:tcPr>
            <w:tcW w:w="0" w:type="dxa"/>
            <w:vAlign w:val="bottom"/>
          </w:tcPr>
          <w:p>
            <w:pPr>
              <w:spacing w:after="0"/>
              <w:rPr>
                <w:sz w:val="1"/>
                <w:szCs w:val="1"/>
                <w:color w:val="auto"/>
              </w:rPr>
            </w:pPr>
          </w:p>
        </w:tc>
      </w:tr>
      <w:tr>
        <w:trPr>
          <w:trHeight w:val="257"/>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(14,843)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(72,580)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6,873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5"/>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Basic and diluted earnings (losses) from continuing operations per</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8"/>
        </w:trPr>
        <w:tc>
          <w:tcPr>
            <w:tcW w:w="5840" w:type="dxa"/>
            <w:vAlign w:val="bottom"/>
          </w:tcPr>
          <w:p>
            <w:pPr>
              <w:ind w:left="220"/>
              <w:spacing w:after="0" w:line="203" w:lineRule="exact"/>
              <w:rPr>
                <w:sz w:val="20"/>
                <w:szCs w:val="20"/>
                <w:color w:val="auto"/>
              </w:rPr>
            </w:pPr>
            <w:r>
              <w:rPr>
                <w:rFonts w:ascii="Arial" w:cs="Arial" w:eastAsia="Arial" w:hAnsi="Arial"/>
                <w:sz w:val="18"/>
                <w:szCs w:val="18"/>
                <w:color w:val="auto"/>
              </w:rPr>
              <w:t>share</w:t>
            </w: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basic and diluted earnings (losses)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747"/>
        </w:trPr>
        <w:tc>
          <w:tcPr>
            <w:tcW w:w="7200" w:type="dxa"/>
            <w:vAlign w:val="bottom"/>
            <w:gridSpan w:val="4"/>
          </w:tcPr>
          <w:p>
            <w:pPr>
              <w:jc w:val="center"/>
              <w:ind w:left="3970"/>
              <w:spacing w:after="0"/>
              <w:rPr>
                <w:sz w:val="20"/>
                <w:szCs w:val="20"/>
                <w:color w:val="auto"/>
              </w:rPr>
            </w:pPr>
            <w:r>
              <w:rPr>
                <w:rFonts w:ascii="Arial" w:cs="Arial" w:eastAsia="Arial" w:hAnsi="Arial"/>
                <w:sz w:val="18"/>
                <w:szCs w:val="18"/>
                <w:b w:val="1"/>
                <w:bCs w:val="1"/>
                <w:color w:val="auto"/>
                <w:w w:val="98"/>
              </w:rPr>
              <w:t>ECHOSTAR CORPORATION</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9940" w:type="dxa"/>
            <w:vAlign w:val="bottom"/>
            <w:gridSpan w:val="10"/>
          </w:tcPr>
          <w:p>
            <w:pPr>
              <w:jc w:val="center"/>
              <w:ind w:left="123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7200" w:type="dxa"/>
            <w:vAlign w:val="bottom"/>
            <w:gridSpan w:val="4"/>
          </w:tcPr>
          <w:p>
            <w:pPr>
              <w:jc w:val="center"/>
              <w:ind w:left="3970"/>
              <w:spacing w:after="0"/>
              <w:rPr>
                <w:sz w:val="20"/>
                <w:szCs w:val="20"/>
                <w:color w:val="auto"/>
              </w:rPr>
            </w:pPr>
            <w:r>
              <w:rPr>
                <w:rFonts w:ascii="Arial" w:cs="Arial" w:eastAsia="Arial" w:hAnsi="Arial"/>
                <w:sz w:val="18"/>
                <w:szCs w:val="18"/>
                <w:color w:val="auto"/>
                <w:w w:val="99"/>
              </w:rPr>
              <w:t>(Amounts in thousands)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200" w:type="dxa"/>
            <w:vAlign w:val="bottom"/>
            <w:gridSpan w:val="4"/>
          </w:tcPr>
          <w:p>
            <w:pPr>
              <w:jc w:val="center"/>
              <w:ind w:left="3970"/>
              <w:spacing w:after="0"/>
              <w:rPr>
                <w:sz w:val="20"/>
                <w:szCs w:val="20"/>
                <w:color w:val="auto"/>
              </w:rPr>
            </w:pPr>
            <w:r>
              <w:rPr>
                <w:rFonts w:ascii="Arial" w:cs="Arial" w:eastAsia="Arial" w:hAnsi="Arial"/>
                <w:sz w:val="18"/>
                <w:szCs w:val="18"/>
                <w:color w:val="auto"/>
                <w:w w:val="99"/>
              </w:rPr>
              <w:t>(Unaudited)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28"/>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24"/>
                <w:szCs w:val="24"/>
                <w:color w:val="auto"/>
              </w:rPr>
            </w:pPr>
          </w:p>
        </w:tc>
        <w:tc>
          <w:tcPr>
            <w:tcW w:w="2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50"/>
        </w:trPr>
        <w:tc>
          <w:tcPr>
            <w:tcW w:w="58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5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(14,843)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(72,580)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9,948</w:t>
            </w: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(100,515)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3,807</w:t>
            </w: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color w:val="auto"/>
              </w:rPr>
              <w:t>Unrealized gains (losses) on available-for-sale debt securities</w:t>
            </w:r>
          </w:p>
        </w:tc>
        <w:tc>
          <w:tcPr>
            <w:tcW w:w="1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3,291</w:t>
            </w:r>
          </w:p>
        </w:tc>
      </w:tr>
      <w:tr>
        <w:trPr>
          <w:trHeight w:val="26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r>
      <w:tr>
        <w:trPr>
          <w:trHeight w:val="250"/>
        </w:trPr>
        <w:tc>
          <w:tcPr>
            <w:tcW w:w="5840" w:type="dxa"/>
            <w:vAlign w:val="bottom"/>
          </w:tcPr>
          <w:p>
            <w:pPr>
              <w:ind w:left="220"/>
              <w:spacing w:after="0"/>
              <w:rPr>
                <w:sz w:val="20"/>
                <w:szCs w:val="20"/>
                <w:color w:val="auto"/>
              </w:rPr>
            </w:pPr>
            <w:r>
              <w:rPr>
                <w:rFonts w:ascii="Arial" w:cs="Arial" w:eastAsia="Arial" w:hAnsi="Arial"/>
                <w:sz w:val="18"/>
                <w:szCs w:val="18"/>
                <w:b w:val="1"/>
                <w:bCs w:val="1"/>
                <w:color w:val="auto"/>
              </w:rPr>
              <w:t>Amounts reclassified to net income (loss):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7"/>
        </w:trPr>
        <w:tc>
          <w:tcPr>
            <w:tcW w:w="5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losses (gains) on available-for-sale debt securities</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r>
      <w:tr>
        <w:trPr>
          <w:trHeight w:val="250"/>
        </w:trPr>
        <w:tc>
          <w:tcPr>
            <w:tcW w:w="58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(16,965)</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4,751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(103,368)</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5,600</w:t>
            </w:r>
          </w:p>
        </w:tc>
      </w:tr>
      <w:tr>
        <w:trPr>
          <w:trHeight w:val="25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(175,948)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15,548</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Less: Comprehensive loss (income) attributable to non-controlling</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25,569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w:t>
            </w:r>
          </w:p>
        </w:tc>
      </w:tr>
      <w:tr>
        <w:trPr>
          <w:trHeight w:val="281"/>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(26,004)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(150,379)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14,110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JUNE 30, 2020 AND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Treasury</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at cost</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3,713,777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(124,251)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709,928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11,434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4,179,536</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59,455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59,457</w:t>
            </w:r>
          </w:p>
        </w:tc>
      </w:tr>
      <w:tr>
        <w:trPr>
          <w:trHeight w:val="210"/>
        </w:trPr>
        <w:tc>
          <w:tcPr>
            <w:tcW w:w="3160" w:type="dxa"/>
            <w:vAlign w:val="bottom"/>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2,325</w:t>
            </w: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2,205</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4,751</w:t>
            </w:r>
          </w:p>
        </w:tc>
      </w:tr>
      <w:tr>
        <w:trPr>
          <w:trHeight w:val="222"/>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(5,060)</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(263)</w:t>
            </w:r>
          </w:p>
        </w:tc>
      </w:tr>
      <w:tr>
        <w:trPr>
          <w:trHeight w:val="24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3,777,499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704,236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4,242,951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3,307,360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569,446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(137,347)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3,605,575</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w:t>
            </w:r>
          </w:p>
        </w:tc>
      </w:tr>
      <w:tr>
        <w:trPr>
          <w:trHeight w:val="210"/>
        </w:trPr>
        <w:tc>
          <w:tcPr>
            <w:tcW w:w="3160" w:type="dxa"/>
            <w:vAlign w:val="bottom"/>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2,376</w:t>
            </w: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2,125</w:t>
            </w:r>
          </w:p>
        </w:tc>
      </w:tr>
      <w:tr>
        <w:trPr>
          <w:trHeight w:val="194"/>
        </w:trPr>
        <w:tc>
          <w:tcPr>
            <w:tcW w:w="3160" w:type="dxa"/>
            <w:vAlign w:val="bottom"/>
          </w:tcPr>
          <w:p>
            <w:pPr>
              <w:ind w:left="260"/>
              <w:spacing w:after="0"/>
              <w:rPr>
                <w:sz w:val="20"/>
                <w:szCs w:val="20"/>
                <w:color w:val="auto"/>
              </w:rPr>
            </w:pPr>
            <w:r>
              <w:rPr>
                <w:rFonts w:ascii="Arial" w:cs="Arial" w:eastAsia="Arial" w:hAnsi="Arial"/>
                <w:sz w:val="14"/>
                <w:szCs w:val="14"/>
                <w:color w:val="auto"/>
              </w:rPr>
              <w:t>Contribution by non-controlling interest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8"/>
        </w:trPr>
        <w:tc>
          <w:tcPr>
            <w:tcW w:w="3160" w:type="dxa"/>
            <w:vAlign w:val="bottom"/>
          </w:tcPr>
          <w:p>
            <w:pPr>
              <w:ind w:left="260"/>
              <w:spacing w:after="0"/>
              <w:rPr>
                <w:sz w:val="20"/>
                <w:szCs w:val="20"/>
                <w:color w:val="auto"/>
              </w:rPr>
            </w:pPr>
            <w:r>
              <w:rPr>
                <w:rFonts w:ascii="Arial" w:cs="Arial" w:eastAsia="Arial" w:hAnsi="Arial"/>
                <w:sz w:val="14"/>
                <w:szCs w:val="14"/>
                <w:color w:val="auto"/>
              </w:rPr>
              <w:t>holder</w:t>
            </w: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6,000</w:t>
            </w:r>
          </w:p>
        </w:tc>
      </w:tr>
      <w:tr>
        <w:trPr>
          <w:trHeight w:val="222"/>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(16,965)</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(11,412)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(14,843)</w:t>
            </w:r>
          </w:p>
        </w:tc>
      </w:tr>
      <w:tr>
        <w:trPr>
          <w:trHeight w:val="216"/>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r>
      <w:tr>
        <w:trPr>
          <w:trHeight w:val="216"/>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3,311,861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(206,810)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558,034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(137,347)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58,425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3,584,268</w:t>
            </w: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Treasury</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at cost</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15"/>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3,702,522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694,129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15,275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4,155,474</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61,501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61,503</w:t>
            </w:r>
          </w:p>
        </w:tc>
      </w:tr>
      <w:tr>
        <w:trPr>
          <w:trHeight w:val="210"/>
        </w:trPr>
        <w:tc>
          <w:tcPr>
            <w:tcW w:w="3160" w:type="dxa"/>
            <w:vAlign w:val="bottom"/>
          </w:tcPr>
          <w:p>
            <w:pPr>
              <w:ind w:left="480"/>
              <w:spacing w:after="0"/>
              <w:rPr>
                <w:sz w:val="20"/>
                <w:szCs w:val="20"/>
                <w:color w:val="auto"/>
              </w:rPr>
            </w:pPr>
            <w:r>
              <w:rPr>
                <w:rFonts w:ascii="Arial" w:cs="Arial" w:eastAsia="Arial" w:hAnsi="Arial"/>
                <w:sz w:val="14"/>
                <w:szCs w:val="14"/>
                <w:color w:val="auto"/>
              </w:rPr>
              <w:t>Employee benefits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6,654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6,654</w:t>
            </w: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5,074</w:t>
            </w:r>
          </w:p>
        </w:tc>
      </w:tr>
      <w:tr>
        <w:trPr>
          <w:trHeight w:val="210"/>
        </w:trPr>
        <w:tc>
          <w:tcPr>
            <w:tcW w:w="316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4,833</w:t>
            </w:r>
          </w:p>
        </w:tc>
      </w:tr>
      <w:tr>
        <w:trPr>
          <w:trHeight w:val="222"/>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non-controlling interest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(7,313)</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5,600</w:t>
            </w:r>
          </w:p>
        </w:tc>
      </w:tr>
      <w:tr>
        <w:trPr>
          <w:trHeight w:val="222"/>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9,948</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1,178</w:t>
            </w:r>
          </w:p>
        </w:tc>
      </w:tr>
      <w:tr>
        <w:trPr>
          <w:trHeight w:val="24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3,777,499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704,236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4,242,951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3,290,483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632,809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75,748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3,745,553</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Cumulative effect of accounting changes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(9,308)</w:t>
            </w: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(122,138)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623,741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75,508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3,736,245</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506</w:t>
            </w:r>
          </w:p>
        </w:tc>
      </w:tr>
      <w:tr>
        <w:trPr>
          <w:trHeight w:val="210"/>
        </w:trPr>
        <w:tc>
          <w:tcPr>
            <w:tcW w:w="3160" w:type="dxa"/>
            <w:vAlign w:val="bottom"/>
          </w:tcPr>
          <w:p>
            <w:pPr>
              <w:ind w:left="480"/>
              <w:spacing w:after="0"/>
              <w:rPr>
                <w:sz w:val="20"/>
                <w:szCs w:val="20"/>
                <w:color w:val="auto"/>
              </w:rPr>
            </w:pPr>
            <w:r>
              <w:rPr>
                <w:rFonts w:ascii="Arial" w:cs="Arial" w:eastAsia="Arial" w:hAnsi="Arial"/>
                <w:sz w:val="14"/>
                <w:szCs w:val="14"/>
                <w:color w:val="auto"/>
              </w:rPr>
              <w:t>Employee benefits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6,920</w:t>
            </w:r>
          </w:p>
        </w:tc>
      </w:tr>
      <w:tr>
        <w:trPr>
          <w:trHeight w:val="222"/>
        </w:trPr>
        <w:tc>
          <w:tcPr>
            <w:tcW w:w="3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5,300</w:t>
            </w:r>
          </w:p>
        </w:tc>
      </w:tr>
      <w:tr>
        <w:trPr>
          <w:trHeight w:val="210"/>
        </w:trPr>
        <w:tc>
          <w:tcPr>
            <w:tcW w:w="316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4,509</w:t>
            </w:r>
          </w:p>
        </w:tc>
      </w:tr>
      <w:tr>
        <w:trPr>
          <w:trHeight w:val="200"/>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Issuance of equity and contribution of</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assets pursuant to the Yahsat JV formation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2,824</w:t>
            </w:r>
          </w:p>
        </w:tc>
      </w:tr>
      <w:tr>
        <w:trPr>
          <w:trHeight w:val="194"/>
        </w:trPr>
        <w:tc>
          <w:tcPr>
            <w:tcW w:w="3160" w:type="dxa"/>
            <w:vAlign w:val="bottom"/>
          </w:tcPr>
          <w:p>
            <w:pPr>
              <w:ind w:left="260"/>
              <w:spacing w:after="0"/>
              <w:rPr>
                <w:sz w:val="20"/>
                <w:szCs w:val="20"/>
                <w:color w:val="auto"/>
              </w:rPr>
            </w:pPr>
            <w:r>
              <w:rPr>
                <w:rFonts w:ascii="Arial" w:cs="Arial" w:eastAsia="Arial" w:hAnsi="Arial"/>
                <w:sz w:val="14"/>
                <w:szCs w:val="14"/>
                <w:color w:val="auto"/>
              </w:rPr>
              <w:t>Contribution by non-controlling interest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8"/>
        </w:trPr>
        <w:tc>
          <w:tcPr>
            <w:tcW w:w="3160" w:type="dxa"/>
            <w:vAlign w:val="bottom"/>
          </w:tcPr>
          <w:p>
            <w:pPr>
              <w:ind w:left="260"/>
              <w:spacing w:after="0"/>
              <w:rPr>
                <w:sz w:val="20"/>
                <w:szCs w:val="20"/>
                <w:color w:val="auto"/>
              </w:rPr>
            </w:pPr>
            <w:r>
              <w:rPr>
                <w:rFonts w:ascii="Arial" w:cs="Arial" w:eastAsia="Arial" w:hAnsi="Arial"/>
                <w:sz w:val="14"/>
                <w:szCs w:val="14"/>
                <w:color w:val="auto"/>
              </w:rPr>
              <w:t>holder</w:t>
            </w: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10,000</w:t>
            </w:r>
          </w:p>
        </w:tc>
      </w:tr>
      <w:tr>
        <w:trPr>
          <w:trHeight w:val="222"/>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(103,368)</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(65,707)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(72,580)</w:t>
            </w:r>
          </w:p>
        </w:tc>
      </w:tr>
      <w:tr>
        <w:trPr>
          <w:trHeight w:val="222"/>
        </w:trPr>
        <w:tc>
          <w:tcPr>
            <w:tcW w:w="3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(5,893)</w:t>
            </w:r>
          </w:p>
        </w:tc>
      </w:tr>
      <w:tr>
        <w:trPr>
          <w:trHeight w:val="210"/>
        </w:trPr>
        <w:tc>
          <w:tcPr>
            <w:tcW w:w="3160" w:type="dxa"/>
            <w:vAlign w:val="bottom"/>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(195)</w:t>
            </w:r>
          </w:p>
        </w:tc>
      </w:tr>
      <w:tr>
        <w:trPr>
          <w:trHeight w:val="24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3,311,861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558,034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58,425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3,584,268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14605</wp:posOffset>
            </wp:positionV>
            <wp:extent cx="2074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0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0"/>
        </w:trPr>
        <w:tc>
          <w:tcPr>
            <w:tcW w:w="794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(72,580)</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9,948</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Adjustments to reconcile net income (loss) to net cash flows from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0"/>
        </w:trPr>
        <w:tc>
          <w:tcPr>
            <w:tcW w:w="794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262,255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309,631</w:t>
            </w:r>
          </w:p>
        </w:tc>
      </w:tr>
      <w:tr>
        <w:trPr>
          <w:trHeight w:val="222"/>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Losses (gains) on investments,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(19,791)</w:t>
            </w:r>
          </w:p>
        </w:tc>
      </w:tr>
      <w:tr>
        <w:trPr>
          <w:trHeight w:val="210"/>
        </w:trPr>
        <w:tc>
          <w:tcPr>
            <w:tcW w:w="7940" w:type="dxa"/>
            <w:vAlign w:val="bottom"/>
          </w:tcPr>
          <w:p>
            <w:pPr>
              <w:ind w:left="480"/>
              <w:spacing w:after="0"/>
              <w:rPr>
                <w:sz w:val="20"/>
                <w:szCs w:val="20"/>
                <w:color w:val="auto"/>
              </w:rPr>
            </w:pPr>
            <w:r>
              <w:rPr>
                <w:rFonts w:ascii="Arial" w:cs="Arial" w:eastAsia="Arial" w:hAnsi="Arial"/>
                <w:sz w:val="14"/>
                <w:szCs w:val="14"/>
                <w:color w:val="auto"/>
              </w:rPr>
              <w:t>Equity in losses (earnings) of unconsolidated affiliates, net</w:t>
            </w:r>
          </w:p>
        </w:tc>
        <w:tc>
          <w:tcPr>
            <w:tcW w:w="36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3,732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11,107</w:t>
            </w:r>
          </w:p>
        </w:tc>
      </w:tr>
      <w:tr>
        <w:trPr>
          <w:trHeight w:val="222"/>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transaction losses (gains),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r>
      <w:tr>
        <w:trPr>
          <w:trHeight w:val="210"/>
        </w:trPr>
        <w:tc>
          <w:tcPr>
            <w:tcW w:w="7940" w:type="dxa"/>
            <w:vAlign w:val="bottom"/>
          </w:tcPr>
          <w:p>
            <w:pPr>
              <w:ind w:left="480"/>
              <w:spacing w:after="0"/>
              <w:rPr>
                <w:sz w:val="20"/>
                <w:szCs w:val="20"/>
                <w:color w:val="auto"/>
              </w:rPr>
            </w:pPr>
            <w:r>
              <w:rPr>
                <w:rFonts w:ascii="Arial" w:cs="Arial" w:eastAsia="Arial" w:hAnsi="Arial"/>
                <w:sz w:val="14"/>
                <w:szCs w:val="14"/>
                <w:color w:val="auto"/>
              </w:rPr>
              <w:t>Deferred tax provision (benefit), net</w:t>
            </w: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7,014</w:t>
            </w:r>
          </w:p>
        </w:tc>
      </w:tr>
      <w:tr>
        <w:trPr>
          <w:trHeight w:val="222"/>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4,833</w:t>
            </w:r>
          </w:p>
        </w:tc>
      </w:tr>
      <w:tr>
        <w:trPr>
          <w:trHeight w:val="210"/>
        </w:trPr>
        <w:tc>
          <w:tcPr>
            <w:tcW w:w="7940" w:type="dxa"/>
            <w:vAlign w:val="bottom"/>
          </w:tcPr>
          <w:p>
            <w:pPr>
              <w:ind w:left="4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3,872</w:t>
            </w:r>
          </w:p>
        </w:tc>
      </w:tr>
      <w:tr>
        <w:trPr>
          <w:trHeight w:val="222"/>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2,742</w:t>
            </w:r>
          </w:p>
        </w:tc>
      </w:tr>
      <w:tr>
        <w:trPr>
          <w:trHeight w:val="210"/>
        </w:trPr>
        <w:tc>
          <w:tcPr>
            <w:tcW w:w="7940" w:type="dxa"/>
            <w:vAlign w:val="bottom"/>
          </w:tcPr>
          <w:p>
            <w:pPr>
              <w:ind w:left="480"/>
              <w:spacing w:after="0"/>
              <w:rPr>
                <w:sz w:val="20"/>
                <w:szCs w:val="20"/>
                <w:color w:val="auto"/>
              </w:rPr>
            </w:pPr>
            <w:r>
              <w:rPr>
                <w:rFonts w:ascii="Arial" w:cs="Arial" w:eastAsia="Arial" w:hAnsi="Arial"/>
                <w:sz w:val="14"/>
                <w:szCs w:val="14"/>
                <w:b w:val="1"/>
                <w:bCs w:val="1"/>
                <w:color w:val="auto"/>
              </w:rPr>
              <w:t>Changes in assets and liabilities, net: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79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Trade accounts receivable and contract assets,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r>
      <w:tr>
        <w:trPr>
          <w:trHeight w:val="210"/>
        </w:trPr>
        <w:tc>
          <w:tcPr>
            <w:tcW w:w="7940" w:type="dxa"/>
            <w:vAlign w:val="bottom"/>
          </w:tcPr>
          <w:p>
            <w:pPr>
              <w:ind w:left="700"/>
              <w:spacing w:after="0"/>
              <w:rPr>
                <w:sz w:val="20"/>
                <w:szCs w:val="20"/>
                <w:color w:val="auto"/>
              </w:rPr>
            </w:pPr>
            <w:r>
              <w:rPr>
                <w:rFonts w:ascii="Arial" w:cs="Arial" w:eastAsia="Arial" w:hAnsi="Arial"/>
                <w:sz w:val="14"/>
                <w:szCs w:val="14"/>
                <w:color w:val="auto"/>
              </w:rPr>
              <w:t>Other current assets, net</w:t>
            </w: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22"/>
        </w:trPr>
        <w:tc>
          <w:tcPr>
            <w:tcW w:w="79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Trade accounts payable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r>
      <w:tr>
        <w:trPr>
          <w:trHeight w:val="210"/>
        </w:trPr>
        <w:tc>
          <w:tcPr>
            <w:tcW w:w="7940" w:type="dxa"/>
            <w:vAlign w:val="bottom"/>
          </w:tcPr>
          <w:p>
            <w:pPr>
              <w:ind w:left="700"/>
              <w:spacing w:after="0"/>
              <w:rPr>
                <w:sz w:val="20"/>
                <w:szCs w:val="20"/>
                <w:color w:val="auto"/>
              </w:rPr>
            </w:pPr>
            <w:r>
              <w:rPr>
                <w:rFonts w:ascii="Arial" w:cs="Arial" w:eastAsia="Arial" w:hAnsi="Arial"/>
                <w:sz w:val="14"/>
                <w:szCs w:val="14"/>
                <w:color w:val="auto"/>
              </w:rPr>
              <w:t>Contract liabilities</w:t>
            </w: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(11,229)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34,024</w:t>
            </w:r>
          </w:p>
        </w:tc>
      </w:tr>
      <w:tr>
        <w:trPr>
          <w:trHeight w:val="222"/>
        </w:trPr>
        <w:tc>
          <w:tcPr>
            <w:tcW w:w="79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16,800</w:t>
            </w:r>
          </w:p>
        </w:tc>
      </w:tr>
      <w:tr>
        <w:trPr>
          <w:trHeight w:val="210"/>
        </w:trPr>
        <w:tc>
          <w:tcPr>
            <w:tcW w:w="794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Non-current assets and non-current liabilities,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from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245,280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380,774</w:t>
            </w:r>
          </w:p>
        </w:tc>
      </w:tr>
      <w:tr>
        <w:trPr>
          <w:trHeight w:val="202"/>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940" w:type="dxa"/>
            <w:vAlign w:val="bottom"/>
          </w:tcPr>
          <w:p>
            <w:pPr>
              <w:ind w:left="260"/>
              <w:spacing w:after="0"/>
              <w:rPr>
                <w:sz w:val="20"/>
                <w:szCs w:val="20"/>
                <w:color w:val="auto"/>
              </w:rPr>
            </w:pPr>
            <w:r>
              <w:rPr>
                <w:rFonts w:ascii="Arial" w:cs="Arial" w:eastAsia="Arial" w:hAnsi="Arial"/>
                <w:sz w:val="14"/>
                <w:szCs w:val="14"/>
                <w:color w:val="auto"/>
              </w:rPr>
              <w:t>Purchases of marketable investment securities</w:t>
            </w: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(555,367)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(504,264)</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maturities of marketable investment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977,532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1,621,481</w:t>
            </w:r>
          </w:p>
        </w:tc>
      </w:tr>
      <w:tr>
        <w:trPr>
          <w:trHeight w:val="210"/>
        </w:trPr>
        <w:tc>
          <w:tcPr>
            <w:tcW w:w="7940" w:type="dxa"/>
            <w:vAlign w:val="bottom"/>
          </w:tcPr>
          <w:p>
            <w:pPr>
              <w:ind w:left="260"/>
              <w:spacing w:after="0"/>
              <w:rPr>
                <w:sz w:val="20"/>
                <w:szCs w:val="20"/>
                <w:color w:val="auto"/>
              </w:rPr>
            </w:pPr>
            <w:r>
              <w:rPr>
                <w:rFonts w:ascii="Arial" w:cs="Arial" w:eastAsia="Arial" w:hAnsi="Arial"/>
                <w:sz w:val="14"/>
                <w:szCs w:val="14"/>
                <w:color w:val="auto"/>
              </w:rPr>
              <w:t>Purchase of other investments</w:t>
            </w: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Expenditures for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(219,440)</w:t>
            </w:r>
          </w:p>
        </w:tc>
      </w:tr>
      <w:tr>
        <w:trPr>
          <w:trHeight w:val="210"/>
        </w:trPr>
        <w:tc>
          <w:tcPr>
            <w:tcW w:w="79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Expenditures for externally marketed software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(15,329)</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from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200,524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882,448</w:t>
            </w:r>
          </w:p>
        </w:tc>
      </w:tr>
      <w:tr>
        <w:trPr>
          <w:trHeight w:val="202"/>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940" w:type="dxa"/>
            <w:vAlign w:val="bottom"/>
          </w:tcPr>
          <w:p>
            <w:pPr>
              <w:ind w:left="260"/>
              <w:spacing w:after="0"/>
              <w:rPr>
                <w:sz w:val="20"/>
                <w:szCs w:val="20"/>
                <w:color w:val="auto"/>
              </w:rPr>
            </w:pPr>
            <w:r>
              <w:rPr>
                <w:rFonts w:ascii="Arial" w:cs="Arial" w:eastAsia="Arial" w:hAnsi="Arial"/>
                <w:sz w:val="14"/>
                <w:szCs w:val="14"/>
                <w:color w:val="auto"/>
              </w:rPr>
              <w:t>Repurchase and maturity of the 2019 Senior Secured Notes</w:t>
            </w:r>
          </w:p>
        </w:tc>
        <w:tc>
          <w:tcPr>
            <w:tcW w:w="3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(920,923)</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Payment of finance lease obligations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(20,008)</w:t>
            </w:r>
          </w:p>
        </w:tc>
      </w:tr>
      <w:tr>
        <w:trPr>
          <w:trHeight w:val="210"/>
        </w:trPr>
        <w:tc>
          <w:tcPr>
            <w:tcW w:w="7940" w:type="dxa"/>
            <w:vAlign w:val="bottom"/>
          </w:tcPr>
          <w:p>
            <w:pPr>
              <w:ind w:left="260"/>
              <w:spacing w:after="0"/>
              <w:rPr>
                <w:sz w:val="20"/>
                <w:szCs w:val="20"/>
                <w:color w:val="auto"/>
              </w:rPr>
            </w:pPr>
            <w:r>
              <w:rPr>
                <w:rFonts w:ascii="Arial" w:cs="Arial" w:eastAsia="Arial" w:hAnsi="Arial"/>
                <w:sz w:val="14"/>
                <w:szCs w:val="14"/>
                <w:color w:val="auto"/>
              </w:rPr>
              <w:t>Payment of in-orbit incentive obligations</w:t>
            </w: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(3,778)</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proceeds from Class A common stock options exercised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61,503</w:t>
            </w:r>
          </w:p>
        </w:tc>
      </w:tr>
      <w:tr>
        <w:trPr>
          <w:trHeight w:val="210"/>
        </w:trPr>
        <w:tc>
          <w:tcPr>
            <w:tcW w:w="7940" w:type="dxa"/>
            <w:vAlign w:val="bottom"/>
          </w:tcPr>
          <w:p>
            <w:pPr>
              <w:ind w:left="26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36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5,074</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share purchase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Pr>
          <w:p>
            <w:pPr>
              <w:ind w:left="260"/>
              <w:spacing w:after="0"/>
              <w:rPr>
                <w:sz w:val="20"/>
                <w:szCs w:val="20"/>
                <w:color w:val="auto"/>
              </w:rPr>
            </w:pPr>
            <w:r>
              <w:rPr>
                <w:rFonts w:ascii="Arial" w:cs="Arial" w:eastAsia="Arial" w:hAnsi="Arial"/>
                <w:sz w:val="14"/>
                <w:szCs w:val="14"/>
                <w:color w:val="auto"/>
              </w:rPr>
              <w:t>Contribution by non-controlling interest holder</w:t>
            </w:r>
          </w:p>
        </w:tc>
        <w:tc>
          <w:tcPr>
            <w:tcW w:w="36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non-controlling interest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(7,313)</w:t>
            </w:r>
          </w:p>
        </w:tc>
      </w:tr>
      <w:tr>
        <w:trPr>
          <w:trHeight w:val="210"/>
        </w:trPr>
        <w:tc>
          <w:tcPr>
            <w:tcW w:w="79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from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9,075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(885,712)</w:t>
            </w:r>
          </w:p>
        </w:tc>
      </w:tr>
      <w:tr>
        <w:trPr>
          <w:trHeight w:val="202"/>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r>
      <w:tr>
        <w:trPr>
          <w:trHeight w:val="209"/>
        </w:trPr>
        <w:tc>
          <w:tcPr>
            <w:tcW w:w="79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435,647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377,631</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1,521,889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929,495</w:t>
            </w:r>
          </w:p>
        </w:tc>
      </w:tr>
      <w:tr>
        <w:trPr>
          <w:trHeight w:val="215"/>
        </w:trPr>
        <w:tc>
          <w:tcPr>
            <w:tcW w:w="7940" w:type="dxa"/>
            <w:vAlign w:val="bottom"/>
          </w:tcPr>
          <w:p>
            <w:pPr>
              <w:ind w:left="2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1,957,536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1,307,126</w:t>
            </w:r>
          </w:p>
        </w:tc>
      </w:tr>
      <w:tr>
        <w:trPr>
          <w:trHeight w:val="21"/>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263" w:lineRule="exact"/>
        <w:rPr>
          <w:sz w:val="20"/>
          <w:szCs w:val="20"/>
          <w:color w:val="auto"/>
        </w:rPr>
      </w:pPr>
    </w:p>
    <w:p>
      <w:pPr>
        <w:jc w:val="both"/>
        <w:ind w:left="660" w:hanging="328"/>
        <w:spacing w:after="0" w:line="25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U.S. government service providers, internet service providers, broadcast news organizations, content providers and private enterprise customers.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IT, Finance, Accounting, Real Estate and Legal) and other activities that have not been assigned to our business segments such as costs incurred in certain satellite development programs and other business development activities, and gains or losses from certain of our investments. These activities, costs and income, as well as eliminations of intersegment transactions, are accounted for in </w:t>
      </w:r>
      <w:r>
        <w:rPr>
          <w:rFonts w:ascii="Arial" w:cs="Arial" w:eastAsia="Arial" w:hAnsi="Arial"/>
          <w:sz w:val="18"/>
          <w:szCs w:val="18"/>
          <w:i w:val="1"/>
          <w:iCs w:val="1"/>
          <w:color w:val="auto"/>
        </w:rPr>
        <w:t>Corporate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We also divide our operations by primary geographic market as follows: (i) North America (the U.S. and its territories, Mexico,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Canada); (ii) South and Central America and; (iii) All other (Asia, Africa, Australia, Europe, India, and the Middle East). Refer to </w:t>
      </w:r>
      <w:r>
        <w:rPr>
          <w:rFonts w:ascii="Arial" w:cs="Arial" w:eastAsia="Arial" w:hAnsi="Arial"/>
          <w:sz w:val="18"/>
          <w:szCs w:val="18"/>
          <w:i w:val="1"/>
          <w:iCs w:val="1"/>
          <w:color w:val="auto"/>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 Reporting </w:t>
      </w:r>
      <w:r>
        <w:rPr>
          <w:rFonts w:ascii="Arial" w:cs="Arial" w:eastAsia="Arial" w:hAnsi="Arial"/>
          <w:sz w:val="18"/>
          <w:szCs w:val="18"/>
          <w:color w:val="auto"/>
        </w:rPr>
        <w:t>for further detail</w:t>
      </w:r>
      <w:r>
        <w:rPr>
          <w:rFonts w:ascii="Arial" w:cs="Arial" w:eastAsia="Arial" w:hAnsi="Arial"/>
          <w:sz w:val="18"/>
          <w:szCs w:val="18"/>
          <w:i w:val="1"/>
          <w:iCs w:val="1"/>
          <w:color w:val="auto"/>
        </w:rPr>
        <w:t>.</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as such, excluded from continuing operations and segment results for the three and six months ended June 30, 2019, as presented in these unaudited Condensed Consolidated Financial Statements and the accompanying notes (collectively, the “Condensed Consolidated Financial Statements”).</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All amounts in the following footnotes reference results from continuing operations unless otherwise noted. Refer to </w:t>
      </w:r>
      <w:r>
        <w:rPr>
          <w:rFonts w:ascii="Arial" w:cs="Arial" w:eastAsia="Arial" w:hAnsi="Arial"/>
          <w:sz w:val="18"/>
          <w:szCs w:val="18"/>
          <w:i w:val="1"/>
          <w:iCs w:val="1"/>
          <w:color w:val="auto"/>
        </w:rPr>
        <w:t>Note 4.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further detail.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Condensed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amounts presented in these Condensed Consolidated Financial Statements are expressed in thousands of U.S. dollars, except share and per share amounts and unless otherwise noted.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Condensed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consolidated financial statements. Additionally, changing economic and other conditions may increase the inherent uncertainty in the estimates and assumptions indicated above. We review our estimates and assumptions periodically and the effects of revisions thereto are reflected in the period they occur or prospectively if the revised estimates or assumptions affect future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2020, we adopted Accounting Standards Update (“ASU”) No. 2016-13 -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 amended, and codified in Accounting Standards Codification Topic 326 (“ASC 326”). ASC 326 introduces a new approach to the periodic estimation of credit losses for certain financial assets based on expected losses instead of incurred losses. It also modifies the impairment model for available-for-sale debt securities and provides a simplified accounting model for purchased financial assets that have experienced credit deterioration since their original purchase. We have elected to apply the requirements of the new standard prospectively and we recognized a cumulative effect of adoption of $9.1 million to </w:t>
      </w:r>
      <w:r>
        <w:rPr>
          <w:rFonts w:ascii="Arial" w:cs="Arial" w:eastAsia="Arial" w:hAnsi="Arial"/>
          <w:sz w:val="18"/>
          <w:szCs w:val="18"/>
          <w:i w:val="1"/>
          <w:iCs w:val="1"/>
          <w:color w:val="auto"/>
        </w:rPr>
        <w:t>Accumulated earnings (losses)</w:t>
      </w:r>
      <w:r>
        <w:rPr>
          <w:rFonts w:ascii="Arial" w:cs="Arial" w:eastAsia="Arial" w:hAnsi="Arial"/>
          <w:sz w:val="18"/>
          <w:szCs w:val="18"/>
          <w:color w:val="auto"/>
        </w:rPr>
        <w:t xml:space="preserve"> as of January 1, 2020. Based on this election, we did not restate our comparative Condensed Consolidated Financial Statements and they continue to be reported under the accounting standards in effect for the periods before January 1, 2020.</w:t>
      </w:r>
    </w:p>
    <w:p>
      <w:pPr>
        <w:spacing w:after="0" w:line="2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describes the accounting impacts, by major balance sheet line item, of our adoption of this new standard based on the relevant types of losses that we and our equity method investees may be subject to:</w:t>
      </w:r>
    </w:p>
    <w:p>
      <w:pPr>
        <w:spacing w:after="0" w:line="203" w:lineRule="exact"/>
        <w:rPr>
          <w:sz w:val="20"/>
          <w:szCs w:val="20"/>
          <w:color w:val="auto"/>
        </w:rPr>
      </w:pPr>
    </w:p>
    <w:p>
      <w:pPr>
        <w:jc w:val="both"/>
        <w:ind w:left="660" w:hanging="328"/>
        <w:spacing w:after="0" w:line="257"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and Contract Assets, Net </w:t>
      </w:r>
      <w:r>
        <w:rPr>
          <w:rFonts w:ascii="Arial" w:cs="Arial" w:eastAsia="Arial" w:hAnsi="Arial"/>
          <w:sz w:val="18"/>
          <w:szCs w:val="18"/>
          <w:color w:val="auto"/>
        </w:rPr>
        <w:t>— Our trade accounts receivables and contract assets consist of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from both our consumer and enterprise customers. Our receivables and related credit losses for our consumer customers are limited due to policies that require advance payment for services, predominant use of credit card and ACH payment processes, and our ability to promptly terminate service when timely payments are not received. However, for our enterprise customers, we estimate expected credit losses on a collective basis based on our historical loss experience, as adjusted to reflect changes in relevant factors, such as macroeconomic conditions and customer mix, that can significantly impact collectability.</w:t>
      </w:r>
    </w:p>
    <w:p>
      <w:pPr>
        <w:spacing w:after="0" w:line="231" w:lineRule="exact"/>
        <w:rPr>
          <w:rFonts w:ascii="Arial" w:cs="Arial" w:eastAsia="Arial" w:hAnsi="Arial"/>
          <w:sz w:val="18"/>
          <w:szCs w:val="18"/>
          <w:b w:val="1"/>
          <w:bCs w:val="1"/>
          <w:i w:val="1"/>
          <w:iCs w:val="1"/>
          <w:color w:val="auto"/>
        </w:rPr>
      </w:pPr>
    </w:p>
    <w:p>
      <w:pPr>
        <w:jc w:val="both"/>
        <w:ind w:left="66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apply our collective estimation processes separately to several pools of receivables that share common risk characteristics, generally based on the customers’ geographical location. Customers with significant past-due balances or other atypical characteristics are excluded from our collective analysis and evaluated on a case-by-case basis. Our estimates of expected credit losses for such receivables reflect significant judgments that consider customer-specific matters such as the customer’s financial condition, payment history, and recent developments in the customer’s business and industry. Due to the short-term nature of our trade receivables and contract assets, forecasts about the future have limited relevance to our expected credit loss estimates.</w:t>
      </w:r>
    </w:p>
    <w:p>
      <w:pPr>
        <w:spacing w:after="0" w:line="216"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customer related estimated credit losses as a component of our bad debt expense as reported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p>
    <w:p>
      <w:pPr>
        <w:spacing w:after="0" w:line="184"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Other Non-current Assets, Net </w:t>
      </w:r>
      <w:r>
        <w:rPr>
          <w:rFonts w:ascii="Arial" w:cs="Arial" w:eastAsia="Arial" w:hAnsi="Arial"/>
          <w:sz w:val="18"/>
          <w:szCs w:val="18"/>
          <w:color w:val="auto"/>
        </w:rPr>
        <w:t>— We estimate expected credit losses for receivables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terms longer than one year separately by borrower, due to the unique risk characteristics of such receivables.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non-current receivables are from entities in the telecommunications industry. The collection of contractual principal and interest on these receivables is highly dependent on the future business operations of those entities. Our estimation of expected credit losses for such receivables requires significant judgment about matters specific to the borrower and their industry. Accordingly, our actual collection experience may differ from the assumptions reflected in our expected credit loss estimates.</w:t>
      </w:r>
    </w:p>
    <w:p>
      <w:pPr>
        <w:spacing w:after="0" w:line="215"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estimated credit losses as a component of our bad debt expense as reported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p>
    <w:p>
      <w:pPr>
        <w:spacing w:after="0" w:line="184"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Investments, Net </w:t>
      </w:r>
      <w:r>
        <w:rPr>
          <w:rFonts w:ascii="Arial" w:cs="Arial" w:eastAsia="Arial" w:hAnsi="Arial"/>
          <w:sz w:val="18"/>
          <w:szCs w:val="18"/>
          <w:color w:val="auto"/>
        </w:rPr>
        <w:t>— We estimate expected credit losses on our other debt investments with payment terms longer than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separately by debtor, due to the unique risk characteristics of such debt investments. We generally use discounted cash flow techniques to estimate such credit losses.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applying such techniques, we may estimate principal and interest cash flows under probability-weighted scenarios that consider entity-specific matters and forecasted economic conditions. The majority of our other debt investments are with entities in the telecommunications industry. The collection of contractual principal and interest on these debt investments are highly dependent on the future business operations of those entities. Our estimation of expected credit losses for such debt investments require significant judgment about matters specific to the debtor and their industry. Accordingly, our actual collection experience may differ from the assumptions reflected in our expected credit loss estimates.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record our other debt investments related estimated credit losses as a reduction of </w:t>
      </w:r>
      <w:r>
        <w:rPr>
          <w:rFonts w:ascii="Arial" w:cs="Arial" w:eastAsia="Arial" w:hAnsi="Arial"/>
          <w:sz w:val="18"/>
          <w:szCs w:val="18"/>
          <w:i w:val="1"/>
          <w:iCs w:val="1"/>
          <w:color w:val="auto"/>
        </w:rPr>
        <w:t>Interest income, net.</w:t>
      </w:r>
    </w:p>
    <w:p>
      <w:pPr>
        <w:spacing w:after="0" w:line="2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Our adoption of this new standard resulted in the following adjustments to our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Adoption of</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3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Balance at December 31,</w:t>
            </w:r>
          </w:p>
        </w:tc>
        <w:tc>
          <w:tcPr>
            <w:tcW w:w="220" w:type="dxa"/>
            <w:vAlign w:val="bottom"/>
          </w:tcPr>
          <w:p>
            <w:pPr>
              <w:spacing w:after="0"/>
              <w:rPr>
                <w:sz w:val="17"/>
                <w:szCs w:val="17"/>
                <w:color w:val="auto"/>
              </w:rPr>
            </w:pPr>
          </w:p>
        </w:tc>
        <w:tc>
          <w:tcPr>
            <w:tcW w:w="20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ASC 326 Increase</w:t>
            </w:r>
          </w:p>
        </w:tc>
        <w:tc>
          <w:tcPr>
            <w:tcW w:w="260" w:type="dxa"/>
            <w:vAlign w:val="bottom"/>
          </w:tcPr>
          <w:p>
            <w:pPr>
              <w:spacing w:after="0"/>
              <w:rPr>
                <w:sz w:val="17"/>
                <w:szCs w:val="17"/>
                <w:color w:val="auto"/>
              </w:rPr>
            </w:pPr>
          </w:p>
        </w:tc>
        <w:tc>
          <w:tcPr>
            <w:tcW w:w="192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Balance at</w:t>
            </w:r>
          </w:p>
        </w:tc>
      </w:tr>
      <w:tr>
        <w:trPr>
          <w:trHeight w:val="246"/>
        </w:trPr>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(Decrease)</w:t>
            </w:r>
          </w:p>
        </w:tc>
        <w:tc>
          <w:tcPr>
            <w:tcW w:w="260" w:type="dxa"/>
            <w:vAlign w:val="bottom"/>
          </w:tcPr>
          <w:p>
            <w:pPr>
              <w:spacing w:after="0"/>
              <w:rPr>
                <w:sz w:val="21"/>
                <w:szCs w:val="21"/>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January 1, 2020</w:t>
            </w:r>
          </w:p>
        </w:tc>
      </w:tr>
      <w:tr>
        <w:trPr>
          <w:trHeight w:val="257"/>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contract assets, net</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196,629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(13,672)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182,957</w:t>
            </w: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Other current assets, net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179,531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186,254</w:t>
            </w:r>
          </w:p>
        </w:tc>
      </w:tr>
      <w:tr>
        <w:trPr>
          <w:trHeight w:val="26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net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325,405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318,024</w:t>
            </w: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334,841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338,891</w:t>
            </w:r>
          </w:p>
        </w:tc>
      </w:tr>
      <w:tr>
        <w:trPr>
          <w:trHeight w:val="26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7,154,298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7,144,018</w:t>
            </w: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351,692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350,720</w:t>
            </w:r>
          </w:p>
        </w:tc>
      </w:tr>
      <w:tr>
        <w:trPr>
          <w:trHeight w:val="26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 (losses)</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632,809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623,741</w:t>
            </w: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75,748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75,508</w:t>
            </w:r>
          </w:p>
        </w:tc>
      </w:tr>
      <w:tr>
        <w:trPr>
          <w:trHeight w:val="26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3,745,553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3,736,245</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7,154,298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7,144,018</w:t>
            </w: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application of ASC 326 requirements did not materially affect our Condensed Consolidated Statements of Operations for the three and six months ended June 30,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FASB’s overall simplification initiative and seeks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updating certain guidance and removing certain exceptions. The updated guidance is effective for fiscal years beginning after December 15, 2020 and interim periods within those fiscal years. Early adoption is permitted. We are currently assessing the impact of adopting this new guidance, but do not expect it to have a material impact on our consolidated financial statements.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(“IBORs”)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are currently assessing the impact of adopting this new guidance, but do not expect it to have a material impact on our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NOTE 3. REVENUE RECOGNITION</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Contract Balances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9"/>
        </w:trPr>
        <w:tc>
          <w:tcPr>
            <w:tcW w:w="790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1"/>
        </w:trPr>
        <w:tc>
          <w:tcPr>
            <w:tcW w:w="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80" w:type="dxa"/>
            <w:vAlign w:val="bottom"/>
          </w:tcPr>
          <w:p>
            <w:pPr>
              <w:spacing w:after="0"/>
              <w:rPr>
                <w:sz w:val="21"/>
                <w:szCs w:val="21"/>
                <w:color w:val="auto"/>
              </w:rPr>
            </w:pPr>
          </w:p>
        </w:tc>
        <w:tc>
          <w:tcPr>
            <w:tcW w:w="78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43"/>
        </w:trPr>
        <w:tc>
          <w:tcPr>
            <w:tcW w:w="80" w:type="dxa"/>
            <w:vAlign w:val="bottom"/>
          </w:tcPr>
          <w:p>
            <w:pPr>
              <w:spacing w:after="0"/>
              <w:rPr>
                <w:sz w:val="21"/>
                <w:szCs w:val="21"/>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Sales and services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157,459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152,632</w:t>
            </w:r>
          </w:p>
        </w:tc>
      </w:tr>
      <w:tr>
        <w:trPr>
          <w:trHeight w:val="263"/>
        </w:trPr>
        <w:tc>
          <w:tcPr>
            <w:tcW w:w="80" w:type="dxa"/>
            <w:vAlign w:val="bottom"/>
          </w:tcPr>
          <w:p>
            <w:pPr>
              <w:spacing w:after="0"/>
              <w:rPr>
                <w:sz w:val="22"/>
                <w:szCs w:val="22"/>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Leasing</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4,110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4,016</w:t>
            </w:r>
          </w:p>
        </w:tc>
      </w:tr>
      <w:tr>
        <w:trPr>
          <w:trHeight w:val="243"/>
        </w:trPr>
        <w:tc>
          <w:tcPr>
            <w:tcW w:w="80" w:type="dxa"/>
            <w:vAlign w:val="bottom"/>
          </w:tcPr>
          <w:p>
            <w:pPr>
              <w:spacing w:after="0"/>
              <w:rPr>
                <w:sz w:val="21"/>
                <w:szCs w:val="21"/>
                <w:color w:val="auto"/>
              </w:rPr>
            </w:pPr>
          </w:p>
        </w:tc>
        <w:tc>
          <w:tcPr>
            <w:tcW w:w="7820" w:type="dxa"/>
            <w:vAlign w:val="bottom"/>
          </w:tcPr>
          <w:p>
            <w:pPr>
              <w:ind w:left="440"/>
              <w:spacing w:after="0"/>
              <w:rPr>
                <w:sz w:val="20"/>
                <w:szCs w:val="20"/>
                <w:color w:val="auto"/>
              </w:rPr>
            </w:pPr>
            <w:r>
              <w:rPr>
                <w:rFonts w:ascii="Arial" w:cs="Arial" w:eastAsia="Arial" w:hAnsi="Arial"/>
                <w:sz w:val="18"/>
                <w:szCs w:val="18"/>
                <w:color w:val="auto"/>
              </w:rPr>
              <w:t>Total trade accounts receivable</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161,569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156,648</w:t>
            </w:r>
          </w:p>
        </w:tc>
      </w:tr>
      <w:tr>
        <w:trPr>
          <w:trHeight w:val="263"/>
        </w:trPr>
        <w:tc>
          <w:tcPr>
            <w:tcW w:w="80" w:type="dxa"/>
            <w:vAlign w:val="bottom"/>
          </w:tcPr>
          <w:p>
            <w:pPr>
              <w:spacing w:after="0"/>
              <w:rPr>
                <w:sz w:val="22"/>
                <w:szCs w:val="22"/>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63,758</w:t>
            </w:r>
          </w:p>
        </w:tc>
      </w:tr>
      <w:tr>
        <w:trPr>
          <w:trHeight w:val="250"/>
        </w:trPr>
        <w:tc>
          <w:tcPr>
            <w:tcW w:w="80" w:type="dxa"/>
            <w:vAlign w:val="bottom"/>
          </w:tcPr>
          <w:p>
            <w:pPr>
              <w:spacing w:after="0"/>
              <w:rPr>
                <w:sz w:val="21"/>
                <w:szCs w:val="21"/>
                <w:color w:val="auto"/>
              </w:rPr>
            </w:pPr>
          </w:p>
        </w:tc>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(16,413)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(23,777)</w:t>
            </w:r>
          </w:p>
        </w:tc>
      </w:tr>
      <w:tr>
        <w:trPr>
          <w:trHeight w:val="275"/>
        </w:trPr>
        <w:tc>
          <w:tcPr>
            <w:tcW w:w="80" w:type="dxa"/>
            <w:vAlign w:val="bottom"/>
          </w:tcPr>
          <w:p>
            <w:pPr>
              <w:spacing w:after="0"/>
              <w:rPr>
                <w:sz w:val="23"/>
                <w:szCs w:val="23"/>
                <w:color w:val="auto"/>
              </w:rPr>
            </w:pPr>
          </w:p>
        </w:tc>
        <w:tc>
          <w:tcPr>
            <w:tcW w:w="7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trade accounts receivable and contract assets,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183,379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196,629</w:t>
            </w:r>
          </w:p>
        </w:tc>
      </w:tr>
      <w:tr>
        <w:trPr>
          <w:trHeight w:val="20"/>
        </w:trPr>
        <w:tc>
          <w:tcPr>
            <w:tcW w:w="8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7"/>
        </w:trPr>
        <w:tc>
          <w:tcPr>
            <w:tcW w:w="8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liabilities: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89,831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101,060</w:t>
            </w:r>
          </w:p>
        </w:tc>
      </w:tr>
      <w:tr>
        <w:trPr>
          <w:trHeight w:val="263"/>
        </w:trPr>
        <w:tc>
          <w:tcPr>
            <w:tcW w:w="80" w:type="dxa"/>
            <w:vAlign w:val="bottom"/>
          </w:tcPr>
          <w:p>
            <w:pPr>
              <w:spacing w:after="0"/>
              <w:rPr>
                <w:sz w:val="22"/>
                <w:szCs w:val="22"/>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11,048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10,572</w:t>
            </w:r>
          </w:p>
        </w:tc>
      </w:tr>
      <w:tr>
        <w:trPr>
          <w:trHeight w:val="244"/>
        </w:trPr>
        <w:tc>
          <w:tcPr>
            <w:tcW w:w="80" w:type="dxa"/>
            <w:vAlign w:val="bottom"/>
          </w:tcPr>
          <w:p>
            <w:pPr>
              <w:spacing w:after="0"/>
              <w:rPr>
                <w:sz w:val="21"/>
                <w:szCs w:val="21"/>
                <w:color w:val="auto"/>
              </w:rPr>
            </w:pPr>
          </w:p>
        </w:tc>
        <w:tc>
          <w:tcPr>
            <w:tcW w:w="7820" w:type="dxa"/>
            <w:vAlign w:val="bottom"/>
          </w:tcPr>
          <w:p>
            <w:pPr>
              <w:ind w:left="440"/>
              <w:spacing w:after="0"/>
              <w:rPr>
                <w:sz w:val="20"/>
                <w:szCs w:val="20"/>
                <w:color w:val="auto"/>
              </w:rPr>
            </w:pPr>
            <w:r>
              <w:rPr>
                <w:rFonts w:ascii="Arial" w:cs="Arial" w:eastAsia="Arial" w:hAnsi="Arial"/>
                <w:sz w:val="18"/>
                <w:szCs w:val="18"/>
                <w:color w:val="auto"/>
              </w:rPr>
              <w:t>Total contract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100,879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111,632</w:t>
            </w:r>
          </w:p>
        </w:tc>
      </w:tr>
      <w:tr>
        <w:trPr>
          <w:trHeight w:val="27"/>
        </w:trPr>
        <w:tc>
          <w:tcPr>
            <w:tcW w:w="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revenue recognized in the Condensed Consolidated Statements of Operations that was previously included within contract liabilities: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9"/>
              </w:rPr>
              <w:t>For the 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20" w:type="dxa"/>
            <w:vAlign w:val="bottom"/>
          </w:tcPr>
          <w:p>
            <w:pPr>
              <w:spacing w:after="0"/>
              <w:rPr>
                <w:sz w:val="18"/>
                <w:szCs w:val="18"/>
                <w:color w:val="auto"/>
              </w:rPr>
            </w:pPr>
          </w:p>
        </w:tc>
      </w:tr>
      <w:tr>
        <w:trPr>
          <w:trHeight w:val="246"/>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w w:val="99"/>
              </w:rPr>
              <w:t>June 30,</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7,614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8,290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59,786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47,773</w:t>
            </w:r>
          </w:p>
        </w:tc>
        <w:tc>
          <w:tcPr>
            <w:tcW w:w="20" w:type="dxa"/>
            <w:vAlign w:val="bottom"/>
          </w:tcPr>
          <w:p>
            <w:pPr>
              <w:spacing w:after="0"/>
              <w:rPr>
                <w:sz w:val="24"/>
                <w:szCs w:val="24"/>
                <w:color w:val="auto"/>
              </w:rPr>
            </w:pPr>
          </w:p>
        </w:tc>
      </w:tr>
      <w:tr>
        <w:trPr>
          <w:trHeight w:val="20"/>
        </w:trPr>
        <w:tc>
          <w:tcPr>
            <w:tcW w:w="58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7240" w:type="dxa"/>
            <w:vAlign w:val="bottom"/>
            <w:gridSpan w:val="5"/>
          </w:tcPr>
          <w:p>
            <w:pPr>
              <w:spacing w:after="0"/>
              <w:rPr>
                <w:sz w:val="20"/>
                <w:szCs w:val="20"/>
                <w:color w:val="auto"/>
              </w:rPr>
            </w:pPr>
            <w:r>
              <w:rPr>
                <w:rFonts w:ascii="Arial" w:cs="Arial" w:eastAsia="Arial" w:hAnsi="Arial"/>
                <w:sz w:val="18"/>
                <w:szCs w:val="18"/>
                <w:color w:val="auto"/>
              </w:rPr>
              <w:t>The following table presents the activity in our allowance for doubtful accounts: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b w:val="1"/>
                <w:bCs w:val="1"/>
                <w:color w:val="auto"/>
              </w:rPr>
              <w:t>For the six months ended June 30,</w:t>
            </w:r>
          </w:p>
        </w:tc>
        <w:tc>
          <w:tcPr>
            <w:tcW w:w="20" w:type="dxa"/>
            <w:vAlign w:val="bottom"/>
            <w:tcBorders>
              <w:bottom w:val="single" w:sz="8" w:color="auto"/>
            </w:tcBorders>
          </w:tcPr>
          <w:p>
            <w:pPr>
              <w:spacing w:after="0"/>
              <w:rPr>
                <w:sz w:val="24"/>
                <w:szCs w:val="24"/>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beginning of period</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23,777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16,604</w:t>
            </w:r>
          </w:p>
        </w:tc>
        <w:tc>
          <w:tcPr>
            <w:tcW w:w="20" w:type="dxa"/>
            <w:vAlign w:val="bottom"/>
            <w:shd w:val="clear" w:color="auto" w:fill="CCEEFF"/>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5860" w:type="dxa"/>
            <w:vAlign w:val="bottom"/>
          </w:tcPr>
          <w:p>
            <w:pPr>
              <w:ind w:left="220"/>
              <w:spacing w:after="0" w:line="256"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18,862</w:t>
            </w:r>
          </w:p>
        </w:tc>
        <w:tc>
          <w:tcPr>
            <w:tcW w:w="20" w:type="dxa"/>
            <w:vAlign w:val="bottom"/>
          </w:tcPr>
          <w:p>
            <w:pPr>
              <w:spacing w:after="0"/>
              <w:rPr>
                <w:sz w:val="22"/>
                <w:szCs w:val="22"/>
                <w:color w:val="auto"/>
              </w:rPr>
            </w:pPr>
          </w:p>
        </w:tc>
      </w:tr>
      <w:tr>
        <w:trPr>
          <w:trHeight w:val="257"/>
        </w:trPr>
        <w:tc>
          <w:tcPr>
            <w:tcW w:w="20" w:type="dxa"/>
            <w:vAlign w:val="bottom"/>
            <w:shd w:val="clear" w:color="auto" w:fill="CCEEFF"/>
          </w:tcPr>
          <w:p>
            <w:pPr>
              <w:spacing w:after="0"/>
              <w:rPr>
                <w:sz w:val="22"/>
                <w:szCs w:val="22"/>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21"/>
                <w:szCs w:val="21"/>
                <w:color w:val="auto"/>
              </w:rPr>
            </w:pPr>
          </w:p>
        </w:tc>
      </w:tr>
      <w:tr>
        <w:trPr>
          <w:trHeight w:val="276"/>
        </w:trPr>
        <w:tc>
          <w:tcPr>
            <w:tcW w:w="20" w:type="dxa"/>
            <w:vAlign w:val="bottom"/>
            <w:shd w:val="clear" w:color="auto" w:fill="CCEEFF"/>
          </w:tcPr>
          <w:p>
            <w:pPr>
              <w:spacing w:after="0"/>
              <w:rPr>
                <w:sz w:val="24"/>
                <w:szCs w:val="24"/>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25,586</w:t>
            </w:r>
          </w:p>
        </w:tc>
        <w:tc>
          <w:tcPr>
            <w:tcW w:w="20" w:type="dxa"/>
            <w:vAlign w:val="bottom"/>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line="220" w:lineRule="auto"/>
        <w:tabs>
          <w:tab w:leader="none" w:pos="17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The impact of adopting ASC 326 on January 1, 2020 was a net decrease to our allowance for doubtful accounts largely driven by a $13.4 million reclassification to </w:t>
      </w:r>
      <w:r>
        <w:rPr>
          <w:rFonts w:ascii="Arial" w:cs="Arial" w:eastAsia="Arial" w:hAnsi="Arial"/>
          <w:sz w:val="14"/>
          <w:szCs w:val="14"/>
          <w:i w:val="1"/>
          <w:iCs w:val="1"/>
          <w:color w:val="auto"/>
        </w:rPr>
        <w:t>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current assets, net </w:t>
      </w:r>
      <w:r>
        <w:rPr>
          <w:rFonts w:ascii="Arial" w:cs="Arial" w:eastAsia="Arial" w:hAnsi="Arial"/>
          <w:sz w:val="14"/>
          <w:szCs w:val="14"/>
          <w:color w:val="auto"/>
        </w:rPr>
        <w:t>and</w:t>
      </w:r>
      <w:r>
        <w:rPr>
          <w:rFonts w:ascii="Arial" w:cs="Arial" w:eastAsia="Arial" w:hAnsi="Arial"/>
          <w:sz w:val="14"/>
          <w:szCs w:val="14"/>
          <w:i w:val="1"/>
          <w:iCs w:val="1"/>
          <w:color w:val="auto"/>
        </w:rPr>
        <w:t xml:space="preserve"> Other non-current assets, net</w:t>
      </w:r>
      <w:r>
        <w:rPr>
          <w:rFonts w:ascii="Arial" w:cs="Arial" w:eastAsia="Arial" w:hAnsi="Arial"/>
          <w:sz w:val="14"/>
          <w:szCs w:val="14"/>
          <w:color w:val="auto"/>
        </w:rPr>
        <w:t>, offset by a $2.9 million adjustment to</w:t>
      </w:r>
      <w:r>
        <w:rPr>
          <w:rFonts w:ascii="Arial" w:cs="Arial" w:eastAsia="Arial" w:hAnsi="Arial"/>
          <w:sz w:val="14"/>
          <w:szCs w:val="14"/>
          <w:i w:val="1"/>
          <w:iCs w:val="1"/>
          <w:color w:val="auto"/>
        </w:rPr>
        <w:t xml:space="preserve"> Accumulated earnings (losses)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b w:val="1"/>
                <w:bCs w:val="1"/>
                <w:color w:val="auto"/>
              </w:rPr>
              <w:t>Contract Acquisition Costs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7"/>
        </w:trPr>
        <w:tc>
          <w:tcPr>
            <w:tcW w:w="7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For the six months ended June 30,</w:t>
            </w:r>
          </w:p>
        </w:tc>
      </w:tr>
      <w:tr>
        <w:trPr>
          <w:trHeight w:val="250"/>
        </w:trPr>
        <w:tc>
          <w:tcPr>
            <w:tcW w:w="7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5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113,592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114,306</w:t>
            </w:r>
          </w:p>
        </w:tc>
      </w:tr>
      <w:tr>
        <w:trPr>
          <w:trHeight w:val="250"/>
        </w:trPr>
        <w:tc>
          <w:tcPr>
            <w:tcW w:w="794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49,366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47,277</w:t>
            </w:r>
          </w:p>
        </w:tc>
      </w:tr>
      <w:tr>
        <w:trPr>
          <w:trHeight w:val="263"/>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(47,762)</w:t>
            </w:r>
          </w:p>
        </w:tc>
      </w:tr>
      <w:tr>
        <w:trPr>
          <w:trHeight w:val="25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w:t>
            </w:r>
          </w:p>
        </w:tc>
      </w:tr>
      <w:tr>
        <w:trPr>
          <w:trHeight w:val="28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107,086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113,918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recognized amortization expenses related to contract acquisition costs of $25.6 million and $24.3 million for the three months ended June 30, 2020 and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2020, the remaining performance obligations for our customer contracts with original expected durations of more than one year was $691.0 million. We expect to recognize 40.2% of our remaining performance obligations of these contracts as revenue in the next twelve months. This amount excludes agreements with consumer customers in our Hughes segment, our leasing arrangements and agreements with certain customers under which collectability of all amounts due through the term of contracts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21"/>
                <w:szCs w:val="21"/>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4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384,623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390,817</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and Central America</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33,961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34,061</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34,588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34,588</w:t>
            </w:r>
          </w:p>
        </w:tc>
      </w:tr>
      <w:tr>
        <w:trPr>
          <w:trHeight w:val="275"/>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453,172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459,466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2019</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372,398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380,879</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and Central America</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30,395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30,498</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49,054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49,054</w:t>
            </w:r>
          </w:p>
        </w:tc>
      </w:tr>
      <w:tr>
        <w:trPr>
          <w:trHeight w:val="275"/>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451,847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460,431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767,338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780,624</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and Central America</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67,917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68,109</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76,399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76,399</w:t>
            </w:r>
          </w:p>
        </w:tc>
      </w:tr>
      <w:tr>
        <w:trPr>
          <w:trHeight w:val="275"/>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911,654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925,132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2019</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740,227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7,775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9,611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757,613</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and Central America</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57,258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57,501</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99,699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99,699</w:t>
            </w:r>
          </w:p>
        </w:tc>
      </w:tr>
      <w:tr>
        <w:trPr>
          <w:trHeight w:val="275"/>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897,184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914,813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7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tables presents our revenue disaggregated by the nature of products and services and by segment for the three and six months ended June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21"/>
                <w:szCs w:val="21"/>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4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3"/>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399,697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403,254</w:t>
            </w:r>
          </w:p>
        </w:tc>
      </w:tr>
      <w:tr>
        <w:trPr>
          <w:trHeight w:val="250"/>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11,052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13,789</w:t>
            </w:r>
          </w:p>
        </w:tc>
      </w:tr>
      <w:tr>
        <w:trPr>
          <w:trHeight w:val="257"/>
        </w:trPr>
        <w:tc>
          <w:tcPr>
            <w:tcW w:w="4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410,749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417,043</w:t>
            </w: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3"/>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18,518</w:t>
            </w:r>
          </w:p>
        </w:tc>
      </w:tr>
      <w:tr>
        <w:trPr>
          <w:trHeight w:val="250"/>
        </w:trPr>
        <w:tc>
          <w:tcPr>
            <w:tcW w:w="4740" w:type="dxa"/>
            <w:vAlign w:val="bottom"/>
          </w:tcPr>
          <w:p>
            <w:pPr>
              <w:ind w:left="46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22,668</w:t>
            </w:r>
          </w:p>
        </w:tc>
      </w:tr>
      <w:tr>
        <w:trPr>
          <w:trHeight w:val="263"/>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1,237</w:t>
            </w: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42,423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42,423</w:t>
            </w:r>
          </w:p>
        </w:tc>
      </w:tr>
      <w:tr>
        <w:trPr>
          <w:trHeight w:val="275"/>
        </w:trPr>
        <w:tc>
          <w:tcPr>
            <w:tcW w:w="474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453,172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4,179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459,466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2019</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3"/>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381,608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385,723</w:t>
            </w:r>
          </w:p>
        </w:tc>
      </w:tr>
      <w:tr>
        <w:trPr>
          <w:trHeight w:val="250"/>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12,594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17,063</w:t>
            </w:r>
          </w:p>
        </w:tc>
      </w:tr>
      <w:tr>
        <w:trPr>
          <w:trHeight w:val="257"/>
        </w:trPr>
        <w:tc>
          <w:tcPr>
            <w:tcW w:w="4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394,202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402,786</w:t>
            </w: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3"/>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30,597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30,597</w:t>
            </w:r>
          </w:p>
        </w:tc>
      </w:tr>
      <w:tr>
        <w:trPr>
          <w:trHeight w:val="250"/>
        </w:trPr>
        <w:tc>
          <w:tcPr>
            <w:tcW w:w="4740" w:type="dxa"/>
            <w:vAlign w:val="bottom"/>
          </w:tcPr>
          <w:p>
            <w:pPr>
              <w:ind w:left="46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25,860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25,860</w:t>
            </w:r>
          </w:p>
        </w:tc>
      </w:tr>
      <w:tr>
        <w:trPr>
          <w:trHeight w:val="263"/>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1,188</w:t>
            </w: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57,645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57,645</w:t>
            </w:r>
          </w:p>
        </w:tc>
      </w:tr>
      <w:tr>
        <w:trPr>
          <w:trHeight w:val="275"/>
        </w:trPr>
        <w:tc>
          <w:tcPr>
            <w:tcW w:w="474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451,847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3,742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460,431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Corporate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7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ESS</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Services and other revenue:</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789,697</w:t>
            </w:r>
          </w:p>
        </w:tc>
        <w:tc>
          <w:tcPr>
            <w:tcW w:w="8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7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797,307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22,225</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28,093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services and other revenue</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811,922</w:t>
            </w: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825,400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Equipment revenue: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3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43,357</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43,357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380" w:type="dxa"/>
            <w:vAlign w:val="bottom"/>
          </w:tcPr>
          <w:p>
            <w:pPr>
              <w:spacing w:after="0"/>
              <w:rPr>
                <w:sz w:val="21"/>
                <w:szCs w:val="21"/>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54,225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54,225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equipment revenue</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99,732</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99,732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911,654</w:t>
            </w:r>
          </w:p>
        </w:tc>
        <w:tc>
          <w:tcPr>
            <w:tcW w:w="8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7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925,132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2019</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Services and other revenue:</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762,391</w:t>
            </w:r>
          </w:p>
        </w:tc>
        <w:tc>
          <w:tcPr>
            <w:tcW w:w="8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7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771,060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25,434</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34,394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services and other revenue</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787,825</w:t>
            </w: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805,454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Equipment revenue: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3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56,557</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56,557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380" w:type="dxa"/>
            <w:vAlign w:val="bottom"/>
          </w:tcPr>
          <w:p>
            <w:pPr>
              <w:spacing w:after="0"/>
              <w:rPr>
                <w:sz w:val="21"/>
                <w:szCs w:val="21"/>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50,926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50,926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equipment revenue</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109,359</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109,359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897,184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914,813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Lease Revenue</w:t>
            </w: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40" w:type="dxa"/>
            <w:vAlign w:val="bottom"/>
            <w:gridSpan w:val="3"/>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gridSpan w:val="8"/>
          </w:tcPr>
          <w:p>
            <w:pPr>
              <w:jc w:val="right"/>
              <w:ind w:right="3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rPr>
              <w:t>For the 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w w:val="99"/>
              </w:rPr>
              <w:t>June 30,</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Sales-type lease revenue:</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Revenue at lease commencement</w:t>
            </w:r>
          </w:p>
        </w:tc>
        <w:tc>
          <w:tcPr>
            <w:tcW w:w="380" w:type="dxa"/>
            <w:vAlign w:val="bottom"/>
          </w:tcPr>
          <w:p>
            <w:pPr>
              <w:spacing w:after="0"/>
              <w:rPr>
                <w:sz w:val="21"/>
                <w:szCs w:val="21"/>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1,188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rPr>
              <w:t>2,150</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3"/>
              </w:rPr>
              <w:t>164</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Total sales-type lease revenue</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rPr>
              <w:t>2,314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revenue</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13,694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16,805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27,929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33,884</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Total lease revenue</w:t>
            </w:r>
          </w:p>
        </w:tc>
        <w:tc>
          <w:tcPr>
            <w:tcW w:w="380" w:type="dxa"/>
            <w:vAlign w:val="bottom"/>
          </w:tcPr>
          <w:p>
            <w:pPr>
              <w:spacing w:after="0"/>
              <w:rPr>
                <w:sz w:val="22"/>
                <w:szCs w:val="22"/>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15,026</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18,251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rPr>
              <w:t>30,243</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36,270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$9.4 million and $6.5 million as of June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future operating lease payments to be received as of June 30, 2020:</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90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4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2020 (remainder)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25,789</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36,045</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34,126</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32,127</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29,733</w:t>
            </w:r>
          </w:p>
        </w:tc>
      </w:tr>
      <w:tr>
        <w:trPr>
          <w:trHeight w:val="257"/>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2025 and beyond</w:t>
            </w:r>
          </w:p>
        </w:tc>
        <w:tc>
          <w:tcPr>
            <w:tcW w:w="4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127,816</w:t>
            </w:r>
          </w:p>
        </w:tc>
      </w:tr>
      <w:tr>
        <w:trPr>
          <w:trHeight w:val="257"/>
        </w:trPr>
        <w:tc>
          <w:tcPr>
            <w:tcW w:w="9000" w:type="dxa"/>
            <w:vAlign w:val="bottom"/>
          </w:tcPr>
          <w:p>
            <w:pPr>
              <w:ind w:left="440"/>
              <w:spacing w:after="0"/>
              <w:rPr>
                <w:sz w:val="20"/>
                <w:szCs w:val="20"/>
                <w:color w:val="auto"/>
              </w:rPr>
            </w:pPr>
            <w:r>
              <w:rPr>
                <w:rFonts w:ascii="Arial" w:cs="Arial" w:eastAsia="Arial" w:hAnsi="Arial"/>
                <w:sz w:val="18"/>
                <w:szCs w:val="18"/>
                <w:color w:val="auto"/>
              </w:rPr>
              <w:t>Total lease payments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285,636</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50"/>
        </w:trPr>
        <w:tc>
          <w:tcPr>
            <w:tcW w:w="2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9"/>
              </w:rPr>
              <w:t>June 30, 2020</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9"/>
              </w:rPr>
              <w:t>December 31, 2019</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07"/>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Accumulated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Accumulated</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Depreciation</w:t>
            </w:r>
          </w:p>
        </w:tc>
        <w:tc>
          <w:tcPr>
            <w:tcW w:w="320" w:type="dxa"/>
            <w:vAlign w:val="bottom"/>
          </w:tcPr>
          <w:p>
            <w:pPr>
              <w:spacing w:after="0"/>
              <w:rPr>
                <w:sz w:val="21"/>
                <w:szCs w:val="21"/>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Depreciation</w:t>
            </w:r>
          </w:p>
        </w:tc>
        <w:tc>
          <w:tcPr>
            <w:tcW w:w="34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15"/>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premises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1,470,861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(1,143,997)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326,864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1,377,914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(1,043,431)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334,483</w:t>
            </w:r>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Satellites</w:t>
            </w: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104,620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73,260</w:t>
            </w:r>
          </w:p>
        </w:tc>
      </w:tr>
      <w:tr>
        <w:trPr>
          <w:trHeight w:val="257"/>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47,978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(16,606)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31,372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46,930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(16,048)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30,882</w:t>
            </w:r>
          </w:p>
        </w:tc>
      </w:tr>
      <w:tr>
        <w:trPr>
          <w:trHeight w:val="257"/>
        </w:trPr>
        <w:tc>
          <w:tcPr>
            <w:tcW w:w="212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1,623,459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(1,195,450)</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428,009</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1,529,464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(1,090,839)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438,625</w:t>
            </w:r>
          </w:p>
        </w:tc>
      </w:tr>
      <w:tr>
        <w:trPr>
          <w:trHeight w:val="20"/>
        </w:trPr>
        <w:tc>
          <w:tcPr>
            <w:tcW w:w="2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8"/>
                <w:szCs w:val="18"/>
                <w:color w:val="auto"/>
              </w:rPr>
            </w:pPr>
          </w:p>
        </w:tc>
        <w:tc>
          <w:tcPr>
            <w:tcW w:w="24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50"/>
        </w:trPr>
        <w:tc>
          <w:tcPr>
            <w:tcW w:w="59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54,845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46,839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100,566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92,651</w:t>
            </w: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3,475</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1,116</w:t>
            </w:r>
          </w:p>
        </w:tc>
      </w:tr>
      <w:tr>
        <w:trPr>
          <w:trHeight w:val="256"/>
        </w:trPr>
        <w:tc>
          <w:tcPr>
            <w:tcW w:w="590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56,821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49,135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104,518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97,242</w:t>
            </w:r>
          </w:p>
        </w:tc>
      </w:tr>
      <w:tr>
        <w:trPr>
          <w:trHeight w:val="21"/>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BSS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results of our discontinued operations for the BSS Business: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For the three</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For the six months</w:t>
            </w:r>
          </w:p>
        </w:tc>
      </w:tr>
      <w:tr>
        <w:trPr>
          <w:trHeight w:val="203"/>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months ended</w:t>
            </w:r>
          </w:p>
        </w:tc>
        <w:tc>
          <w:tcPr>
            <w:tcW w:w="160" w:type="dxa"/>
            <w:vAlign w:val="bottom"/>
          </w:tcPr>
          <w:p>
            <w:pPr>
              <w:spacing w:after="0"/>
              <w:rPr>
                <w:sz w:val="17"/>
                <w:szCs w:val="17"/>
                <w:color w:val="auto"/>
              </w:rPr>
            </w:pPr>
          </w:p>
        </w:tc>
        <w:tc>
          <w:tcPr>
            <w:tcW w:w="15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ended June 30,</w:t>
            </w:r>
          </w:p>
        </w:tc>
      </w:tr>
      <w:tr>
        <w:trPr>
          <w:trHeight w:val="246"/>
        </w:trPr>
        <w:tc>
          <w:tcPr>
            <w:tcW w:w="7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 2019</w:t>
            </w:r>
          </w:p>
        </w:tc>
        <w:tc>
          <w:tcPr>
            <w:tcW w:w="160" w:type="dxa"/>
            <w:vAlign w:val="bottom"/>
          </w:tcPr>
          <w:p>
            <w:pPr>
              <w:spacing w:after="0"/>
              <w:rPr>
                <w:sz w:val="21"/>
                <w:szCs w:val="21"/>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r>
      <w:tr>
        <w:trPr>
          <w:trHeight w:val="250"/>
        </w:trPr>
        <w:tc>
          <w:tcPr>
            <w:tcW w:w="7700" w:type="dxa"/>
            <w:vAlign w:val="bottom"/>
          </w:tcPr>
          <w:p>
            <w:pPr>
              <w:ind w:left="220"/>
              <w:spacing w:after="0"/>
              <w:rPr>
                <w:sz w:val="20"/>
                <w:szCs w:val="20"/>
                <w:color w:val="auto"/>
              </w:rPr>
            </w:pPr>
            <w:r>
              <w:rPr>
                <w:rFonts w:ascii="Arial" w:cs="Arial" w:eastAsia="Arial" w:hAnsi="Arial"/>
                <w:sz w:val="18"/>
                <w:szCs w:val="18"/>
                <w:color w:val="auto"/>
              </w:rPr>
              <w:t>Services and other revenue - DISH Network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70,819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141,645</w:t>
            </w:r>
          </w:p>
        </w:tc>
      </w:tr>
      <w:tr>
        <w:trPr>
          <w:trHeight w:val="257"/>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other revenue - other</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5,874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11,748</w:t>
            </w:r>
          </w:p>
        </w:tc>
      </w:tr>
      <w:tr>
        <w:trPr>
          <w:trHeight w:val="250"/>
        </w:trPr>
        <w:tc>
          <w:tcPr>
            <w:tcW w:w="7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76,693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153,393</w:t>
            </w:r>
          </w:p>
        </w:tc>
      </w:tr>
      <w:tr>
        <w:trPr>
          <w:trHeight w:val="24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50"/>
        </w:trPr>
        <w:tc>
          <w:tcPr>
            <w:tcW w:w="7700" w:type="dxa"/>
            <w:vAlign w:val="bottom"/>
          </w:tcPr>
          <w:p>
            <w:pPr>
              <w:ind w:left="22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18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10,517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20,741</w:t>
            </w:r>
          </w:p>
        </w:tc>
      </w:tr>
      <w:tr>
        <w:trPr>
          <w:trHeight w:val="26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3,441</w:t>
            </w:r>
          </w:p>
        </w:tc>
      </w:tr>
      <w:tr>
        <w:trPr>
          <w:trHeight w:val="25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35,144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70,387</w:t>
            </w:r>
          </w:p>
        </w:tc>
      </w:tr>
      <w:tr>
        <w:trPr>
          <w:trHeight w:val="250"/>
        </w:trPr>
        <w:tc>
          <w:tcPr>
            <w:tcW w:w="7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49,082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94,569</w:t>
            </w:r>
          </w:p>
        </w:tc>
      </w:tr>
      <w:tr>
        <w:trPr>
          <w:trHeight w:val="25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27,611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58,824</w:t>
            </w:r>
          </w:p>
        </w:tc>
      </w:tr>
      <w:tr>
        <w:trPr>
          <w:trHeight w:val="24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5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(13,098)</w:t>
            </w:r>
          </w:p>
        </w:tc>
      </w:tr>
      <w:tr>
        <w:trPr>
          <w:trHeight w:val="250"/>
        </w:trPr>
        <w:tc>
          <w:tcPr>
            <w:tcW w:w="7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(13,098)</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18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21,196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45,726</w:t>
            </w:r>
          </w:p>
        </w:tc>
      </w:tr>
      <w:tr>
        <w:trPr>
          <w:trHeight w:val="257"/>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r>
      <w:tr>
        <w:trPr>
          <w:trHeight w:val="256"/>
        </w:trPr>
        <w:tc>
          <w:tcPr>
            <w:tcW w:w="770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24,968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44,215</w:t>
            </w: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assets or liabilities attributable to our discontinued operations of the BSS Business were held by us as of June 30, 2020 or December 31, 2019.</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significant supplemental cash flow information and adjustments to reconcile net income to net cash flow from operating activities for discontinued operations of the BSS Business for the six months ended June 30, 2019:</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90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4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56"/>
        </w:trPr>
        <w:tc>
          <w:tcPr>
            <w:tcW w:w="9000" w:type="dxa"/>
            <w:vAlign w:val="bottom"/>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44,215</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75"/>
        </w:trPr>
        <w:tc>
          <w:tcPr>
            <w:tcW w:w="9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70,387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5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57"/>
        </w:trPr>
        <w:tc>
          <w:tcPr>
            <w:tcW w:w="9000" w:type="dxa"/>
            <w:vAlign w:val="bottom"/>
          </w:tcPr>
          <w:p>
            <w:pPr>
              <w:ind w:left="200"/>
              <w:spacing w:after="0"/>
              <w:rPr>
                <w:sz w:val="20"/>
                <w:szCs w:val="20"/>
                <w:color w:val="auto"/>
              </w:rPr>
            </w:pPr>
            <w:r>
              <w:rPr>
                <w:rFonts w:ascii="Arial" w:cs="Arial" w:eastAsia="Arial" w:hAnsi="Arial"/>
                <w:sz w:val="18"/>
                <w:szCs w:val="18"/>
                <w:color w:val="auto"/>
              </w:rPr>
              <w:t>Expenditures for property and equipment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244</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9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50"/>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88"/>
        </w:trPr>
        <w:tc>
          <w:tcPr>
            <w:tcW w:w="9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 of finance lease obligations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19,457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9000" w:type="dxa"/>
            <w:vAlign w:val="bottom"/>
          </w:tcPr>
          <w:p>
            <w:pPr>
              <w:ind w:left="200"/>
              <w:spacing w:after="0"/>
              <w:rPr>
                <w:sz w:val="20"/>
                <w:szCs w:val="20"/>
                <w:color w:val="auto"/>
              </w:rPr>
            </w:pPr>
            <w:r>
              <w:rPr>
                <w:rFonts w:ascii="Arial" w:cs="Arial" w:eastAsia="Arial" w:hAnsi="Arial"/>
                <w:sz w:val="18"/>
                <w:szCs w:val="18"/>
                <w:color w:val="auto"/>
              </w:rPr>
              <w:t>Payment of in-orbit incentive obligations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3,127</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Terminated or Transferred Related Party Agreements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September 10, 2019, the following agreements were terminated or transferred to DISH Network as part of the BSS Transaction. Unless noted differently below, we have no further obligations and have neither earned additional revenue nor incurred additional expense, as applicable, under or in connection with these agreements after the consummation of the BSS Transaction.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entered into certain agreements to lease satellite capacity pursuant to which we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services to DISH Network on certain satellites, as listed below, owned or leased by us. The fees for the services provided under these agreements depended, among other things, upon the orbital location of the applicable satellite, the number of transponders that provided services on the applicable satellite and the length of the service arrangements. The terms of each of the agreements are set forth below:</w:t>
      </w:r>
    </w:p>
    <w:p>
      <w:pPr>
        <w:spacing w:after="0" w:line="206"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VII, EchoStar X, EchoStar XI and EchoStar XIV </w:t>
      </w:r>
      <w:r>
        <w:rPr>
          <w:rFonts w:ascii="Arial" w:cs="Arial" w:eastAsia="Arial" w:hAnsi="Arial"/>
          <w:sz w:val="18"/>
          <w:szCs w:val="18"/>
          <w:color w:val="auto"/>
        </w:rPr>
        <w:t>— In March 2014, we began leasing certain satellite capacity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on the EchoStar VII satellite, the EchoStar X satellite, the EchoStar XI satellite and the EchoStar XIV satellite.</w:t>
      </w:r>
    </w:p>
    <w:p>
      <w:pPr>
        <w:spacing w:after="0" w:line="17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XII </w:t>
      </w:r>
      <w:r>
        <w:rPr>
          <w:rFonts w:ascii="Arial" w:cs="Arial" w:eastAsia="Arial" w:hAnsi="Arial"/>
          <w:sz w:val="18"/>
          <w:szCs w:val="18"/>
          <w:color w:val="auto"/>
        </w:rPr>
        <w:t>— DISH Network leased satellite capacity from us on the EchoStar XII satellite.</w:t>
      </w:r>
    </w:p>
    <w:p>
      <w:pPr>
        <w:spacing w:after="0" w:line="252" w:lineRule="exact"/>
        <w:rPr>
          <w:rFonts w:ascii="Arial" w:cs="Arial" w:eastAsia="Arial" w:hAnsi="Arial"/>
          <w:sz w:val="18"/>
          <w:szCs w:val="18"/>
          <w:i w:val="1"/>
          <w:iCs w:val="1"/>
          <w:color w:val="auto"/>
        </w:rPr>
      </w:pPr>
    </w:p>
    <w:p>
      <w:pPr>
        <w:ind w:left="660" w:hanging="328"/>
        <w:spacing w:after="0" w:line="28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XVI </w:t>
      </w:r>
      <w:r>
        <w:rPr>
          <w:rFonts w:ascii="Arial" w:cs="Arial" w:eastAsia="Arial" w:hAnsi="Arial"/>
          <w:sz w:val="18"/>
          <w:szCs w:val="18"/>
          <w:color w:val="auto"/>
        </w:rPr>
        <w:t>— In December 2009, we entered into an agreement to lease satellite capacity to DISH Network,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leased satellite capacity from us on the EchoStar XVI satellite beginning in January 2013.</w:t>
      </w:r>
    </w:p>
    <w:p>
      <w:pPr>
        <w:spacing w:after="0" w:line="179" w:lineRule="exact"/>
        <w:rPr>
          <w:rFonts w:ascii="Arial" w:cs="Arial" w:eastAsia="Arial" w:hAnsi="Arial"/>
          <w:sz w:val="18"/>
          <w:szCs w:val="18"/>
          <w:i w:val="1"/>
          <w:iCs w:val="1"/>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Nimiq 5 Agreement </w:t>
      </w:r>
      <w:r>
        <w:rPr>
          <w:rFonts w:ascii="Arial" w:cs="Arial" w:eastAsia="Arial" w:hAnsi="Arial"/>
          <w:sz w:val="18"/>
          <w:szCs w:val="18"/>
          <w:color w:val="auto"/>
        </w:rPr>
        <w:t>— 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Following the consummation of the BSS Transaction, we retained certain obligations related to DISH Network’s performance under the Telesat Transponder Agreement.</w:t>
      </w:r>
    </w:p>
    <w:p>
      <w:pPr>
        <w:spacing w:after="0" w:line="211" w:lineRule="exact"/>
        <w:rPr>
          <w:rFonts w:ascii="Arial" w:cs="Arial" w:eastAsia="Arial" w:hAnsi="Arial"/>
          <w:sz w:val="18"/>
          <w:szCs w:val="18"/>
          <w:i w:val="1"/>
          <w:iCs w:val="1"/>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QuetzSat-1 Agreement </w:t>
      </w:r>
      <w:r>
        <w:rPr>
          <w:rFonts w:ascii="Arial" w:cs="Arial" w:eastAsia="Arial" w:hAnsi="Arial"/>
          <w:sz w:val="18"/>
          <w:szCs w:val="18"/>
          <w:color w:val="auto"/>
        </w:rPr>
        <w:t>— In November 2008, we entered into an agreement to lease satellite capacity from SES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provided, among other things, for the provision by SES Latin America to us of leased satellite capacity on 32 DBS transponders on the QuetzSat-1 satellite. Concurrently, in 2008, we 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TT&amp;C agreement pursuant to which we provided TT&amp;C services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which we subsequently amended (the “2012 TT&amp;C Agreement”). The fees for services provided under the 2012 TT&amp;C Agreement were calculated at either: (i) a fixed fee or (ii) cost plus a fixed margin, which varied depending on the nature of the services provided.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entered into lease agreements pursuant to which DISH Network leased certain real estate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The rent on a per square foot basis each of the leases or subsequent amendments was comparable to per square foot rental rates of similar commercial property in the same geographic area at the time of the leases or subsequent amendments and DISH Network was responsible for its portion of the taxes, insurance, utilities and maintenance of the premises. These components of the BSS Transaction do not qualify for discontinued operations treatment, and therefore the revenue from these lease agreements has not been treated as discontinued operations. The terms of each of the leases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Santa Fe Lease Agreement </w:t>
      </w:r>
      <w:r>
        <w:rPr>
          <w:rFonts w:ascii="Arial" w:cs="Arial" w:eastAsia="Arial" w:hAnsi="Arial"/>
          <w:sz w:val="18"/>
          <w:szCs w:val="18"/>
          <w:color w:val="auto"/>
        </w:rPr>
        <w:t>— DISH Network leased from us all of 5701 S. Santa Fe Dr., Littleton, Colorado.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BSS Transaction, we transferred this property to DISH Network.</w:t>
      </w:r>
    </w:p>
    <w:p>
      <w:pPr>
        <w:spacing w:after="0" w:line="179" w:lineRule="exact"/>
        <w:rPr>
          <w:rFonts w:ascii="Arial" w:cs="Arial" w:eastAsia="Arial" w:hAnsi="Arial"/>
          <w:sz w:val="18"/>
          <w:szCs w:val="18"/>
          <w:i w:val="1"/>
          <w:iCs w:val="1"/>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During 2017, we and certain of our subsidiaries entered into a share exchange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Exchange Agreement”) with DISH and certain of its subsidiaries whereby we and certain of our subsidiaries received all the shares of preferred tracking stock previously issued by us and one of our subsidiaries (the “Tracking Stock”) in exchange for 100% of the equity interests of certain of our subsidiaries that held substantially all of our former EchoStar Technologies businesses and certain other assets (collectively, the “Share Exchange”). Prior to the Share Exchange, we leased to DISH Network certain space at 530 EchoStar Drive, Cheyenne, Wyoming. In connection with the Share Exchange, we transferred ownership of a portion of this property to DISH Network and we and DISH Network amended this agreement to, among other things, provide for a continued lease to DISH Network of the portion of the property we retained (the “Cheyenne Data Center”). In connection with the BSS Transaction, we transferred the Cheyenne Data Center to DISH Network.</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We entered into a lease agreement pursuant to which we leased from DISH Network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at 801 N. DISH Dr. in Gilbert, Arizona for the Satellite Operations Center and Satellite Access Center. The rent on a per square foot basis was comparable to per square foot rental rates of similar commercial property in the same geographic area at the time of the leases or subsequent amendments and included our portion of the taxes, insurance, utilities and certain maintenance of the premises. In connection with the BSS Transaction, we terminated this lease and transferred the Gilbert Satellite Operations Center, including any and all equipment, software, processes, software licenses, hardware licenses, furniture and technical documentation located within, to DISH Network.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 The combined business provides broadband internet services and enterprise solutions in Brazil using the Telesat T19V satellite, the Eutelsat 65W satellite and Yahsat’s Al Yah 3 satellite. The results of operations related to the business we acquired from Yahsat have been included in these Condensed Consolidated Financial Statements from the date of acquisition. Through June 30, 2020, we have incurred $1.6 million of costs associated with the closing of the Yahsat Brazil JV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assets and liabilities acquired from Yahsat have been recorded at fair value. The following table presents our updated preliminary allocation of the purchase price:</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89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43"/>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50"/>
        </w:trPr>
        <w:tc>
          <w:tcPr>
            <w:tcW w:w="89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7,858</w:t>
            </w:r>
          </w:p>
        </w:tc>
      </w:tr>
      <w:tr>
        <w:trPr>
          <w:trHeight w:val="263"/>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 net</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7,106</w:t>
            </w:r>
          </w:p>
        </w:tc>
      </w:tr>
      <w:tr>
        <w:trPr>
          <w:trHeight w:val="250"/>
        </w:trPr>
        <w:tc>
          <w:tcPr>
            <w:tcW w:w="890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86,983</w:t>
            </w:r>
          </w:p>
        </w:tc>
      </w:tr>
      <w:tr>
        <w:trPr>
          <w:trHeight w:val="263"/>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authorization</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4,498</w:t>
            </w:r>
          </w:p>
        </w:tc>
      </w:tr>
      <w:tr>
        <w:trPr>
          <w:trHeight w:val="250"/>
        </w:trPr>
        <w:tc>
          <w:tcPr>
            <w:tcW w:w="89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6,328</w:t>
            </w:r>
          </w:p>
        </w:tc>
      </w:tr>
      <w:tr>
        <w:trPr>
          <w:trHeight w:val="257"/>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1,502</w:t>
            </w:r>
          </w:p>
        </w:tc>
      </w:tr>
      <w:tr>
        <w:trPr>
          <w:trHeight w:val="257"/>
        </w:trPr>
        <w:tc>
          <w:tcPr>
            <w:tcW w:w="8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114,275</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8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50"/>
        </w:trPr>
        <w:tc>
          <w:tcPr>
            <w:tcW w:w="8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63"/>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3,879</w:t>
            </w:r>
          </w:p>
        </w:tc>
      </w:tr>
      <w:tr>
        <w:trPr>
          <w:trHeight w:val="250"/>
        </w:trPr>
        <w:tc>
          <w:tcPr>
            <w:tcW w:w="8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4,796</w:t>
            </w:r>
          </w:p>
        </w:tc>
      </w:tr>
      <w:tr>
        <w:trPr>
          <w:trHeight w:val="282"/>
        </w:trPr>
        <w:tc>
          <w:tcPr>
            <w:tcW w:w="8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8,675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2"/>
        </w:trPr>
        <w:tc>
          <w:tcPr>
            <w:tcW w:w="8900" w:type="dxa"/>
            <w:vAlign w:val="bottom"/>
            <w:tcBorders>
              <w:bottom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purchase price </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105,600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line="211" w:lineRule="auto"/>
        <w:tabs>
          <w:tab w:leader="none" w:pos="178"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Based on the value determined for the equity ownership interest issued by our Brazilian subsidiary as consideration for the business acquired by us in the Yahsat Brazil JV Transaction.</w:t>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preliminary valuation of the acquired assets was derived using primarily unobservable Level 3 inputs, which require significant management judgment and estimation: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5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 payload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49,363</w:t>
            </w:r>
          </w:p>
        </w:tc>
      </w:tr>
      <w:tr>
        <w:trPr>
          <w:trHeight w:val="25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Regulatory authorization</w:t>
            </w: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4,498</w:t>
            </w:r>
          </w:p>
        </w:tc>
      </w:tr>
      <w:tr>
        <w:trPr>
          <w:trHeight w:val="282"/>
        </w:trPr>
        <w:tc>
          <w:tcPr>
            <w:tcW w:w="9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53,861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satellite payload and regulatory authorization were valued using an income approach and are being amortized over seven and 11 years, respectively.</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goodwill we recognized was allocated entirely to our Hughes segment and attributed to expected synergies, projected long-term business growth in current and new markets and an assembled workforce.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present basic and diluted earnings or losses per share (“EPS”) for our Class A and Class B common stock. Basic EPS for our Class A and Class B common stock excludes potential dilution and is computed by dividing </w:t>
      </w:r>
      <w:r>
        <w:rPr>
          <w:rFonts w:ascii="Arial" w:cs="Arial" w:eastAsia="Arial" w:hAnsi="Arial"/>
          <w:sz w:val="18"/>
          <w:szCs w:val="18"/>
          <w:i w:val="1"/>
          <w:iCs w:val="1"/>
          <w:color w:val="auto"/>
        </w:rPr>
        <w:t>Net income (loss) attributable to EchoStar 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by the weighted-average number of common shares outstanding for the period. Diluted EPS reflects the potential dilution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occur if shares of common stock were issued pursuant to our stock-based compensation awards. The potential dilution from common stock awards is computed using the treasury stock method based on the average market value of our Class A common stock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gridSpan w:val="2"/>
          </w:tcPr>
          <w:p>
            <w:pPr>
              <w:spacing w:after="0"/>
              <w:rPr>
                <w:sz w:val="20"/>
                <w:szCs w:val="20"/>
                <w:color w:val="auto"/>
              </w:rPr>
            </w:pPr>
            <w:r>
              <w:rPr>
                <w:rFonts w:ascii="Arial" w:cs="Arial" w:eastAsia="Arial" w:hAnsi="Arial"/>
                <w:sz w:val="18"/>
                <w:szCs w:val="18"/>
                <w:color w:val="auto"/>
              </w:rPr>
              <w:t>The following table presents the calculation of basic and diluted EPS: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28"/>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24"/>
                <w:szCs w:val="24"/>
                <w:color w:val="auto"/>
              </w:rPr>
            </w:pPr>
          </w:p>
        </w:tc>
        <w:tc>
          <w:tcPr>
            <w:tcW w:w="2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193"/>
        </w:trPr>
        <w:tc>
          <w:tcPr>
            <w:tcW w:w="20" w:type="dxa"/>
            <w:vAlign w:val="bottom"/>
          </w:tcPr>
          <w:p>
            <w:pPr>
              <w:spacing w:after="0"/>
              <w:rPr>
                <w:sz w:val="16"/>
                <w:szCs w:val="16"/>
                <w:color w:val="auto"/>
              </w:rPr>
            </w:pPr>
          </w:p>
        </w:tc>
        <w:tc>
          <w:tcPr>
            <w:tcW w:w="586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Net income (loss) attributable to EchoStar Corporation common</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52"/>
        </w:trPr>
        <w:tc>
          <w:tcPr>
            <w:tcW w:w="20" w:type="dxa"/>
            <w:vAlign w:val="bottom"/>
          </w:tcPr>
          <w:p>
            <w:pPr>
              <w:spacing w:after="0"/>
              <w:rPr>
                <w:sz w:val="21"/>
                <w:szCs w:val="21"/>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(65,707)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(35,705)</w:t>
            </w:r>
          </w:p>
        </w:tc>
      </w:tr>
      <w:tr>
        <w:trPr>
          <w:trHeight w:val="263"/>
        </w:trPr>
        <w:tc>
          <w:tcPr>
            <w:tcW w:w="20" w:type="dxa"/>
            <w:vAlign w:val="bottom"/>
          </w:tcPr>
          <w:p>
            <w:pPr>
              <w:spacing w:after="0"/>
              <w:rPr>
                <w:sz w:val="22"/>
                <w:szCs w:val="22"/>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44,215</w:t>
            </w:r>
          </w:p>
        </w:tc>
      </w:tr>
      <w:tr>
        <w:trPr>
          <w:trHeight w:val="243"/>
        </w:trPr>
        <w:tc>
          <w:tcPr>
            <w:tcW w:w="2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(65,707)</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8,510</w:t>
            </w:r>
          </w:p>
        </w:tc>
      </w:tr>
      <w:tr>
        <w:trPr>
          <w:trHeight w:val="21"/>
        </w:trPr>
        <w:tc>
          <w:tcPr>
            <w:tcW w:w="20" w:type="dxa"/>
            <w:vAlign w:val="bottom"/>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A and B common stock:</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97,879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96,415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97,845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95,903</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A and B common stock:</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860" w:type="dxa"/>
            <w:vAlign w:val="bottom"/>
          </w:tcPr>
          <w:p>
            <w:pPr>
              <w:ind w:left="440"/>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r>
      <w:tr>
        <w:trPr>
          <w:trHeight w:val="250"/>
        </w:trPr>
        <w:tc>
          <w:tcPr>
            <w:tcW w:w="20" w:type="dxa"/>
            <w:vAlign w:val="bottom"/>
          </w:tcPr>
          <w:p>
            <w:pPr>
              <w:spacing w:after="0"/>
              <w:rPr>
                <w:sz w:val="21"/>
                <w:szCs w:val="21"/>
                <w:color w:val="auto"/>
              </w:rPr>
            </w:pPr>
          </w:p>
        </w:tc>
        <w:tc>
          <w:tcPr>
            <w:tcW w:w="5860" w:type="dxa"/>
            <w:vAlign w:val="bottom"/>
          </w:tcPr>
          <w:p>
            <w:pPr>
              <w:ind w:left="64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0.46</w:t>
            </w:r>
          </w:p>
        </w:tc>
      </w:tr>
      <w:tr>
        <w:trPr>
          <w:trHeight w:val="282"/>
        </w:trPr>
        <w:tc>
          <w:tcPr>
            <w:tcW w:w="20" w:type="dxa"/>
            <w:vAlign w:val="bottom"/>
          </w:tcPr>
          <w:p>
            <w:pPr>
              <w:spacing w:after="0"/>
              <w:rPr>
                <w:sz w:val="24"/>
                <w:szCs w:val="24"/>
                <w:color w:val="auto"/>
              </w:rPr>
            </w:pPr>
          </w:p>
        </w:tc>
        <w:tc>
          <w:tcPr>
            <w:tcW w:w="586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basic and diluted earnings (losses)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0.09</w:t>
            </w: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diluted weighted-average common shares outstanding: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26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For the three months ended</w:t>
            </w:r>
          </w:p>
        </w:tc>
        <w:tc>
          <w:tcPr>
            <w:tcW w:w="2560" w:type="dxa"/>
            <w:vAlign w:val="bottom"/>
            <w:gridSpan w:val="4"/>
          </w:tcPr>
          <w:p>
            <w:pPr>
              <w:jc w:val="center"/>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600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r>
      <w:tr>
        <w:trPr>
          <w:trHeight w:val="250"/>
        </w:trPr>
        <w:tc>
          <w:tcPr>
            <w:tcW w:w="60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20" w:type="dxa"/>
            <w:vAlign w:val="bottom"/>
          </w:tcPr>
          <w:p>
            <w:pPr>
              <w:spacing w:after="0"/>
              <w:rPr>
                <w:sz w:val="20"/>
                <w:szCs w:val="20"/>
                <w:color w:val="auto"/>
              </w:rPr>
            </w:pPr>
            <w:r>
              <w:rPr>
                <w:rFonts w:ascii="Arial" w:cs="Arial" w:eastAsia="Arial" w:hAnsi="Arial"/>
                <w:sz w:val="18"/>
                <w:szCs w:val="18"/>
                <w:b w:val="1"/>
                <w:bCs w:val="1"/>
                <w:color w:val="auto"/>
              </w:rPr>
              <w:t>NOTE 7. MARKETABLE INVESTMENT SECURITIES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92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7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79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investment securities: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0"/>
        </w:trPr>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Debt securities: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Available-for-sale:</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7920" w:type="dxa"/>
            <w:vAlign w:val="bottom"/>
          </w:tcPr>
          <w:p>
            <w:pPr>
              <w:ind w:left="66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381,201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568,442</w:t>
            </w:r>
          </w:p>
        </w:tc>
      </w:tr>
      <w:tr>
        <w:trPr>
          <w:trHeight w:val="263"/>
        </w:trPr>
        <w:tc>
          <w:tcPr>
            <w:tcW w:w="7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debt securities</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89,924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335,580</w:t>
            </w:r>
          </w:p>
        </w:tc>
      </w:tr>
      <w:tr>
        <w:trPr>
          <w:trHeight w:val="243"/>
        </w:trPr>
        <w:tc>
          <w:tcPr>
            <w:tcW w:w="7920" w:type="dxa"/>
            <w:vAlign w:val="bottom"/>
          </w:tcPr>
          <w:p>
            <w:pPr>
              <w:ind w:left="860"/>
              <w:spacing w:after="0"/>
              <w:rPr>
                <w:sz w:val="20"/>
                <w:szCs w:val="20"/>
                <w:color w:val="auto"/>
              </w:rPr>
            </w:pPr>
            <w:r>
              <w:rPr>
                <w:rFonts w:ascii="Arial" w:cs="Arial" w:eastAsia="Arial" w:hAnsi="Arial"/>
                <w:sz w:val="18"/>
                <w:szCs w:val="18"/>
                <w:color w:val="auto"/>
              </w:rPr>
              <w:t>Total available-for-sale debt securities</w:t>
            </w:r>
          </w:p>
        </w:tc>
        <w:tc>
          <w:tcPr>
            <w:tcW w:w="2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471,125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904,022</w:t>
            </w:r>
          </w:p>
        </w:tc>
      </w:tr>
      <w:tr>
        <w:trPr>
          <w:trHeight w:val="26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option - corporate bonds</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12,038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9,128</w:t>
            </w:r>
          </w:p>
        </w:tc>
      </w:tr>
      <w:tr>
        <w:trPr>
          <w:trHeight w:val="243"/>
        </w:trPr>
        <w:tc>
          <w:tcPr>
            <w:tcW w:w="7920" w:type="dxa"/>
            <w:vAlign w:val="bottom"/>
          </w:tcPr>
          <w:p>
            <w:pPr>
              <w:ind w:left="660"/>
              <w:spacing w:after="0"/>
              <w:rPr>
                <w:sz w:val="20"/>
                <w:szCs w:val="20"/>
                <w:color w:val="auto"/>
              </w:rPr>
            </w:pPr>
            <w:r>
              <w:rPr>
                <w:rFonts w:ascii="Arial" w:cs="Arial" w:eastAsia="Arial" w:hAnsi="Arial"/>
                <w:sz w:val="18"/>
                <w:szCs w:val="18"/>
                <w:color w:val="auto"/>
              </w:rPr>
              <w:t>Total debt securities</w:t>
            </w:r>
          </w:p>
        </w:tc>
        <w:tc>
          <w:tcPr>
            <w:tcW w:w="2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483,163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913,150</w:t>
            </w:r>
          </w:p>
        </w:tc>
      </w:tr>
      <w:tr>
        <w:trPr>
          <w:trHeight w:val="263"/>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27,548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35,566</w:t>
            </w:r>
          </w:p>
        </w:tc>
      </w:tr>
      <w:tr>
        <w:trPr>
          <w:trHeight w:val="243"/>
        </w:trPr>
        <w:tc>
          <w:tcPr>
            <w:tcW w:w="7920" w:type="dxa"/>
            <w:vAlign w:val="bottom"/>
          </w:tcPr>
          <w:p>
            <w:pPr>
              <w:ind w:left="46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2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510,711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948,716</w:t>
            </w:r>
          </w:p>
        </w:tc>
      </w:tr>
      <w:tr>
        <w:trPr>
          <w:trHeight w:val="263"/>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Restricted marketable investment securities</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(8,093)</w:t>
            </w:r>
          </w:p>
        </w:tc>
      </w:tr>
      <w:tr>
        <w:trPr>
          <w:trHeight w:val="243"/>
        </w:trPr>
        <w:tc>
          <w:tcPr>
            <w:tcW w:w="7920" w:type="dxa"/>
            <w:vAlign w:val="bottom"/>
          </w:tcPr>
          <w:p>
            <w:pPr>
              <w:ind w:left="460"/>
              <w:spacing w:after="0"/>
              <w:rPr>
                <w:sz w:val="20"/>
                <w:szCs w:val="20"/>
                <w:color w:val="auto"/>
              </w:rPr>
            </w:pPr>
            <w:r>
              <w:rPr>
                <w:rFonts w:ascii="Arial" w:cs="Arial" w:eastAsia="Arial" w:hAnsi="Arial"/>
                <w:sz w:val="18"/>
                <w:szCs w:val="18"/>
                <w:color w:val="auto"/>
              </w:rPr>
              <w:t>Total marketable investment securities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509,980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940,623</w:t>
            </w:r>
          </w:p>
        </w:tc>
      </w:tr>
      <w:tr>
        <w:trPr>
          <w:trHeight w:val="27"/>
        </w:trPr>
        <w:tc>
          <w:tcPr>
            <w:tcW w:w="7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Estimated</w:t>
            </w:r>
          </w:p>
        </w:tc>
      </w:tr>
      <w:tr>
        <w:trPr>
          <w:trHeight w:val="250"/>
        </w:trPr>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2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2020</w:t>
            </w:r>
          </w:p>
        </w:tc>
        <w:tc>
          <w:tcPr>
            <w:tcW w:w="2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381,071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7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381,201</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89,923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89,924</w:t>
            </w:r>
          </w:p>
        </w:tc>
      </w:tr>
      <w:tr>
        <w:trPr>
          <w:trHeight w:val="243"/>
        </w:trPr>
        <w:tc>
          <w:tcPr>
            <w:tcW w:w="4740" w:type="dxa"/>
            <w:vAlign w:val="bottom"/>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470,994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471,125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3"/>
        </w:trPr>
        <w:tc>
          <w:tcPr>
            <w:tcW w:w="4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567,926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568,442</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335,572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335,580</w:t>
            </w:r>
          </w:p>
        </w:tc>
      </w:tr>
      <w:tr>
        <w:trPr>
          <w:trHeight w:val="275"/>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903,498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904,022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8"/>
                <w:szCs w:val="18"/>
                <w:color w:val="auto"/>
              </w:rPr>
            </w:pPr>
          </w:p>
        </w:tc>
        <w:tc>
          <w:tcPr>
            <w:tcW w:w="2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50"/>
        </w:trPr>
        <w:tc>
          <w:tcPr>
            <w:tcW w:w="5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5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435,978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Gains (losses) on sales,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549</w:t>
            </w:r>
          </w:p>
        </w:tc>
      </w:tr>
      <w:tr>
        <w:trPr>
          <w:trHeight w:val="20"/>
        </w:trPr>
        <w:tc>
          <w:tcPr>
            <w:tcW w:w="5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80" w:type="dxa"/>
            <w:vAlign w:val="bottom"/>
            <w:gridSpan w:val="11"/>
          </w:tcPr>
          <w:p>
            <w:pPr>
              <w:spacing w:after="0"/>
              <w:rPr>
                <w:sz w:val="20"/>
                <w:szCs w:val="20"/>
                <w:color w:val="auto"/>
              </w:rPr>
            </w:pPr>
            <w:r>
              <w:rPr>
                <w:rFonts w:ascii="Arial" w:cs="Arial" w:eastAsia="Arial" w:hAnsi="Arial"/>
                <w:sz w:val="18"/>
                <w:szCs w:val="18"/>
                <w:color w:val="auto"/>
              </w:rPr>
              <w:t>As of June 30, 2020, all $471.1 million of our available-for-sale debt securities had contractual maturities of one year or less.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i w:val="1"/>
                <w:iCs w:val="1"/>
                <w:color w:val="auto"/>
              </w:rPr>
              <w:t>Fair Value Option</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gridSpan w:val="5"/>
          </w:tcPr>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24"/>
                <w:szCs w:val="24"/>
                <w:color w:val="auto"/>
              </w:rPr>
            </w:pPr>
          </w:p>
        </w:tc>
        <w:tc>
          <w:tcPr>
            <w:tcW w:w="24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46,717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8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24"/>
                <w:szCs w:val="24"/>
                <w:color w:val="auto"/>
              </w:rPr>
            </w:pPr>
          </w:p>
        </w:tc>
        <w:tc>
          <w:tcPr>
            <w:tcW w:w="24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29,051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4,853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13,028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(8,603)</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43,277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7"/>
              </w:rPr>
              <w:t>As of</w:t>
            </w: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rPr>
              <w:t>June 30, 2020</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8"/>
                <w:szCs w:val="18"/>
                <w:b w:val="1"/>
                <w:bCs w:val="1"/>
                <w:color w:val="auto"/>
                <w:w w:val="99"/>
              </w:rPr>
              <w:t>December 31, 2019</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Level 2</w:t>
            </w:r>
          </w:p>
        </w:tc>
        <w:tc>
          <w:tcPr>
            <w:tcW w:w="30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w:t>
            </w:r>
          </w:p>
        </w:tc>
        <w:tc>
          <w:tcPr>
            <w:tcW w:w="2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60" w:type="dxa"/>
            <w:vAlign w:val="bottom"/>
          </w:tcPr>
          <w:p>
            <w:pPr>
              <w:ind w:left="220"/>
              <w:spacing w:after="0"/>
              <w:rPr>
                <w:sz w:val="20"/>
                <w:szCs w:val="20"/>
                <w:color w:val="auto"/>
              </w:rPr>
            </w:pPr>
            <w:r>
              <w:rPr>
                <w:rFonts w:ascii="Arial" w:cs="Arial" w:eastAsia="Arial" w:hAnsi="Arial"/>
                <w:sz w:val="18"/>
                <w:szCs w:val="18"/>
                <w:b w:val="1"/>
                <w:bCs w:val="1"/>
                <w:color w:val="auto"/>
              </w:rPr>
              <w:t>Available-for-sale: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381,201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381,201</w:t>
            </w: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568,442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568,442</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debt securities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89,193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89,924</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327,487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335,580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available-for-</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sale debt securities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470,394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895,929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904,022</w:t>
            </w: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8"/>
                <w:szCs w:val="18"/>
                <w:color w:val="auto"/>
              </w:rPr>
              <w:t>Fair value option -</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57"/>
        </w:trPr>
        <w:tc>
          <w:tcPr>
            <w:tcW w:w="24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debt securities</w:t>
            </w:r>
          </w:p>
        </w:tc>
        <w:tc>
          <w:tcPr>
            <w:tcW w:w="2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482,432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483,163</w:t>
            </w:r>
          </w:p>
        </w:tc>
        <w:tc>
          <w:tcPr>
            <w:tcW w:w="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8,093</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905,057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913,150</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19,872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7,676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27,548</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27,933</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7,633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marketable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including restricted</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490,108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36,026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912,690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948,716</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Less: Restricted marketable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marketable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19,872</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490,108</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509,980</w:t>
            </w:r>
          </w:p>
        </w:tc>
        <w:tc>
          <w:tcPr>
            <w:tcW w:w="5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27,933</w:t>
            </w:r>
          </w:p>
        </w:tc>
        <w:tc>
          <w:tcPr>
            <w:tcW w:w="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912,690</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940,623</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investment securities</w:t>
            </w:r>
          </w:p>
        </w:tc>
        <w:tc>
          <w:tcPr>
            <w:tcW w:w="2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54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June 30, 2020 and December 31, 2019, we did not have any investments that were categorized within Level 3 of the fair value hierarchy.</w:t>
      </w:r>
    </w:p>
    <w:p>
      <w:pPr>
        <w:sectPr>
          <w:pgSz w:w="11900" w:h="16838" w:orient="portrait"/>
          <w:cols w:equalWidth="0" w:num="1">
            <w:col w:w="11240"/>
          </w:cols>
          <w:pgMar w:left="320" w:top="140"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557530</wp:posOffset>
            </wp:positionV>
            <wp:extent cx="71151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equipment, net:</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property and equipment,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property and equipment, net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2091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486"/>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1,648,744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1,749,576</w:t>
            </w:r>
          </w:p>
        </w:tc>
      </w:tr>
      <w:tr>
        <w:trPr>
          <w:trHeight w:val="263"/>
        </w:trPr>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750,967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779,162</w:t>
            </w:r>
          </w:p>
        </w:tc>
      </w:tr>
      <w:tr>
        <w:trPr>
          <w:trHeight w:val="25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2,399,711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2,528,738</w:t>
            </w:r>
          </w:p>
        </w:tc>
      </w:tr>
      <w:tr>
        <w:trPr>
          <w:trHeight w:val="27"/>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708"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spacing w:after="0" w:line="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June 30, 2020, our operating satellite fleet consisted of 10 satellites, seven of which are owned and three of which are leased. They are all in geosynchronous orbit, approximately 22,300 miles above the equator.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satellite fleet as of June 30, 2020 which consists of both owned and leased satellites: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Nominal Degree</w:t>
            </w:r>
          </w:p>
        </w:tc>
        <w:tc>
          <w:tcPr>
            <w:tcW w:w="1520" w:type="dxa"/>
            <w:vAlign w:val="bottom"/>
          </w:tcPr>
          <w:p>
            <w:pPr>
              <w:spacing w:after="0"/>
              <w:rPr>
                <w:sz w:val="18"/>
                <w:szCs w:val="18"/>
                <w:color w:val="auto"/>
              </w:rPr>
            </w:pPr>
          </w:p>
        </w:tc>
      </w:tr>
      <w:tr>
        <w:trPr>
          <w:trHeight w:val="203"/>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8"/>
              </w:rPr>
              <w:t>Orbital Location</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Depreciable Life</w:t>
            </w:r>
          </w:p>
        </w:tc>
      </w:tr>
      <w:tr>
        <w:trPr>
          <w:trHeight w:val="24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Satellite</w:t>
            </w:r>
          </w:p>
        </w:tc>
        <w:tc>
          <w:tcPr>
            <w:tcW w:w="16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16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Launch Date</w:t>
            </w:r>
          </w:p>
        </w:tc>
        <w:tc>
          <w:tcPr>
            <w:tcW w:w="16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(Longitude)</w:t>
            </w:r>
          </w:p>
        </w:tc>
        <w:tc>
          <w:tcPr>
            <w:tcW w:w="1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 Years)</w:t>
            </w:r>
          </w:p>
        </w:tc>
      </w:tr>
      <w:tr>
        <w:trPr>
          <w:trHeight w:val="25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2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56"/>
        </w:trPr>
        <w:tc>
          <w:tcPr>
            <w:tcW w:w="334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August 2007</w:t>
            </w: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95 W</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57"/>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EchoStar XVII</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July 2012</w:t>
            </w:r>
          </w:p>
        </w:tc>
        <w:tc>
          <w:tcPr>
            <w:tcW w:w="2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107 W</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5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EchoStar XIX</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December 2016</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97.1 W</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340" w:type="dxa"/>
            <w:vAlign w:val="bottom"/>
            <w:gridSpan w:val="2"/>
            <w:shd w:val="clear" w:color="auto" w:fill="CCEEFF"/>
          </w:tcPr>
          <w:p>
            <w:pPr>
              <w:ind w:left="220"/>
              <w:spacing w:after="0" w:line="263"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January 2018</w:t>
            </w: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20 W</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56"/>
        </w:trPr>
        <w:tc>
          <w:tcPr>
            <w:tcW w:w="334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w:t>
            </w: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ESS</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August 2003</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121 W</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12</w:t>
            </w:r>
          </w:p>
        </w:tc>
      </w:tr>
      <w:tr>
        <w:trPr>
          <w:trHeight w:val="257"/>
        </w:trPr>
        <w:tc>
          <w:tcPr>
            <w:tcW w:w="3340" w:type="dxa"/>
            <w:vAlign w:val="bottom"/>
            <w:gridSpan w:val="2"/>
            <w:shd w:val="clear" w:color="auto" w:fill="CCEEFF"/>
          </w:tcPr>
          <w:p>
            <w:pPr>
              <w:ind w:left="220"/>
              <w:spacing w:after="0" w:line="256" w:lineRule="exact"/>
              <w:rPr>
                <w:sz w:val="20"/>
                <w:szCs w:val="20"/>
                <w:color w:val="auto"/>
              </w:rPr>
            </w:pPr>
            <w:r>
              <w:rPr>
                <w:rFonts w:ascii="Arial" w:cs="Arial" w:eastAsia="Arial" w:hAnsi="Arial"/>
                <w:sz w:val="18"/>
                <w:szCs w:val="18"/>
                <w:color w:val="auto"/>
              </w:rPr>
              <w:t xml:space="preserve">EUTELSAT 10A </w:t>
            </w:r>
            <w:r>
              <w:rPr>
                <w:rFonts w:ascii="Arial" w:cs="Arial" w:eastAsia="Arial" w:hAnsi="Arial"/>
                <w:sz w:val="23"/>
                <w:szCs w:val="23"/>
                <w:color w:val="auto"/>
                <w:vertAlign w:val="superscript"/>
              </w:rPr>
              <w:t>(4)</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Corporate and Other</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April 2009</w:t>
            </w:r>
          </w:p>
        </w:tc>
        <w:tc>
          <w:tcPr>
            <w:tcW w:w="2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10 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EchoStar XXI</w:t>
            </w: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Corporate and Other</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June 2017</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color w:val="auto"/>
              </w:rPr>
              <w:t>10.25 E</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50"/>
        </w:trPr>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Eutelsat 65 West A</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8"/>
              </w:rPr>
              <w:t>March 2016</w:t>
            </w: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65 W</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5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Telesat T19V</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July 2018</w:t>
            </w: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63 W</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EchoStar 105/SES-11</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ESS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October 2017</w:t>
            </w:r>
          </w:p>
        </w:tc>
        <w:tc>
          <w:tcPr>
            <w:tcW w:w="2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105 W</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bl>
    <w:p>
      <w:pPr>
        <w:spacing w:after="0" w:line="99" w:lineRule="exact"/>
        <w:rPr>
          <w:sz w:val="20"/>
          <w:szCs w:val="20"/>
          <w:color w:val="auto"/>
        </w:rPr>
      </w:pPr>
    </w:p>
    <w:p>
      <w:pPr>
        <w:ind w:left="340" w:hanging="332"/>
        <w:spacing w:after="0" w:line="204" w:lineRule="auto"/>
        <w:tabs>
          <w:tab w:leader="none" w:pos="17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spacing w:after="0" w:line="1" w:lineRule="exact"/>
        <w:rPr>
          <w:rFonts w:ascii="Arial" w:cs="Arial" w:eastAsia="Arial" w:hAnsi="Arial"/>
          <w:sz w:val="19"/>
          <w:szCs w:val="19"/>
          <w:color w:val="auto"/>
          <w:vertAlign w:val="superscript"/>
        </w:rPr>
      </w:pPr>
    </w:p>
    <w:p>
      <w:pPr>
        <w:ind w:left="340" w:hanging="332"/>
        <w:spacing w:after="0" w:line="204" w:lineRule="auto"/>
        <w:tabs>
          <w:tab w:leader="none" w:pos="175"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spacing w:after="0" w:line="1" w:lineRule="exact"/>
        <w:rPr>
          <w:rFonts w:ascii="Arial" w:cs="Arial" w:eastAsia="Arial" w:hAnsi="Arial"/>
          <w:sz w:val="19"/>
          <w:szCs w:val="19"/>
          <w:color w:val="auto"/>
          <w:vertAlign w:val="superscript"/>
        </w:rPr>
      </w:pPr>
    </w:p>
    <w:p>
      <w:pPr>
        <w:ind w:left="160" w:hanging="152"/>
        <w:spacing w:after="0" w:line="187"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own the Ka-band and Ku-band payloads on this satellite.</w:t>
      </w:r>
    </w:p>
    <w:p>
      <w:pPr>
        <w:ind w:left="340" w:hanging="332"/>
        <w:spacing w:after="0" w:line="211" w:lineRule="auto"/>
        <w:tabs>
          <w:tab w:leader="none" w:pos="171"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Depreciable Life</w:t>
            </w: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b w:val="1"/>
                <w:bCs w:val="1"/>
                <w:color w:val="auto"/>
              </w:rPr>
              <w:t>(In Years)</w:t>
            </w:r>
          </w:p>
        </w:tc>
        <w:tc>
          <w:tcPr>
            <w:tcW w:w="260" w:type="dxa"/>
            <w:vAlign w:val="bottom"/>
          </w:tcPr>
          <w:p>
            <w:pPr>
              <w:spacing w:after="0"/>
              <w:rPr>
                <w:sz w:val="21"/>
                <w:szCs w:val="21"/>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43"/>
        </w:trPr>
        <w:tc>
          <w:tcPr>
            <w:tcW w:w="20" w:type="dxa"/>
            <w:vAlign w:val="bottom"/>
          </w:tcPr>
          <w:p>
            <w:pPr>
              <w:spacing w:after="0"/>
              <w:rPr>
                <w:sz w:val="21"/>
                <w:szCs w:val="21"/>
                <w:color w:val="auto"/>
              </w:rPr>
            </w:pPr>
          </w:p>
        </w:tc>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7 to 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1,801,847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1,816,303</w:t>
            </w:r>
          </w:p>
        </w:tc>
      </w:tr>
      <w:tr>
        <w:trPr>
          <w:trHeight w:val="257"/>
        </w:trPr>
        <w:tc>
          <w:tcPr>
            <w:tcW w:w="20" w:type="dxa"/>
            <w:vAlign w:val="bottom"/>
          </w:tcPr>
          <w:p>
            <w:pPr>
              <w:spacing w:after="0"/>
              <w:rPr>
                <w:sz w:val="22"/>
                <w:szCs w:val="22"/>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Satellites - acquired under finance leases</w:t>
            </w:r>
          </w:p>
        </w:tc>
        <w:tc>
          <w:tcPr>
            <w:tcW w:w="15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347,146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381,163</w:t>
            </w: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384,298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365,133</w:t>
            </w:r>
          </w:p>
        </w:tc>
      </w:tr>
      <w:tr>
        <w:trPr>
          <w:trHeight w:val="257"/>
        </w:trPr>
        <w:tc>
          <w:tcPr>
            <w:tcW w:w="20" w:type="dxa"/>
            <w:vAlign w:val="bottom"/>
          </w:tcPr>
          <w:p>
            <w:pPr>
              <w:spacing w:after="0"/>
              <w:rPr>
                <w:sz w:val="22"/>
                <w:szCs w:val="22"/>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satellites</w:t>
            </w: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2,533,291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2,562,599</w:t>
            </w:r>
          </w:p>
        </w:tc>
      </w:tr>
      <w:tr>
        <w:trPr>
          <w:trHeight w:val="250"/>
        </w:trPr>
        <w:tc>
          <w:tcPr>
            <w:tcW w:w="20" w:type="dxa"/>
            <w:vAlign w:val="bottom"/>
          </w:tcPr>
          <w:p>
            <w:pPr>
              <w:spacing w:after="0"/>
              <w:rPr>
                <w:sz w:val="21"/>
                <w:szCs w:val="21"/>
                <w:color w:val="auto"/>
              </w:rPr>
            </w:pPr>
          </w:p>
        </w:tc>
        <w:tc>
          <w:tcPr>
            <w:tcW w:w="6240" w:type="dxa"/>
            <w:vAlign w:val="bottom"/>
          </w:tcPr>
          <w:p>
            <w:pPr>
              <w:ind w:left="200"/>
              <w:spacing w:after="0"/>
              <w:rPr>
                <w:sz w:val="20"/>
                <w:szCs w:val="20"/>
                <w:color w:val="auto"/>
              </w:rPr>
            </w:pPr>
            <w:r>
              <w:rPr>
                <w:rFonts w:ascii="Arial" w:cs="Arial" w:eastAsia="Arial" w:hAnsi="Arial"/>
                <w:sz w:val="18"/>
                <w:szCs w:val="18"/>
                <w:b w:val="1"/>
                <w:bCs w:val="1"/>
                <w:color w:val="auto"/>
              </w:rPr>
              <w:t>Accumulated depreciation:</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Satellites - owned</w:t>
            </w: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(823,487)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(756,635)</w:t>
            </w: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Satellites - acquired under finance leases</w:t>
            </w:r>
          </w:p>
        </w:tc>
        <w:tc>
          <w:tcPr>
            <w:tcW w:w="1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(61,060)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(56,388)</w:t>
            </w:r>
          </w:p>
        </w:tc>
      </w:tr>
      <w:tr>
        <w:trPr>
          <w:trHeight w:val="257"/>
        </w:trPr>
        <w:tc>
          <w:tcPr>
            <w:tcW w:w="20" w:type="dxa"/>
            <w:vAlign w:val="bottom"/>
          </w:tcPr>
          <w:p>
            <w:pPr>
              <w:spacing w:after="0"/>
              <w:rPr>
                <w:sz w:val="22"/>
                <w:szCs w:val="22"/>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accumulated depreciation</w:t>
            </w: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(884,547)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(813,023)</w:t>
            </w:r>
          </w:p>
        </w:tc>
      </w:tr>
      <w:tr>
        <w:trPr>
          <w:trHeight w:val="243"/>
        </w:trPr>
        <w:tc>
          <w:tcPr>
            <w:tcW w:w="20" w:type="dxa"/>
            <w:vAlign w:val="bottom"/>
          </w:tcPr>
          <w:p>
            <w:pPr>
              <w:spacing w:after="0"/>
              <w:rPr>
                <w:sz w:val="21"/>
                <w:szCs w:val="21"/>
                <w:color w:val="auto"/>
              </w:rPr>
            </w:pPr>
          </w:p>
        </w:tc>
        <w:tc>
          <w:tcPr>
            <w:tcW w:w="6240" w:type="dxa"/>
            <w:vAlign w:val="bottom"/>
          </w:tcPr>
          <w:p>
            <w:pPr>
              <w:ind w:left="860"/>
              <w:spacing w:after="0"/>
              <w:rPr>
                <w:sz w:val="20"/>
                <w:szCs w:val="20"/>
                <w:color w:val="auto"/>
              </w:rPr>
            </w:pPr>
            <w:r>
              <w:rPr>
                <w:rFonts w:ascii="Arial" w:cs="Arial" w:eastAsia="Arial" w:hAnsi="Arial"/>
                <w:sz w:val="18"/>
                <w:szCs w:val="18"/>
                <w:color w:val="auto"/>
              </w:rPr>
              <w:t>Total satellites, net</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1,648,744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1,749,576</w:t>
            </w: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and capitalized interest associated with our satellites,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7"/>
                <w:szCs w:val="17"/>
                <w:color w:val="auto"/>
              </w:rPr>
            </w:pPr>
          </w:p>
        </w:tc>
        <w:tc>
          <w:tcPr>
            <w:tcW w:w="24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r>
      <w:tr>
        <w:trPr>
          <w:trHeight w:val="250"/>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50"/>
        </w:trPr>
        <w:tc>
          <w:tcPr>
            <w:tcW w:w="5860" w:type="dxa"/>
            <w:vAlign w:val="bottom"/>
          </w:tcPr>
          <w:p>
            <w:pPr>
              <w:ind w:left="220"/>
              <w:spacing w:after="0"/>
              <w:rPr>
                <w:sz w:val="20"/>
                <w:szCs w:val="20"/>
                <w:color w:val="auto"/>
              </w:rPr>
            </w:pPr>
            <w:r>
              <w:rPr>
                <w:rFonts w:ascii="Arial" w:cs="Arial" w:eastAsia="Arial" w:hAnsi="Arial"/>
                <w:sz w:val="18"/>
                <w:szCs w:val="18"/>
                <w:color w:val="auto"/>
              </w:rPr>
              <w:t>Satellites - owned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32,073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32,015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64,147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64,029</w:t>
            </w:r>
          </w:p>
        </w:tc>
      </w:tr>
      <w:tr>
        <w:trPr>
          <w:trHeight w:val="263"/>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Satellites acquired under finance leases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6,402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13,218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12,892</w:t>
            </w:r>
          </w:p>
        </w:tc>
      </w:tr>
      <w:tr>
        <w:trPr>
          <w:trHeight w:val="244"/>
        </w:trPr>
        <w:tc>
          <w:tcPr>
            <w:tcW w:w="5860" w:type="dxa"/>
            <w:vAlign w:val="bottom"/>
          </w:tcPr>
          <w:p>
            <w:pPr>
              <w:ind w:left="460"/>
              <w:spacing w:after="0"/>
              <w:rPr>
                <w:sz w:val="20"/>
                <w:szCs w:val="20"/>
                <w:color w:val="auto"/>
              </w:rPr>
            </w:pPr>
            <w:r>
              <w:rPr>
                <w:rFonts w:ascii="Arial" w:cs="Arial" w:eastAsia="Arial" w:hAnsi="Arial"/>
                <w:sz w:val="18"/>
                <w:szCs w:val="18"/>
                <w:color w:val="auto"/>
              </w:rPr>
              <w:t>Total depreciation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39,278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38,417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77,365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76,921</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3"/>
        </w:trPr>
        <w:tc>
          <w:tcPr>
            <w:tcW w:w="5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13,578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10,356</w:t>
            </w:r>
          </w:p>
        </w:tc>
      </w:tr>
      <w:tr>
        <w:trPr>
          <w:trHeight w:val="27"/>
        </w:trPr>
        <w:tc>
          <w:tcPr>
            <w:tcW w:w="5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In the first quarter of 2020, Space Systems/Loral, LLC (“SS/L”), the manufacturer of our EchoStar XXIV satellite, invoked the “force majeure” clause of our contract and notified us of a possible delay in completion of the satellite due to “shelter-in-place” orders affecting personnel at SS/L and its subcontractors, and other potential impacts of the COVID-19 pandemic. Since that time, we have continued to work with SS/L to monitor the impact of COVID-19 on the anticipated delivery schedule for our EchoStar XXIV satellite</w:t>
      </w:r>
      <w:r>
        <w:rPr>
          <w:rFonts w:ascii="Arial" w:cs="Arial" w:eastAsia="Arial" w:hAnsi="Arial"/>
          <w:sz w:val="19"/>
          <w:szCs w:val="19"/>
          <w:color w:val="auto"/>
        </w:rPr>
        <w:t>.</w:t>
      </w:r>
      <w:r>
        <w:rPr>
          <w:rFonts w:ascii="Arial" w:cs="Arial" w:eastAsia="Arial" w:hAnsi="Arial"/>
          <w:sz w:val="18"/>
          <w:szCs w:val="18"/>
          <w:color w:val="auto"/>
        </w:rPr>
        <w:t xml:space="preserve"> We currently expect the EchoStar XXIV satellite to be launched no earlier than the second half of 2021. Capital expenditures associated with the construction and launch of the EchoStar XXIV satellite are included in Corporate and Other in our segment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Commitments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2020 and December 31, 2019, our satellite-related obligations were $385.1 million and $ 419.0 million, respectively. These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and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2020 and December 31, 2019, the fair values of our in-orbit incentive obligations from our continuing operations, based on measurements categorized within Level 2 of the fair value hierarchy, approximated their carrying amounts of $55.9 million and $57.0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REGULATORY AUTHORIZATIONS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our </w:t>
      </w:r>
      <w:r>
        <w:rPr>
          <w:rFonts w:ascii="Arial" w:cs="Arial" w:eastAsia="Arial" w:hAnsi="Arial"/>
          <w:sz w:val="18"/>
          <w:szCs w:val="18"/>
          <w:i w:val="1"/>
          <w:iCs w:val="1"/>
          <w:color w:val="auto"/>
        </w:rPr>
        <w:t>Regulatory authorizations, net</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Finite lived</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7"/>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6"/>
        </w:trPr>
        <w:tc>
          <w:tcPr>
            <w:tcW w:w="37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Indefinite lived</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46,787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29,997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430,039</w:t>
            </w:r>
          </w:p>
        </w:tc>
      </w:tr>
      <w:tr>
        <w:trPr>
          <w:trHeight w:val="250"/>
        </w:trPr>
        <w:tc>
          <w:tcPr>
            <w:tcW w:w="3780" w:type="dxa"/>
            <w:vAlign w:val="bottom"/>
          </w:tcPr>
          <w:p>
            <w:pPr>
              <w:ind w:left="220"/>
              <w:spacing w:after="0"/>
              <w:rPr>
                <w:sz w:val="20"/>
                <w:szCs w:val="20"/>
                <w:color w:val="auto"/>
              </w:rPr>
            </w:pPr>
            <w:r>
              <w:rPr>
                <w:rFonts w:ascii="Arial" w:cs="Arial" w:eastAsia="Arial" w:hAnsi="Arial"/>
                <w:sz w:val="18"/>
                <w:szCs w:val="18"/>
                <w:color w:val="auto"/>
              </w:rPr>
              <w:t>Disposals</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63"/>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r>
      <w:tr>
        <w:trPr>
          <w:trHeight w:val="250"/>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r>
      <w:tr>
        <w:trPr>
          <w:trHeight w:val="27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28,048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399,999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428,047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38,307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440,291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478,598</w:t>
            </w:r>
          </w:p>
        </w:tc>
      </w:tr>
      <w:tr>
        <w:trPr>
          <w:trHeight w:val="250"/>
        </w:trPr>
        <w:tc>
          <w:tcPr>
            <w:tcW w:w="3780" w:type="dxa"/>
            <w:vAlign w:val="bottom"/>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(2,134)</w:t>
            </w:r>
          </w:p>
        </w:tc>
      </w:tr>
      <w:tr>
        <w:trPr>
          <w:trHeight w:val="257"/>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57,295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(22,329)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34,966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439,497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474,463</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Weighted average useful life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13 years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 Lived Assets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November 2019, we were granted an S-Band spectrum license for terrestrial rights in Mexico for $7.9 million. The acquired asset is subject to amortization over a period of 15 years.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also acquired Ka-band spectrum rights for $4.5 million, upon consummation of the Yahsat Brazil JV Transaction, which are subject to amortization over a period of 11 years.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NOTE 10. OTHER INVESTMENTS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940" w:type="dxa"/>
            <w:vAlign w:val="bottom"/>
            <w:gridSpan w:val="2"/>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20" w:type="dxa"/>
            <w:vAlign w:val="bottom"/>
          </w:tcPr>
          <w:p>
            <w:pPr>
              <w:spacing w:after="0"/>
              <w:rPr>
                <w:sz w:val="21"/>
                <w:szCs w:val="21"/>
                <w:color w:val="auto"/>
              </w:rPr>
            </w:pPr>
          </w:p>
        </w:tc>
        <w:tc>
          <w:tcPr>
            <w:tcW w:w="79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43"/>
        </w:trPr>
        <w:tc>
          <w:tcPr>
            <w:tcW w:w="20" w:type="dxa"/>
            <w:vAlign w:val="bottom"/>
          </w:tcPr>
          <w:p>
            <w:pPr>
              <w:spacing w:after="0"/>
              <w:rPr>
                <w:sz w:val="21"/>
                <w:szCs w:val="21"/>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146,232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166,209</w:t>
            </w:r>
          </w:p>
        </w:tc>
      </w:tr>
      <w:tr>
        <w:trPr>
          <w:trHeight w:val="263"/>
        </w:trPr>
        <w:tc>
          <w:tcPr>
            <w:tcW w:w="20" w:type="dxa"/>
            <w:vAlign w:val="bottom"/>
          </w:tcPr>
          <w:p>
            <w:pPr>
              <w:spacing w:after="0"/>
              <w:rPr>
                <w:sz w:val="22"/>
                <w:szCs w:val="22"/>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equity investments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66,627</w:t>
            </w: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debt investments, net</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92,569</w:t>
            </w:r>
          </w:p>
        </w:tc>
      </w:tr>
      <w:tr>
        <w:trPr>
          <w:trHeight w:val="282"/>
        </w:trPr>
        <w:tc>
          <w:tcPr>
            <w:tcW w:w="20" w:type="dxa"/>
            <w:vAlign w:val="bottom"/>
          </w:tcPr>
          <w:p>
            <w:pPr>
              <w:spacing w:after="0"/>
              <w:rPr>
                <w:sz w:val="24"/>
                <w:szCs w:val="24"/>
                <w:color w:val="auto"/>
              </w:rPr>
            </w:pPr>
          </w:p>
        </w:tc>
        <w:tc>
          <w:tcPr>
            <w:tcW w:w="7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275,873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325,405</w:t>
            </w: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49% of Dish Mexico and its subsidiaries, a joint venture that we entered into in 2008 to provide direct-to-home satellite services in Mexico. Historically, we provided certain satellite services to Dish Mexico. However, following the consummation of the BSS Transaction, we no longer provide these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0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9"/>
              </w:rPr>
              <w:t>For the three months ended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7"/>
          </w:tcPr>
          <w:p>
            <w:pPr>
              <w:jc w:val="right"/>
              <w:ind w:right="13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6"/>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6"/>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2,281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BCS</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2,784</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2,262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4,453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7"/>
        </w:trPr>
        <w:tc>
          <w:tcPr>
            <w:tcW w:w="5900" w:type="dxa"/>
            <w:vAlign w:val="bottom"/>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6"/>
        </w:trPr>
        <w:tc>
          <w:tcPr>
            <w:tcW w:w="5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BCS</w:t>
            </w: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5,725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reductions to the carrying amount of our investments based on circumstances that indicated the fair value of the investments was less than their carrying amount: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(gain) on investments, net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 Investments, Net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other debt investments,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debt investments, net:</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Cost basis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Discount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Allowance for credit 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other debt investments, net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246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5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29,833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28,653</w:t>
            </w:r>
          </w:p>
        </w:tc>
      </w:tr>
      <w:tr>
        <w:trPr>
          <w:trHeight w:val="27"/>
        </w:trPr>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-205105</wp:posOffset>
            </wp:positionV>
            <wp:extent cx="711517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28575</wp:posOffset>
            </wp:positionV>
            <wp:extent cx="2091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9"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486"/>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107,259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102,878</w:t>
            </w:r>
          </w:p>
        </w:tc>
      </w:tr>
      <w:tr>
        <w:trPr>
          <w:trHeight w:val="257"/>
        </w:trPr>
        <w:tc>
          <w:tcPr>
            <w:tcW w:w="2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(10,309)</w:t>
            </w:r>
          </w:p>
        </w:tc>
      </w:tr>
      <w:tr>
        <w:trPr>
          <w:trHeight w:val="263"/>
        </w:trPr>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94,584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92,569</w:t>
            </w:r>
          </w:p>
        </w:tc>
      </w:tr>
      <w:tr>
        <w:trPr>
          <w:trHeight w:val="27"/>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-856615</wp:posOffset>
            </wp:positionV>
            <wp:extent cx="711517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-530860</wp:posOffset>
            </wp:positionV>
            <wp:extent cx="7115175"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-205105</wp:posOffset>
            </wp:positionV>
            <wp:extent cx="711517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140"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allowance for credit losses for these investments:</w:t>
      </w:r>
    </w:p>
    <w:p>
      <w:pPr>
        <w:spacing w:after="0" w:line="41"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For the six months</w:t>
      </w:r>
    </w:p>
    <w:p>
      <w:pPr>
        <w:spacing w:after="0" w:line="18" w:lineRule="exact"/>
        <w:rPr>
          <w:sz w:val="20"/>
          <w:szCs w:val="20"/>
          <w:color w:val="auto"/>
        </w:rPr>
      </w:pPr>
    </w:p>
    <w:p>
      <w:pPr>
        <w:jc w:val="center"/>
        <w:ind w:left="9200"/>
        <w:spacing w:after="0"/>
        <w:rPr>
          <w:sz w:val="20"/>
          <w:szCs w:val="20"/>
          <w:color w:val="auto"/>
        </w:rPr>
      </w:pPr>
      <w:r>
        <w:rPr>
          <w:rFonts w:ascii="Arial" w:cs="Arial" w:eastAsia="Arial" w:hAnsi="Arial"/>
          <w:sz w:val="17"/>
          <w:szCs w:val="17"/>
          <w:b w:val="1"/>
          <w:bCs w:val="1"/>
          <w:color w:val="auto"/>
        </w:rPr>
        <w:t>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beginning of period</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Credit losses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Deductions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end of period</w:t>
      </w:r>
    </w:p>
    <w:p>
      <w:pPr>
        <w:spacing w:after="0" w:line="28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The impact of adopting ASC 326 on January 1, 2020 was a $2.1 million adjustment to </w:t>
      </w:r>
      <w:r>
        <w:rPr>
          <w:rFonts w:ascii="Arial" w:cs="Arial" w:eastAsia="Arial" w:hAnsi="Arial"/>
          <w:sz w:val="14"/>
          <w:szCs w:val="14"/>
          <w:i w:val="1"/>
          <w:iCs w:val="1"/>
          <w:color w:val="auto"/>
        </w:rPr>
        <w:t>Accumulated earnings (losses)</w:t>
      </w:r>
      <w:r>
        <w:rPr>
          <w:rFonts w:ascii="Arial" w:cs="Arial" w:eastAsia="Arial" w:hAnsi="Arial"/>
          <w:sz w:val="14"/>
          <w:szCs w:val="14"/>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interest income, net related to our other debt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income, net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540"/>
        <w:spacing w:after="0"/>
        <w:tabs>
          <w:tab w:leader="none" w:pos="3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2,322</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14605</wp:posOffset>
            </wp:positionV>
            <wp:extent cx="12858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3" w:lineRule="exact"/>
        <w:rPr>
          <w:sz w:val="20"/>
          <w:szCs w:val="20"/>
          <w:color w:val="auto"/>
        </w:rPr>
      </w:pPr>
    </w:p>
    <w:p>
      <w:pPr>
        <w:ind w:left="2940" w:hanging="1407"/>
        <w:spacing w:after="0"/>
        <w:tabs>
          <w:tab w:leader="none" w:pos="2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14605</wp:posOffset>
            </wp:positionV>
            <wp:extent cx="12858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40640</wp:posOffset>
            </wp:positionV>
            <wp:extent cx="12858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For the three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For the six months</w:t>
            </w:r>
          </w:p>
        </w:tc>
      </w:tr>
      <w:tr>
        <w:trPr>
          <w:trHeight w:val="203"/>
        </w:trPr>
        <w:tc>
          <w:tcPr>
            <w:tcW w:w="18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rPr>
              <w:t>months ended</w:t>
            </w: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ended June 30,</w:t>
            </w:r>
          </w:p>
        </w:tc>
      </w:tr>
      <w:tr>
        <w:trPr>
          <w:trHeight w:val="24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June 30, 2020</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r>
    </w:tbl>
    <w:p>
      <w:pPr>
        <w:spacing w:after="0" w:line="269" w:lineRule="exact"/>
        <w:rPr>
          <w:sz w:val="20"/>
          <w:szCs w:val="20"/>
          <w:color w:val="auto"/>
        </w:rPr>
      </w:pPr>
    </w:p>
    <w:p>
      <w:pPr>
        <w:sectPr>
          <w:pgSz w:w="11900" w:h="16838" w:orient="portrait"/>
          <w:cols w:equalWidth="0" w:num="2">
            <w:col w:w="7640" w:space="60"/>
            <w:col w:w="35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77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6,904</w:t>
            </w:r>
          </w:p>
        </w:tc>
      </w:tr>
      <w:tr>
        <w:trPr>
          <w:trHeight w:val="257"/>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 losses</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57"/>
        </w:trPr>
        <w:tc>
          <w:tcPr>
            <w:tcW w:w="7700" w:type="dxa"/>
            <w:vAlign w:val="bottom"/>
          </w:tcPr>
          <w:p>
            <w:pPr>
              <w:ind w:left="440"/>
              <w:spacing w:after="0"/>
              <w:rPr>
                <w:sz w:val="20"/>
                <w:szCs w:val="20"/>
                <w:color w:val="auto"/>
              </w:rPr>
            </w:pPr>
            <w:r>
              <w:rPr>
                <w:rFonts w:ascii="Arial" w:cs="Arial" w:eastAsia="Arial" w:hAnsi="Arial"/>
                <w:sz w:val="18"/>
                <w:szCs w:val="18"/>
                <w:color w:val="auto"/>
              </w:rPr>
              <w:t>Total interest income, net</w:t>
            </w: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6,728</w:t>
            </w:r>
          </w:p>
        </w:tc>
      </w:tr>
      <w:tr>
        <w:trPr>
          <w:trHeight w:val="20"/>
        </w:trPr>
        <w:tc>
          <w:tcPr>
            <w:tcW w:w="7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interest income, net related to our other debt investments, net for the three and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amounts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December 31, 2019</w:t>
            </w:r>
          </w:p>
        </w:tc>
      </w:tr>
      <w:tr>
        <w:trPr>
          <w:trHeight w:val="207"/>
        </w:trPr>
        <w:tc>
          <w:tcPr>
            <w:tcW w:w="3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Effective</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Carrying</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7"/>
                <w:szCs w:val="17"/>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46"/>
        </w:trPr>
        <w:tc>
          <w:tcPr>
            <w:tcW w:w="3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interest rates</w:t>
            </w: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4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50"/>
        </w:trPr>
        <w:tc>
          <w:tcPr>
            <w:tcW w:w="340" w:type="dxa"/>
            <w:vAlign w:val="bottom"/>
          </w:tcPr>
          <w:p>
            <w:pPr>
              <w:ind w:left="220"/>
              <w:spacing w:after="0"/>
              <w:rPr>
                <w:sz w:val="20"/>
                <w:szCs w:val="20"/>
                <w:color w:val="auto"/>
              </w:rPr>
            </w:pPr>
            <w:r>
              <w:rPr>
                <w:rFonts w:ascii="Arial" w:cs="Arial" w:eastAsia="Arial" w:hAnsi="Arial"/>
                <w:sz w:val="18"/>
                <w:szCs w:val="18"/>
                <w:color w:val="auto"/>
                <w:w w:val="99"/>
              </w:rPr>
              <w:t>5</w:t>
            </w:r>
          </w:p>
        </w:tc>
        <w:tc>
          <w:tcPr>
            <w:tcW w:w="4180" w:type="dxa"/>
            <w:vAlign w:val="bottom"/>
          </w:tcPr>
          <w:p>
            <w:pPr>
              <w:ind w:left="20"/>
              <w:spacing w:after="0"/>
              <w:rPr>
                <w:sz w:val="20"/>
                <w:szCs w:val="20"/>
                <w:color w:val="auto"/>
              </w:rPr>
            </w:pPr>
            <w:r>
              <w:rPr>
                <w:rFonts w:ascii="Arial" w:cs="Arial" w:eastAsia="Arial" w:hAnsi="Arial"/>
                <w:sz w:val="18"/>
                <w:szCs w:val="18"/>
                <w:color w:val="auto"/>
              </w:rPr>
              <w:t>1/4% Senior Secured Notes due 2026</w:t>
            </w:r>
          </w:p>
        </w:tc>
        <w:tc>
          <w:tcPr>
            <w:tcW w:w="1220" w:type="dxa"/>
            <w:vAlign w:val="bottom"/>
          </w:tcPr>
          <w:p>
            <w:pPr>
              <w:jc w:val="center"/>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776,625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825,308</w:t>
            </w:r>
          </w:p>
        </w:tc>
      </w:tr>
      <w:tr>
        <w:trPr>
          <w:trHeight w:val="26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340" w:type="dxa"/>
            <w:vAlign w:val="bottom"/>
          </w:tcPr>
          <w:p>
            <w:pPr>
              <w:ind w:left="220"/>
              <w:spacing w:after="0"/>
              <w:rPr>
                <w:sz w:val="20"/>
                <w:szCs w:val="20"/>
                <w:color w:val="auto"/>
              </w:rPr>
            </w:pPr>
            <w:r>
              <w:rPr>
                <w:rFonts w:ascii="Arial" w:cs="Arial" w:eastAsia="Arial" w:hAnsi="Arial"/>
                <w:sz w:val="18"/>
                <w:szCs w:val="18"/>
                <w:color w:val="auto"/>
                <w:w w:val="99"/>
              </w:rPr>
              <w:t>7</w:t>
            </w:r>
          </w:p>
        </w:tc>
        <w:tc>
          <w:tcPr>
            <w:tcW w:w="4180" w:type="dxa"/>
            <w:vAlign w:val="bottom"/>
          </w:tcPr>
          <w:p>
            <w:pPr>
              <w:ind w:left="20"/>
              <w:spacing w:after="0"/>
              <w:rPr>
                <w:sz w:val="20"/>
                <w:szCs w:val="20"/>
                <w:color w:val="auto"/>
              </w:rPr>
            </w:pPr>
            <w:r>
              <w:rPr>
                <w:rFonts w:ascii="Arial" w:cs="Arial" w:eastAsia="Arial" w:hAnsi="Arial"/>
                <w:sz w:val="18"/>
                <w:szCs w:val="18"/>
                <w:color w:val="auto"/>
              </w:rPr>
              <w:t>5/8% Senior Unsecured Notes due 2021</w:t>
            </w:r>
          </w:p>
        </w:tc>
        <w:tc>
          <w:tcPr>
            <w:tcW w:w="1220" w:type="dxa"/>
            <w:vAlign w:val="bottom"/>
          </w:tcPr>
          <w:p>
            <w:pPr>
              <w:jc w:val="center"/>
              <w:spacing w:after="0"/>
              <w:rPr>
                <w:sz w:val="20"/>
                <w:szCs w:val="20"/>
                <w:color w:val="auto"/>
              </w:rPr>
            </w:pPr>
            <w:r>
              <w:rPr>
                <w:rFonts w:ascii="Arial" w:cs="Arial" w:eastAsia="Arial" w:hAnsi="Arial"/>
                <w:sz w:val="18"/>
                <w:szCs w:val="18"/>
                <w:color w:val="auto"/>
              </w:rPr>
              <w:t>8.062%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928,485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963,783</w:t>
            </w:r>
          </w:p>
        </w:tc>
      </w:tr>
      <w:tr>
        <w:trPr>
          <w:trHeight w:val="263"/>
        </w:trPr>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6</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785,985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833,903</w:t>
            </w:r>
          </w:p>
        </w:tc>
      </w:tr>
      <w:tr>
        <w:trPr>
          <w:trHeight w:val="25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45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2,391,288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2,491,095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2,389,168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2,622,994</w:t>
            </w:r>
          </w:p>
        </w:tc>
      </w:tr>
      <w:tr>
        <w:trPr>
          <w:trHeight w:val="250"/>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Less: Current portion, net</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(896,386)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(928,485)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5"/>
        </w:trPr>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net</w:t>
            </w:r>
          </w:p>
        </w:tc>
        <w:tc>
          <w:tcPr>
            <w:tcW w:w="12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1,494,902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1,562,610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2,389,168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2,622,994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income tax provision was $10.9 million for the three months ended June 30, 2020 compared to $ 4.7 million of income tax provision for the three months ended June 30, 2019. Our estimated effective income tax rate was (271.8)% and (18.5)% for the three months ended June 30, 2020 and 2019, respectively. The variations in our effective tax rate from the U.S. federal statutory rate for the three months ended June 30, 2020 were primarily due to the increase in our valuation allowance associated with certain foreign losses and the impact of state and local taxes, partially offset by research and experimentation credits. The variations in our effective tax rate from the U.S. federal statutory rate for the three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Additionally, during the three months ended June 30, 2019, we recorded additional tax expense of $2.0 million on deemed mandatory repatriation of certain deferred foreign earnings as the result of new treasury regulations.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income tax provision was $3.4 million for the six months ended June 30, 2020 compared to $7.6 million of income tax provision for the six months ended June 30, 2019. Our estimated effective income tax rate was (4.9)% and (28.5)% for the six months ended June 30, 2020 and 2019, respectively. The variations in our effective tax rate from the U.S. federal statutory rate for the six months ended June 30, 2020 were primarily due to the increase in our valuation allowance associated with certain foreign losses and the impact of state and local taxes, partially offset by the change in net unrealized losses that are capital in nature and research and experimentation credits. The variations in our effective tax rate from the U.S. federal statutory rate for the six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Additionally, during the three months ended June 30, 2019, we recorded additional tax</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expense of $2.0 million on deemed mandatory repatriation of certain deferred foreign earnings as the result of new treasury regulations.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Coronavirus Aid, Relief, and Economic Security Act (the “CARES Act”) was enacted in March 2020. The CARES Act features significant tax provisions and other measures to assist individuals and businesses impacted by the economic effects of the COVID-19 pandemic, including a five-year carryback of net operating losses, relaxation of Section 163(j) interest deduction limitations, acceleration of Alternative Minimum Tax refunds, relief for payroll tax and tax credits for employers who retain employees. These provisions did not affect our income tax provision for the three and six months ended June 30,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spin-off from DISH in 2008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the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against us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In December 2019, we entered into a comprehensive settlement agreement with Elbit pursuant to which we paid a total of $33.0 million in satisfaction of all amounts relating to these matters and all open proceedings, including appeals, were dismissed with prejudice.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officer, David J. Rayner; EchoStar Corporation; our subsidiary Hughes Satellite Services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We intend to vigorously defend this case. We cannot predict its outcome with any degree of certainty</w:t>
      </w:r>
      <w:r>
        <w:rPr>
          <w:rFonts w:ascii="Arial" w:cs="Arial" w:eastAsia="Arial" w:hAnsi="Arial"/>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1999, HCIPL’s license was amended pursuant to a new government policy that eliminated the fixed license fees and instead required each telecommunications service provider to pay license fees based on its adjusted gross revenue (“AGR”). In March 2005, the Indian Department of Telecommunications (“DOT”) notified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HCIPL that, based on its review of HCIPL’s audited accounts and AGR statements, HCIPL must pay additional license fees, interest on such fees and penalties and interest on the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HCPIL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HCPIL’s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July 17, 2020, the Supreme Court reaffirmed its March 18, 2020, order and reserved judgment on the DOT proposal to allow for extended or deferred payments. To date, HCIPL has paid the DOT $2.9 million with respect to this matter. As a result of the Supreme Court’s orders, HCIPL’s payments to date and the impact of foreign exchange rates, we have recorded an accrual of $79.6 million as of June 30, 2020, comprised of $3.8 million for additional license fees, $3.9 million for penalties and $72.0 million for interest and interest on penalties. We had recorded an accrual of $80.2 million as of December 31, 2019. Any eventual payments made with respect to the ultimate outcome of this matter may be different from our accrual and such differences could be significant.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Business segments are components of an enterprise for which separate financial information is available and regularly evaluated by our chief operating decision maker (“CODM”), who is our Chief Executive Officer. We operate in two business segments, Hughes and ESS, as described in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and Business Activities</w:t>
      </w:r>
      <w:r>
        <w:rPr>
          <w:rFonts w:ascii="Arial" w:cs="Arial" w:eastAsia="Arial" w:hAnsi="Arial"/>
          <w:sz w:val="18"/>
          <w:szCs w:val="18"/>
          <w:color w:val="auto"/>
        </w:rPr>
        <w:t>.</w:t>
      </w: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net income (loss) from discontinued operations and net income (loss) attributable to non-controlling interests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revenue, EBITDA and capital expenditures for each of our business segments. Capital expenditures are net of refunds and other receipts related to our property and equipment.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21"/>
                <w:szCs w:val="21"/>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4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453,172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459,466</w:t>
            </w:r>
          </w:p>
        </w:tc>
      </w:tr>
      <w:tr>
        <w:trPr>
          <w:trHeight w:val="25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474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453,172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459,466</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186,619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(31,338)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156,824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83,479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92,300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2019</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451,847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460,431</w:t>
            </w:r>
          </w:p>
        </w:tc>
      </w:tr>
      <w:tr>
        <w:trPr>
          <w:trHeight w:val="25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474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451,847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460,431</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131,765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124,834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1"/>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74,090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33,252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107,342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911,654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8,153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925,132</w:t>
            </w:r>
          </w:p>
        </w:tc>
      </w:tr>
      <w:tr>
        <w:trPr>
          <w:trHeight w:val="25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474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911,654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8,831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925,132</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6"/>
        </w:trPr>
        <w:tc>
          <w:tcPr>
            <w:tcW w:w="4740" w:type="dxa"/>
            <w:vAlign w:val="bottom"/>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341,260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(96,778)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248,055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174,996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21,908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196,904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2019</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897,184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7,286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10,343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914,813</w:t>
            </w:r>
          </w:p>
        </w:tc>
      </w:tr>
      <w:tr>
        <w:trPr>
          <w:trHeight w:val="25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474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897,184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7,775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9,854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914,813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292,897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(25,677)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270,435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147,911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71,285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219,196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Condensed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Operations to EBITDA: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7"/>
                <w:szCs w:val="17"/>
                <w:color w:val="auto"/>
              </w:rPr>
            </w:pPr>
          </w:p>
        </w:tc>
        <w:tc>
          <w:tcPr>
            <w:tcW w:w="24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r>
      <w:tr>
        <w:trPr>
          <w:trHeight w:val="250"/>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5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(26,677)</w:t>
            </w:r>
          </w:p>
        </w:tc>
      </w:tr>
      <w:tr>
        <w:trPr>
          <w:trHeight w:val="250"/>
        </w:trPr>
        <w:tc>
          <w:tcPr>
            <w:tcW w:w="58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(26,343)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(47,642)</w:t>
            </w:r>
          </w:p>
        </w:tc>
      </w:tr>
      <w:tr>
        <w:trPr>
          <w:trHeight w:val="263"/>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53,749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74,491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106,948</w:t>
            </w:r>
          </w:p>
        </w:tc>
      </w:tr>
      <w:tr>
        <w:trPr>
          <w:trHeight w:val="250"/>
        </w:trPr>
        <w:tc>
          <w:tcPr>
            <w:tcW w:w="5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129,887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120,266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262,255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239,244</w:t>
            </w:r>
          </w:p>
        </w:tc>
      </w:tr>
      <w:tr>
        <w:trPr>
          <w:trHeight w:val="263"/>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6,873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(1,438)</w:t>
            </w:r>
          </w:p>
        </w:tc>
      </w:tr>
      <w:tr>
        <w:trPr>
          <w:trHeight w:val="244"/>
        </w:trPr>
        <w:tc>
          <w:tcPr>
            <w:tcW w:w="586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156,824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124,834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248,055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270,435</w:t>
            </w:r>
          </w:p>
        </w:tc>
      </w:tr>
      <w:tr>
        <w:trPr>
          <w:trHeight w:val="27"/>
        </w:trPr>
        <w:tc>
          <w:tcPr>
            <w:tcW w:w="5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EchoStar Corporation and DISH have operated as separate publicly-traded companies since 2008. A substantial majority of the voting power of the shares of each of EchoStar Corporation and DISH is owned beneficially by Charles W. Ergen, our Chairman, and by certain entities established for the benefit of his family. In addition, prior to March 2017, DISH Network owned the Tracking Stock, which in the aggregate represented an 80% economic interest in the residential retail satellite broadband business of our Hughes segment. The Tracking Stock was retired in March 2017.</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from DISH Network:</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8"/>
                <w:szCs w:val="18"/>
                <w:color w:val="auto"/>
              </w:rPr>
            </w:pPr>
          </w:p>
        </w:tc>
        <w:tc>
          <w:tcPr>
            <w:tcW w:w="24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r>
      <w:tr>
        <w:trPr>
          <w:trHeight w:val="250"/>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14,238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19,341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29,300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58"/>
        </w:trPr>
        <w:tc>
          <w:tcPr>
            <w:tcW w:w="7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7"/>
                <w:szCs w:val="17"/>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79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81"/>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13,465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10,683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an agreement and have previously entered into a now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lease satellite capacity pursuant to which we have provided satellite services to DISH Network on certain satellites owned or leased by us. The fees for the services provided under these agreements may depend upon, among other things, the orbital location of the applicable satellite, the number of transponders that are providing services on the applicable satellite, the length of the service arrangements and any third-party costs associated with the satellite capacity. The terms of these agreements are set forth below:</w:t>
      </w:r>
    </w:p>
    <w:p>
      <w:pPr>
        <w:spacing w:after="0" w:line="179" w:lineRule="exact"/>
        <w:rPr>
          <w:sz w:val="20"/>
          <w:szCs w:val="20"/>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IX </w:t>
      </w:r>
      <w:r>
        <w:rPr>
          <w:rFonts w:ascii="Arial" w:cs="Arial" w:eastAsia="Arial" w:hAnsi="Arial"/>
          <w:sz w:val="18"/>
          <w:szCs w:val="18"/>
          <w:color w:val="auto"/>
        </w:rPr>
        <w:t>— Effective January 2008, DISH Network began leasing satellite capacity from us on the EchoStar IX satellite.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availability, DISH Network generally has the right to continue leasing satellite capacity from us on the EchoStar IX satellite on a month-to-month basis.</w:t>
      </w:r>
    </w:p>
    <w:p>
      <w:pPr>
        <w:spacing w:after="0" w:line="170" w:lineRule="exact"/>
        <w:rPr>
          <w:rFonts w:ascii="Arial" w:cs="Arial" w:eastAsia="Arial" w:hAnsi="Arial"/>
          <w:sz w:val="18"/>
          <w:szCs w:val="18"/>
          <w:i w:val="1"/>
          <w:iCs w:val="1"/>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103 Degree Orbital Location/SES-3 </w:t>
      </w:r>
      <w:r>
        <w:rPr>
          <w:rFonts w:ascii="Arial" w:cs="Arial" w:eastAsia="Arial" w:hAnsi="Arial"/>
          <w:sz w:val="18"/>
          <w:szCs w:val="18"/>
          <w:color w:val="auto"/>
        </w:rPr>
        <w:t>— In May 2012, we entered into a spectrum development agreement (the “103 Spectrum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04" w:lineRule="exact"/>
        <w:rPr>
          <w:rFonts w:ascii="Arial" w:cs="Arial" w:eastAsia="Arial" w:hAnsi="Arial"/>
          <w:sz w:val="18"/>
          <w:szCs w:val="18"/>
          <w:i w:val="1"/>
          <w:iCs w:val="1"/>
          <w:color w:val="auto"/>
        </w:rPr>
      </w:pPr>
    </w:p>
    <w:p>
      <w:pPr>
        <w:jc w:val="both"/>
        <w:ind w:left="66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We transferred the Telesat Transponder Agreement to DISH Network as part of the BSS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we retained certain obligations related to DISH Network’s performance under that agreement. In September 2019, we and DISH Network entered into an agreement whereby DISH Network compensates us for retaining such obligations.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and includes DISH Network’s portion of the taxes, insurance, utilities and/or maintenance of the premises. The terms of each of the leases are set forth below:</w:t>
      </w:r>
    </w:p>
    <w:p>
      <w:pPr>
        <w:spacing w:after="0" w:line="176" w:lineRule="exact"/>
        <w:rPr>
          <w:sz w:val="20"/>
          <w:szCs w:val="20"/>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Effective March 2017, DISH Network is licensed to use certain of our space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Inverness 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09" w:lineRule="exact"/>
        <w:rPr>
          <w:rFonts w:ascii="Arial" w:cs="Arial" w:eastAsia="Arial" w:hAnsi="Arial"/>
          <w:sz w:val="18"/>
          <w:szCs w:val="18"/>
          <w:i w:val="1"/>
          <w:iCs w:val="1"/>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2020. After December 2020, this agreement may be converted by mutual consent to a month-to-month lease agreement with either party having the right to terminate upon 30 days’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will continue to provide warranty services to DISH Network.</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HughesNet service. DISH Network pays us a monthly per subscriber wholesale service fee for the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HughesNet service. The Distribution Agreement had an initial term of five years with automatic renewal for successive one year terms unless terminated by either party with a written notice at least 180 days’ before the expiration of the then -current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HughesNet service to the then-current DISH Network subscribers pursuant to the terms and conditions of the Distribution Agreement.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 — DISH Network</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gridSpan w:val="5"/>
          </w:tcPr>
          <w:p>
            <w:pPr>
              <w:spacing w:after="0"/>
              <w:rPr>
                <w:sz w:val="20"/>
                <w:szCs w:val="20"/>
                <w:color w:val="auto"/>
              </w:rPr>
            </w:pPr>
            <w:r>
              <w:rPr>
                <w:rFonts w:ascii="Arial" w:cs="Arial" w:eastAsia="Arial" w:hAnsi="Arial"/>
                <w:sz w:val="18"/>
                <w:szCs w:val="18"/>
                <w:color w:val="auto"/>
              </w:rPr>
              <w:t>The following table presents our operating expenses related to DISH Network:</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9"/>
              </w:rPr>
              <w:t>For the 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6"/>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2,936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As of</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2021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Real Estate Leases from DISH Network</w:t>
      </w:r>
      <w:r>
        <w:rPr>
          <w:rFonts w:ascii="Arial" w:cs="Arial" w:eastAsia="Arial" w:hAnsi="Arial"/>
          <w:sz w:val="18"/>
          <w:szCs w:val="18"/>
          <w:color w:val="auto"/>
        </w:rPr>
        <w:t>. 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leases or subsequent amendments and, includes our portion of the taxes, insurance, utilities and/or maintenance of the premises. The terms of each of the leases are set forth below:</w:t>
      </w:r>
    </w:p>
    <w:p>
      <w:pPr>
        <w:spacing w:after="0" w:line="203" w:lineRule="exact"/>
        <w:rPr>
          <w:sz w:val="20"/>
          <w:szCs w:val="20"/>
          <w:color w:val="auto"/>
        </w:rPr>
      </w:pPr>
    </w:p>
    <w:p>
      <w:pPr>
        <w:jc w:val="both"/>
        <w:ind w:left="660" w:hanging="328"/>
        <w:spacing w:after="0" w:line="262"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 period ending in February 2019. In August 2018, we exercised our option to renew this lease for a one year period ending in February 2020. In connection with the BSS Transaction, we transferred the Cheyenne Satellite Operations Center, including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any equipment, software licenses, and furniture located within, to DISH Network and amended this lease to reduce the space provided to us for the Cheyenne Satellite Access Center for a period ending in September 2021, with the option for us to renew for a one year period upon 180 days’ written notice prior to the end of the term</w:t>
      </w:r>
      <w:r>
        <w:rPr>
          <w:rFonts w:ascii="Arial" w:cs="Arial" w:eastAsia="Arial" w:hAnsi="Arial"/>
          <w:sz w:val="18"/>
          <w:szCs w:val="18"/>
          <w:i w:val="1"/>
          <w:iCs w:val="1"/>
          <w:color w:val="auto"/>
        </w:rPr>
        <w:t>.</w:t>
      </w:r>
    </w:p>
    <w:p>
      <w:pPr>
        <w:spacing w:after="0" w:line="207" w:lineRule="exact"/>
        <w:rPr>
          <w:sz w:val="20"/>
          <w:szCs w:val="20"/>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American Fork Occupancy License Agreement </w:t>
      </w:r>
      <w:r>
        <w:rPr>
          <w:rFonts w:ascii="Arial" w:cs="Arial" w:eastAsia="Arial" w:hAnsi="Arial"/>
          <w:sz w:val="18"/>
          <w:szCs w:val="18"/>
          <w:color w:val="auto"/>
        </w:rPr>
        <w:t>— Effective March 2017, we entered into an agreement with DISH Network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exercised our option to renew this agreement for a five-year period ending in August 2022. We and DISH Network amended this agreement to, among other things, terminate this agreement in March 2019.</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August 2017, we and DISH Network also entered into certain other agreements pursuant to which DISH Network provides additional collocation and antenna space to us in 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provides us with certain additional collocation space in Cheyenne, Wyoming for a period ending in September 2020. The fees for the services provided under these agreements depend on the number of racks located at the location.</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will provide us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we and DISH Network entered into a master service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“Hughes Broadband MSA”) pursuant to which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HughesNet service to subscribers and make certain payments to DISH Network pursuant to the terms and conditions of the Hughes Broadband MSA. We incurred sales incentives and other costs under the Hughes Broadband MSA totaling $4.4 million and $4.8 million for the three months ended June 30, 2020 and 2019, respectively, and $9.0 million and $9.5 million for the six months ended June 30, 2020 and 2019, respectively.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Other Receivables - DISH Network</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940" w:type="dxa"/>
            <w:vAlign w:val="bottom"/>
            <w:gridSpan w:val="2"/>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20" w:type="dxa"/>
            <w:vAlign w:val="bottom"/>
          </w:tcPr>
          <w:p>
            <w:pPr>
              <w:spacing w:after="0"/>
              <w:rPr>
                <w:sz w:val="21"/>
                <w:szCs w:val="21"/>
                <w:color w:val="auto"/>
              </w:rPr>
            </w:pPr>
          </w:p>
        </w:tc>
        <w:tc>
          <w:tcPr>
            <w:tcW w:w="79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82"/>
        </w:trPr>
        <w:tc>
          <w:tcPr>
            <w:tcW w:w="20" w:type="dxa"/>
            <w:vAlign w:val="bottom"/>
          </w:tcPr>
          <w:p>
            <w:pPr>
              <w:spacing w:after="0"/>
              <w:rPr>
                <w:sz w:val="24"/>
                <w:szCs w:val="24"/>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93,705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92,892</w:t>
            </w: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8"/>
          <w:szCs w:val="18"/>
          <w:i w:val="1"/>
          <w:iCs w:val="1"/>
          <w:color w:val="auto"/>
        </w:rPr>
        <w:t>Other receivables - DISH Network</w:t>
      </w:r>
      <w:r>
        <w:rPr>
          <w:rFonts w:ascii="Arial" w:cs="Arial" w:eastAsia="Arial" w:hAnsi="Arial"/>
          <w:sz w:val="18"/>
          <w:szCs w:val="18"/>
          <w:color w:val="auto"/>
        </w:rPr>
        <w:t xml:space="preserve">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and DISH Network file combined income tax returns in certain states. We have earned and recognized tax benefits for certain state income tax credits that we would be unable to utilize currently if we had filed separately from DISH Network. We have charged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in prior periods when DISH Network has utilized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such tax benefits. We expect to increase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upon receipt of any consideration that DISH Network pays to us in exchange for these tax credits.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BSS Transaction Intellectual Property and Technology License Agreement</w:t>
      </w:r>
      <w:r>
        <w:rPr>
          <w:rFonts w:ascii="Arial" w:cs="Arial" w:eastAsia="Arial" w:hAnsi="Arial"/>
          <w:sz w:val="18"/>
          <w:szCs w:val="18"/>
          <w:color w:val="auto"/>
        </w:rPr>
        <w:t>. 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BSS Transaction Tax Matters Agreement</w:t>
      </w:r>
      <w:r>
        <w:rPr>
          <w:rFonts w:ascii="Arial" w:cs="Arial" w:eastAsia="Arial" w:hAnsi="Arial"/>
          <w:sz w:val="18"/>
          <w:szCs w:val="18"/>
          <w:color w:val="auto"/>
        </w:rPr>
        <w:t>. 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BSS Transaction Employee Matters Agreement</w:t>
      </w:r>
      <w:r>
        <w:rPr>
          <w:rFonts w:ascii="Arial" w:cs="Arial" w:eastAsia="Arial" w:hAnsi="Arial"/>
          <w:sz w:val="18"/>
          <w:szCs w:val="18"/>
          <w:color w:val="auto"/>
        </w:rPr>
        <w:t>. 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January 2017, we and certain of our subsidiaries entered into the Share Exchange Agreement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certain of its subsidiaries pursuant to which, in February 2017, we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who transferred to DISH Network in connection with the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in the aggregate, own approximately 25%, on an undiluted basis, of Hughes Systique’s outstanding shares as of June 30, 2020.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 Inc.</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$0.9 million and $3.1 million for the three months ended June 30, 2020 and 2019, respectively, and $3.1 million and $8.2 million for the six months ended June 30, 2020 and 2019, respectively. As of June 30, 2020 and December 31, 2019, we had trade accounts receivable from TSI of $0.0 million and $2.7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Global-IP Cayman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and as an executive advisor to the Chief Executive Officer of Global IP from September 2017 until April 2019 and from September 2017 until December 2019, respectively.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this agreement as a result of Global IP’s defaults resulting from its failure to make payments to us as required under the terms of this agreement. We have reserved our rights and remedies against Global IP under this agreement. We have not recognized any revenue since the termination of this agreement. As of June 30, 2020, we were owed $7.5 million from Global IP.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Maxar Technologies Inc.</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Jeffrey Tarr, who joined our board of directors in March 2019, served as a consultant and advisor to Maxar Technologies Inc. and its subsidiaries (“Maxar Tech”) through May 2019. We previously entered into agreements with Maxar Tech for the manufacture and certain other services of the EchoStar IX satellite, the EchoStar XVII satellite, the EchoStar XIX satellite, the EchoStar XXI satellite and the EchoStar XXIV satellite and our former EchoStar XI satellite, EchoStar XIV satellite, EchoStar XVI satellite and EchoStar XXIII satellite.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$ 0.9 million and $27.5 million for the three months ended June 30, 2020 and 2019, respectively, and $ 8.8 million and $61.3 million for the six months ended June 30, 2020 and 2019, respectively. At both June 30, 2020 and December 31, 2019, we had no trade accounts payable to Maxar 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costs incurred in connection with customers’ orders: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50"/>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82"/>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10,605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11,711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13,702</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13,276</w:t>
            </w:r>
          </w:p>
        </w:tc>
      </w:tr>
      <w:tr>
        <w:trPr>
          <w:trHeight w:val="21"/>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and restricted cash, as presented in the Condensed Consolidated Balance Sheets, to the total of the same as presented in the Condensed Consolidated Statements of Cash Flows: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9"/>
              </w:rPr>
              <w:t>For the six months ended June 30,</w:t>
            </w:r>
          </w:p>
        </w:tc>
      </w:tr>
      <w:tr>
        <w:trPr>
          <w:trHeight w:val="250"/>
        </w:trPr>
        <w:tc>
          <w:tcPr>
            <w:tcW w:w="7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including restricted amounts, beginning of period:</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0"/>
        </w:trPr>
        <w:tc>
          <w:tcPr>
            <w:tcW w:w="7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1,519,431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928,306</w:t>
            </w:r>
          </w:p>
        </w:tc>
      </w:tr>
      <w:tr>
        <w:trPr>
          <w:trHeight w:val="257"/>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1,189</w:t>
            </w:r>
          </w:p>
        </w:tc>
      </w:tr>
      <w:tr>
        <w:trPr>
          <w:trHeight w:val="257"/>
        </w:trPr>
        <w:tc>
          <w:tcPr>
            <w:tcW w:w="7920" w:type="dxa"/>
            <w:vAlign w:val="bottom"/>
          </w:tcPr>
          <w:p>
            <w:pPr>
              <w:ind w:left="440"/>
              <w:spacing w:after="0"/>
              <w:rPr>
                <w:sz w:val="20"/>
                <w:szCs w:val="20"/>
                <w:color w:val="auto"/>
              </w:rPr>
            </w:pPr>
            <w:r>
              <w:rPr>
                <w:rFonts w:ascii="Arial" w:cs="Arial" w:eastAsia="Arial" w:hAnsi="Arial"/>
                <w:sz w:val="18"/>
                <w:szCs w:val="18"/>
                <w:color w:val="auto"/>
              </w:rPr>
              <w:t>Total cash and cash equivalents, included restricted amounts,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929,495</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including restricted amounts, end of period:</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1,948,464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1,298,005</w:t>
            </w:r>
          </w:p>
        </w:tc>
      </w:tr>
      <w:tr>
        <w:trPr>
          <w:trHeight w:val="250"/>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9,072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9,121</w:t>
            </w:r>
          </w:p>
        </w:tc>
      </w:tr>
      <w:tr>
        <w:trPr>
          <w:trHeight w:val="281"/>
        </w:trPr>
        <w:tc>
          <w:tcPr>
            <w:tcW w:w="7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cash and cash equivalents, included restricted amounts,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1,957,536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1,307,126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1"/>
                <w:szCs w:val="21"/>
                <w:color w:val="auto"/>
              </w:rPr>
            </w:pPr>
          </w:p>
        </w:tc>
      </w:tr>
      <w:tr>
        <w:trPr>
          <w:trHeight w:val="207"/>
        </w:trPr>
        <w:tc>
          <w:tcPr>
            <w:tcW w:w="7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79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0"/>
        </w:trPr>
        <w:tc>
          <w:tcPr>
            <w:tcW w:w="7920" w:type="dxa"/>
            <w:vAlign w:val="bottom"/>
          </w:tcPr>
          <w:p>
            <w:pPr>
              <w:ind w:left="200"/>
              <w:spacing w:after="0"/>
              <w:rPr>
                <w:sz w:val="20"/>
                <w:szCs w:val="20"/>
                <w:color w:val="auto"/>
              </w:rPr>
            </w:pPr>
            <w:r>
              <w:rPr>
                <w:rFonts w:ascii="Arial" w:cs="Arial" w:eastAsia="Arial" w:hAnsi="Arial"/>
                <w:sz w:val="18"/>
                <w:szCs w:val="18"/>
                <w:color w:val="auto"/>
              </w:rPr>
              <w:t>Trade accounts receivable - DISH Network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13,465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10,683</w:t>
            </w:r>
          </w:p>
        </w:tc>
      </w:tr>
      <w:tr>
        <w:trPr>
          <w:trHeight w:val="263"/>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83,559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79,621</w:t>
            </w:r>
          </w:p>
        </w:tc>
      </w:tr>
      <w:tr>
        <w:trPr>
          <w:trHeight w:val="250"/>
        </w:trPr>
        <w:tc>
          <w:tcPr>
            <w:tcW w:w="7920" w:type="dxa"/>
            <w:vAlign w:val="bottom"/>
          </w:tcPr>
          <w:p>
            <w:pPr>
              <w:ind w:left="200"/>
              <w:spacing w:after="0"/>
              <w:rPr>
                <w:sz w:val="20"/>
                <w:szCs w:val="20"/>
                <w:color w:val="auto"/>
              </w:rPr>
            </w:pPr>
            <w:r>
              <w:rPr>
                <w:rFonts w:ascii="Arial" w:cs="Arial" w:eastAsia="Arial" w:hAnsi="Arial"/>
                <w:sz w:val="18"/>
                <w:szCs w:val="18"/>
                <w:color w:val="auto"/>
              </w:rPr>
              <w:t>Prepaids and deposits</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47,614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50,145</w:t>
            </w:r>
          </w:p>
        </w:tc>
      </w:tr>
      <w:tr>
        <w:trPr>
          <w:trHeight w:val="263"/>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acquisition costs, net</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16,869</w:t>
            </w:r>
          </w:p>
        </w:tc>
      </w:tr>
      <w:tr>
        <w:trPr>
          <w:trHeight w:val="250"/>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24,681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22,213</w:t>
            </w:r>
          </w:p>
        </w:tc>
      </w:tr>
      <w:tr>
        <w:trPr>
          <w:trHeight w:val="282"/>
        </w:trPr>
        <w:tc>
          <w:tcPr>
            <w:tcW w:w="7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current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185,699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179,531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7920" w:type="dxa"/>
            <w:vAlign w:val="bottom"/>
          </w:tcPr>
          <w:p>
            <w:pPr>
              <w:ind w:left="200"/>
              <w:spacing w:after="0"/>
              <w:rPr>
                <w:sz w:val="20"/>
                <w:szCs w:val="20"/>
                <w:color w:val="auto"/>
              </w:rPr>
            </w:pPr>
            <w:r>
              <w:rPr>
                <w:rFonts w:ascii="Arial" w:cs="Arial" w:eastAsia="Arial" w:hAnsi="Arial"/>
                <w:sz w:val="18"/>
                <w:szCs w:val="18"/>
                <w:color w:val="auto"/>
              </w:rPr>
              <w:t>Other receivables - DISH Network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93,705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92,892</w:t>
            </w:r>
          </w:p>
        </w:tc>
      </w:tr>
      <w:tr>
        <w:trPr>
          <w:trHeight w:val="263"/>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marketable investment securities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8,093</w:t>
            </w:r>
          </w:p>
        </w:tc>
      </w:tr>
      <w:tr>
        <w:trPr>
          <w:trHeight w:val="250"/>
        </w:trPr>
        <w:tc>
          <w:tcPr>
            <w:tcW w:w="79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2,458</w:t>
            </w:r>
          </w:p>
        </w:tc>
      </w:tr>
      <w:tr>
        <w:trPr>
          <w:trHeight w:val="263"/>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7,251</w:t>
            </w:r>
          </w:p>
        </w:tc>
      </w:tr>
      <w:tr>
        <w:trPr>
          <w:trHeight w:val="250"/>
        </w:trPr>
        <w:tc>
          <w:tcPr>
            <w:tcW w:w="7920" w:type="dxa"/>
            <w:vAlign w:val="bottom"/>
          </w:tcPr>
          <w:p>
            <w:pPr>
              <w:ind w:left="200"/>
              <w:spacing w:after="0"/>
              <w:rPr>
                <w:sz w:val="20"/>
                <w:szCs w:val="20"/>
                <w:color w:val="auto"/>
              </w:rPr>
            </w:pPr>
            <w:r>
              <w:rPr>
                <w:rFonts w:ascii="Arial" w:cs="Arial" w:eastAsia="Arial" w:hAnsi="Arial"/>
                <w:sz w:val="18"/>
                <w:szCs w:val="18"/>
                <w:color w:val="auto"/>
              </w:rPr>
              <w:t>Capitalized software, net</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109,091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101,786</w:t>
            </w:r>
          </w:p>
        </w:tc>
      </w:tr>
      <w:tr>
        <w:trPr>
          <w:trHeight w:val="263"/>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acquisition costs, net</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90,706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96,723</w:t>
            </w:r>
          </w:p>
        </w:tc>
      </w:tr>
      <w:tr>
        <w:trPr>
          <w:trHeight w:val="250"/>
        </w:trPr>
        <w:tc>
          <w:tcPr>
            <w:tcW w:w="7920" w:type="dxa"/>
            <w:vAlign w:val="bottom"/>
          </w:tcPr>
          <w:p>
            <w:pPr>
              <w:ind w:left="200"/>
              <w:spacing w:after="0"/>
              <w:rPr>
                <w:sz w:val="20"/>
                <w:szCs w:val="20"/>
                <w:color w:val="auto"/>
              </w:rPr>
            </w:pPr>
            <w:r>
              <w:rPr>
                <w:rFonts w:ascii="Arial" w:cs="Arial" w:eastAsia="Arial" w:hAnsi="Arial"/>
                <w:sz w:val="18"/>
                <w:szCs w:val="18"/>
                <w:color w:val="auto"/>
              </w:rPr>
              <w:t>Contract fulfillment costs, net</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3,010</w:t>
            </w:r>
          </w:p>
        </w:tc>
      </w:tr>
      <w:tr>
        <w:trPr>
          <w:trHeight w:val="257"/>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25,611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22,628</w:t>
            </w:r>
          </w:p>
        </w:tc>
      </w:tr>
      <w:tr>
        <w:trPr>
          <w:trHeight w:val="257"/>
        </w:trPr>
        <w:tc>
          <w:tcPr>
            <w:tcW w:w="7920" w:type="dxa"/>
            <w:vAlign w:val="bottom"/>
          </w:tcPr>
          <w:p>
            <w:pPr>
              <w:ind w:left="440"/>
              <w:spacing w:after="0"/>
              <w:rPr>
                <w:sz w:val="20"/>
                <w:szCs w:val="20"/>
                <w:color w:val="auto"/>
              </w:rPr>
            </w:pPr>
            <w:r>
              <w:rPr>
                <w:rFonts w:ascii="Arial" w:cs="Arial" w:eastAsia="Arial" w:hAnsi="Arial"/>
                <w:sz w:val="18"/>
                <w:szCs w:val="18"/>
                <w:color w:val="auto"/>
              </w:rPr>
              <w:t>Total other non-current assets,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340,904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334,841</w:t>
            </w:r>
          </w:p>
        </w:tc>
      </w:tr>
      <w:tr>
        <w:trPr>
          <w:trHeight w:val="20"/>
        </w:trPr>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presents the activity in our allowance for doubtful accounts, which is included within Other, net in each of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net </w:t>
      </w:r>
      <w:r>
        <w:rPr>
          <w:rFonts w:ascii="Arial" w:cs="Arial" w:eastAsia="Arial" w:hAnsi="Arial"/>
          <w:sz w:val="18"/>
          <w:szCs w:val="18"/>
          <w:color w:val="auto"/>
        </w:rPr>
        <w:t>and</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the table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9"/>
              </w:rPr>
              <w:t>For the six months ended June 30,</w:t>
            </w:r>
          </w:p>
        </w:tc>
      </w:tr>
      <w:tr>
        <w:trPr>
          <w:trHeight w:val="246"/>
        </w:trPr>
        <w:tc>
          <w:tcPr>
            <w:tcW w:w="7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2020</w:t>
            </w:r>
          </w:p>
        </w:tc>
        <w:tc>
          <w:tcPr>
            <w:tcW w:w="1360" w:type="dxa"/>
            <w:vAlign w:val="bottom"/>
            <w:tcBorders>
              <w:bottom w:val="single" w:sz="8" w:color="auto"/>
            </w:tcBorders>
          </w:tcPr>
          <w:p>
            <w:pPr>
              <w:spacing w:after="0"/>
              <w:rPr>
                <w:sz w:val="21"/>
                <w:szCs w:val="21"/>
                <w:color w:val="auto"/>
              </w:rPr>
            </w:pPr>
          </w:p>
        </w:tc>
      </w:tr>
      <w:tr>
        <w:trPr>
          <w:trHeight w:val="207"/>
        </w:trPr>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Other current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Other non-current</w:t>
            </w:r>
          </w:p>
        </w:tc>
      </w:tr>
      <w:tr>
        <w:trPr>
          <w:trHeight w:val="246"/>
        </w:trPr>
        <w:tc>
          <w:tcPr>
            <w:tcW w:w="7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assets, net</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assets, net</w:t>
            </w:r>
          </w:p>
        </w:tc>
      </w:tr>
      <w:tr>
        <w:trPr>
          <w:trHeight w:val="25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940" w:type="dxa"/>
            <w:vAlign w:val="bottom"/>
          </w:tcPr>
          <w:p>
            <w:pPr>
              <w:ind w:left="240"/>
              <w:spacing w:after="0" w:line="256"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13,378</w:t>
            </w:r>
          </w:p>
        </w:tc>
      </w:tr>
      <w:tr>
        <w:trPr>
          <w:trHeight w:val="25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r>
      <w:tr>
        <w:trPr>
          <w:trHeight w:val="256"/>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1,747</w:t>
            </w: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12,806</w:t>
            </w:r>
          </w:p>
        </w:tc>
      </w:tr>
      <w:tr>
        <w:trPr>
          <w:trHeight w:val="20"/>
        </w:trPr>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right="20" w:hanging="332"/>
        <w:spacing w:after="0" w:line="227" w:lineRule="auto"/>
        <w:tabs>
          <w:tab w:leader="none" w:pos="156"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 xml:space="preserve">The impact of adopting ASC 326 on January 1, 2020 was a net increase to our allowance for doubtful accounts largely driven by a $13.4 million reclassification from </w:t>
      </w:r>
      <w:r>
        <w:rPr>
          <w:rFonts w:ascii="Arial" w:cs="Arial" w:eastAsia="Arial" w:hAnsi="Arial"/>
          <w:sz w:val="14"/>
          <w:szCs w:val="14"/>
          <w:i w:val="1"/>
          <w:iCs w:val="1"/>
          <w:color w:val="auto"/>
        </w:rPr>
        <w:t>Trade</w:t>
      </w:r>
      <w:r>
        <w:rPr>
          <w:rFonts w:ascii="Arial" w:cs="Arial" w:eastAsia="Arial" w:hAnsi="Arial"/>
          <w:sz w:val="14"/>
          <w:szCs w:val="14"/>
          <w:color w:val="auto"/>
        </w:rPr>
        <w:t xml:space="preserve"> </w:t>
      </w:r>
      <w:r>
        <w:rPr>
          <w:rFonts w:ascii="Arial" w:cs="Arial" w:eastAsia="Arial" w:hAnsi="Arial"/>
          <w:sz w:val="14"/>
          <w:szCs w:val="14"/>
          <w:i w:val="1"/>
          <w:iCs w:val="1"/>
          <w:color w:val="auto"/>
        </w:rPr>
        <w:t>accounts receivables and contracts assets, net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900" w:type="dxa"/>
            <w:vAlign w:val="bottom"/>
            <w:gridSpan w:val="2"/>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1"/>
        </w:trPr>
        <w:tc>
          <w:tcPr>
            <w:tcW w:w="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6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60" w:type="dxa"/>
            <w:vAlign w:val="bottom"/>
          </w:tcPr>
          <w:p>
            <w:pPr>
              <w:spacing w:after="0"/>
              <w:rPr>
                <w:sz w:val="21"/>
                <w:szCs w:val="21"/>
                <w:color w:val="auto"/>
              </w:rPr>
            </w:pPr>
          </w:p>
        </w:tc>
        <w:tc>
          <w:tcPr>
            <w:tcW w:w="78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43"/>
        </w:trPr>
        <w:tc>
          <w:tcPr>
            <w:tcW w:w="60" w:type="dxa"/>
            <w:vAlign w:val="bottom"/>
          </w:tcPr>
          <w:p>
            <w:pPr>
              <w:spacing w:after="0"/>
              <w:rPr>
                <w:sz w:val="21"/>
                <w:szCs w:val="21"/>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Trade accounts payable - DISH Network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1,923</w:t>
            </w:r>
          </w:p>
        </w:tc>
      </w:tr>
      <w:tr>
        <w:trPr>
          <w:trHeight w:val="263"/>
        </w:trPr>
        <w:tc>
          <w:tcPr>
            <w:tcW w:w="60" w:type="dxa"/>
            <w:vAlign w:val="bottom"/>
          </w:tcPr>
          <w:p>
            <w:pPr>
              <w:spacing w:after="0"/>
              <w:rPr>
                <w:sz w:val="22"/>
                <w:szCs w:val="22"/>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41,633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42,622</w:t>
            </w:r>
          </w:p>
        </w:tc>
      </w:tr>
      <w:tr>
        <w:trPr>
          <w:trHeight w:val="250"/>
        </w:trPr>
        <w:tc>
          <w:tcPr>
            <w:tcW w:w="60" w:type="dxa"/>
            <w:vAlign w:val="bottom"/>
          </w:tcPr>
          <w:p>
            <w:pPr>
              <w:spacing w:after="0"/>
              <w:rPr>
                <w:sz w:val="21"/>
                <w:szCs w:val="21"/>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49,042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50,787</w:t>
            </w:r>
          </w:p>
        </w:tc>
      </w:tr>
      <w:tr>
        <w:trPr>
          <w:trHeight w:val="263"/>
        </w:trPr>
        <w:tc>
          <w:tcPr>
            <w:tcW w:w="60" w:type="dxa"/>
            <w:vAlign w:val="bottom"/>
          </w:tcPr>
          <w:p>
            <w:pPr>
              <w:spacing w:after="0"/>
              <w:rPr>
                <w:sz w:val="22"/>
                <w:szCs w:val="22"/>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taxes</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18,525</w:t>
            </w:r>
          </w:p>
        </w:tc>
      </w:tr>
      <w:tr>
        <w:trPr>
          <w:trHeight w:val="250"/>
        </w:trPr>
        <w:tc>
          <w:tcPr>
            <w:tcW w:w="60" w:type="dxa"/>
            <w:vAlign w:val="bottom"/>
          </w:tcPr>
          <w:p>
            <w:pPr>
              <w:spacing w:after="0"/>
              <w:rPr>
                <w:sz w:val="21"/>
                <w:szCs w:val="21"/>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Operating lease obligation</w:t>
            </w:r>
          </w:p>
        </w:tc>
        <w:tc>
          <w:tcPr>
            <w:tcW w:w="2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14,305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14,651</w:t>
            </w:r>
          </w:p>
        </w:tc>
      </w:tr>
      <w:tr>
        <w:trPr>
          <w:trHeight w:val="257"/>
        </w:trPr>
        <w:tc>
          <w:tcPr>
            <w:tcW w:w="60" w:type="dxa"/>
            <w:vAlign w:val="bottom"/>
          </w:tcPr>
          <w:p>
            <w:pPr>
              <w:spacing w:after="0"/>
              <w:rPr>
                <w:sz w:val="22"/>
                <w:szCs w:val="22"/>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136,472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142,371</w:t>
            </w:r>
          </w:p>
        </w:tc>
      </w:tr>
      <w:tr>
        <w:trPr>
          <w:trHeight w:val="256"/>
        </w:trPr>
        <w:tc>
          <w:tcPr>
            <w:tcW w:w="60" w:type="dxa"/>
            <w:vAlign w:val="bottom"/>
          </w:tcPr>
          <w:p>
            <w:pPr>
              <w:spacing w:after="0"/>
              <w:rPr>
                <w:sz w:val="22"/>
                <w:szCs w:val="22"/>
                <w:color w:val="auto"/>
              </w:rPr>
            </w:pPr>
          </w:p>
        </w:tc>
        <w:tc>
          <w:tcPr>
            <w:tcW w:w="7840" w:type="dxa"/>
            <w:vAlign w:val="bottom"/>
          </w:tcPr>
          <w:p>
            <w:pPr>
              <w:ind w:left="440"/>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262,944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270,879</w:t>
            </w:r>
          </w:p>
        </w:tc>
      </w:tr>
      <w:tr>
        <w:trPr>
          <w:trHeight w:val="21"/>
        </w:trPr>
        <w:tc>
          <w:tcPr>
            <w:tcW w:w="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71151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091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4,240</w:t>
            </w:r>
          </w:p>
        </w:tc>
      </w:tr>
      <w:tr>
        <w:trPr>
          <w:trHeight w:val="257"/>
        </w:trPr>
        <w:tc>
          <w:tcPr>
            <w:tcW w:w="280" w:type="dxa"/>
            <w:vAlign w:val="bottom"/>
          </w:tcPr>
          <w:p>
            <w:pPr>
              <w:spacing w:after="0"/>
              <w:rPr>
                <w:sz w:val="22"/>
                <w:szCs w:val="22"/>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6,979</w:t>
            </w:r>
          </w:p>
        </w:tc>
      </w:tr>
      <w:tr>
        <w:trPr>
          <w:trHeight w:val="263"/>
        </w:trPr>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69,498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68,402</w:t>
            </w:r>
          </w:p>
        </w:tc>
      </w:tr>
      <w:tr>
        <w:trPr>
          <w:trHeight w:val="250"/>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83,559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79,621</w:t>
            </w:r>
          </w:p>
        </w:tc>
      </w:tr>
      <w:tr>
        <w:trPr>
          <w:trHeight w:val="27"/>
        </w:trPr>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00" w:space="720"/>
            <w:col w:w="3300"/>
          </w:cols>
          <w:pgMar w:left="320" w:top="140" w:right="359" w:bottom="1440" w:gutter="0" w:footer="0" w:header="0"/>
          <w:type w:val="continuous"/>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40" w:type="dxa"/>
            <w:vAlign w:val="bottom"/>
            <w:gridSpan w:val="2"/>
          </w:tcPr>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9"/>
              </w:rPr>
              <w:t>For the six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Cash paid for interest, net of amounts capitalized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72,450</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Employee benefits paid in Class A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Non-cash net assets received in exchange for a 20% ownership interest in our existing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70"/>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7920" w:type="dxa"/>
            <w:vAlign w:val="bottom"/>
          </w:tcPr>
          <w:p>
            <w:pPr>
              <w:ind w:left="200"/>
              <w:spacing w:after="0" w:line="203" w:lineRule="exact"/>
              <w:rPr>
                <w:sz w:val="20"/>
                <w:szCs w:val="20"/>
                <w:color w:val="auto"/>
              </w:rPr>
            </w:pPr>
            <w:r>
              <w:rPr>
                <w:rFonts w:ascii="Arial" w:cs="Arial" w:eastAsia="Arial" w:hAnsi="Arial"/>
                <w:sz w:val="18"/>
                <w:szCs w:val="18"/>
                <w:color w:val="auto"/>
              </w:rPr>
              <w:t>Brazilian subsidiary</w:t>
            </w:r>
          </w:p>
        </w:tc>
        <w:tc>
          <w:tcPr>
            <w:tcW w:w="14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Condensed Consolidated Financial Statements and notes thereto (“Accompanying Condensed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is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three and six months ended June 30, 2019 in our Accompanying Condensed Consolidated Financial Statements. Refer to </w:t>
      </w:r>
      <w:r>
        <w:rPr>
          <w:rFonts w:ascii="Arial" w:cs="Arial" w:eastAsia="Arial" w:hAnsi="Arial"/>
          <w:sz w:val="18"/>
          <w:szCs w:val="18"/>
          <w:i w:val="1"/>
          <w:iCs w:val="1"/>
          <w:color w:val="auto"/>
        </w:rPr>
        <w:t>Note 4.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 our Accompanying Condensed Consolidated Financial Statements in Item 1 of this Form 10-Q.</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IT, Finance, Accounting, Real Estate and Legal) and other activities that have not been assigned to our business segments such as costs incurred in certain satellite development programs and other business development activities, and gains or losses from certain of our investments. These activities, costs and income, as well as eliminations of intersegment transactions, are accounted for in </w:t>
      </w:r>
      <w:r>
        <w:rPr>
          <w:rFonts w:ascii="Arial" w:cs="Arial" w:eastAsia="Arial" w:hAnsi="Arial"/>
          <w:sz w:val="18"/>
          <w:szCs w:val="18"/>
          <w:i w:val="1"/>
          <w:iCs w:val="1"/>
          <w:color w:val="auto"/>
        </w:rPr>
        <w:t>Corporate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All amounts presented in this Management’s Discussion and Analysis reference results from continuing operations unless otherwise noted and are expressed in thousands of United States (“U.S.”) dollars, except share and per share amounts and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June 30, 2020:</w:t>
      </w:r>
    </w:p>
    <w:p>
      <w:pPr>
        <w:spacing w:after="0" w:line="2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of $459.5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(loss) of $34.8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(loss) from continuing operations of $(14.8) million</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(loss) attributable to EchoStar common stock of $(11.4) million and basic earnings (loss) per share of common stock of $(0.12)</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net income (loss) from discontinued operations and net income (loss) attributable to non-controlling interests (“EBITDA”) of $156.8 million (refer to the reconciliation of this non-GAAP measure in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2020:</w:t>
      </w:r>
    </w:p>
    <w:p>
      <w:pPr>
        <w:spacing w:after="0" w:line="2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assets of $7.0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liabilities of $3.4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$2.5 billion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Service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As a result of the COVID-19 pandemic, in accordance with instructions received from some of our enterprise customers, we have deferred or canceled the delivery of some products or services. We expect to recognize revenue for those deferred products and services in the second half of 2020 and in 2021.</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 to our customers. Growth of our consumer subscriber base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certain areas in the U.S. continues to be constrained where we are nearing or have reached maximum capacity. While these constraints are not expected to be resolved until we launch new satellites, we continue to focus on revenue growth in all areas and consumer subscriber growth in the areas where we have available capacity.</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us in exchange for a 20% ownership interest in our existing Brazilian subsidiary that conducts our satellite communications services business in Brazil (the “Yahsat Brazil JV Transaction”).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also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In the first quarter of 2020, Space Systems/Loral, LLC (“SS/L”), the manufacturer of our EchoStar XXIV satellite, invoked the “force majeure” clause of our contract and notified us of a possible delay in completion of the satellite due to “shelter-in-place” orders affecting personnel at SS/L and its subcontractors, and other potential impacts of the COVID-19 pandemic. Since that time, we have continued to work with SS/L to monitor the impact of COVID-19 on the anticipated delivery schedule for our EchoStar XXIV satellite</w:t>
      </w:r>
      <w:r>
        <w:rPr>
          <w:rFonts w:ascii="Arial" w:cs="Arial" w:eastAsia="Arial" w:hAnsi="Arial"/>
          <w:sz w:val="19"/>
          <w:szCs w:val="19"/>
          <w:color w:val="auto"/>
        </w:rPr>
        <w:t>.</w:t>
      </w:r>
      <w:r>
        <w:rPr>
          <w:rFonts w:ascii="Arial" w:cs="Arial" w:eastAsia="Arial" w:hAnsi="Arial"/>
          <w:sz w:val="18"/>
          <w:szCs w:val="18"/>
          <w:color w:val="auto"/>
        </w:rPr>
        <w:t xml:space="preserve"> We currently expect the EchoStar XXIV satellite to be launched no earlier than the second half of 2021. This or other delays or impediments to SS/L’s meeting its obligations as a result of the COVID-19 pandemic and various economic and other consequences or otherwise could have a material adverse impact on our business operations, future revenues, financial position and prospects, the completion of manufacture of the EchoStar XXIV satellite and our planned expansion of satellite broadband services throughout North, South and Central America. Capital expenditures associated with the construction and launch of the EchoStar XXIV satellite are included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2017, we and DISH Network entered into a master service agreement (the “Hughes Broadband MSA”). Pursuant to the Hughes Broadband MSA,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As a result of the Hughes Broadband MSA, we have not earned, and do not expect to earn in the future, significant equipment revenue from our distribution agreement with DISH Network.</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Additionally, in September 2015, we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broadband subscribers include customers that subscribe to our HughesNet service in North and Latin America through retail, wholesale and small/medium enterprise service channels. In connection with the COVID-19 pandemic, we voluntarily signed on to the Federal Communications Commissions’ (“FCC”) Keep Americans Connected Pledge (the “Pledge”), promising not to terminate residential or small business customers because of their inability to pay their bills due to the disruptions caused by the COVID-19 pandemic. As a result, we have provided HughesNet service to consumers who may not have the ability to pay for such services, but have excluded any subscribers whose HughesNet service would have ordinarily been terminated in the absence of the Pledge from our subscriber numbers as of March 31, 2020 and June 30,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The following table presents our approximate subscribers: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372"/>
        </w:trPr>
        <w:tc>
          <w:tcPr>
            <w:tcW w:w="478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As of</w:t>
            </w:r>
          </w:p>
        </w:tc>
        <w:tc>
          <w:tcPr>
            <w:tcW w:w="2080" w:type="dxa"/>
            <w:vAlign w:val="bottom"/>
            <w:tcBorders>
              <w:bottom w:val="single" w:sz="8" w:color="auto"/>
            </w:tcBorders>
          </w:tcPr>
          <w:p>
            <w:pPr>
              <w:spacing w:after="0"/>
              <w:rPr>
                <w:sz w:val="24"/>
                <w:szCs w:val="24"/>
                <w:color w:val="auto"/>
              </w:rPr>
            </w:pPr>
          </w:p>
        </w:tc>
      </w:tr>
      <w:tr>
        <w:trPr>
          <w:trHeight w:val="207"/>
        </w:trPr>
        <w:tc>
          <w:tcPr>
            <w:tcW w:w="4780" w:type="dxa"/>
            <w:vAlign w:val="bottom"/>
          </w:tcPr>
          <w:p>
            <w:pPr>
              <w:spacing w:after="0"/>
              <w:rPr>
                <w:sz w:val="17"/>
                <w:szCs w:val="17"/>
                <w:color w:val="auto"/>
              </w:rPr>
            </w:pPr>
          </w:p>
        </w:tc>
        <w:tc>
          <w:tcPr>
            <w:tcW w:w="2180" w:type="dxa"/>
            <w:vAlign w:val="bottom"/>
            <w:gridSpan w:val="2"/>
          </w:tcPr>
          <w:p>
            <w:pPr>
              <w:ind w:left="680"/>
              <w:spacing w:after="0"/>
              <w:rPr>
                <w:sz w:val="20"/>
                <w:szCs w:val="20"/>
                <w:color w:val="auto"/>
              </w:rPr>
            </w:pPr>
            <w:r>
              <w:rPr>
                <w:rFonts w:ascii="Arial" w:cs="Arial" w:eastAsia="Arial" w:hAnsi="Arial"/>
                <w:sz w:val="18"/>
                <w:szCs w:val="18"/>
                <w:b w:val="1"/>
                <w:bCs w:val="1"/>
                <w:color w:val="auto"/>
              </w:rPr>
              <w:t>June 30,</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March 31,</w:t>
            </w: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478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5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Broadband subscribers in the United States</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1,221,000</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1,249,000</w:t>
            </w: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1,239,000</w:t>
            </w:r>
          </w:p>
        </w:tc>
      </w:tr>
      <w:tr>
        <w:trPr>
          <w:trHeight w:val="25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Broadband subscribers in Latin America</w:t>
            </w:r>
          </w:p>
        </w:tc>
        <w:tc>
          <w:tcPr>
            <w:tcW w:w="2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321,000</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267,000</w:t>
            </w:r>
          </w:p>
        </w:tc>
        <w:tc>
          <w:tcPr>
            <w:tcW w:w="12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238,000</w:t>
            </w:r>
          </w:p>
        </w:tc>
      </w:tr>
      <w:tr>
        <w:trPr>
          <w:trHeight w:val="282"/>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broadband subscribers</w:t>
            </w:r>
          </w:p>
        </w:tc>
        <w:tc>
          <w:tcPr>
            <w:tcW w:w="2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1,542,000</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1,516,000</w:t>
            </w:r>
          </w:p>
        </w:tc>
        <w:tc>
          <w:tcPr>
            <w:tcW w:w="12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1,477,000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second quarter of 2020, our gross subscriber additions increased by approximately 1,000 compared to the first quarter of 2020. Our net subscriber additions for the second quarter decreased by 13,000 compared to the first quarter of 2020, reflecting higher churn in the second quarter as compared to the first quarter of 2020. Multiple factors explain this higher churn. First, as more of our beams are operated at or near capacity particularly with the many customers working and attending class at home due to the COVID19 pandemic, the increased network congestion affects HughesNet customer satisfaction in some cases. In addition, we count a number of HughesNet subscribers as having churned even though we continue to provide service to them as a result of the Pledge.</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2020 and December 31, 2019, our Hughes segment had $1.1 billion and $1.4 billion of contracted revenue backlog, respectively. We define Hughes contracted revenue backlog as our expected future revenue under enterprise customer contracts that are non-cancelable, including lease revenue. Our contracted revenue backlog as of June 30, 2020 decreased primarily due to the bankruptcy of a certain customer and the effects of the COVID-19 pandemic, including lengthened or delayed sales cycles with some of our enterprise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2020 and December 31, 2019, our ESS segment had contracted revenue backlog of $7.4 million and $11.4 million respectively. We define contracted revenue backlog for our ESS segment as contracted future satellite lease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medium-earth orbit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many industries and communities in North America and internationally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continue to explore the development and deployment of S-band technologies and believe that our products and services will be integrated into new global, hybrid networks that leverage multiple satellites and terrestrial technologies. The current COVID-19 pandemic has made even more evident the worldwide need and demand for such networks. In December 2013, we acquired EchoStar Mobile Limited (“EML”), an entity based in Dublin, Ireland, which is licensed to provide mobile satellite service (“MSS”) and complementary ground component (“CGC”) services covering the European Union and its member states (“EU”) using the S-band spectrum. EML’s services in the EU are supported by the EchoStar XXI satellite and the EUTELSAT 10A payload. In October 2019, we acquired Sirion Global Pty Ltd., which we have renamed EchoStar Global Australia Pty Ltd (“EchoStar Global”), which holds global S-band non-geostationary satellite spectrum rights for MSS. Additionally, we have entered into a contract with Tyvak Nano-Satellite Systems, Inc. for the design and construction of S-band nano-satellites. We expect to launch two nano-satellites in the third quarter of 2020. We expect our nano-satellites to facilitate our continued growth in the global S-band market and enable us to leverage our acquisition of EchoStar Global. In addition, in November 2019, we were granted an S-band spectrum license for terrestrial rights in Mexico. As of June 30, 2020, we have no material future commitments in connection with these acquisitions or satellites.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Due to the COVID-19 pandemic, a large portion of our workforce has been working remotely and we expect certain portions of our workforce to continue to do so from time to time. While we have cybersecurity risk management tools to help protect our technology, information and networks that our employees access remotely, we cannot guarantee the security of the network that they will be using, the security status of the other non-company managed devices that might be on the network to which they are connected or the devices or networks used by third parties with whom our employees conduct business, such as customers, suppliers, vendors and other persons. Additionally, there continues to be a significant amount of COVID-19 related cyber-fraud and phishing attacks that continue to target our employees, vendors, suppliers, customers and others. Accordingly, we continue to focus our efforts and resources on improving cybersecurity as a result of the COVID-19 pandemic.</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Additionally, we provide resources to assist employees in better securing their home networks and remote connections.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six months ended June 30, 2020 and through August 6, 2020.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the Three Months Ended June 30, 2019</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three months ended June 30, 2020 compared to the three months ended June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Pr>
          <w:p>
            <w:pPr>
              <w:spacing w:after="0"/>
              <w:rPr>
                <w:sz w:val="17"/>
                <w:szCs w:val="17"/>
                <w:color w:val="auto"/>
              </w:rPr>
            </w:pPr>
          </w:p>
        </w:tc>
        <w:tc>
          <w:tcPr>
            <w:tcW w:w="1540" w:type="dxa"/>
            <w:vAlign w:val="bottom"/>
            <w:gridSpan w:val="3"/>
          </w:tcPr>
          <w:p>
            <w:pPr>
              <w:ind w:left="7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7"/>
                <w:szCs w:val="17"/>
                <w:color w:val="auto"/>
              </w:rPr>
            </w:pPr>
          </w:p>
        </w:tc>
      </w:tr>
      <w:tr>
        <w:trPr>
          <w:trHeight w:val="21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Amounts</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Services and other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417,043</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402,786</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14,257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3.5</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42,423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57,645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r>
      <w:tr>
        <w:trPr>
          <w:trHeight w:val="203"/>
        </w:trPr>
        <w:tc>
          <w:tcPr>
            <w:tcW w:w="590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459,466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460,431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196"/>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Cost of sales - services and other</w:t>
            </w:r>
          </w:p>
        </w:tc>
        <w:tc>
          <w:tcPr>
            <w:tcW w:w="26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141,019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142,680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services and other revenue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Cost of sales - equipment</w:t>
            </w:r>
          </w:p>
        </w:tc>
        <w:tc>
          <w:tcPr>
            <w:tcW w:w="26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32,542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46,549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(14,007)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(30.1)</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equipment revenue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113,798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149,209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(35,411)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(23.7)</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expenses</w:t>
            </w:r>
          </w:p>
        </w:tc>
        <w:tc>
          <w:tcPr>
            <w:tcW w:w="26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7,448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6,388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16.6</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129,887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120,266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8.0</w:t>
            </w:r>
          </w:p>
        </w:tc>
      </w:tr>
      <w:tr>
        <w:trPr>
          <w:trHeight w:val="215"/>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424,694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465,092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(40,398)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203"/>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Operating income (loss)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34,772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(4,661)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39,433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Interest income, net</w:t>
            </w:r>
          </w:p>
        </w:tc>
        <w:tc>
          <w:tcPr>
            <w:tcW w:w="26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23,213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(12,453)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(53.6)</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Gains (losses) on investments, net</w:t>
            </w:r>
          </w:p>
        </w:tc>
        <w:tc>
          <w:tcPr>
            <w:tcW w:w="26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12,855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(18,945)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w:t>
            </w: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26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90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(38,764)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(20,675)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(18,089)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87.5</w:t>
            </w: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21,344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w:t>
            </w:r>
          </w:p>
        </w:tc>
      </w:tr>
      <w:tr>
        <w:trPr>
          <w:trHeight w:val="210"/>
        </w:trPr>
        <w:tc>
          <w:tcPr>
            <w:tcW w:w="5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benefit (provision), net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w:t>
            </w: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Net income (loss) from discontinued operations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24,968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(24,968)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16"/>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(14,843)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(9,783)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Less: Net loss (income) attributable to non-controlling interests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240"/>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(5,692)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data:</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156,824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124,834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31,990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25.6</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35"/>
        </w:trPr>
        <w:tc>
          <w:tcPr>
            <w:tcW w:w="5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Subscribers, end of period</w:t>
            </w: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1,542,000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1,415,000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ind w:left="80" w:hanging="72"/>
        <w:spacing w:after="0" w:line="233" w:lineRule="auto"/>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Percentage is not meaningful.</w:t>
      </w:r>
    </w:p>
    <w:p>
      <w:pPr>
        <w:spacing w:after="0" w:line="9" w:lineRule="exact"/>
        <w:rPr>
          <w:sz w:val="20"/>
          <w:szCs w:val="20"/>
          <w:color w:val="auto"/>
        </w:rPr>
      </w:pPr>
    </w:p>
    <w:p>
      <w:pPr>
        <w:ind w:left="340" w:hanging="332"/>
        <w:spacing w:after="0" w:line="220" w:lineRule="auto"/>
        <w:tabs>
          <w:tab w:leader="none" w:pos="198"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A reconciliation of EBITDA to Net income (loss), the most directly comparable generally accepted accounting principles in the U.S. (“U.S. GAAP”) measure in our Accompanying Condensed Consolidated Financial Statements, is included in Results of Operations. For further information on our use of EBITDA, refer to the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continuing operations for the three months ended June 30, 2020 and 2019 unless otherwise stated.</w:t>
      </w:r>
    </w:p>
    <w:p>
      <w:pPr>
        <w:spacing w:after="0" w:line="2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$417.0 million for the three months ended June 30, 2020,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$14.3 million, or 3.5%, compared to 2019.</w:t>
      </w:r>
    </w:p>
    <w:p>
      <w:pPr>
        <w:spacing w:after="0" w:line="202" w:lineRule="exact"/>
        <w:rPr>
          <w:sz w:val="20"/>
          <w:szCs w:val="20"/>
          <w:color w:val="auto"/>
        </w:rPr>
      </w:pPr>
    </w:p>
    <w:p>
      <w:pPr>
        <w:jc w:val="both"/>
        <w:ind w:left="660" w:hanging="328"/>
        <w:spacing w:after="0" w:line="25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Services and other revenue from our Hughes segment for the three months ended June 30, 2020 increased by $16.5 million, or 4.2%, to $410.7 million compared to 2019. The increase was primarily attributable to increases in sales of broadband services to our consumer customers of $27.2 million, partially offset by a decrease in sales of broadband services to our enterprise customers of $9.4 million. Both of these variances reflect the negative impact of exchange rate fluctuations.</w:t>
      </w:r>
    </w:p>
    <w:p>
      <w:pPr>
        <w:spacing w:after="0" w:line="23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Services and other revenue from Corporate and Other for the three months ended June 30, 2020 decreased by $2.7 million, or 56.3%, to $2.1 million compared to 2019, primarily attributable to a decrease in income from certain real estate previously leased to DISH Network and transferred as part of the BSS Transaction.</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$42.4 million for the three months ended June 30, 2020, a decrease of $15.2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26.4%, compared to 2019. The decrease was primarily attributable to a decrease in sales to our international enterprise customers and the bankruptcy of a certain customer.</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$ 141.0 million for the three months ended June 30, 2020,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$1.7 million, or 1.2%, compared to 2019. The decrease was primarily attributable to our Hughes segment due to the decrease in sales of broadband services to our enterprise customers, partially offset by increases in sales of broadband services to our consumer customers.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$32.5 million for the three months ended June 30, 2020,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$14.0 million, or 30.1%, compared to 2019. The decrease was primarily attributable to the corresponding reduction in equipment revenue.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$113.8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a decrease of $35.4 million, or 23.7%, compared to 2019. The decrease was primarily attributable to (i) expenses related to certain legal proceedings of $24.5 million in 2019, (ii) decreased marketing and promotional expenses in 2020 of $6.6 million, and (iii) decreases in bad debt expense of $4.5 million in 2020.</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$129.9 million for the three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$9.6 million, or 8.0%, compared to 2019. The increase was primarily from our Hughes segment and due to increases in depreciation expense of $8.0 million relating to our customer premises equipment and $2.4 million relating to the depreciation of assets acquired in the Yahsat Brazil JV Transaction.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$10.8 million for the three months ended June 30, 2020, a decrease of $12.5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53.6%, compared to 2019, which was primarily attributable to decreases in the yield of our marketable investment securities and a decrease in our marketable investment securities balance.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$38.3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a decrease of $15.5 million, or 28.8%, compared to 2019. The decrease was primarily due to a decrease of $ 13.0 million in interest expense and in amortization of deferred financing cost as a result of the repurchase and maturity in June 2019 of our 6 1/2% Senior Secured Notes due 2019 and an increase of $1.4 million in capitalized interest in 2020 related to the EchoStar XXIV satellite and its related infrastructure.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were $ (6.1) million for the three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$12.9 million for the three months ended June 30, 2019, a decrease of net gains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of $18.9 million. The change was primarily attributable to $12.0 million of net negative variances on marketable investment securities compared to 2019 and an $8.5 million loss in Other Equity Investments in 2020.</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$6.3 million in losses for the three months ended June 30, 2020, an increase in losses of $1.6 million, or 33.5%, compared to 2019. The increase in losses was related to increased losses from our investments in our equity method investees.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$(10.9) million for the three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(4.7) million for the three months ended June 30, 2019. Our effective income tax rate was (271.8)% and (18.5)% for the three months ended June 30, 2020 and 2019, respectively. The variations in our effective tax rate from the U.S. federal statutory rate for the three months ended June 30, 2020 were primarily due to the increase in our valuation allowance associated with certain foreign losses and the impact of state and local taxes, partially offset by research and experimentation credits. The variations in our effective tax rate from the U.S. federal statutory rate for the three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Additionally, during the three months ended June 30, 2019, we recorded additional tax expense of $2.0 million on deemed mandatory repatriation of certain deferred foreign earnings as the result of new treasury regulations.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loss attributable to EchoStar Corporation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$11.4 million for the three months ended June 30, 2020, compared to net loss attributable to EchoStar Corporation common stock of $5.7 million for the three months ended June 30, 2019, an increase in loss of $5.7 million as set forth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57"/>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June 30,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(5,692)</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operating income, including depreciation and amortization</w:t>
            </w:r>
          </w:p>
        </w:tc>
        <w:tc>
          <w:tcPr>
            <w:tcW w:w="4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39,433</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15,491</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4,063</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(398)</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(1,591)</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income tax provision, net</w:t>
            </w:r>
          </w:p>
        </w:tc>
        <w:tc>
          <w:tcPr>
            <w:tcW w:w="4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(6,159)</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(12,453)</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(18,945)</w:t>
            </w:r>
          </w:p>
        </w:tc>
      </w:tr>
      <w:tr>
        <w:trPr>
          <w:trHeight w:val="257"/>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from discontinued operations</w:t>
            </w:r>
          </w:p>
        </w:tc>
        <w:tc>
          <w:tcPr>
            <w:tcW w:w="40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(24,968)</w:t>
            </w:r>
          </w:p>
        </w:tc>
      </w:tr>
      <w:tr>
        <w:trPr>
          <w:trHeight w:val="256"/>
        </w:trPr>
        <w:tc>
          <w:tcPr>
            <w:tcW w:w="902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June 30,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(11,412)</w:t>
            </w: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Net income (loss), the most directly comparable U.S. GAAP measure in our Accompanying Condensed Consolidated Financial Statements, to EBITDA: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6"/>
        </w:trPr>
        <w:tc>
          <w:tcPr>
            <w:tcW w:w="4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Borders>
              <w:bottom w:val="single" w:sz="8" w:color="auto"/>
            </w:tcBorders>
          </w:tcPr>
          <w:p>
            <w:pPr>
              <w:spacing w:after="0"/>
              <w:rPr>
                <w:sz w:val="21"/>
                <w:szCs w:val="21"/>
                <w:color w:val="auto"/>
              </w:rPr>
            </w:pPr>
          </w:p>
        </w:tc>
      </w:tr>
      <w:tr>
        <w:trPr>
          <w:trHeight w:val="250"/>
        </w:trPr>
        <w:tc>
          <w:tcPr>
            <w:tcW w:w="47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Amounts</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12,453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53,749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Income tax provision (benefit), net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120,266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9,621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Net loss (income) from discontinued operations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24,968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35"/>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non-controlling</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4"/>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156,824</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124,834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31,990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25.6</w:t>
            </w: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3"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Percentage is not meaningful.</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$156.8 million for the three months ended June 30, 2020, an increase of $32.0 million, or 25.6%, compared to 2019 as set forth in the following table:</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90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57"/>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June 30,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124,834</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49,054</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4,063</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foreign currency transaction gains, net</w:t>
            </w:r>
          </w:p>
        </w:tc>
        <w:tc>
          <w:tcPr>
            <w:tcW w:w="4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(1,591)</w:t>
            </w:r>
          </w:p>
        </w:tc>
      </w:tr>
      <w:tr>
        <w:trPr>
          <w:trHeight w:val="257"/>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gains on investments, net</w:t>
            </w:r>
          </w:p>
        </w:tc>
        <w:tc>
          <w:tcPr>
            <w:tcW w:w="4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(18,945)</w:t>
            </w:r>
          </w:p>
        </w:tc>
      </w:tr>
      <w:tr>
        <w:trPr>
          <w:trHeight w:val="256"/>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three months ended June 30,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156,824</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three months ended June 30, 2020 compared to the three months ended June 30, 2019. Capital expenditures in the table below are net of refunds and other receipts related to our property and equipment.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Corporate and</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21"/>
                <w:szCs w:val="21"/>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3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453,172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459,466</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83,479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92,300</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186,619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156,824</w:t>
            </w:r>
          </w:p>
        </w:tc>
      </w:tr>
      <w:tr>
        <w:trPr>
          <w:trHeight w:val="263"/>
        </w:trPr>
        <w:tc>
          <w:tcPr>
            <w:tcW w:w="4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June 30, 2019</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451,847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460,431</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74,090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33,252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107,342</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131,765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124,834</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2"/>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8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26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57"/>
        </w:trPr>
        <w:tc>
          <w:tcPr>
            <w:tcW w:w="40" w:type="dxa"/>
            <w:vAlign w:val="bottom"/>
          </w:tcPr>
          <w:p>
            <w:pPr>
              <w:spacing w:after="0"/>
              <w:rPr>
                <w:sz w:val="22"/>
                <w:szCs w:val="22"/>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453,172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451,847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1,325</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50"/>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83,479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74,090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9,389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63"/>
        </w:trPr>
        <w:tc>
          <w:tcPr>
            <w:tcW w:w="40" w:type="dxa"/>
            <w:vAlign w:val="bottom"/>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186,619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131,765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54,854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41.6</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was $453.2 million for the three months ended June 30, 2020, an increase of $ 1.3 million, or 0.3%, compared to 2019. The increase was primarily due to increases of $27.2 million in sales of broadband services to our consumer customers, partially offset by decreased hardware sales of $15.2 million and decreased sales of broadband services to our enterprise customers of $9.4 million. These variances reflect the negative impact of exchange rate fluctuations.</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Capital expenditures were $83.5 million for the three months ended June 30, 2020, an increase of $9.4 million, or 12.7%, compared to 2019, primarily due to increases in expenditures associated with our consumer business.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$186.6 million for the three months ended June 30, 2020, an increase of $54.9 million, or 41.6%, compared to 2019 as set forth in the following table: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47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Amounts</w:t>
            </w:r>
          </w:p>
        </w:tc>
        <w:tc>
          <w:tcPr>
            <w:tcW w:w="0" w:type="dxa"/>
            <w:vAlign w:val="bottom"/>
          </w:tcPr>
          <w:p>
            <w:pPr>
              <w:spacing w:after="0"/>
              <w:rPr>
                <w:sz w:val="1"/>
                <w:szCs w:val="1"/>
                <w:color w:val="auto"/>
              </w:rPr>
            </w:pPr>
          </w:p>
        </w:tc>
      </w:tr>
      <w:tr>
        <w:trPr>
          <w:trHeight w:val="256"/>
        </w:trPr>
        <w:tc>
          <w:tcPr>
            <w:tcW w:w="40" w:type="dxa"/>
            <w:vAlign w:val="bottom"/>
            <w:tcBorders>
              <w:right w:val="single" w:sz="8" w:color="CCEEFF"/>
            </w:tcBorders>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three months ended June 30, 2019</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131,765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820" w:type="dxa"/>
            <w:vAlign w:val="bottom"/>
            <w:gridSpan w:val="6"/>
          </w:tcPr>
          <w:p>
            <w:pPr>
              <w:ind w:left="18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52,136</w:t>
            </w:r>
          </w:p>
        </w:tc>
        <w:tc>
          <w:tcPr>
            <w:tcW w:w="0" w:type="dxa"/>
            <w:vAlign w:val="bottom"/>
          </w:tcPr>
          <w:p>
            <w:pPr>
              <w:spacing w:after="0"/>
              <w:rPr>
                <w:sz w:val="1"/>
                <w:szCs w:val="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6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gains on investments, net</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Increase (decrease) in other, net</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6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Increase (decrease) in foreign currency transaction gains, net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EBITDA for the three months ended June 30, 2020</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186,619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rPr>
              <w:t>For the three months ended June</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Amounts</w:t>
            </w: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revenue was $4.2 million for the three months ended June 30, 2020, an increase of $0.4 million, or 11.7%, compared to 2019, primarily due to an increase in transponder services provided to third parties.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$ 1.5 million for the three months ended June 30, 2020, an increase of $0.1 million, or 3.8%, compared to 2019, primarily due to the increase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Corporate and Other</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8"/>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rPr>
              <w:t>For the three months ended June</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6"/>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Borders>
              <w:bottom w:val="single" w:sz="8" w:color="auto"/>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Amounts</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57"/>
        </w:trPr>
        <w:tc>
          <w:tcPr>
            <w:tcW w:w="40" w:type="dxa"/>
            <w:vAlign w:val="bottom"/>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r>
      <w:tr>
        <w:trPr>
          <w:trHeight w:val="250"/>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33,252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(73.5)</w:t>
            </w:r>
          </w:p>
        </w:tc>
      </w:tr>
      <w:tr>
        <w:trPr>
          <w:trHeight w:val="263"/>
        </w:trPr>
        <w:tc>
          <w:tcPr>
            <w:tcW w:w="40" w:type="dxa"/>
            <w:vAlign w:val="bottom"/>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(22,921)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40" w:lineRule="exact"/>
        <w:rPr>
          <w:sz w:val="20"/>
          <w:szCs w:val="20"/>
          <w:color w:val="auto"/>
        </w:rPr>
      </w:pPr>
    </w:p>
    <w:p>
      <w:pPr>
        <w:ind w:left="80" w:hanging="72"/>
        <w:spacing w:after="0"/>
        <w:tabs>
          <w:tab w:leader="none" w:pos="8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Percentage is not meaningful</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was $2.1 million for the three months ended June 30, 2020, a decrease of $2.7 million, or 56.3%, compared to 2019, primarily attributable to a decrease in income from certain real estate previously leased to DISH Network and transferred as part of the BSS Transaction.</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for the three months ended June 30, 2020 decreased by $24.4 million, or 73.5%, compared to 2019, primarily due to a decrease in expenditures on the EchoStar XXIV satellite.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a loss of $31.3 million for the three months ended June 30, 2020, an increase in loss of $22.9 million compared to 2019 as set forth in the following table:</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90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5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June 30,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(8,417)</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foreign currency transaction gains, net</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1,020</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(1,770)</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(3,139)</w:t>
            </w:r>
          </w:p>
        </w:tc>
      </w:tr>
      <w:tr>
        <w:trPr>
          <w:trHeight w:val="250"/>
        </w:trPr>
        <w:tc>
          <w:tcPr>
            <w:tcW w:w="9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gains on investments, net</w:t>
            </w: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(18,989)</w:t>
            </w:r>
          </w:p>
        </w:tc>
      </w:tr>
      <w:tr>
        <w:trPr>
          <w:trHeight w:val="281"/>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June 30, 2020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(31,338)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the Six Months Ended June 30, 2019</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six months ended June 30, 2020 compared to the six months ended June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200" w:type="dxa"/>
            <w:vAlign w:val="bottom"/>
          </w:tcPr>
          <w:p>
            <w:pPr>
              <w:spacing w:after="0"/>
              <w:rPr>
                <w:sz w:val="17"/>
                <w:szCs w:val="17"/>
                <w:color w:val="auto"/>
              </w:rPr>
            </w:pPr>
          </w:p>
        </w:tc>
        <w:tc>
          <w:tcPr>
            <w:tcW w:w="1540" w:type="dxa"/>
            <w:vAlign w:val="bottom"/>
            <w:gridSpan w:val="3"/>
          </w:tcPr>
          <w:p>
            <w:pPr>
              <w:ind w:left="7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7"/>
                <w:szCs w:val="17"/>
                <w:color w:val="auto"/>
              </w:rPr>
            </w:pPr>
          </w:p>
        </w:tc>
      </w:tr>
      <w:tr>
        <w:trPr>
          <w:trHeight w:val="21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Amounts</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Services and other 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825,400</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805,454</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19,946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99,732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109,359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03"/>
        </w:trPr>
        <w:tc>
          <w:tcPr>
            <w:tcW w:w="590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revenue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925,132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914,813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1.1</w:t>
            </w:r>
          </w:p>
        </w:tc>
      </w:tr>
      <w:tr>
        <w:trPr>
          <w:trHeight w:val="196"/>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Cost of sales - services and other</w:t>
            </w:r>
          </w:p>
        </w:tc>
        <w:tc>
          <w:tcPr>
            <w:tcW w:w="12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286,271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286,027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0.1</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services and other revenue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Cost of sales - equipment</w:t>
            </w:r>
          </w:p>
        </w:tc>
        <w:tc>
          <w:tcPr>
            <w:tcW w:w="12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78,450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91,556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(13,106)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equipment revenue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239,079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261,323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expenses</w:t>
            </w:r>
          </w:p>
        </w:tc>
        <w:tc>
          <w:tcPr>
            <w:tcW w:w="12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13,702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13,276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w:t>
            </w:r>
          </w:p>
        </w:tc>
      </w:tr>
      <w:tr>
        <w:trPr>
          <w:trHeight w:val="222"/>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5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262,255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239,244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23,011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9.6</w:t>
            </w:r>
          </w:p>
        </w:tc>
      </w:tr>
      <w:tr>
        <w:trPr>
          <w:trHeight w:val="215"/>
        </w:trPr>
        <w:tc>
          <w:tcPr>
            <w:tcW w:w="5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879,757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891,426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03"/>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Operating income (loss)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45,375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23,387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21,988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94.0</w:t>
            </w:r>
          </w:p>
        </w:tc>
      </w:tr>
      <w:tr>
        <w:trPr>
          <w:trHeight w:val="196"/>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Interest income, net</w:t>
            </w:r>
          </w:p>
        </w:tc>
        <w:tc>
          <w:tcPr>
            <w:tcW w:w="12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26,343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47,642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(21,299)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(44.7)</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(106,948)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32,457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w:t>
            </w: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Gains (losses) on investments, net</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(52,762)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19,791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(72,553)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(9,284)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(9,877)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90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Total other income (expense), net</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(114,596)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(50,064)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(64,532)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(69,221)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(26,677)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benefit (provision), net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(7,590)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55.7</w:t>
            </w: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(72,580)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(34,267)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Net income (loss) from discontinued operations</w:t>
            </w: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44,215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(44,215)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15"/>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(72,580)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9,948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(82,528)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Less: Net loss (income) attributable to non-controlling interests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240"/>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(65,707)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(74,217)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data:</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248,055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270,435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35"/>
        </w:trPr>
        <w:tc>
          <w:tcPr>
            <w:tcW w:w="5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Subscribers, end of period</w:t>
            </w: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1,542,000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1,415,000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 Percentage is not meaningful.</w:t>
      </w:r>
    </w:p>
    <w:p>
      <w:pPr>
        <w:spacing w:after="0" w:line="8" w:lineRule="exact"/>
        <w:rPr>
          <w:sz w:val="20"/>
          <w:szCs w:val="20"/>
          <w:color w:val="auto"/>
        </w:rPr>
      </w:pPr>
    </w:p>
    <w:p>
      <w:pPr>
        <w:ind w:left="340" w:right="20" w:hanging="332"/>
        <w:spacing w:after="0" w:line="211" w:lineRule="auto"/>
        <w:tabs>
          <w:tab w:leader="none" w:pos="17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A reconciliation of EBITDA to Net income (loss), the most directly comparable U.S. GAAP measure in our Accompanying Condensed Consolidated Financial Statements, is included in Results of Operations. For further information on our use of EBITDA, refer to the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continuing operations for the six months ended June 30, 2020 and 2019 unless otherwise stated.</w:t>
      </w:r>
    </w:p>
    <w:p>
      <w:pPr>
        <w:spacing w:after="0" w:line="2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Services and other revenue. </w:t>
      </w:r>
      <w:r>
        <w:rPr>
          <w:rFonts w:ascii="Arial" w:cs="Arial" w:eastAsia="Arial" w:hAnsi="Arial"/>
          <w:sz w:val="18"/>
          <w:szCs w:val="18"/>
          <w:color w:val="auto"/>
        </w:rPr>
        <w:t>Services and other revenue totaled $825.4 million for the six months ended June 30, 2020,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 million, or 2.5%, compared to 2019.</w:t>
      </w:r>
    </w:p>
    <w:p>
      <w:pPr>
        <w:spacing w:after="0" w:line="202" w:lineRule="exact"/>
        <w:rPr>
          <w:sz w:val="20"/>
          <w:szCs w:val="20"/>
          <w:color w:val="auto"/>
        </w:rPr>
      </w:pPr>
    </w:p>
    <w:p>
      <w:pPr>
        <w:jc w:val="both"/>
        <w:ind w:left="660" w:hanging="328"/>
        <w:spacing w:after="0" w:line="25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Services and other revenue from our Hughes segment for the six months ended June 30, 2020 increased by $24.1 million, or 3.1%, to $811.9 million compared to 2019. The increase was primarily attributable to increases in sales of broadband services to our consumer customers of $46.6 million, partially offset by a decrease in sales of broadband services to our enterprise customers of $22.0 million. Both of these variances reflect the negative impact of exchange rate fluctuations.</w:t>
      </w:r>
    </w:p>
    <w:p>
      <w:pPr>
        <w:spacing w:after="0" w:line="23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Services and other revenue from Corporate and Other for the six months ended June 30, 2020 decreased by $5.2 million, or 52.8%, to $4.6 million compared to 2019 primarily attributable to a decrease in income from certain real estate previously leased to DISH Network and transferred as part of the BSS Transaction.</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$99.7 million for the six months ended June 30, 2020, a decrease of $ 9.6 million, or 8.8%,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2019. The decrease was primarily attributable to decreased hardware sales to our international enterprise customers of $15.8 million and the bankruptcy of a certain customer, partially offset by increased sales to our domestic enterprise customers of $7.7 million.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$286.3 million for the six months ended June 30,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$0.2 million, or 0.1%, compared to 2019. The increase was primarily attributable to our Hughes segment due to an increase in sales of broadband services to our consumer customers, partially offset by a decrease in sales of broadband services to our enterprise customers.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$78.5 million for the six months ended June 30, 2020,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$13.1 million, or 14.3%, compared to 2019. The decrease was primarily attributable to the corresponding reduction in equipment revenue.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$239.1 million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a decrease of $22.2 million, or 8.5%, compared to 2019. The decrease was primarily attributable to expenses related to certain legal proceedings of $24.5 million in 2019 and decreases in bad debt expense of $2.7 million in 2020, partially offset by increased selling, general and administrative expenses of $2.2 million attributable to the Yahsat Brazil JV and increased promotional expenses of $1.6 million mainly associated with our consumer business in Latin America.</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$262.3 million for the six months ended June 30,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$23.0 million, or 9.6%, compared to 2019. The increase was primarily from our Hughes segment and due to increases in depreciation expense of $14.3 million relating to our customer premises equipment and $6.6 million relating to the depreciation of assets acquired in the Yahsat Brazil JV Transaction.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$26.3 million for the six months ended June 30, 2020, a decrease of $21.3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44.7%, compared to 2019 primarily attributable to decreases in the yield on our marketable investment securities and a decrease in our marketable investment securities balance.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$ 74.5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a decrease of $32.5 million, or 30.3%, compared to 2019. The decrease was primarily due to a decrease of $29.0 million in interest expense and in amortization of deferred financing cost as a result of the repurchase and maturity in June 2019 of our 6 1/2% Senior Secured Notes due 2019 and an increase of $3.2 million in capitalized interest in 2020 relating to the construction of the EchoStar XXIV satellite and its related infrastructure.</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were $(52.8) million for the six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$19.8 million for the six months ended June 30, 2019, a decrease in gains of</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$72.6 million. The change was primarily attributable to $71.4 million of net negative variances on marketable investment securities compared to 2019.</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loss for the six months ended June 30, 2020, a decrease in losses of $ 7.4 million, or 66.4%, compared to 2019. The decrease in losses was related to decreased losses from our investments in our equity method investees.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$9.3 million in losses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an increase in losses of $9.9 million compared to 2019. The change was due to the net strengthening of the U.S. dollar against certain foreign currencies in 2020 compared to 2019.</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was $(3.4) million for the six months ended June 30, 2020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 million for the six months ended June 30, 2019. Our effective income tax rate was (4.9)% and (28.5)% for the six months ended June 30, 2020 and 2019, respectively. The variations in our effective tax rate from the U.S. federal statutory rate for the six months ended June 30, 2020 were primarily due to the increase in our valuation allowance associated with certain foreign losses and the impact of state and local taxes, partially offset by the change in net unrealized losses that are capital in nature and research and experimentation credits. The variations in our effective tax rate from the U.S. federal statutory rate for the six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Additionally, during the three months ended June 30, 2019, we recorded additional tax expense of $2.0 million on deemed mandatory repatriation of certain deferred foreign earnings as the result of new treasury regulations.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loss attributable to EchoStar Corporation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$65.7 million for the six months ended June 30, 2020, compared to net income attributable to EchoStar Corporation common stock of $8.5 million for the six months ended June 30, 2019, a change of $74.2 million as set forth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57"/>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six months ended June 30,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8,510</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32,457</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including depreciation and amortization</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21,988</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8,311</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7,375</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income tax provision, net</w:t>
            </w:r>
          </w:p>
        </w:tc>
        <w:tc>
          <w:tcPr>
            <w:tcW w:w="4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4,231</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(9,877)</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(21,299)</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net income from discontinued operations</w:t>
            </w:r>
          </w:p>
        </w:tc>
        <w:tc>
          <w:tcPr>
            <w:tcW w:w="4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(44,215)</w:t>
            </w:r>
          </w:p>
        </w:tc>
      </w:tr>
      <w:tr>
        <w:trPr>
          <w:trHeight w:val="257"/>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(72,553)</w:t>
            </w:r>
          </w:p>
        </w:tc>
      </w:tr>
      <w:tr>
        <w:trPr>
          <w:trHeight w:val="256"/>
        </w:trPr>
        <w:tc>
          <w:tcPr>
            <w:tcW w:w="902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six months ended June 30,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(65,707)</w:t>
            </w: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Net income (loss), the most directly comparable U.S. GAAP measure in our Accompanying Condensed Consolidated Financial Statements, to EBITDA: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328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the six months ended June 30,</w:t>
            </w:r>
          </w:p>
        </w:tc>
        <w:tc>
          <w:tcPr>
            <w:tcW w:w="260" w:type="dxa"/>
            <w:vAlign w:val="bottom"/>
          </w:tcPr>
          <w:p>
            <w:pPr>
              <w:spacing w:after="0"/>
              <w:rPr>
                <w:sz w:val="21"/>
                <w:szCs w:val="21"/>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1"/>
                <w:szCs w:val="21"/>
                <w:color w:val="auto"/>
              </w:rPr>
            </w:pPr>
          </w:p>
        </w:tc>
      </w:tr>
      <w:tr>
        <w:trPr>
          <w:trHeight w:val="250"/>
        </w:trPr>
        <w:tc>
          <w:tcPr>
            <w:tcW w:w="47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57"/>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(72,580)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9,948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(82,528)</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21,299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74,491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106,948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(32,457)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262,255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239,244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23,011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44,215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35"/>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non-controlling</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4"/>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40" w:type="dxa"/>
            <w:vAlign w:val="bottom"/>
          </w:tcPr>
          <w:p>
            <w:pPr>
              <w:ind w:left="46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248,055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270,435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$248.1 million for the six months ended June 30, 2020, a decrease of $22.4 million, or 8.3%, compared to 2019 as set forth in the following table:</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90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57"/>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270,435</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44,999</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8,311</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7,375</w:t>
            </w:r>
          </w:p>
        </w:tc>
      </w:tr>
      <w:tr>
        <w:trPr>
          <w:trHeight w:val="26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r>
      <w:tr>
        <w:trPr>
          <w:trHeight w:val="25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foreign currency transaction gains, net</w:t>
            </w:r>
          </w:p>
        </w:tc>
        <w:tc>
          <w:tcPr>
            <w:tcW w:w="4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(9,877)</w:t>
            </w:r>
          </w:p>
        </w:tc>
      </w:tr>
      <w:tr>
        <w:trPr>
          <w:trHeight w:val="257"/>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gains on investments, net</w:t>
            </w:r>
          </w:p>
        </w:tc>
        <w:tc>
          <w:tcPr>
            <w:tcW w:w="4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(72,553)</w:t>
            </w:r>
          </w:p>
        </w:tc>
      </w:tr>
      <w:tr>
        <w:trPr>
          <w:trHeight w:val="257"/>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six months ended June 30,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248,055</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six months ended June 30, 2020 compared to the six months ended June 30, 2019. Capital expenditures in the table below are net of refunds and other receipts related to our property and equipment.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Corporate and</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ESS</w:t>
            </w:r>
          </w:p>
        </w:tc>
        <w:tc>
          <w:tcPr>
            <w:tcW w:w="26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37"/>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911,654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8,831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925,132</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174,996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21,908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196,904</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341,260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3,573</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248,055</w:t>
            </w:r>
          </w:p>
        </w:tc>
      </w:tr>
      <w:tr>
        <w:trPr>
          <w:trHeight w:val="263"/>
        </w:trPr>
        <w:tc>
          <w:tcPr>
            <w:tcW w:w="4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2019</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897,184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914,813</w:t>
            </w:r>
          </w:p>
        </w:tc>
      </w:tr>
      <w:tr>
        <w:trPr>
          <w:trHeight w:val="250"/>
        </w:trPr>
        <w:tc>
          <w:tcPr>
            <w:tcW w:w="47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147,911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71,285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219,196</w:t>
            </w:r>
          </w:p>
        </w:tc>
      </w:tr>
      <w:tr>
        <w:trPr>
          <w:trHeight w:val="26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292,897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3,215</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270,435</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1"/>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8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six months ended June 30,</w:t>
            </w:r>
          </w:p>
        </w:tc>
        <w:tc>
          <w:tcPr>
            <w:tcW w:w="26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57"/>
        </w:trPr>
        <w:tc>
          <w:tcPr>
            <w:tcW w:w="40" w:type="dxa"/>
            <w:vAlign w:val="bottom"/>
          </w:tcPr>
          <w:p>
            <w:pPr>
              <w:spacing w:after="0"/>
              <w:rPr>
                <w:sz w:val="22"/>
                <w:szCs w:val="22"/>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911,654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897,184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14,470</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50"/>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174,996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147,911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27,085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18.3</w:t>
            </w:r>
          </w:p>
        </w:tc>
      </w:tr>
      <w:tr>
        <w:trPr>
          <w:trHeight w:val="263"/>
        </w:trPr>
        <w:tc>
          <w:tcPr>
            <w:tcW w:w="40" w:type="dxa"/>
            <w:vAlign w:val="bottom"/>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341,260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292,897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48,363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was $911.7 million for the six months ended June 30, 2020 an increase of $14.5 million, or 1.6%, compared to 2019. The increase was primarily due to increases of $ 46.6 million in sales of broadband services to our consumer customers, partially offset by decreased hardware sales of $9.6 million and decreased sales of broadband services to our enterprise customers of $22.0 million. These variances reflect the negative impact of exchange rate fluctuations.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were $175.0 million for the six months ended June 30, 2020, an increase of $27.1 million, or 18.3%, compared to 2019, primarily due to net increases in expenditures associated with our consumer business.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$341.3 million for the six months ended June 30, 2020, an increase of $48.4 million, or 16.5%, compared to 2019 as set forth in the following table: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474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Amounts</w:t>
            </w: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six months ended June 30, 2019</w:t>
            </w: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292,897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820" w:type="dxa"/>
            <w:vAlign w:val="bottom"/>
            <w:gridSpan w:val="5"/>
          </w:tcPr>
          <w:p>
            <w:pPr>
              <w:ind w:left="18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49,139</w:t>
            </w:r>
          </w:p>
        </w:tc>
        <w:tc>
          <w:tcPr>
            <w:tcW w:w="0" w:type="dxa"/>
            <w:vAlign w:val="bottom"/>
          </w:tcPr>
          <w:p>
            <w:pPr>
              <w:spacing w:after="0"/>
              <w:rPr>
                <w:sz w:val="1"/>
                <w:szCs w:val="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63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Increase (decrease) in gains on investments, net</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other, net</w:t>
            </w: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380" w:type="dxa"/>
            <w:vAlign w:val="bottom"/>
            <w:gridSpan w:val="4"/>
          </w:tcPr>
          <w:p>
            <w:pPr>
              <w:ind w:left="18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in foreign currency transaction gains, net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EBITDA for the six months ended June 30, 2020</w:t>
            </w: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341,260</w:t>
            </w:r>
          </w:p>
        </w:tc>
        <w:tc>
          <w:tcPr>
            <w:tcW w:w="0" w:type="dxa"/>
            <w:vAlign w:val="bottom"/>
          </w:tcPr>
          <w:p>
            <w:pPr>
              <w:spacing w:after="0"/>
              <w:rPr>
                <w:sz w:val="1"/>
                <w:szCs w:val="1"/>
                <w:color w:val="auto"/>
              </w:rPr>
            </w:pPr>
          </w:p>
        </w:tc>
      </w:tr>
      <w:tr>
        <w:trPr>
          <w:trHeight w:val="21"/>
        </w:trPr>
        <w:tc>
          <w:tcPr>
            <w:tcW w:w="4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8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the six months ended June 30,</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5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8,831</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7,775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1,056</w:t>
            </w: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EBITDA</w:t>
            </w:r>
          </w:p>
        </w:tc>
        <w:tc>
          <w:tcPr>
            <w:tcW w:w="4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was $8.8 million for the six months ended June 30, 2020, an increase of $1.1 million, or 13.6%, compared to 2019, primarily due to an increase in transponder services provided to third parties.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$ 3.6 million for the six months ended June 30, 2020, an increase of $0.4 million, or 11.1%, compared to 2019, primarily due to the increase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6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1"/>
        </w:trPr>
        <w:tc>
          <w:tcPr>
            <w:tcW w:w="476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six months ended June 30,</w:t>
            </w:r>
          </w:p>
        </w:tc>
        <w:tc>
          <w:tcPr>
            <w:tcW w:w="26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50"/>
        </w:trPr>
        <w:tc>
          <w:tcPr>
            <w:tcW w:w="47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57"/>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4,647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9,854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(5,207)</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21,908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71,285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(49,377)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(69.3)</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(71,101)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40" w:lineRule="exact"/>
        <w:rPr>
          <w:sz w:val="20"/>
          <w:szCs w:val="20"/>
          <w:color w:val="auto"/>
        </w:rPr>
      </w:pPr>
    </w:p>
    <w:p>
      <w:pPr>
        <w:ind w:left="80" w:hanging="72"/>
        <w:spacing w:after="0"/>
        <w:tabs>
          <w:tab w:leader="none" w:pos="8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Percentage is not meaningful.</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was $4.6 million for the six months ended June 30, 2020, a decrease of $5.2 million, or 52.8%, compared to 2019 primarily attributable to a decrease in income from certain real estate previously leased to DISH Network and transferred as part of the BSS Transaction.</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Capital expenditures were $21.9 million for the six months ended June 30, 2020 decreased by $49.4 million, or 69.3%, compared to 2019, primarily due to a decrease in expenditures on the EchoStar XXIV satellite.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a loss of $96.8 million for the six months ended June 30, 2020, an increase in loss of $71.1 million compared to 2019 as set forth in the following table: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57"/>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(25,677)</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7,569</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5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(918)</w:t>
            </w:r>
          </w:p>
        </w:tc>
      </w:tr>
      <w:tr>
        <w:trPr>
          <w:trHeight w:val="26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(4,494)</w:t>
            </w:r>
          </w:p>
        </w:tc>
      </w:tr>
      <w:tr>
        <w:trPr>
          <w:trHeight w:val="250"/>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(73,165)</w:t>
            </w:r>
          </w:p>
        </w:tc>
      </w:tr>
      <w:tr>
        <w:trPr>
          <w:trHeight w:val="28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2020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(96,778)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2020 and December 31, 2019, our cash, cash equivalents and marketable investment securities totaled $2.5 billion and $2.5 billion, respectively, of which $510.0 million and $940.6 million, respectively, we held as marketable investment securities, consisting of various debt and equity instruments including corporate bonds, corporate equity securities, government bonds and mutual funds. We consider all liquid investments purchased with an original maturity of 90 days or less to be cash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discussion highlights our cash flow activities, which include results from continuing and discontinued operations, for the six months ended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We typically reinvest the cash flow from operating activities in our business. For the six months ended June 30, 2020, we reported net cash inflows from operating activities of $245.3 million, a decrease of $135.5 million, compared to 2019. The decrease in cash inflows was primarily attributable to lower net income of $76.4 million, adjusted to exclude: (i)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(ii) </w:t>
      </w:r>
      <w:r>
        <w:rPr>
          <w:rFonts w:ascii="Arial" w:cs="Arial" w:eastAsia="Arial" w:hAnsi="Arial"/>
          <w:sz w:val="18"/>
          <w:szCs w:val="18"/>
          <w:i w:val="1"/>
          <w:iCs w:val="1"/>
          <w:color w:val="auto"/>
        </w:rPr>
        <w:t>Losses (gains) on</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net</w:t>
      </w:r>
      <w:r>
        <w:rPr>
          <w:rFonts w:ascii="Arial" w:cs="Arial" w:eastAsia="Arial" w:hAnsi="Arial"/>
          <w:sz w:val="18"/>
          <w:szCs w:val="18"/>
          <w:color w:val="auto"/>
        </w:rPr>
        <w:t>, (iii)</w:t>
      </w:r>
      <w:r>
        <w:rPr>
          <w:rFonts w:ascii="Arial" w:cs="Arial" w:eastAsia="Arial" w:hAnsi="Arial"/>
          <w:sz w:val="18"/>
          <w:szCs w:val="18"/>
          <w:i w:val="1"/>
          <w:iCs w:val="1"/>
          <w:color w:val="auto"/>
        </w:rPr>
        <w:t xml:space="preserve"> Equity in losses (earnings) of unconsolidated affiliates, net</w:t>
      </w:r>
      <w:r>
        <w:rPr>
          <w:rFonts w:ascii="Arial" w:cs="Arial" w:eastAsia="Arial" w:hAnsi="Arial"/>
          <w:sz w:val="18"/>
          <w:szCs w:val="18"/>
          <w:color w:val="auto"/>
        </w:rPr>
        <w:t>; (iv)</w:t>
      </w:r>
      <w:r>
        <w:rPr>
          <w:rFonts w:ascii="Arial" w:cs="Arial" w:eastAsia="Arial" w:hAnsi="Arial"/>
          <w:sz w:val="18"/>
          <w:szCs w:val="18"/>
          <w:i w:val="1"/>
          <w:iCs w:val="1"/>
          <w:color w:val="auto"/>
        </w:rPr>
        <w:t xml:space="preserve"> Foreign currency transaction losses (gains), net</w:t>
      </w:r>
      <w:r>
        <w:rPr>
          <w:rFonts w:ascii="Arial" w:cs="Arial" w:eastAsia="Arial" w:hAnsi="Arial"/>
          <w:sz w:val="18"/>
          <w:szCs w:val="18"/>
          <w:color w:val="auto"/>
        </w:rPr>
        <w:t>;</w:t>
      </w:r>
    </w:p>
    <w:p>
      <w:pPr>
        <w:spacing w:after="0" w:line="2" w:lineRule="exact"/>
        <w:rPr>
          <w:sz w:val="20"/>
          <w:szCs w:val="20"/>
          <w:color w:val="auto"/>
        </w:rPr>
      </w:pPr>
    </w:p>
    <w:p>
      <w:pPr>
        <w:jc w:val="both"/>
        <w:ind w:firstLine="8"/>
        <w:spacing w:after="0" w:line="256"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Deferred tax provision (benefit), net</w:t>
      </w:r>
      <w:r>
        <w:rPr>
          <w:rFonts w:ascii="Arial" w:cs="Arial" w:eastAsia="Arial" w:hAnsi="Arial"/>
          <w:sz w:val="18"/>
          <w:szCs w:val="18"/>
          <w:color w:val="auto"/>
        </w:rPr>
        <w:t>; (vi)</w:t>
      </w:r>
      <w:r>
        <w:rPr>
          <w:rFonts w:ascii="Arial" w:cs="Arial" w:eastAsia="Arial" w:hAnsi="Arial"/>
          <w:sz w:val="18"/>
          <w:szCs w:val="18"/>
          <w:i w:val="1"/>
          <w:iCs w:val="1"/>
          <w:color w:val="auto"/>
        </w:rPr>
        <w:t xml:space="preserve"> Stock-based compensation</w:t>
      </w:r>
      <w:r>
        <w:rPr>
          <w:rFonts w:ascii="Arial" w:cs="Arial" w:eastAsia="Arial" w:hAnsi="Arial"/>
          <w:sz w:val="18"/>
          <w:szCs w:val="18"/>
          <w:color w:val="auto"/>
        </w:rPr>
        <w:t>; (vii)</w:t>
      </w:r>
      <w:r>
        <w:rPr>
          <w:rFonts w:ascii="Arial" w:cs="Arial" w:eastAsia="Arial" w:hAnsi="Arial"/>
          <w:sz w:val="18"/>
          <w:szCs w:val="18"/>
          <w:i w:val="1"/>
          <w:iCs w:val="1"/>
          <w:color w:val="auto"/>
        </w:rPr>
        <w:t xml:space="preserve"> Amortization of debt issuance costs</w:t>
      </w:r>
      <w:r>
        <w:rPr>
          <w:rFonts w:ascii="Arial" w:cs="Arial" w:eastAsia="Arial" w:hAnsi="Arial"/>
          <w:sz w:val="18"/>
          <w:szCs w:val="18"/>
          <w:color w:val="auto"/>
        </w:rPr>
        <w:t>; and (viii)</w:t>
      </w:r>
      <w:r>
        <w:rPr>
          <w:rFonts w:ascii="Arial" w:cs="Arial" w:eastAsia="Arial" w:hAnsi="Arial"/>
          <w:sz w:val="18"/>
          <w:szCs w:val="18"/>
          <w:i w:val="1"/>
          <w:iCs w:val="1"/>
          <w:color w:val="auto"/>
        </w:rPr>
        <w:t xml:space="preserve"> Other, net.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cash inflows was also attributable to decreases of $59.1 million resulting from timing differences in operating assets and liabilities.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investing activities generally include purchases and sales of marketable investment securities, capital expenditures, acquisitions and strategic investments. For the six months ended June 30, 2020, we reported net cash inflows from investing activities of $200.5 million, a decrease in cash inflows of $681.9 million compared to 2019.</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six months ended June 30, 2020, we had net sales and maturities of marketable securities of $977.5 million, partially offset by net purchases of marketable securities of $555.4 million and expenditures for property and equipment of $196.9 million.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2019, we had net sales and maturities of marketable securities of $ 1.6 billion, partially offset by net purchases of marketable securities of $504.3 million and expenditures for property and equipment of $219.4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financing activities generally include proceeds related to the issuance of debt and cash used for the repurchase, redemption or payment of debt and finance lease obligations, payments relating to stock and debt repurchases and the proceeds from Class A common stock options exercised and stock issued under our stock incentive plans and employee stock purchase plan. For the six months ended June 30, 2020, we reported net cash inflows from financing activities of $9.1 million compared to net cash outflows of $885.7 million for the six months ended June 30, 2019. Net cash inflows for the six months ended June 30, 2020 included $10.0 million for the contribution by non-controlling interest holder and $0.4 million in net proceeds received from Class A common stock options exercised, partially offset by our repurchase of $5.9 million of shares of our Class A common stock. Net cash outflows for the six months ended June 30, 2019 included $920.9 million for the repurchasing and maturity of debt, $20.0 million for the payment of finance lease obligations and $7.3 million for the purchase of non-controlling shareholder interests in a subsidiary of ours that were held by an unaffiliated third party, partially offset by $61.5 million in net proceeds received from Class A common stock options exercised.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2020, our satellite-related obligations were $385.1 million. These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4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904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June 30, 2020</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7"/>
        </w:trPr>
        <w:tc>
          <w:tcPr>
            <w:tcW w:w="90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56"/>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8,966</w:t>
            </w:r>
          </w:p>
        </w:tc>
      </w:tr>
      <w:tr>
        <w:trPr>
          <w:trHeight w:val="250"/>
        </w:trPr>
        <w:tc>
          <w:tcPr>
            <w:tcW w:w="904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3,773</w:t>
            </w:r>
          </w:p>
        </w:tc>
      </w:tr>
      <w:tr>
        <w:trPr>
          <w:trHeight w:val="257"/>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28,122</w:t>
            </w:r>
          </w:p>
        </w:tc>
      </w:tr>
      <w:tr>
        <w:trPr>
          <w:trHeight w:val="257"/>
        </w:trPr>
        <w:tc>
          <w:tcPr>
            <w:tcW w:w="9040" w:type="dxa"/>
            <w:vAlign w:val="bottom"/>
          </w:tcPr>
          <w:p>
            <w:pPr>
              <w:ind w:left="22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40,861</w:t>
            </w:r>
          </w:p>
        </w:tc>
      </w:tr>
      <w:tr>
        <w:trPr>
          <w:trHeight w:val="20"/>
        </w:trPr>
        <w:tc>
          <w:tcPr>
            <w:tcW w:w="9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As a result of the COVID-19 pandemic, in accordance with instructions received from some of our enterprise customers, we have deferred or canceled the delivery of some products or services. We expect to realize the cash flow from those deferred products and services in the second half of 2020 and in 2021. Our cash flow could be further adversely impacted the longer the COVID-19 pandemic impacts domestic and global activity. Furthermore, if we experience negative cash flows, our existing cash and marketable investment securities balances may be reduced.</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significant amount of outstanding indebtedness. As of June 30, 2020, our total long-term debt was $2.4 billion. Refer to our Form 10-K for a discussion of the terms of our long-term debt. Our liquidity requirements will be continue to be significant, primarily due to our remaining debt service requirements and the design and construction of our new EchoStar XXIV satellite. Our 7 5/8% Senior Unsecured Notes due 2021 (the “2021 Notes”) with an outstanding principal balance of $900.0 million mature and are due and payable in June 2021. We may from time to time seek to purchase amounts of our outstanding debt in open market purchases, privately negotiated transactions or otherwise, depending on market conditions, our liquidity needs and other factors. The amounts we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2020.</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anticipate that our existing cash and marketable investment securities are sufficient to repay our 2021 Notes that mature and are due and payable in June 2021 and to fund the currently anticipated operations of our business through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stock repurchase program approved by our Board of Directors on October 29, 2019, we are authorized to repurchase up to $500.0 million of our Class A common stock through December 31, 2020. During the six months ended June 30, 2020, we repurchased 196,999 shares of our common stock at an average price per share of $29.90 for a total purchase price of $5.9 million. During the six months ended June 30, 2019, we did not repurchase any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critical accounting policies are those that involve a high degree of estimation, judgment and complexity. Our critical accounting policies are those related to (i) contingent liabilities, (ii) revenue recognition and (iii) impairment of assets.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critical accounting policies are described in our Form 10-K under the heading Part II - Item 7. Management’s Discussion and Analysis of Financial Condition and Results of Operations. There have been no significant changes in our critical accounting policies from those presented in our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For a discussion of new and recently issued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Accompanying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generally not affected by seasonal impacts.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above-described trends have been observed consistently in recent years, we cannot predict with any certainty whether they will continue in the near future as the economy and our customers react to the COVID-19 pandemic and experience associated disruptions and dislocations.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has not materially affected our operations during the past three years but we are unable to predict the extent or nature of any future inflationary pressure at this time. We believe that our ability to increase the prices charged for our products and services in future periods will depend primarily on competitive pressures or contractual terms. However, we may not be able to maintain pricing levels consistent with inflationary pressure on expenses.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71"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b w:val="1"/>
          <w:bCs w:val="1"/>
          <w:i w:val="1"/>
          <w:iCs w:val="1"/>
          <w:color w:val="auto"/>
        </w:rPr>
        <w:t>Cost of sales - equipment</w:t>
      </w:r>
      <w:r>
        <w:rPr>
          <w:rFonts w:ascii="Arial" w:cs="Arial" w:eastAsia="Arial" w:hAnsi="Arial"/>
          <w:sz w:val="17"/>
          <w:szCs w:val="17"/>
          <w:color w:val="auto"/>
        </w:rPr>
        <w:t>. Cost of sales - equipment consists primarily of the cost of broadband equipment and networks sold to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our consumer and enterprise markets. It also includes certain other costs associated with the deployment of equipment to our customers.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human resources and other services and stock-based compensation expense). It also includes professional fees (e.g. legal, information systems and accounting services), other expenses associated with facilities and administrative services and credit losses, which include customer related estimated credit losses and estimated credit losses on non-current receivables.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 offset by estimated credit losses on our other debt investments.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debt securities, realized gains and losses on the sale or exchange of other equity investments and other debt investments without readily determinable fair value, adjustments to the carrying amount of investments in unconsolidated affiliates and marketable equity securities resulting from impairments and observable price changes and estimated credit losses.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Condensed Consolidated Statements of Operations in our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income (loss) from discontinued operations</w:t>
      </w:r>
      <w:r>
        <w:rPr>
          <w:rFonts w:ascii="Arial" w:cs="Arial" w:eastAsia="Arial" w:hAnsi="Arial"/>
          <w:sz w:val="16"/>
          <w:szCs w:val="16"/>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(loss) from discontinued operations includes the financial results of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transferred in the BSS Transaction, except for certain real estate that transferred in the transaction.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defined as Net income (loss) excluding Interest income, net, Interest expense, net of amounts capitalized,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(provision), net, Depreciation 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June 30, 2020, other than as explained below, our market risk has not changed materially from those presented in our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consummated the Yahsat Brazil JV Transaction. As a result, we are reviewing the internal controls of the business we acquired from Yahsat in the Yahsat Brazil JV Transaction and we may make appropriate changes as deemed necessary.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Except as noted above, there has been no change in our internal control over financial reporting (as defined in Rule 13a-15(f) and Rule 15d-15(f) under the Exchange Act) that occurred during the six months ended June 30, 2020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w:t>
      </w:r>
      <w:r>
        <w:rPr>
          <w:rFonts w:ascii="Arial" w:cs="Arial" w:eastAsia="Arial" w:hAnsi="Arial"/>
          <w:sz w:val="18"/>
          <w:szCs w:val="18"/>
          <w:color w:val="auto"/>
        </w:rPr>
        <w:t xml:space="preserve">e </w:t>
      </w:r>
      <w:r>
        <w:rPr>
          <w:rFonts w:ascii="Arial" w:cs="Arial" w:eastAsia="Arial" w:hAnsi="Arial"/>
          <w:sz w:val="18"/>
          <w:szCs w:val="18"/>
          <w:i w:val="1"/>
          <w:iCs w:val="1"/>
          <w:color w:val="auto"/>
        </w:rPr>
        <w:t>13</w:t>
      </w:r>
      <w:r>
        <w:rPr>
          <w:rFonts w:ascii="Arial" w:cs="Arial" w:eastAsia="Arial" w:hAnsi="Arial"/>
          <w:sz w:val="18"/>
          <w:szCs w:val="18"/>
          <w:color w:val="auto"/>
        </w:rPr>
        <w:t>. Contingenci</w:t>
      </w:r>
      <w:r>
        <w:rPr>
          <w:rFonts w:ascii="Arial" w:cs="Arial" w:eastAsia="Arial" w:hAnsi="Arial"/>
          <w:sz w:val="18"/>
          <w:szCs w:val="18"/>
          <w:i w:val="1"/>
          <w:iCs w:val="1"/>
          <w:color w:val="auto"/>
        </w:rPr>
        <w:t>es</w:t>
      </w:r>
      <w:r>
        <w:rPr>
          <w:rFonts w:ascii="Arial" w:cs="Arial" w:eastAsia="Arial" w:hAnsi="Arial"/>
          <w:sz w:val="18"/>
          <w:szCs w:val="18"/>
          <w:color w:val="auto"/>
        </w:rPr>
        <w:t xml:space="preserve"> — Litigation in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updates, and should be read in conjunction with, the information in Part I, Item 1A, Risk Factors, of our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COVID-19 pandemic, its economic impacts and related government and private sector responsive actions could have a material adverse effect our business operations. As a result of the COVID-19 pandemic, many countries, including the U.S., and other governmental authorities have imposed restrictions on travel, as well as general movement and gathering restrictions, business closures and other measures imposed to slow the spread of COVID-19.</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We have set forth below key risks from the COVID-19 pandemic that we have identified to date. The situation continues to develop, however, and it is impossible to predict the effect and ultimate impact of the COVID-19 pandemic on our business, financial condition or results of operations. We cannot estimate or determine the duration of the quarantine, social distancing and other regulatory measures instituted or recommended in response to the COVID-19 pandemic, whether they will recur or the duration or degree of the business disruptions, and related financial impact. The COVID-19 pandemic has evolved into a worldwide health crisis that may continue for an extended period of time and that has adversely affected economies and financial markets throughout the world, resulting in a significant economic downturn and changes in global economic policy that is expected to continue for the foreseeable future and could have a material adverse effect on our business, financial condition or results of operations.</w:t>
      </w:r>
    </w:p>
    <w:p>
      <w:pPr>
        <w:spacing w:after="0" w:line="208"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b w:val="1"/>
          <w:bCs w:val="1"/>
          <w:color w:val="auto"/>
        </w:rPr>
        <w:t>Our operations and those of our customers and other third parties with whom we conduct business are located in areas impacted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 and those operations have been, and may continue to be, adversely affected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 our product development, manufacturing, installation and customer support and services in areas where, in order to attempt to mitigate the COVID-19 pandemic, (a) states of emergency related to the spread of COVID-19 have been declared and (b) various levels of “shelter-in-place” or “safer-at-home” orders have been issued, which (i) direct individuals living in those locations to shelter at their places of residence (subject to limited exceptions), (ii) direct businesses and governmental agencies to cease or limit non-essential operations at physical locations, (iii) limit the number of employees that may be present in a particular location; (iv) prohibit or limit non-essential gatherings of various number of individuals, and (v) order cessation of non-essential travel. The effects of the COVID-19 pandemic and the actions from applicable governmental authorities has negatively impacted productivity, increased cybersecurity risks as a large portion of our workforce has been working remotely, disrupted our and our customers’, suppliers’, vendors’ and other business partners’ and investees’ businesses and finances, delayed regulatory and other timelines, and delayed the manufacture and deployment of our satellites. Additionally, some regulatory bodies have furloughed employees, reduced activities and temporarily closed their offices. Such measures may materially delay the review and/or approval of licenses or authorizations we need to operate our business. The magnitude of these impacts will depend, in part, on the length and severity of the pandemic, associated restrictions and resulting economic and financial consequences and other limitations and impediments on the conduct of business in the ordinary course.</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Extended periods of interruption to our corporate, development or manufacturing facilities due to the COVID-19 pandemic could cause us to lose revenue, which would depress our financial performance and could be difficult to recapture. Our business may also be harmed if travel continues to be restricted or inadvisable or if members of management and other employees are unable to work because they contract COVID-19, they elect not to come to work due to the illness affecting others in our office or other facilities, or they are subject to quarantines or other governmentally imposed restrictions. Additionally, many of our subscribers are working remotely or engaging in distance learning. These activities have increased the usage on our HughesNet service so that there is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little or no capacity remaining for subscriber growth in our most popular geographic areas. In addition, the limitation on capacity may result in our subscribers experiencing slower speeds. This, in turn, could result in higher churn and may negatively affect our financial results.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 portion of the expected sales of our products or services have been, and additional sales may be, delayed or canceled as a result of effects of the COVID-19 pandemic on the operations of our customers.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customers’ business operations have been, and are continuing to be, subject to business interruptions arising from the COVID-19 pandemic. Due to the downturn in financial markets arising from the COVID-19 pandemic, a number of our current enterprise customers are facing uncertain futures. In the event any of these enterprise customers fail or seek reorganization under the bankruptcy laws, we may be obliged to pay for satellite capacity for which we are not being paid. Further, the COVID-19 pandemic has resulted in increased unemployment, which could result in reduced demand and increased inability to pay from our consumer customers. Any resulting financial impact cannot be reasonably estimated at this time but may materially affect our subscriber numbers, business, financial condition, results of operations, and cash flows. We are diligently working to ensure that we can operate with minimal disruption and address potential business interruptions on ourselves and our customers. However, the full extent to which the COVID-19 pandemic could affect the global economy and our business will depend on future developments and factors that cannot be predicted and there can be no assurance that the COVID-19 pandemic will not result in further delays, or possibly reductions, in our recognition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supply chain may be materially adversely impacted due to the COVID-19 pandemic.</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upon the facilities of our domestic and foreign suppliers to support our business. The COVID-19 pandemic has resulted in significant governmental measures in many countries being implemented to control the spread of COVID-19, including restrictions on manufacturing and the movement of employees. As a result, our suppliers may not have the materials, capacity, or capability to supply our components according to our schedule and specifications. Further, there may be logistics issues, including our ability and our supply chain’s ability to quickly ramp up production, and transportation demands that may cause further delays.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The duration of the disruptions and restrictions on the ability to travel, quarantines and temporary closures of the facilities of our suppliers, as well as general limitations on movement in the region, are unknown and they may recur and the duration of the production and supply chain disruption, and related financial impact, cannot be estimated at this time. Should the production and distribution closures continue for an extended period of time or recur, the impact on our supply chain could have a material adverse effect on our results of operations and cash flows. Business disruptions could also negatively affect the sources and availability of components and materials that are essential to the operation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could negatively impact our planned or potential strategic initiatives.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strategy includes a number of plans to support the growth of our core businesses, including continuing to selectively explore opportunities to pursue investments, commercial alliances, partnerships, joint ventures, acquisitions, dispositions and other strategic initiatives and transactions, domestically and internationally. The extent to which the COVID-19 pandemic impacts these potential strategic initiatives will depend on future developments that are highly uncertain. If the disruptions posed by the COVID -19 pandemic and related government measures, economic downturns or other matters of global concern continue for an extensive period of time or recur, our ability to pursue and consummate planned or potential strategic initiatives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through December 31, 2020. During the year ended December 31, 2019, we did not repurchase any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June 30, 2020:</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Total Number of Shares</w:t>
            </w:r>
          </w:p>
        </w:tc>
        <w:tc>
          <w:tcPr>
            <w:tcW w:w="120" w:type="dxa"/>
            <w:vAlign w:val="bottom"/>
          </w:tcPr>
          <w:p>
            <w:pPr>
              <w:spacing w:after="0"/>
              <w:rPr>
                <w:sz w:val="20"/>
                <w:szCs w:val="20"/>
                <w:color w:val="auto"/>
              </w:rPr>
            </w:pPr>
          </w:p>
        </w:tc>
        <w:tc>
          <w:tcPr>
            <w:tcW w:w="2080" w:type="dxa"/>
            <w:vAlign w:val="bottom"/>
          </w:tcPr>
          <w:p>
            <w:pPr>
              <w:jc w:val="center"/>
              <w:ind w:right="52"/>
              <w:spacing w:after="0"/>
              <w:rPr>
                <w:sz w:val="20"/>
                <w:szCs w:val="20"/>
                <w:color w:val="auto"/>
              </w:rPr>
            </w:pPr>
            <w:r>
              <w:rPr>
                <w:rFonts w:ascii="Arial" w:cs="Arial" w:eastAsia="Arial" w:hAnsi="Arial"/>
                <w:sz w:val="18"/>
                <w:szCs w:val="18"/>
                <w:b w:val="1"/>
                <w:bCs w:val="1"/>
                <w:color w:val="auto"/>
              </w:rPr>
              <w:t>Maximum Number (or</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(or Units) Purchased As</w:t>
            </w:r>
          </w:p>
        </w:tc>
        <w:tc>
          <w:tcPr>
            <w:tcW w:w="120" w:type="dxa"/>
            <w:vAlign w:val="bottom"/>
          </w:tcPr>
          <w:p>
            <w:pPr>
              <w:spacing w:after="0"/>
              <w:rPr>
                <w:sz w:val="10"/>
                <w:szCs w:val="10"/>
                <w:color w:val="auto"/>
              </w:rPr>
            </w:pPr>
          </w:p>
        </w:tc>
        <w:tc>
          <w:tcPr>
            <w:tcW w:w="2080" w:type="dxa"/>
            <w:vAlign w:val="bottom"/>
          </w:tcPr>
          <w:p>
            <w:pPr>
              <w:jc w:val="center"/>
              <w:ind w:right="52"/>
              <w:spacing w:after="0" w:line="122" w:lineRule="exact"/>
              <w:rPr>
                <w:sz w:val="20"/>
                <w:szCs w:val="20"/>
                <w:color w:val="auto"/>
              </w:rPr>
            </w:pPr>
            <w:r>
              <w:rPr>
                <w:rFonts w:ascii="Arial" w:cs="Arial" w:eastAsia="Arial" w:hAnsi="Arial"/>
                <w:sz w:val="13"/>
                <w:szCs w:val="13"/>
                <w:b w:val="1"/>
                <w:bCs w:val="1"/>
                <w:color w:val="auto"/>
              </w:rPr>
              <w:t>Approximate Dollar</w:t>
            </w:r>
          </w:p>
        </w:tc>
        <w:tc>
          <w:tcPr>
            <w:tcW w:w="0" w:type="dxa"/>
            <w:vAlign w:val="bottom"/>
          </w:tcPr>
          <w:p>
            <w:pPr>
              <w:spacing w:after="0"/>
              <w:rPr>
                <w:sz w:val="1"/>
                <w:szCs w:val="1"/>
                <w:color w:val="auto"/>
              </w:rPr>
            </w:pPr>
          </w:p>
        </w:tc>
      </w:tr>
      <w:tr>
        <w:trPr>
          <w:trHeight w:val="99"/>
        </w:trPr>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vMerge w:val="restart"/>
          </w:tcPr>
          <w:p>
            <w:pPr>
              <w:jc w:val="center"/>
              <w:ind w:right="52"/>
              <w:spacing w:after="0" w:line="176" w:lineRule="exact"/>
              <w:rPr>
                <w:sz w:val="20"/>
                <w:szCs w:val="20"/>
                <w:color w:val="auto"/>
              </w:rPr>
            </w:pPr>
            <w:r>
              <w:rPr>
                <w:rFonts w:ascii="Arial" w:cs="Arial" w:eastAsia="Arial" w:hAnsi="Arial"/>
                <w:sz w:val="18"/>
                <w:szCs w:val="18"/>
                <w:b w:val="1"/>
                <w:bCs w:val="1"/>
                <w:color w:val="auto"/>
                <w:w w:val="99"/>
              </w:rPr>
              <w:t>Value) of Shares (or</w:t>
            </w:r>
          </w:p>
        </w:tc>
        <w:tc>
          <w:tcPr>
            <w:tcW w:w="0" w:type="dxa"/>
            <w:vAlign w:val="bottom"/>
          </w:tcPr>
          <w:p>
            <w:pPr>
              <w:spacing w:after="0"/>
              <w:rPr>
                <w:sz w:val="1"/>
                <w:szCs w:val="1"/>
                <w:color w:val="auto"/>
              </w:rPr>
            </w:pPr>
          </w:p>
        </w:tc>
      </w:tr>
      <w:tr>
        <w:trPr>
          <w:trHeight w:val="77"/>
        </w:trPr>
        <w:tc>
          <w:tcPr>
            <w:tcW w:w="2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vMerge w:val="restart"/>
          </w:tcPr>
          <w:p>
            <w:pPr>
              <w:jc w:val="center"/>
              <w:ind w:right="52"/>
              <w:spacing w:after="0" w:line="176" w:lineRule="exact"/>
              <w:rPr>
                <w:sz w:val="20"/>
                <w:szCs w:val="20"/>
                <w:color w:val="auto"/>
              </w:rPr>
            </w:pPr>
            <w:r>
              <w:rPr>
                <w:rFonts w:ascii="Arial" w:cs="Arial" w:eastAsia="Arial" w:hAnsi="Arial"/>
                <w:sz w:val="18"/>
                <w:szCs w:val="18"/>
                <w:b w:val="1"/>
                <w:bCs w:val="1"/>
                <w:color w:val="auto"/>
                <w:w w:val="99"/>
              </w:rPr>
              <w:t>Units) That May Yet Be</w:t>
            </w:r>
          </w:p>
        </w:tc>
        <w:tc>
          <w:tcPr>
            <w:tcW w:w="0" w:type="dxa"/>
            <w:vAlign w:val="bottom"/>
          </w:tcPr>
          <w:p>
            <w:pPr>
              <w:spacing w:after="0"/>
              <w:rPr>
                <w:sz w:val="1"/>
                <w:szCs w:val="1"/>
                <w:color w:val="auto"/>
              </w:rPr>
            </w:pPr>
          </w:p>
        </w:tc>
      </w:tr>
      <w:tr>
        <w:trPr>
          <w:trHeight w:val="50"/>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 Number of Shares</w:t>
            </w:r>
          </w:p>
        </w:tc>
        <w:tc>
          <w:tcPr>
            <w:tcW w:w="22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Average Price Paid Per</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ind w:right="52"/>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(Or Units) Purchased</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 (or Unit)</w:t>
            </w: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52"/>
              <w:spacing w:after="0" w:line="230" w:lineRule="exact"/>
              <w:rPr>
                <w:sz w:val="20"/>
                <w:szCs w:val="20"/>
                <w:color w:val="auto"/>
              </w:rPr>
            </w:pPr>
            <w:r>
              <w:rPr>
                <w:rFonts w:ascii="Arial" w:cs="Arial" w:eastAsia="Arial" w:hAnsi="Arial"/>
                <w:sz w:val="18"/>
                <w:szCs w:val="18"/>
                <w:b w:val="1"/>
                <w:bCs w:val="1"/>
                <w:color w:val="auto"/>
                <w:w w:val="97"/>
              </w:rPr>
              <w:t xml:space="preserve">Plans or Program </w:t>
            </w:r>
            <w:r>
              <w:rPr>
                <w:rFonts w:ascii="Arial" w:cs="Arial" w:eastAsia="Arial" w:hAnsi="Arial"/>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5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22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5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May 1 - 31</w:t>
            </w:r>
          </w:p>
        </w:tc>
        <w:tc>
          <w:tcPr>
            <w:tcW w:w="22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80" w:type="dxa"/>
            <w:vAlign w:val="bottom"/>
          </w:tcPr>
          <w:p>
            <w:pPr>
              <w:jc w:val="right"/>
              <w:ind w:right="92"/>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57"/>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214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57"/>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92"/>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28" w:lineRule="auto"/>
        <w:tabs>
          <w:tab w:leader="none" w:pos="183"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On October 29, 2019, our Board of Directors authorized us to repurchase up to $500 million of our Class A common stock through and including December 31, 2020.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above have been converted to treasury shares.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6, 2020, we issued a press release (the “Press Release”) announcing our financial results for the quarter ended June 30, 2020. A copy of the Press Release is furnished herewith as Exhibit 99.1. The foregoing information, including the exhibits related thereto, are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192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769"/>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60" w:type="dxa"/>
            <w:vAlign w:val="bottom"/>
          </w:tcPr>
          <w:p>
            <w:pPr>
              <w:spacing w:after="0"/>
              <w:rPr>
                <w:sz w:val="24"/>
                <w:szCs w:val="24"/>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160" w:type="dxa"/>
            <w:vAlign w:val="bottom"/>
          </w:tcPr>
          <w:p>
            <w:pPr>
              <w:spacing w:after="0"/>
              <w:rPr>
                <w:sz w:val="19"/>
                <w:szCs w:val="19"/>
                <w:color w:val="auto"/>
              </w:rPr>
            </w:pPr>
          </w:p>
        </w:tc>
        <w:tc>
          <w:tcPr>
            <w:tcW w:w="1760" w:type="dxa"/>
            <w:vAlign w:val="bottom"/>
            <w:gridSpan w:val="2"/>
          </w:tcPr>
          <w:p>
            <w:pPr>
              <w:jc w:val="center"/>
              <w:ind w:right="440"/>
              <w:spacing w:after="0"/>
              <w:rPr>
                <w:rFonts w:ascii="Arial" w:cs="Arial" w:eastAsia="Arial" w:hAnsi="Arial"/>
                <w:sz w:val="18"/>
                <w:szCs w:val="18"/>
                <w:u w:val="single" w:color="auto"/>
                <w:color w:val="0000FF"/>
                <w:w w:val="99"/>
              </w:rPr>
            </w:pPr>
            <w:hyperlink w:anchor="page81">
              <w:r>
                <w:rPr>
                  <w:rFonts w:ascii="Arial" w:cs="Arial" w:eastAsia="Arial" w:hAnsi="Arial"/>
                  <w:sz w:val="18"/>
                  <w:szCs w:val="18"/>
                  <w:u w:val="single" w:color="auto"/>
                  <w:color w:val="0000FF"/>
                  <w:w w:val="99"/>
                </w:rPr>
                <w:t>31.1(H)</w:t>
              </w:r>
            </w:hyperlink>
          </w:p>
        </w:tc>
        <w:tc>
          <w:tcPr>
            <w:tcW w:w="20" w:type="dxa"/>
            <w:vAlign w:val="bottom"/>
          </w:tcPr>
          <w:p>
            <w:pPr>
              <w:spacing w:after="0"/>
              <w:rPr>
                <w:sz w:val="19"/>
                <w:szCs w:val="19"/>
                <w:color w:val="auto"/>
              </w:rPr>
            </w:pPr>
          </w:p>
        </w:tc>
        <w:tc>
          <w:tcPr>
            <w:tcW w:w="9300" w:type="dxa"/>
            <w:vAlign w:val="bottom"/>
            <w:gridSpan w:val="4"/>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Section 302 Certification of Chief Executive Officer.</w:t>
              </w:r>
            </w:hyperlink>
          </w:p>
        </w:tc>
      </w:tr>
      <w:tr>
        <w:trPr>
          <w:trHeight w:val="243"/>
        </w:trPr>
        <w:tc>
          <w:tcPr>
            <w:tcW w:w="160" w:type="dxa"/>
            <w:vAlign w:val="bottom"/>
          </w:tcPr>
          <w:p>
            <w:pPr>
              <w:spacing w:after="0"/>
              <w:rPr>
                <w:sz w:val="21"/>
                <w:szCs w:val="21"/>
                <w:color w:val="auto"/>
              </w:rPr>
            </w:pPr>
          </w:p>
        </w:tc>
        <w:tc>
          <w:tcPr>
            <w:tcW w:w="1760" w:type="dxa"/>
            <w:vAlign w:val="bottom"/>
            <w:gridSpan w:val="2"/>
          </w:tcPr>
          <w:p>
            <w:pPr>
              <w:jc w:val="center"/>
              <w:ind w:right="440"/>
              <w:spacing w:after="0"/>
              <w:rPr>
                <w:rFonts w:ascii="Arial" w:cs="Arial" w:eastAsia="Arial" w:hAnsi="Arial"/>
                <w:sz w:val="18"/>
                <w:szCs w:val="18"/>
                <w:u w:val="single" w:color="auto"/>
                <w:color w:val="0000FF"/>
                <w:w w:val="99"/>
              </w:rPr>
            </w:pPr>
            <w:hyperlink w:anchor="page82">
              <w:r>
                <w:rPr>
                  <w:rFonts w:ascii="Arial" w:cs="Arial" w:eastAsia="Arial" w:hAnsi="Arial"/>
                  <w:sz w:val="18"/>
                  <w:szCs w:val="18"/>
                  <w:u w:val="single" w:color="auto"/>
                  <w:color w:val="0000FF"/>
                  <w:w w:val="99"/>
                </w:rPr>
                <w:t>31.2(H)</w:t>
              </w:r>
            </w:hyperlink>
          </w:p>
        </w:tc>
        <w:tc>
          <w:tcPr>
            <w:tcW w:w="20" w:type="dxa"/>
            <w:vAlign w:val="bottom"/>
          </w:tcPr>
          <w:p>
            <w:pPr>
              <w:spacing w:after="0"/>
              <w:rPr>
                <w:sz w:val="21"/>
                <w:szCs w:val="21"/>
                <w:color w:val="auto"/>
              </w:rPr>
            </w:pPr>
          </w:p>
        </w:tc>
        <w:tc>
          <w:tcPr>
            <w:tcW w:w="9300" w:type="dxa"/>
            <w:vAlign w:val="bottom"/>
            <w:gridSpan w:val="4"/>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Section 302 Certification of Chief Financial Officer.</w:t>
              </w:r>
            </w:hyperlink>
          </w:p>
        </w:tc>
      </w:tr>
      <w:tr>
        <w:trPr>
          <w:trHeight w:val="257"/>
        </w:trPr>
        <w:tc>
          <w:tcPr>
            <w:tcW w:w="160" w:type="dxa"/>
            <w:vAlign w:val="bottom"/>
          </w:tcPr>
          <w:p>
            <w:pPr>
              <w:spacing w:after="0"/>
              <w:rPr>
                <w:sz w:val="22"/>
                <w:szCs w:val="22"/>
                <w:color w:val="auto"/>
              </w:rPr>
            </w:pPr>
          </w:p>
        </w:tc>
        <w:tc>
          <w:tcPr>
            <w:tcW w:w="1760" w:type="dxa"/>
            <w:vAlign w:val="bottom"/>
            <w:gridSpan w:val="2"/>
          </w:tcPr>
          <w:p>
            <w:pPr>
              <w:jc w:val="center"/>
              <w:ind w:right="440"/>
              <w:spacing w:after="0"/>
              <w:rPr>
                <w:rFonts w:ascii="Arial" w:cs="Arial" w:eastAsia="Arial" w:hAnsi="Arial"/>
                <w:sz w:val="18"/>
                <w:szCs w:val="18"/>
                <w:u w:val="single" w:color="auto"/>
                <w:color w:val="0000FF"/>
                <w:w w:val="99"/>
              </w:rPr>
            </w:pPr>
            <w:hyperlink w:anchor="page83">
              <w:r>
                <w:rPr>
                  <w:rFonts w:ascii="Arial" w:cs="Arial" w:eastAsia="Arial" w:hAnsi="Arial"/>
                  <w:sz w:val="18"/>
                  <w:szCs w:val="18"/>
                  <w:u w:val="single" w:color="auto"/>
                  <w:color w:val="0000FF"/>
                  <w:w w:val="99"/>
                </w:rPr>
                <w:t>32.1(I)</w:t>
              </w:r>
            </w:hyperlink>
          </w:p>
        </w:tc>
        <w:tc>
          <w:tcPr>
            <w:tcW w:w="20" w:type="dxa"/>
            <w:vAlign w:val="bottom"/>
          </w:tcPr>
          <w:p>
            <w:pPr>
              <w:spacing w:after="0"/>
              <w:rPr>
                <w:sz w:val="22"/>
                <w:szCs w:val="22"/>
                <w:color w:val="auto"/>
              </w:rPr>
            </w:pPr>
          </w:p>
        </w:tc>
        <w:tc>
          <w:tcPr>
            <w:tcW w:w="9300" w:type="dxa"/>
            <w:vAlign w:val="bottom"/>
            <w:gridSpan w:val="4"/>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Section 906 Certifications of Chief Executive Officer and Chief Financial Officer.</w:t>
              </w:r>
            </w:hyperlink>
          </w:p>
        </w:tc>
      </w:tr>
      <w:tr>
        <w:trPr>
          <w:trHeight w:val="215"/>
        </w:trPr>
        <w:tc>
          <w:tcPr>
            <w:tcW w:w="160" w:type="dxa"/>
            <w:vAlign w:val="bottom"/>
          </w:tcPr>
          <w:p>
            <w:pPr>
              <w:spacing w:after="0"/>
              <w:rPr>
                <w:sz w:val="18"/>
                <w:szCs w:val="18"/>
                <w:color w:val="auto"/>
              </w:rPr>
            </w:pPr>
          </w:p>
        </w:tc>
        <w:tc>
          <w:tcPr>
            <w:tcW w:w="1760" w:type="dxa"/>
            <w:vAlign w:val="bottom"/>
            <w:gridSpan w:val="2"/>
          </w:tcPr>
          <w:p>
            <w:pPr>
              <w:jc w:val="center"/>
              <w:ind w:right="440"/>
              <w:spacing w:after="0"/>
              <w:rPr>
                <w:rFonts w:ascii="Arial" w:cs="Arial" w:eastAsia="Arial" w:hAnsi="Arial"/>
                <w:sz w:val="18"/>
                <w:szCs w:val="18"/>
                <w:u w:val="single" w:color="auto"/>
                <w:color w:val="0000FF"/>
                <w:w w:val="99"/>
              </w:rPr>
            </w:pPr>
            <w:hyperlink w:anchor="page84">
              <w:r>
                <w:rPr>
                  <w:rFonts w:ascii="Arial" w:cs="Arial" w:eastAsia="Arial" w:hAnsi="Arial"/>
                  <w:sz w:val="18"/>
                  <w:szCs w:val="18"/>
                  <w:u w:val="single" w:color="auto"/>
                  <w:color w:val="0000FF"/>
                  <w:w w:val="99"/>
                </w:rPr>
                <w:t>99.1(I)</w:t>
              </w:r>
            </w:hyperlink>
          </w:p>
        </w:tc>
        <w:tc>
          <w:tcPr>
            <w:tcW w:w="20" w:type="dxa"/>
            <w:vAlign w:val="bottom"/>
          </w:tcPr>
          <w:p>
            <w:pPr>
              <w:spacing w:after="0"/>
              <w:rPr>
                <w:sz w:val="18"/>
                <w:szCs w:val="18"/>
                <w:color w:val="auto"/>
              </w:rPr>
            </w:pPr>
          </w:p>
        </w:tc>
        <w:tc>
          <w:tcPr>
            <w:tcW w:w="9300" w:type="dxa"/>
            <w:vAlign w:val="bottom"/>
            <w:gridSpan w:val="4"/>
          </w:tcPr>
          <w:p>
            <w:pPr>
              <w:spacing w:after="0"/>
              <w:rPr>
                <w:rFonts w:ascii="Arial" w:cs="Arial" w:eastAsia="Arial" w:hAnsi="Arial"/>
                <w:sz w:val="18"/>
                <w:szCs w:val="18"/>
                <w:color w:val="0000FF"/>
              </w:rPr>
            </w:pPr>
            <w:hyperlink w:anchor="page84">
              <w:r>
                <w:rPr>
                  <w:rFonts w:ascii="Arial" w:cs="Arial" w:eastAsia="Arial" w:hAnsi="Arial"/>
                  <w:sz w:val="18"/>
                  <w:szCs w:val="18"/>
                  <w:u w:val="single" w:color="auto"/>
                  <w:color w:val="0000FF"/>
                </w:rPr>
                <w:t>Press release dated August 6,</w:t>
              </w:r>
              <w:r>
                <w:rPr>
                  <w:rFonts w:ascii="Arial" w:cs="Arial" w:eastAsia="Arial" w:hAnsi="Arial"/>
                  <w:sz w:val="18"/>
                  <w:szCs w:val="18"/>
                  <w:color w:val="0000FF"/>
                </w:rPr>
                <w:t xml:space="preserve"> 2020 issued by EchoStar Corporation regarding financial results for the period ended</w:t>
              </w:r>
            </w:hyperlink>
          </w:p>
        </w:tc>
      </w:tr>
      <w:tr>
        <w:trPr>
          <w:trHeight w:val="156"/>
        </w:trPr>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2"/>
          </w:tcPr>
          <w:p>
            <w:pPr>
              <w:spacing w:after="0" w:line="157" w:lineRule="exact"/>
              <w:rPr>
                <w:rFonts w:ascii="Arial" w:cs="Arial" w:eastAsia="Arial" w:hAnsi="Arial"/>
                <w:sz w:val="18"/>
                <w:szCs w:val="18"/>
                <w:color w:val="0000FF"/>
              </w:rPr>
            </w:pPr>
            <w:hyperlink w:anchor="page84">
              <w:r>
                <w:rPr>
                  <w:rFonts w:ascii="Arial" w:cs="Arial" w:eastAsia="Arial" w:hAnsi="Arial"/>
                  <w:sz w:val="18"/>
                  <w:szCs w:val="18"/>
                  <w:color w:val="0000FF"/>
                </w:rPr>
                <w:t>June 30, 2020</w:t>
              </w:r>
            </w:hyperlink>
          </w:p>
        </w:tc>
        <w:tc>
          <w:tcPr>
            <w:tcW w:w="68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r>
      <w:tr>
        <w:trPr>
          <w:trHeight w:val="249"/>
        </w:trPr>
        <w:tc>
          <w:tcPr>
            <w:tcW w:w="160" w:type="dxa"/>
            <w:vAlign w:val="bottom"/>
          </w:tcPr>
          <w:p>
            <w:pPr>
              <w:spacing w:after="0"/>
              <w:rPr>
                <w:sz w:val="21"/>
                <w:szCs w:val="21"/>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1"/>
                <w:szCs w:val="21"/>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w:t>
            </w:r>
          </w:p>
        </w:tc>
      </w:tr>
      <w:tr>
        <w:trPr>
          <w:trHeight w:val="217"/>
        </w:trPr>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56"/>
        </w:trPr>
        <w:tc>
          <w:tcPr>
            <w:tcW w:w="160" w:type="dxa"/>
            <w:vAlign w:val="bottom"/>
          </w:tcPr>
          <w:p>
            <w:pPr>
              <w:spacing w:after="0"/>
              <w:rPr>
                <w:sz w:val="22"/>
                <w:szCs w:val="22"/>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2"/>
                <w:szCs w:val="22"/>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60" w:type="dxa"/>
            <w:vAlign w:val="bottom"/>
          </w:tcPr>
          <w:p>
            <w:pPr>
              <w:spacing w:after="0"/>
              <w:rPr>
                <w:sz w:val="22"/>
                <w:szCs w:val="22"/>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22"/>
                <w:szCs w:val="22"/>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60" w:type="dxa"/>
            <w:vAlign w:val="bottom"/>
          </w:tcPr>
          <w:p>
            <w:pPr>
              <w:spacing w:after="0"/>
              <w:rPr>
                <w:sz w:val="22"/>
                <w:szCs w:val="22"/>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60" w:type="dxa"/>
            <w:vAlign w:val="bottom"/>
          </w:tcPr>
          <w:p>
            <w:pPr>
              <w:spacing w:after="0"/>
              <w:rPr>
                <w:sz w:val="22"/>
                <w:szCs w:val="22"/>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256"/>
        </w:trPr>
        <w:tc>
          <w:tcPr>
            <w:tcW w:w="160" w:type="dxa"/>
            <w:vAlign w:val="bottom"/>
          </w:tcPr>
          <w:p>
            <w:pPr>
              <w:spacing w:after="0"/>
              <w:rPr>
                <w:sz w:val="22"/>
                <w:szCs w:val="22"/>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22"/>
                <w:szCs w:val="22"/>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10" w:lineRule="exact"/>
        <w:rPr>
          <w:sz w:val="20"/>
          <w:szCs w:val="20"/>
          <w:color w:val="auto"/>
        </w:rPr>
      </w:pPr>
    </w:p>
    <w:p>
      <w:pPr>
        <w:ind w:left="900" w:hanging="550"/>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rFonts w:ascii="Arial" w:cs="Arial" w:eastAsia="Arial" w:hAnsi="Arial"/>
          <w:sz w:val="14"/>
          <w:szCs w:val="14"/>
          <w:color w:val="auto"/>
        </w:rPr>
      </w:pPr>
    </w:p>
    <w:p>
      <w:pPr>
        <w:ind w:left="900" w:hanging="550"/>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5" w:lineRule="exact"/>
        <w:rPr>
          <w:sz w:val="20"/>
          <w:szCs w:val="20"/>
          <w:color w:val="auto"/>
        </w:rPr>
      </w:pPr>
    </w:p>
    <w:p>
      <w:pPr>
        <w:ind w:left="900" w:hanging="550"/>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55" w:lineRule="exact"/>
        <w:rPr>
          <w:sz w:val="20"/>
          <w:szCs w:val="20"/>
          <w:color w:val="auto"/>
        </w:rPr>
      </w:pPr>
    </w:p>
    <w:p>
      <w:pPr>
        <w:ind w:left="900" w:hanging="550"/>
        <w:spacing w:after="0"/>
        <w:tabs>
          <w:tab w:leader="none" w:pos="9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41" w:lineRule="exact"/>
        <w:rPr>
          <w:rFonts w:ascii="Arial" w:cs="Arial" w:eastAsia="Arial" w:hAnsi="Arial"/>
          <w:sz w:val="14"/>
          <w:szCs w:val="14"/>
          <w:color w:val="auto"/>
        </w:rPr>
      </w:pPr>
    </w:p>
    <w:p>
      <w:pPr>
        <w:ind w:left="900" w:right="280" w:hanging="550"/>
        <w:spacing w:after="0" w:line="258" w:lineRule="auto"/>
        <w:tabs>
          <w:tab w:leader="none" w:pos="9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24"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ECHOSTAR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4840" w:val="left"/>
          <w:tab w:leader="none" w:pos="56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17780</wp:posOffset>
            </wp:positionV>
            <wp:extent cx="36258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T. Dugan</w:t>
      </w:r>
    </w:p>
    <w:p>
      <w:pPr>
        <w:spacing w:after="0" w:line="5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 President and Director</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4840" w:val="left"/>
          <w:tab w:leader="none" w:pos="56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17780</wp:posOffset>
            </wp:positionV>
            <wp:extent cx="36258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J. Rayner</w:t>
      </w:r>
    </w:p>
    <w:p>
      <w:pPr>
        <w:spacing w:after="0" w:line="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Chief Financial Officer, Chief Operating</w:t>
      </w:r>
    </w:p>
    <w:p>
      <w:pPr>
        <w:ind w:left="5500"/>
        <w:spacing w:after="0"/>
        <w:rPr>
          <w:sz w:val="20"/>
          <w:szCs w:val="20"/>
          <w:color w:val="auto"/>
        </w:rPr>
      </w:pPr>
      <w:r>
        <w:rPr>
          <w:rFonts w:ascii="Arial" w:cs="Arial" w:eastAsia="Arial" w:hAnsi="Arial"/>
          <w:sz w:val="18"/>
          <w:szCs w:val="18"/>
          <w:color w:val="auto"/>
        </w:rPr>
        <w:t>Officer and Treasurer</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5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6"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8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3"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82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5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7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61" w:lineRule="auto"/>
        <w:tabs>
          <w:tab w:leader="none" w:pos="8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56"/>
        </w:trPr>
        <w:tc>
          <w:tcPr>
            <w:tcW w:w="88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8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5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6"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8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7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9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8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5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740" w:hanging="408"/>
        <w:spacing w:after="0" w:line="261" w:lineRule="auto"/>
        <w:tabs>
          <w:tab w:leader="none" w:pos="8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40" w:right="20" w:hanging="408"/>
        <w:spacing w:after="0" w:line="261" w:lineRule="auto"/>
        <w:tabs>
          <w:tab w:leader="none" w:pos="92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2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connection with the quarterly report for the quarter ended June 30, 2020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93" w:lineRule="exact"/>
        <w:rPr>
          <w:sz w:val="20"/>
          <w:szCs w:val="20"/>
          <w:color w:val="auto"/>
        </w:rPr>
      </w:pPr>
    </w:p>
    <w:p>
      <w:pPr>
        <w:ind w:left="1060" w:hanging="404"/>
        <w:spacing w:after="0" w:line="261" w:lineRule="auto"/>
        <w:tabs>
          <w:tab w:leader="none" w:pos="1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1060" w:right="20" w:hanging="404"/>
        <w:spacing w:after="0" w:line="261" w:lineRule="auto"/>
        <w:tabs>
          <w:tab w:leader="none" w:pos="11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20"/>
              <w:spacing w:after="0"/>
              <w:rPr>
                <w:sz w:val="20"/>
                <w:szCs w:val="20"/>
                <w:color w:val="auto"/>
              </w:rPr>
            </w:pPr>
            <w:r>
              <w:rPr>
                <w:rFonts w:ascii="Arial" w:cs="Arial" w:eastAsia="Arial" w:hAnsi="Arial"/>
                <w:sz w:val="18"/>
                <w:szCs w:val="18"/>
                <w:i w:val="1"/>
                <w:iCs w:val="1"/>
                <w:color w:val="auto"/>
              </w:rPr>
              <w:t>/s/ Michael T. Dugan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2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56"/>
        </w:trPr>
        <w:tc>
          <w:tcPr>
            <w:tcW w:w="88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Three and Six Months Ended June 30, 2020</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August 6, 2020—</w:t>
      </w:r>
      <w:r>
        <w:rPr>
          <w:rFonts w:ascii="Arial" w:cs="Arial" w:eastAsia="Arial" w:hAnsi="Arial"/>
          <w:sz w:val="18"/>
          <w:szCs w:val="18"/>
          <w:color w:val="auto"/>
        </w:rPr>
        <w:t>EchoStar Corporation (NASDAQ: SATS) today announced its financial results for the three and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Financial Highlights:</w:t>
      </w:r>
    </w:p>
    <w:p>
      <w:pPr>
        <w:spacing w:after="0" w:line="27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revenues of $459.5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loss from continuing operations of $14.8 million, consolidated net loss attributable to EchoStar common stock of $11.4 million, and diluted loss per share of $(0.12).</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Adjusted EBITDA of $160.9 million (see discussion and the reconciliation of GAAP to this non-GAAP measure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Financial Highlights:</w:t>
      </w:r>
    </w:p>
    <w:p>
      <w:pPr>
        <w:spacing w:after="0" w:line="27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revenues of $925.1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loss from continuing operations of $72.6 million, consolidated net loss attributable to EchoStar common stock of $65.7 million, and diluted loss per share of $(0.67).</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Adjusted EBITDA of $309.5 million (see discussion and the reconciliation of GAAP to this non-GAAP measure below).</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second quarter of 2020 continued to demonstrate that we are in extraordinary times, and despite the ongoing challenges of COVID-19, I am proud of our second quarter performance” commented Michael Dugan, CEO and President of EchoStar. “Whether our current environment is a ‘new normal’ or a temporary state, EchoStar remains focused on delivering the connectivity our customers need today and into the future. Operationally, we increased our consumer subscriber base by approximately 26,000, driven by our international markets, bringing our broadband subscriber total to approximately 1.542 million. We continue to monitor economic conditions and are prudently managing the business. We are also excited to be joining the consortium selected to acquire OneWeb out of bankruptcy and to continue as a trusted technology and distribution partner for OneWeb as it emerges from bankruptcy”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 Additional Information:</w:t>
      </w:r>
    </w:p>
    <w:p>
      <w:pPr>
        <w:spacing w:after="0" w:line="27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revenue was down $0.9 million year over year including an estimated negative foreign exchange impact of $12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increased 19% or $26.2 million year over year.</w:t>
      </w:r>
    </w:p>
    <w:p>
      <w:pPr>
        <w:spacing w:after="0" w:line="130" w:lineRule="exact"/>
        <w:rPr>
          <w:rFonts w:ascii="Arial" w:cs="Arial" w:eastAsia="Arial" w:hAnsi="Arial"/>
          <w:sz w:val="18"/>
          <w:szCs w:val="18"/>
          <w:color w:val="auto"/>
        </w:rPr>
      </w:pPr>
    </w:p>
    <w:p>
      <w:pPr>
        <w:ind w:left="1300" w:hanging="320"/>
        <w:spacing w:after="0" w:line="261" w:lineRule="auto"/>
        <w:tabs>
          <w:tab w:leader="none" w:pos="1323" w:val="left"/>
        </w:tabs>
        <w:numPr>
          <w:ilvl w:val="1"/>
          <w:numId w:val="39"/>
        </w:numPr>
        <w:rPr>
          <w:rFonts w:ascii="Arial" w:cs="Arial" w:eastAsia="Arial" w:hAnsi="Arial"/>
          <w:sz w:val="18"/>
          <w:szCs w:val="18"/>
          <w:color w:val="auto"/>
        </w:rPr>
      </w:pPr>
      <w:r>
        <w:rPr>
          <w:rFonts w:ascii="Arial" w:cs="Arial" w:eastAsia="Arial" w:hAnsi="Arial"/>
          <w:sz w:val="18"/>
          <w:szCs w:val="18"/>
          <w:color w:val="auto"/>
        </w:rPr>
        <w:t>Hughes segment Adjusted EBITDA increased $31.1 million year over year. The increase was driven by higher margin primarily associated with our consumer service as well as lower sales, marketing, and other operating expenses.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ESS segment Adjusted EBITDA increased by $0.1 million year over year.</w:t>
      </w:r>
    </w:p>
    <w:p>
      <w:pPr>
        <w:spacing w:after="0" w:line="144" w:lineRule="exact"/>
        <w:rPr>
          <w:rFonts w:ascii="Arial" w:cs="Arial" w:eastAsia="Arial" w:hAnsi="Arial"/>
          <w:sz w:val="18"/>
          <w:szCs w:val="18"/>
          <w:color w:val="auto"/>
        </w:rPr>
      </w:pPr>
    </w:p>
    <w:p>
      <w:pPr>
        <w:jc w:val="both"/>
        <w:ind w:left="1300" w:hanging="320"/>
        <w:spacing w:after="0" w:line="253" w:lineRule="auto"/>
        <w:tabs>
          <w:tab w:leader="none" w:pos="1296"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Corporate and Other segment Adjusted EBITDA decreased by $5.0 million. The decrease was primarily driven by the loss of the revenue and EBITDA associated with the transfer of certain real estate assets to DISH Network Corporation as part of the BSS transaction, which closed in September of 2019, that were not treated as discontinued operations. The segment also had equity losses in unconsolidated affiliates during the quarter of $4.7 million compared to equity losses of $2.9 million in the same period a year ago.</w:t>
      </w:r>
    </w:p>
    <w:p>
      <w:pPr>
        <w:spacing w:after="0" w:line="11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loss from continuing operations was $14.8 million, a decrease of loss by $15.2 million from last year. The lower loss was primarily due to higher operating income of $39.4 million and lower net interest expense of $3 million. This was partially offset by lower gains on investments, net,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84" w:name="page85"/>
    <w:bookmarkEnd w:id="84"/>
    <w:p>
      <w:pPr>
        <w:ind w:left="660"/>
        <w:spacing w:after="0" w:line="261" w:lineRule="auto"/>
        <w:rPr>
          <w:sz w:val="20"/>
          <w:szCs w:val="20"/>
          <w:color w:val="auto"/>
        </w:rPr>
      </w:pPr>
      <w:r>
        <w:rPr>
          <w:rFonts w:ascii="Arial" w:cs="Arial" w:eastAsia="Arial" w:hAnsi="Arial"/>
          <w:sz w:val="18"/>
          <w:szCs w:val="18"/>
          <w:color w:val="auto"/>
        </w:rPr>
        <w:t>$18.9 million, higher income tax provision, net, of $6.2 million, and higher equity losses of unconsolidated affiliates, net, of $1.6 million.</w:t>
      </w:r>
    </w:p>
    <w:p>
      <w:pPr>
        <w:spacing w:after="0" w:line="103" w:lineRule="exact"/>
        <w:rPr>
          <w:sz w:val="20"/>
          <w:szCs w:val="20"/>
          <w:color w:val="auto"/>
        </w:rPr>
      </w:pPr>
    </w:p>
    <w:p>
      <w:pPr>
        <w:jc w:val="both"/>
        <w:ind w:left="660" w:hanging="328"/>
        <w:spacing w:after="0" w:line="25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Hughes broadband subscribers are approximately 1,542,000 as of June 30, 2020 including approximately 321,000 subscribers in Latin America. In response to the continued challenges associated with the COVID-19 pandemic, we extended the FCC’s Keep America Connected Pledge through June 30, 2020, and our subscriber numbers and revenue exclude those whose service would have ordinarily been terminated in the absence of the Pledge.</w:t>
      </w:r>
    </w:p>
    <w:p>
      <w:pPr>
        <w:spacing w:after="0" w:line="2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three months ended June 30,2020, approximately 71% of Hughes segment revenue was attributable to our consumer customers with approximately 29% attributable to our enterprise customers.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cash equivalents and marketable investment securities were $2.5 billion as of June 30, 2020.</w:t>
      </w:r>
    </w:p>
    <w:p>
      <w:pPr>
        <w:spacing w:after="0" w:line="200" w:lineRule="exact"/>
        <w:rPr>
          <w:sz w:val="20"/>
          <w:szCs w:val="20"/>
          <w:color w:val="auto"/>
        </w:rPr>
      </w:pPr>
    </w:p>
    <w:p>
      <w:pPr>
        <w:spacing w:after="0" w:line="29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three and six months ended June 30, 2020 and 2019 (amounts in thousands) from continuing operations (all US GAAP amounts reference results from continuing operations):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30,</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86"/>
        </w:trPr>
        <w:tc>
          <w:tcPr>
            <w:tcW w:w="48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00" w:type="dxa"/>
            <w:vAlign w:val="bottom"/>
          </w:tcPr>
          <w:p>
            <w:pPr>
              <w:ind w:left="200"/>
              <w:spacing w:after="0"/>
              <w:rPr>
                <w:sz w:val="20"/>
                <w:szCs w:val="20"/>
                <w:color w:val="auto"/>
              </w:rPr>
            </w:pPr>
            <w:r>
              <w:rPr>
                <w:rFonts w:ascii="Arial" w:cs="Arial" w:eastAsia="Arial" w:hAnsi="Arial"/>
                <w:sz w:val="18"/>
                <w:szCs w:val="18"/>
                <w:color w:val="auto"/>
              </w:rPr>
              <w:t>Hughes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453,172</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451,847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911,654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897,184</w:t>
            </w:r>
          </w:p>
        </w:tc>
        <w:tc>
          <w:tcPr>
            <w:tcW w:w="0" w:type="dxa"/>
            <w:vAlign w:val="bottom"/>
          </w:tcPr>
          <w:p>
            <w:pPr>
              <w:spacing w:after="0"/>
              <w:rPr>
                <w:sz w:val="1"/>
                <w:szCs w:val="1"/>
                <w:color w:val="auto"/>
              </w:rPr>
            </w:pPr>
          </w:p>
        </w:tc>
      </w:tr>
      <w:tr>
        <w:trPr>
          <w:trHeight w:val="270"/>
        </w:trPr>
        <w:tc>
          <w:tcPr>
            <w:tcW w:w="480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77"/>
        </w:trPr>
        <w:tc>
          <w:tcPr>
            <w:tcW w:w="480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50"/>
        </w:trPr>
        <w:tc>
          <w:tcPr>
            <w:tcW w:w="48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459,466</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460,431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925,132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914,813</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4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00" w:type="dxa"/>
            <w:vAlign w:val="bottom"/>
          </w:tcPr>
          <w:p>
            <w:pPr>
              <w:ind w:left="200"/>
              <w:spacing w:after="0"/>
              <w:rPr>
                <w:sz w:val="20"/>
                <w:szCs w:val="20"/>
                <w:color w:val="auto"/>
              </w:rPr>
            </w:pPr>
            <w:r>
              <w:rPr>
                <w:rFonts w:ascii="Arial" w:cs="Arial" w:eastAsia="Arial" w:hAnsi="Arial"/>
                <w:sz w:val="18"/>
                <w:szCs w:val="18"/>
                <w:color w:val="auto"/>
              </w:rPr>
              <w:t>Hughes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186,277</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155,212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348,496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316,853</w:t>
            </w:r>
          </w:p>
        </w:tc>
        <w:tc>
          <w:tcPr>
            <w:tcW w:w="0" w:type="dxa"/>
            <w:vAlign w:val="bottom"/>
          </w:tcPr>
          <w:p>
            <w:pPr>
              <w:spacing w:after="0"/>
              <w:rPr>
                <w:sz w:val="1"/>
                <w:szCs w:val="1"/>
                <w:color w:val="auto"/>
              </w:rPr>
            </w:pPr>
          </w:p>
        </w:tc>
      </w:tr>
      <w:tr>
        <w:trPr>
          <w:trHeight w:val="270"/>
        </w:trPr>
        <w:tc>
          <w:tcPr>
            <w:tcW w:w="480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80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(19,070)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(42,375)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42"/>
        </w:trPr>
        <w:tc>
          <w:tcPr>
            <w:tcW w:w="4800" w:type="dxa"/>
            <w:vAlign w:val="bottom"/>
          </w:tcPr>
          <w:p>
            <w:pPr>
              <w:ind w:left="440"/>
              <w:spacing w:after="0"/>
              <w:rPr>
                <w:sz w:val="20"/>
                <w:szCs w:val="20"/>
                <w:color w:val="auto"/>
              </w:rPr>
            </w:pPr>
            <w:r>
              <w:rPr>
                <w:rFonts w:ascii="Arial" w:cs="Arial" w:eastAsia="Arial" w:hAnsi="Arial"/>
                <w:sz w:val="18"/>
                <w:szCs w:val="18"/>
                <w:color w:val="auto"/>
              </w:rPr>
              <w:t>Equity in earnings (losses) of unconsolidated</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440"/>
              <w:spacing w:after="0"/>
              <w:rPr>
                <w:sz w:val="20"/>
                <w:szCs w:val="20"/>
                <w:color w:val="auto"/>
              </w:rPr>
            </w:pPr>
            <w:r>
              <w:rPr>
                <w:rFonts w:ascii="Arial" w:cs="Arial" w:eastAsia="Arial" w:hAnsi="Arial"/>
                <w:sz w:val="18"/>
                <w:szCs w:val="18"/>
                <w:color w:val="auto"/>
              </w:rPr>
              <w:t>affiliates,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50"/>
        </w:trPr>
        <w:tc>
          <w:tcPr>
            <w:tcW w:w="480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(21,968)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(42,531)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(45,513)</w:t>
            </w:r>
          </w:p>
        </w:tc>
        <w:tc>
          <w:tcPr>
            <w:tcW w:w="0" w:type="dxa"/>
            <w:vAlign w:val="bottom"/>
          </w:tcPr>
          <w:p>
            <w:pPr>
              <w:spacing w:after="0"/>
              <w:rPr>
                <w:sz w:val="1"/>
                <w:szCs w:val="1"/>
                <w:color w:val="auto"/>
              </w:rPr>
            </w:pPr>
          </w:p>
        </w:tc>
      </w:tr>
      <w:tr>
        <w:trPr>
          <w:trHeight w:val="250"/>
        </w:trPr>
        <w:tc>
          <w:tcPr>
            <w:tcW w:w="480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160,900</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134,730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309,538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274,555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800" w:type="dxa"/>
            <w:vAlign w:val="bottom"/>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92,300</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107,342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196,904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219,196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6"/>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30,</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For the six months ended June 30,</w:t>
            </w:r>
          </w:p>
        </w:tc>
      </w:tr>
      <w:tr>
        <w:trPr>
          <w:trHeight w:val="250"/>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499"/>
        </w:trPr>
        <w:tc>
          <w:tcPr>
            <w:tcW w:w="48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(14,843)</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(72,580)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9,948</w:t>
            </w:r>
          </w:p>
        </w:tc>
      </w:tr>
      <w:tr>
        <w:trPr>
          <w:trHeight w:val="257"/>
        </w:trPr>
        <w:tc>
          <w:tcPr>
            <w:tcW w:w="480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(23,213)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(47,642)</w:t>
            </w:r>
          </w:p>
        </w:tc>
      </w:tr>
      <w:tr>
        <w:trPr>
          <w:trHeight w:val="257"/>
        </w:trPr>
        <w:tc>
          <w:tcPr>
            <w:tcW w:w="480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53,749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74,491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106,948</w:t>
            </w:r>
          </w:p>
        </w:tc>
      </w:tr>
      <w:tr>
        <w:trPr>
          <w:trHeight w:val="257"/>
        </w:trPr>
        <w:tc>
          <w:tcPr>
            <w:tcW w:w="480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7,590</w:t>
            </w:r>
          </w:p>
        </w:tc>
      </w:tr>
      <w:tr>
        <w:trPr>
          <w:trHeight w:val="256"/>
        </w:trPr>
        <w:tc>
          <w:tcPr>
            <w:tcW w:w="48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129,887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120,266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262,255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239,244</w:t>
            </w:r>
          </w:p>
        </w:tc>
      </w:tr>
      <w:tr>
        <w:trPr>
          <w:trHeight w:val="257"/>
        </w:trPr>
        <w:tc>
          <w:tcPr>
            <w:tcW w:w="4800" w:type="dxa"/>
            <w:vAlign w:val="bottom"/>
          </w:tcPr>
          <w:p>
            <w:pPr>
              <w:ind w:left="200"/>
              <w:spacing w:after="0"/>
              <w:rPr>
                <w:sz w:val="20"/>
                <w:szCs w:val="20"/>
                <w:color w:val="auto"/>
              </w:rPr>
            </w:pPr>
            <w:r>
              <w:rPr>
                <w:rFonts w:ascii="Arial" w:cs="Arial" w:eastAsia="Arial" w:hAnsi="Arial"/>
                <w:sz w:val="18"/>
                <w:szCs w:val="18"/>
                <w:color w:val="auto"/>
              </w:rPr>
              <w:t>Net loss (income) from discontinued operations</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(24,968)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(44,215)</w:t>
            </w:r>
          </w:p>
        </w:tc>
      </w:tr>
      <w:tr>
        <w:trPr>
          <w:trHeight w:val="242"/>
        </w:trPr>
        <w:tc>
          <w:tcPr>
            <w:tcW w:w="4800" w:type="dxa"/>
            <w:vAlign w:val="bottom"/>
          </w:tcPr>
          <w:p>
            <w:pPr>
              <w:ind w:left="200"/>
              <w:spacing w:after="0"/>
              <w:rPr>
                <w:sz w:val="20"/>
                <w:szCs w:val="20"/>
                <w:color w:val="auto"/>
              </w:rPr>
            </w:pPr>
            <w:r>
              <w:rPr>
                <w:rFonts w:ascii="Arial" w:cs="Arial" w:eastAsia="Arial" w:hAnsi="Arial"/>
                <w:sz w:val="18"/>
                <w:szCs w:val="18"/>
                <w:color w:val="auto"/>
              </w:rPr>
              <w:t>Net loss (income) attributable to non-controlling</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48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6,873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w:t>
            </w:r>
          </w:p>
        </w:tc>
      </w:tr>
      <w:tr>
        <w:trPr>
          <w:trHeight w:val="243"/>
        </w:trPr>
        <w:tc>
          <w:tcPr>
            <w:tcW w:w="4800" w:type="dxa"/>
            <w:vAlign w:val="bottom"/>
          </w:tcPr>
          <w:p>
            <w:pPr>
              <w:ind w:left="44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156,824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124,834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248,055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270,435</w:t>
            </w:r>
          </w:p>
        </w:tc>
      </w:tr>
      <w:tr>
        <w:trPr>
          <w:trHeight w:val="270"/>
        </w:trPr>
        <w:tc>
          <w:tcPr>
            <w:tcW w:w="480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52,762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(19,791)</w:t>
            </w:r>
          </w:p>
        </w:tc>
      </w:tr>
      <w:tr>
        <w:trPr>
          <w:trHeight w:val="257"/>
        </w:trPr>
        <w:tc>
          <w:tcPr>
            <w:tcW w:w="4800" w:type="dxa"/>
            <w:vAlign w:val="bottom"/>
          </w:tcPr>
          <w:p>
            <w:pPr>
              <w:ind w:left="440"/>
              <w:spacing w:after="0"/>
              <w:rPr>
                <w:sz w:val="20"/>
                <w:szCs w:val="20"/>
                <w:color w:val="auto"/>
              </w:rPr>
            </w:pPr>
            <w:r>
              <w:rPr>
                <w:rFonts w:ascii="Arial" w:cs="Arial" w:eastAsia="Arial" w:hAnsi="Arial"/>
                <w:sz w:val="18"/>
                <w:szCs w:val="18"/>
                <w:color w:val="auto"/>
              </w:rPr>
              <w:t>Litigation Expense</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24,504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24,504</w:t>
            </w:r>
          </w:p>
        </w:tc>
      </w:tr>
      <w:tr>
        <w:trPr>
          <w:trHeight w:val="202"/>
        </w:trPr>
        <w:tc>
          <w:tcPr>
            <w:tcW w:w="4800" w:type="dxa"/>
            <w:vAlign w:val="bottom"/>
          </w:tcPr>
          <w:p>
            <w:pPr>
              <w:ind w:left="460"/>
              <w:spacing w:after="0" w:line="201" w:lineRule="exact"/>
              <w:rPr>
                <w:sz w:val="20"/>
                <w:szCs w:val="20"/>
                <w:color w:val="auto"/>
              </w:rPr>
            </w:pPr>
            <w:r>
              <w:rPr>
                <w:rFonts w:ascii="Arial" w:cs="Arial" w:eastAsia="Arial" w:hAnsi="Arial"/>
                <w:sz w:val="18"/>
                <w:szCs w:val="18"/>
                <w:color w:val="auto"/>
              </w:rPr>
              <w:t>License fee dispute - India, net of non-controlling</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4"/>
        </w:trPr>
        <w:tc>
          <w:tcPr>
            <w:tcW w:w="4800" w:type="dxa"/>
            <w:vAlign w:val="bottom"/>
          </w:tcPr>
          <w:p>
            <w:pPr>
              <w:ind w:left="460"/>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7"/>
        </w:trPr>
        <w:tc>
          <w:tcPr>
            <w:tcW w:w="480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w:t>
            </w:r>
          </w:p>
        </w:tc>
      </w:tr>
      <w:tr>
        <w:trPr>
          <w:trHeight w:val="250"/>
        </w:trPr>
        <w:tc>
          <w:tcPr>
            <w:tcW w:w="4800" w:type="dxa"/>
            <w:vAlign w:val="bottom"/>
          </w:tcPr>
          <w:p>
            <w:pPr>
              <w:ind w:left="66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160,900</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134,730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309,538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274,555</w:t>
            </w:r>
          </w:p>
        </w:tc>
      </w:tr>
      <w:tr>
        <w:trPr>
          <w:trHeight w:val="27"/>
        </w:trPr>
        <w:tc>
          <w:tcPr>
            <w:tcW w:w="48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“Net income (loss) from discontinued operations,” and “Net income (loss) attributable to non-controlling interests.”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June 30, 2020 and 2019 are attached to this press release. Detailed financial data and other information are available in EchoStar’s Quarterly Report on Form 10-Q for the period ended June 30, 2020 filed today with the Securities and Exchange Commission.</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EchoStar will host a conference call to discuss its earnings on Thursday, August 6, 2020 at 11:00 a.m. Eastern Time. The call-in numbers are (877) 815-1625 (toll-free) and (716) 247-5178 (international), Conference ID 3563538.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About EchoStar Corporation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2019 and Quarterly Report on Form 10-Q for the period ended June 30, 2020 as filed with the Securities and Exchange Commission and in the other documents EchoStar files with the Securities and Exchange Commission from time to time.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1008" w:right="339" w:bottom="1440" w:gutter="0" w:footer="0" w:header="0"/>
        </w:sectPr>
      </w:pP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EchoStar Media Relations</w:t>
      </w:r>
    </w:p>
    <w:p>
      <w:pPr>
        <w:spacing w:after="0" w:line="94" w:lineRule="exact"/>
        <w:rPr>
          <w:sz w:val="20"/>
          <w:szCs w:val="20"/>
          <w:color w:val="auto"/>
        </w:rPr>
      </w:pPr>
    </w:p>
    <w:p>
      <w:pPr>
        <w:sectPr>
          <w:pgSz w:w="11900" w:h="16838" w:orient="portrait"/>
          <w:cols w:equalWidth="0" w:num="2">
            <w:col w:w="4960" w:space="720"/>
            <w:col w:w="5560"/>
          </w:cols>
          <w:pgMar w:left="320" w:top="1008"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Terry Brown</w:t>
      </w:r>
    </w:p>
    <w:p>
      <w:pPr>
        <w:ind w:left="40"/>
        <w:spacing w:after="0" w:line="234" w:lineRule="auto"/>
        <w:rPr>
          <w:sz w:val="20"/>
          <w:szCs w:val="20"/>
          <w:color w:val="auto"/>
        </w:rPr>
      </w:pPr>
      <w:r>
        <w:rPr>
          <w:rFonts w:ascii="Arial" w:cs="Arial" w:eastAsia="Arial" w:hAnsi="Arial"/>
          <w:sz w:val="18"/>
          <w:szCs w:val="18"/>
          <w:color w:val="auto"/>
        </w:rPr>
        <w:t>Phone: +1 303-728-5179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34" w:lineRule="auto"/>
        <w:rPr>
          <w:sz w:val="20"/>
          <w:szCs w:val="20"/>
          <w:color w:val="auto"/>
        </w:rPr>
      </w:pPr>
      <w:r>
        <w:rPr>
          <w:rFonts w:ascii="Arial" w:cs="Arial" w:eastAsia="Arial" w:hAnsi="Arial"/>
          <w:sz w:val="18"/>
          <w:szCs w:val="18"/>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1008"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08" w:right="339" w:bottom="1440" w:gutter="0" w:footer="0" w:header="0"/>
          <w:type w:val="continuous"/>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w w:val="99"/>
              </w:rPr>
              <w:t>As of</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10"/>
        </w:trPr>
        <w:tc>
          <w:tcPr>
            <w:tcW w:w="7960" w:type="dxa"/>
            <w:vAlign w:val="bottom"/>
          </w:tcPr>
          <w:p>
            <w:pPr>
              <w:ind w:left="366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1,948,464</w:t>
            </w:r>
          </w:p>
        </w:tc>
        <w:tc>
          <w:tcPr>
            <w:tcW w:w="68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1,519,431</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Marketable investment securities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509,980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940,623</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Trade accounts receivable and contract assets,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183,379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196,629</w:t>
            </w:r>
          </w:p>
        </w:tc>
        <w:tc>
          <w:tcPr>
            <w:tcW w:w="0" w:type="dxa"/>
            <w:vAlign w:val="bottom"/>
          </w:tcPr>
          <w:p>
            <w:pPr>
              <w:spacing w:after="0"/>
              <w:rPr>
                <w:sz w:val="1"/>
                <w:szCs w:val="1"/>
                <w:color w:val="auto"/>
              </w:rPr>
            </w:pPr>
          </w:p>
        </w:tc>
      </w:tr>
      <w:tr>
        <w:trPr>
          <w:trHeight w:val="256"/>
        </w:trPr>
        <w:tc>
          <w:tcPr>
            <w:tcW w:w="7960" w:type="dxa"/>
            <w:vAlign w:val="bottom"/>
          </w:tcPr>
          <w:p>
            <w:pPr>
              <w:ind w:left="18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185,699</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179,531</w:t>
            </w:r>
          </w:p>
        </w:tc>
        <w:tc>
          <w:tcPr>
            <w:tcW w:w="0" w:type="dxa"/>
            <w:vAlign w:val="bottom"/>
          </w:tcPr>
          <w:p>
            <w:pPr>
              <w:spacing w:after="0"/>
              <w:rPr>
                <w:sz w:val="1"/>
                <w:szCs w:val="1"/>
                <w:color w:val="auto"/>
              </w:rPr>
            </w:pPr>
          </w:p>
        </w:tc>
      </w:tr>
      <w:tr>
        <w:trPr>
          <w:trHeight w:val="237"/>
        </w:trPr>
        <w:tc>
          <w:tcPr>
            <w:tcW w:w="7960" w:type="dxa"/>
            <w:vAlign w:val="bottom"/>
          </w:tcPr>
          <w:p>
            <w:pPr>
              <w:ind w:left="4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2,827,522</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2,836,214</w:t>
            </w:r>
          </w:p>
        </w:tc>
        <w:tc>
          <w:tcPr>
            <w:tcW w:w="0" w:type="dxa"/>
            <w:vAlign w:val="bottom"/>
          </w:tcPr>
          <w:p>
            <w:pPr>
              <w:spacing w:after="0"/>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6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2,399,711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2,528,738</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125,996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114,042</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509,054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506,953</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Regulatory authorizations,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474,463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478,598</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22,667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29,507</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Other investments,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275,873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325,405</w:t>
            </w:r>
          </w:p>
        </w:tc>
        <w:tc>
          <w:tcPr>
            <w:tcW w:w="0" w:type="dxa"/>
            <w:vAlign w:val="bottom"/>
          </w:tcPr>
          <w:p>
            <w:pPr>
              <w:spacing w:after="0"/>
              <w:rPr>
                <w:sz w:val="1"/>
                <w:szCs w:val="1"/>
                <w:color w:val="auto"/>
              </w:rPr>
            </w:pPr>
          </w:p>
        </w:tc>
      </w:tr>
      <w:tr>
        <w:trPr>
          <w:trHeight w:val="256"/>
        </w:trPr>
        <w:tc>
          <w:tcPr>
            <w:tcW w:w="7960" w:type="dxa"/>
            <w:vAlign w:val="bottom"/>
          </w:tcPr>
          <w:p>
            <w:pPr>
              <w:ind w:left="180"/>
              <w:spacing w:after="0"/>
              <w:rPr>
                <w:sz w:val="20"/>
                <w:szCs w:val="20"/>
                <w:color w:val="auto"/>
              </w:rPr>
            </w:pPr>
            <w:r>
              <w:rPr>
                <w:rFonts w:ascii="Arial" w:cs="Arial" w:eastAsia="Arial" w:hAnsi="Arial"/>
                <w:sz w:val="16"/>
                <w:szCs w:val="16"/>
                <w:color w:val="auto"/>
              </w:rPr>
              <w:t>Other non-current assets, net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340,904</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334,841</w:t>
            </w:r>
          </w:p>
        </w:tc>
        <w:tc>
          <w:tcPr>
            <w:tcW w:w="0" w:type="dxa"/>
            <w:vAlign w:val="bottom"/>
          </w:tcPr>
          <w:p>
            <w:pPr>
              <w:spacing w:after="0"/>
              <w:rPr>
                <w:sz w:val="1"/>
                <w:szCs w:val="1"/>
                <w:color w:val="auto"/>
              </w:rPr>
            </w:pPr>
          </w:p>
        </w:tc>
      </w:tr>
      <w:tr>
        <w:trPr>
          <w:trHeight w:val="237"/>
        </w:trPr>
        <w:tc>
          <w:tcPr>
            <w:tcW w:w="7960" w:type="dxa"/>
            <w:vAlign w:val="bottom"/>
          </w:tcPr>
          <w:p>
            <w:pPr>
              <w:ind w:left="42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4,148,668</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4,318,084</w:t>
            </w:r>
          </w:p>
        </w:tc>
        <w:tc>
          <w:tcPr>
            <w:tcW w:w="0" w:type="dxa"/>
            <w:vAlign w:val="bottom"/>
          </w:tcPr>
          <w:p>
            <w:pPr>
              <w:spacing w:after="0"/>
              <w:rPr>
                <w:sz w:val="1"/>
                <w:szCs w:val="1"/>
                <w:color w:val="auto"/>
              </w:rPr>
            </w:pPr>
          </w:p>
        </w:tc>
      </w:tr>
      <w:tr>
        <w:trPr>
          <w:trHeight w:val="236"/>
        </w:trPr>
        <w:tc>
          <w:tcPr>
            <w:tcW w:w="7960" w:type="dxa"/>
            <w:vAlign w:val="bottom"/>
          </w:tcPr>
          <w:p>
            <w:pPr>
              <w:ind w:left="6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6,976,190</w:t>
            </w:r>
          </w:p>
        </w:tc>
        <w:tc>
          <w:tcPr>
            <w:tcW w:w="68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7,154,298</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5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7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Trade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112,748</w:t>
            </w:r>
          </w:p>
        </w:tc>
        <w:tc>
          <w:tcPr>
            <w:tcW w:w="68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124,080</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Current portion of long-term debt,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896,386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89,831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101,060</w:t>
            </w:r>
          </w:p>
        </w:tc>
        <w:tc>
          <w:tcPr>
            <w:tcW w:w="0" w:type="dxa"/>
            <w:vAlign w:val="bottom"/>
          </w:tcPr>
          <w:p>
            <w:pPr>
              <w:spacing w:after="0"/>
              <w:rPr>
                <w:sz w:val="1"/>
                <w:szCs w:val="1"/>
                <w:color w:val="auto"/>
              </w:rPr>
            </w:pPr>
          </w:p>
        </w:tc>
      </w:tr>
      <w:tr>
        <w:trPr>
          <w:trHeight w:val="256"/>
        </w:trPr>
        <w:tc>
          <w:tcPr>
            <w:tcW w:w="79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262,944</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270,879</w:t>
            </w:r>
          </w:p>
        </w:tc>
        <w:tc>
          <w:tcPr>
            <w:tcW w:w="0" w:type="dxa"/>
            <w:vAlign w:val="bottom"/>
          </w:tcPr>
          <w:p>
            <w:pPr>
              <w:spacing w:after="0"/>
              <w:rPr>
                <w:sz w:val="1"/>
                <w:szCs w:val="1"/>
                <w:color w:val="auto"/>
              </w:rPr>
            </w:pPr>
          </w:p>
        </w:tc>
      </w:tr>
      <w:tr>
        <w:trPr>
          <w:trHeight w:val="237"/>
        </w:trPr>
        <w:tc>
          <w:tcPr>
            <w:tcW w:w="796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1,361,909</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496,019</w:t>
            </w:r>
          </w:p>
        </w:tc>
        <w:tc>
          <w:tcPr>
            <w:tcW w:w="0" w:type="dxa"/>
            <w:vAlign w:val="bottom"/>
          </w:tcPr>
          <w:p>
            <w:pPr>
              <w:spacing w:after="0"/>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60" w:type="dxa"/>
            <w:vAlign w:val="bottom"/>
          </w:tcPr>
          <w:p>
            <w:pPr>
              <w:ind w:left="18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1,494,902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2,389,168</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349,973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351,692</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110,899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96,941</w:t>
            </w:r>
          </w:p>
        </w:tc>
        <w:tc>
          <w:tcPr>
            <w:tcW w:w="0" w:type="dxa"/>
            <w:vAlign w:val="bottom"/>
          </w:tcPr>
          <w:p>
            <w:pPr>
              <w:spacing w:after="0"/>
              <w:rPr>
                <w:sz w:val="1"/>
                <w:szCs w:val="1"/>
                <w:color w:val="auto"/>
              </w:rPr>
            </w:pPr>
          </w:p>
        </w:tc>
      </w:tr>
      <w:tr>
        <w:trPr>
          <w:trHeight w:val="256"/>
        </w:trPr>
        <w:tc>
          <w:tcPr>
            <w:tcW w:w="796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74,239</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74,925</w:t>
            </w:r>
          </w:p>
        </w:tc>
        <w:tc>
          <w:tcPr>
            <w:tcW w:w="0" w:type="dxa"/>
            <w:vAlign w:val="bottom"/>
          </w:tcPr>
          <w:p>
            <w:pPr>
              <w:spacing w:after="0"/>
              <w:rPr>
                <w:sz w:val="1"/>
                <w:szCs w:val="1"/>
                <w:color w:val="auto"/>
              </w:rPr>
            </w:pPr>
          </w:p>
        </w:tc>
      </w:tr>
      <w:tr>
        <w:trPr>
          <w:trHeight w:val="236"/>
        </w:trPr>
        <w:tc>
          <w:tcPr>
            <w:tcW w:w="7960" w:type="dxa"/>
            <w:vAlign w:val="bottom"/>
          </w:tcPr>
          <w:p>
            <w:pPr>
              <w:ind w:left="42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2,030,013</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2,912,726</w:t>
            </w:r>
          </w:p>
        </w:tc>
        <w:tc>
          <w:tcPr>
            <w:tcW w:w="0" w:type="dxa"/>
            <w:vAlign w:val="bottom"/>
          </w:tcPr>
          <w:p>
            <w:pPr>
              <w:spacing w:after="0"/>
              <w:rPr>
                <w:sz w:val="1"/>
                <w:szCs w:val="1"/>
                <w:color w:val="auto"/>
              </w:rPr>
            </w:pPr>
          </w:p>
        </w:tc>
      </w:tr>
      <w:tr>
        <w:trPr>
          <w:trHeight w:val="237"/>
        </w:trPr>
        <w:tc>
          <w:tcPr>
            <w:tcW w:w="7960" w:type="dxa"/>
            <w:vAlign w:val="bottom"/>
          </w:tcPr>
          <w:p>
            <w:pPr>
              <w:ind w:left="6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3,391,922</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3,408,745</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60" w:top="1008"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8080" w:type="dxa"/>
            <w:vAlign w:val="bottom"/>
          </w:tcPr>
          <w:p>
            <w:pPr>
              <w:ind w:left="100"/>
              <w:spacing w:after="0"/>
              <w:rPr>
                <w:sz w:val="20"/>
                <w:szCs w:val="20"/>
                <w:color w:val="auto"/>
              </w:rPr>
            </w:pPr>
            <w:r>
              <w:rPr>
                <w:rFonts w:ascii="Arial" w:cs="Arial" w:eastAsia="Arial" w:hAnsi="Arial"/>
                <w:sz w:val="16"/>
                <w:szCs w:val="16"/>
                <w:color w:val="auto"/>
              </w:rPr>
              <w:t>Preferred stock, $0.001 par value, 20,000,000 shares authorized, none issued and outstanding at both June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8080" w:type="dxa"/>
            <w:vAlign w:val="bottom"/>
          </w:tcPr>
          <w:p>
            <w:pPr>
              <w:ind w:left="100"/>
              <w:spacing w:after="0"/>
              <w:rPr>
                <w:sz w:val="20"/>
                <w:szCs w:val="20"/>
                <w:color w:val="auto"/>
              </w:rPr>
            </w:pPr>
            <w:r>
              <w:rPr>
                <w:rFonts w:ascii="Arial" w:cs="Arial" w:eastAsia="Arial" w:hAnsi="Arial"/>
                <w:sz w:val="16"/>
                <w:szCs w:val="16"/>
                <w:color w:val="auto"/>
              </w:rPr>
              <w:t>30, 2020 and December 31, 2019</w:t>
            </w: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8080" w:type="dxa"/>
            <w:vAlign w:val="bottom"/>
          </w:tcPr>
          <w:p>
            <w:pPr>
              <w:ind w:left="100"/>
              <w:spacing w:after="0"/>
              <w:rPr>
                <w:sz w:val="20"/>
                <w:szCs w:val="20"/>
                <w:color w:val="auto"/>
              </w:rPr>
            </w:pPr>
            <w:r>
              <w:rPr>
                <w:rFonts w:ascii="Arial" w:cs="Arial" w:eastAsia="Arial" w:hAnsi="Arial"/>
                <w:sz w:val="16"/>
                <w:szCs w:val="16"/>
                <w:color w:val="auto"/>
              </w:rPr>
              <w:t>Common stock, $0.001 par value, 4,000,000,000 shares authorized: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7"/>
        </w:trPr>
        <w:tc>
          <w:tcPr>
            <w:tcW w:w="8080" w:type="dxa"/>
            <w:vAlign w:val="bottom"/>
          </w:tcPr>
          <w:p>
            <w:pPr>
              <w:ind w:left="320"/>
              <w:spacing w:after="0"/>
              <w:rPr>
                <w:sz w:val="20"/>
                <w:szCs w:val="20"/>
                <w:color w:val="auto"/>
              </w:rPr>
            </w:pPr>
            <w:r>
              <w:rPr>
                <w:rFonts w:ascii="Arial" w:cs="Arial" w:eastAsia="Arial" w:hAnsi="Arial"/>
                <w:sz w:val="16"/>
                <w:szCs w:val="16"/>
                <w:color w:val="auto"/>
              </w:rPr>
              <w:t>Class A common stock, $0.001 par value, 1,600,000,000 shares authorized, 56,988,365 shares issued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9"/>
        </w:trPr>
        <w:tc>
          <w:tcPr>
            <w:tcW w:w="8080" w:type="dxa"/>
            <w:vAlign w:val="bottom"/>
          </w:tcPr>
          <w:p>
            <w:pPr>
              <w:ind w:left="320"/>
              <w:spacing w:after="0"/>
              <w:rPr>
                <w:sz w:val="20"/>
                <w:szCs w:val="20"/>
                <w:color w:val="auto"/>
              </w:rPr>
            </w:pPr>
            <w:r>
              <w:rPr>
                <w:rFonts w:ascii="Arial" w:cs="Arial" w:eastAsia="Arial" w:hAnsi="Arial"/>
                <w:sz w:val="16"/>
                <w:szCs w:val="16"/>
                <w:color w:val="auto"/>
              </w:rPr>
              <w:t>and 50,306,445 shares outstanding at June 30, 2020 and 56,592,251 shares issued and 50,107,330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shares outstanding at December 31, 2019</w:t>
            </w:r>
          </w:p>
        </w:tc>
        <w:tc>
          <w:tcPr>
            <w:tcW w:w="36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57</w:t>
            </w:r>
          </w:p>
        </w:tc>
      </w:tr>
      <w:tr>
        <w:trPr>
          <w:trHeight w:val="237"/>
        </w:trPr>
        <w:tc>
          <w:tcPr>
            <w:tcW w:w="8080" w:type="dxa"/>
            <w:vAlign w:val="bottom"/>
          </w:tcPr>
          <w:p>
            <w:pPr>
              <w:ind w:left="32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issued and outstanding at both June 30, 2020 and December 31, 2019</w:t>
            </w:r>
          </w:p>
        </w:tc>
        <w:tc>
          <w:tcPr>
            <w:tcW w:w="36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48</w:t>
            </w:r>
          </w:p>
        </w:tc>
      </w:tr>
      <w:tr>
        <w:trPr>
          <w:trHeight w:val="237"/>
        </w:trPr>
        <w:tc>
          <w:tcPr>
            <w:tcW w:w="8080" w:type="dxa"/>
            <w:vAlign w:val="bottom"/>
          </w:tcPr>
          <w:p>
            <w:pPr>
              <w:ind w:left="32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outstanding at both June 30, 2020 and December 31, 2019</w:t>
            </w: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8080" w:type="dxa"/>
            <w:vAlign w:val="bottom"/>
          </w:tcPr>
          <w:p>
            <w:pPr>
              <w:ind w:left="320"/>
              <w:spacing w:after="0"/>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both June 30, 2020 and December 31, 2019</w:t>
            </w: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808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3,311,861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3,290,483</w:t>
            </w:r>
          </w:p>
        </w:tc>
      </w:tr>
      <w:tr>
        <w:trPr>
          <w:trHeight w:val="243"/>
        </w:trPr>
        <w:tc>
          <w:tcPr>
            <w:tcW w:w="808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(206,810)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(122,138)</w:t>
            </w:r>
          </w:p>
        </w:tc>
      </w:tr>
      <w:tr>
        <w:trPr>
          <w:trHeight w:val="243"/>
        </w:trPr>
        <w:tc>
          <w:tcPr>
            <w:tcW w:w="808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3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558,034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632,809</w:t>
            </w:r>
          </w:p>
        </w:tc>
      </w:tr>
      <w:tr>
        <w:trPr>
          <w:trHeight w:val="256"/>
        </w:trPr>
        <w:tc>
          <w:tcPr>
            <w:tcW w:w="8080" w:type="dxa"/>
            <w:vAlign w:val="bottom"/>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(137,347)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(131,454)</w:t>
            </w:r>
          </w:p>
        </w:tc>
      </w:tr>
      <w:tr>
        <w:trPr>
          <w:trHeight w:val="224"/>
        </w:trPr>
        <w:tc>
          <w:tcPr>
            <w:tcW w:w="8080" w:type="dxa"/>
            <w:vAlign w:val="bottom"/>
          </w:tcPr>
          <w:p>
            <w:pPr>
              <w:ind w:left="440"/>
              <w:spacing w:after="0"/>
              <w:rPr>
                <w:sz w:val="20"/>
                <w:szCs w:val="20"/>
                <w:color w:val="auto"/>
              </w:rPr>
            </w:pPr>
            <w:r>
              <w:rPr>
                <w:rFonts w:ascii="Arial" w:cs="Arial" w:eastAsia="Arial" w:hAnsi="Arial"/>
                <w:sz w:val="16"/>
                <w:szCs w:val="16"/>
                <w:color w:val="auto"/>
              </w:rPr>
              <w:t>Total EchoStar Corporation stockholders’ equity</w:t>
            </w:r>
          </w:p>
        </w:tc>
        <w:tc>
          <w:tcPr>
            <w:tcW w:w="3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3,525,843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3,669,805</w:t>
            </w:r>
          </w:p>
        </w:tc>
      </w:tr>
      <w:tr>
        <w:trPr>
          <w:trHeight w:val="256"/>
        </w:trPr>
        <w:tc>
          <w:tcPr>
            <w:tcW w:w="808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58,425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75,748</w:t>
            </w:r>
          </w:p>
        </w:tc>
      </w:tr>
      <w:tr>
        <w:trPr>
          <w:trHeight w:val="237"/>
        </w:trPr>
        <w:tc>
          <w:tcPr>
            <w:tcW w:w="8080" w:type="dxa"/>
            <w:vAlign w:val="bottom"/>
          </w:tcPr>
          <w:p>
            <w:pPr>
              <w:ind w:left="440"/>
              <w:spacing w:after="0"/>
              <w:rPr>
                <w:sz w:val="20"/>
                <w:szCs w:val="20"/>
                <w:color w:val="auto"/>
              </w:rPr>
            </w:pPr>
            <w:r>
              <w:rPr>
                <w:rFonts w:ascii="Arial" w:cs="Arial" w:eastAsia="Arial" w:hAnsi="Arial"/>
                <w:sz w:val="16"/>
                <w:szCs w:val="16"/>
                <w:b w:val="1"/>
                <w:bCs w:val="1"/>
                <w:color w:val="auto"/>
              </w:rPr>
              <w:t>Total stockholders’ equity</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3,584,268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3,745,553</w:t>
            </w:r>
          </w:p>
        </w:tc>
      </w:tr>
      <w:tr>
        <w:trPr>
          <w:trHeight w:val="237"/>
        </w:trPr>
        <w:tc>
          <w:tcPr>
            <w:tcW w:w="8080" w:type="dxa"/>
            <w:vAlign w:val="bottom"/>
          </w:tcPr>
          <w:p>
            <w:pPr>
              <w:ind w:left="640"/>
              <w:spacing w:after="0"/>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6,976,190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7,154,298</w:t>
            </w:r>
          </w:p>
        </w:tc>
      </w:tr>
      <w:tr>
        <w:trPr>
          <w:trHeight w:val="27"/>
        </w:trPr>
        <w:tc>
          <w:tcPr>
            <w:tcW w:w="8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1161" w:right="33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six months ended June</w:t>
            </w:r>
          </w:p>
        </w:tc>
        <w:tc>
          <w:tcPr>
            <w:tcW w:w="0" w:type="dxa"/>
            <w:vAlign w:val="bottom"/>
          </w:tcPr>
          <w:p>
            <w:pPr>
              <w:spacing w:after="0"/>
              <w:rPr>
                <w:sz w:val="1"/>
                <w:szCs w:val="1"/>
                <w:color w:val="auto"/>
              </w:rPr>
            </w:pPr>
          </w:p>
        </w:tc>
      </w:tr>
      <w:tr>
        <w:trPr>
          <w:trHeight w:val="246"/>
        </w:trPr>
        <w:tc>
          <w:tcPr>
            <w:tcW w:w="5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200"/>
              <w:spacing w:after="0"/>
              <w:rPr>
                <w:sz w:val="20"/>
                <w:szCs w:val="20"/>
                <w:color w:val="auto"/>
              </w:rPr>
            </w:pPr>
            <w:r>
              <w:rPr>
                <w:rFonts w:ascii="Arial" w:cs="Arial" w:eastAsia="Arial" w:hAnsi="Arial"/>
                <w:sz w:val="18"/>
                <w:szCs w:val="18"/>
                <w:color w:val="auto"/>
              </w:rPr>
              <w:t>Services and other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417,043</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402,786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825,400</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805,454</w:t>
            </w:r>
          </w:p>
        </w:tc>
        <w:tc>
          <w:tcPr>
            <w:tcW w:w="0" w:type="dxa"/>
            <w:vAlign w:val="bottom"/>
          </w:tcPr>
          <w:p>
            <w:pPr>
              <w:spacing w:after="0"/>
              <w:rPr>
                <w:sz w:val="1"/>
                <w:szCs w:val="1"/>
                <w:color w:val="auto"/>
              </w:rPr>
            </w:pPr>
          </w:p>
        </w:tc>
      </w:tr>
      <w:tr>
        <w:trPr>
          <w:trHeight w:val="263"/>
        </w:trPr>
        <w:tc>
          <w:tcPr>
            <w:tcW w:w="5460" w:type="dxa"/>
            <w:vAlign w:val="bottom"/>
          </w:tcPr>
          <w:p>
            <w:pPr>
              <w:ind w:left="200"/>
              <w:spacing w:after="0"/>
              <w:rPr>
                <w:sz w:val="20"/>
                <w:szCs w:val="20"/>
                <w:color w:val="auto"/>
              </w:rPr>
            </w:pPr>
            <w:r>
              <w:rPr>
                <w:rFonts w:ascii="Arial" w:cs="Arial" w:eastAsia="Arial" w:hAnsi="Arial"/>
                <w:sz w:val="18"/>
                <w:szCs w:val="18"/>
                <w:color w:val="auto"/>
              </w:rPr>
              <w:t>Equipment revenue</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42,423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57,645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99,732</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109,359</w:t>
            </w:r>
          </w:p>
        </w:tc>
        <w:tc>
          <w:tcPr>
            <w:tcW w:w="0" w:type="dxa"/>
            <w:vAlign w:val="bottom"/>
          </w:tcPr>
          <w:p>
            <w:pPr>
              <w:spacing w:after="0"/>
              <w:rPr>
                <w:sz w:val="1"/>
                <w:szCs w:val="1"/>
                <w:color w:val="auto"/>
              </w:rPr>
            </w:pPr>
          </w:p>
        </w:tc>
      </w:tr>
      <w:tr>
        <w:trPr>
          <w:trHeight w:val="243"/>
        </w:trPr>
        <w:tc>
          <w:tcPr>
            <w:tcW w:w="54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459,466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460,431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925,132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914,813</w:t>
            </w: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460" w:type="dxa"/>
            <w:vAlign w:val="bottom"/>
          </w:tcPr>
          <w:p>
            <w:pPr>
              <w:ind w:left="200"/>
              <w:spacing w:after="0"/>
              <w:rPr>
                <w:sz w:val="20"/>
                <w:szCs w:val="20"/>
                <w:color w:val="auto"/>
              </w:rPr>
            </w:pPr>
            <w:r>
              <w:rPr>
                <w:rFonts w:ascii="Arial" w:cs="Arial" w:eastAsia="Arial" w:hAnsi="Arial"/>
                <w:sz w:val="18"/>
                <w:szCs w:val="18"/>
                <w:color w:val="auto"/>
              </w:rPr>
              <w:t>Cost of sales - services and other (exclusive of depreciation and</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141,019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142,680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286,027</w:t>
            </w:r>
          </w:p>
        </w:tc>
        <w:tc>
          <w:tcPr>
            <w:tcW w:w="0" w:type="dxa"/>
            <w:vAlign w:val="bottom"/>
          </w:tcPr>
          <w:p>
            <w:pPr>
              <w:spacing w:after="0"/>
              <w:rPr>
                <w:sz w:val="1"/>
                <w:szCs w:val="1"/>
                <w:color w:val="auto"/>
              </w:rPr>
            </w:pPr>
          </w:p>
        </w:tc>
      </w:tr>
      <w:tr>
        <w:trPr>
          <w:trHeight w:val="242"/>
        </w:trPr>
        <w:tc>
          <w:tcPr>
            <w:tcW w:w="5460" w:type="dxa"/>
            <w:vAlign w:val="bottom"/>
          </w:tcPr>
          <w:p>
            <w:pPr>
              <w:ind w:left="200"/>
              <w:spacing w:after="0"/>
              <w:rPr>
                <w:sz w:val="20"/>
                <w:szCs w:val="20"/>
                <w:color w:val="auto"/>
              </w:rPr>
            </w:pPr>
            <w:r>
              <w:rPr>
                <w:rFonts w:ascii="Arial" w:cs="Arial" w:eastAsia="Arial" w:hAnsi="Arial"/>
                <w:sz w:val="18"/>
                <w:szCs w:val="18"/>
                <w:color w:val="auto"/>
              </w:rPr>
              <w:t>Cost of sales - equipment (exclusive of depreciation and</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32,542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46,549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91,556</w:t>
            </w:r>
          </w:p>
        </w:tc>
        <w:tc>
          <w:tcPr>
            <w:tcW w:w="0" w:type="dxa"/>
            <w:vAlign w:val="bottom"/>
          </w:tcPr>
          <w:p>
            <w:pPr>
              <w:spacing w:after="0"/>
              <w:rPr>
                <w:sz w:val="1"/>
                <w:szCs w:val="1"/>
                <w:color w:val="auto"/>
              </w:rPr>
            </w:pPr>
          </w:p>
        </w:tc>
      </w:tr>
      <w:tr>
        <w:trPr>
          <w:trHeight w:val="256"/>
        </w:trPr>
        <w:tc>
          <w:tcPr>
            <w:tcW w:w="546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113,798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149,209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239,079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261,323</w:t>
            </w:r>
          </w:p>
        </w:tc>
        <w:tc>
          <w:tcPr>
            <w:tcW w:w="0" w:type="dxa"/>
            <w:vAlign w:val="bottom"/>
          </w:tcPr>
          <w:p>
            <w:pPr>
              <w:spacing w:after="0"/>
              <w:rPr>
                <w:sz w:val="1"/>
                <w:szCs w:val="1"/>
                <w:color w:val="auto"/>
              </w:rPr>
            </w:pPr>
          </w:p>
        </w:tc>
      </w:tr>
      <w:tr>
        <w:trPr>
          <w:trHeight w:val="257"/>
        </w:trPr>
        <w:tc>
          <w:tcPr>
            <w:tcW w:w="5460" w:type="dxa"/>
            <w:vAlign w:val="bottom"/>
          </w:tcPr>
          <w:p>
            <w:pPr>
              <w:ind w:left="20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7,448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13,276</w:t>
            </w:r>
          </w:p>
        </w:tc>
        <w:tc>
          <w:tcPr>
            <w:tcW w:w="0" w:type="dxa"/>
            <w:vAlign w:val="bottom"/>
          </w:tcPr>
          <w:p>
            <w:pPr>
              <w:spacing w:after="0"/>
              <w:rPr>
                <w:sz w:val="1"/>
                <w:szCs w:val="1"/>
                <w:color w:val="auto"/>
              </w:rPr>
            </w:pPr>
          </w:p>
        </w:tc>
      </w:tr>
      <w:tr>
        <w:trPr>
          <w:trHeight w:val="263"/>
        </w:trPr>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129,887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120,266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262,255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239,244</w:t>
            </w:r>
          </w:p>
        </w:tc>
        <w:tc>
          <w:tcPr>
            <w:tcW w:w="0" w:type="dxa"/>
            <w:vAlign w:val="bottom"/>
          </w:tcPr>
          <w:p>
            <w:pPr>
              <w:spacing w:after="0"/>
              <w:rPr>
                <w:sz w:val="1"/>
                <w:szCs w:val="1"/>
                <w:color w:val="auto"/>
              </w:rPr>
            </w:pPr>
          </w:p>
        </w:tc>
      </w:tr>
      <w:tr>
        <w:trPr>
          <w:trHeight w:val="250"/>
        </w:trPr>
        <w:tc>
          <w:tcPr>
            <w:tcW w:w="5460" w:type="dxa"/>
            <w:vAlign w:val="bottom"/>
          </w:tcPr>
          <w:p>
            <w:pPr>
              <w:ind w:left="4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424,694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465,092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879,757</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891,426</w:t>
            </w: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34,772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23,387</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10,760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23,213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47,642</w:t>
            </w:r>
          </w:p>
        </w:tc>
        <w:tc>
          <w:tcPr>
            <w:tcW w:w="0" w:type="dxa"/>
            <w:vAlign w:val="bottom"/>
          </w:tcPr>
          <w:p>
            <w:pPr>
              <w:spacing w:after="0"/>
              <w:rPr>
                <w:sz w:val="1"/>
                <w:szCs w:val="1"/>
                <w:color w:val="auto"/>
              </w:rPr>
            </w:pPr>
          </w:p>
        </w:tc>
      </w:tr>
      <w:tr>
        <w:trPr>
          <w:trHeight w:val="257"/>
        </w:trPr>
        <w:tc>
          <w:tcPr>
            <w:tcW w:w="546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(38,258)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(53,749)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(106,948)</w:t>
            </w:r>
          </w:p>
        </w:tc>
        <w:tc>
          <w:tcPr>
            <w:tcW w:w="0" w:type="dxa"/>
            <w:vAlign w:val="bottom"/>
          </w:tcPr>
          <w:p>
            <w:pPr>
              <w:spacing w:after="0"/>
              <w:rPr>
                <w:sz w:val="1"/>
                <w:szCs w:val="1"/>
                <w:color w:val="auto"/>
              </w:rPr>
            </w:pPr>
          </w:p>
        </w:tc>
      </w:tr>
      <w:tr>
        <w:trPr>
          <w:trHeight w:val="257"/>
        </w:trPr>
        <w:tc>
          <w:tcPr>
            <w:tcW w:w="5460" w:type="dxa"/>
            <w:vAlign w:val="bottom"/>
          </w:tcPr>
          <w:p>
            <w:pPr>
              <w:ind w:left="200"/>
              <w:spacing w:after="0"/>
              <w:rPr>
                <w:sz w:val="20"/>
                <w:szCs w:val="20"/>
                <w:color w:val="auto"/>
              </w:rPr>
            </w:pPr>
            <w:r>
              <w:rPr>
                <w:rFonts w:ascii="Arial" w:cs="Arial" w:eastAsia="Arial" w:hAnsi="Arial"/>
                <w:sz w:val="18"/>
                <w:szCs w:val="18"/>
                <w:color w:val="auto"/>
              </w:rPr>
              <w:t>Gains (losses) on investments, net</w:t>
            </w:r>
          </w:p>
        </w:tc>
        <w:tc>
          <w:tcPr>
            <w:tcW w:w="1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19,791</w:t>
            </w:r>
          </w:p>
        </w:tc>
        <w:tc>
          <w:tcPr>
            <w:tcW w:w="0" w:type="dxa"/>
            <w:vAlign w:val="bottom"/>
          </w:tcPr>
          <w:p>
            <w:pPr>
              <w:spacing w:after="0"/>
              <w:rPr>
                <w:sz w:val="1"/>
                <w:szCs w:val="1"/>
                <w:color w:val="auto"/>
              </w:rPr>
            </w:pPr>
          </w:p>
        </w:tc>
      </w:tr>
      <w:tr>
        <w:trPr>
          <w:trHeight w:val="257"/>
        </w:trPr>
        <w:tc>
          <w:tcPr>
            <w:tcW w:w="5460" w:type="dxa"/>
            <w:vAlign w:val="bottom"/>
          </w:tcPr>
          <w:p>
            <w:pPr>
              <w:ind w:left="200"/>
              <w:spacing w:after="0"/>
              <w:rPr>
                <w:sz w:val="20"/>
                <w:szCs w:val="20"/>
                <w:color w:val="auto"/>
              </w:rPr>
            </w:pPr>
            <w:r>
              <w:rPr>
                <w:rFonts w:ascii="Arial" w:cs="Arial" w:eastAsia="Arial" w:hAnsi="Arial"/>
                <w:sz w:val="18"/>
                <w:szCs w:val="18"/>
                <w:color w:val="auto"/>
              </w:rPr>
              <w:t>Equity in earnings (losses) of unconsolidated affiliates, net</w:t>
            </w:r>
          </w:p>
        </w:tc>
        <w:tc>
          <w:tcPr>
            <w:tcW w:w="1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56"/>
        </w:trPr>
        <w:tc>
          <w:tcPr>
            <w:tcW w:w="5460" w:type="dxa"/>
            <w:vAlign w:val="bottom"/>
          </w:tcPr>
          <w:p>
            <w:pPr>
              <w:ind w:left="200"/>
              <w:spacing w:after="0"/>
              <w:rPr>
                <w:sz w:val="20"/>
                <w:szCs w:val="20"/>
                <w:color w:val="auto"/>
              </w:rPr>
            </w:pPr>
            <w:r>
              <w:rPr>
                <w:rFonts w:ascii="Arial" w:cs="Arial" w:eastAsia="Arial" w:hAnsi="Arial"/>
                <w:sz w:val="18"/>
                <w:szCs w:val="18"/>
                <w:color w:val="auto"/>
              </w:rPr>
              <w:t>Foreign currency transaction gains (losses), net</w:t>
            </w:r>
          </w:p>
        </w:tc>
        <w:tc>
          <w:tcPr>
            <w:tcW w:w="18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63"/>
        </w:trPr>
        <w:tc>
          <w:tcPr>
            <w:tcW w:w="54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5460" w:type="dxa"/>
            <w:vAlign w:val="bottom"/>
          </w:tcPr>
          <w:p>
            <w:pPr>
              <w:ind w:left="44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(38,764)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(20,675)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(114,596)</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(50,064)</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63"/>
        </w:trPr>
        <w:tc>
          <w:tcPr>
            <w:tcW w:w="5460" w:type="dxa"/>
            <w:vAlign w:val="bottom"/>
          </w:tcPr>
          <w:p>
            <w:pPr>
              <w:ind w:left="200"/>
              <w:spacing w:after="0"/>
              <w:rPr>
                <w:sz w:val="20"/>
                <w:szCs w:val="20"/>
                <w:color w:val="auto"/>
              </w:rPr>
            </w:pPr>
            <w:r>
              <w:rPr>
                <w:rFonts w:ascii="Arial" w:cs="Arial" w:eastAsia="Arial" w:hAnsi="Arial"/>
                <w:sz w:val="18"/>
                <w:szCs w:val="18"/>
                <w:color w:val="auto"/>
              </w:rPr>
              <w:t>Income tax benefit (provision), net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(34,267)</w:t>
            </w:r>
          </w:p>
        </w:tc>
        <w:tc>
          <w:tcPr>
            <w:tcW w:w="0" w:type="dxa"/>
            <w:vAlign w:val="bottom"/>
          </w:tcPr>
          <w:p>
            <w:pPr>
              <w:spacing w:after="0"/>
              <w:rPr>
                <w:sz w:val="1"/>
                <w:szCs w:val="1"/>
                <w:color w:val="auto"/>
              </w:rPr>
            </w:pPr>
          </w:p>
        </w:tc>
      </w:tr>
      <w:tr>
        <w:trPr>
          <w:trHeight w:val="263"/>
        </w:trPr>
        <w:tc>
          <w:tcPr>
            <w:tcW w:w="5460" w:type="dxa"/>
            <w:vAlign w:val="bottom"/>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24,968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44,215</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263"/>
        </w:trPr>
        <w:tc>
          <w:tcPr>
            <w:tcW w:w="5460" w:type="dxa"/>
            <w:vAlign w:val="bottom"/>
          </w:tcPr>
          <w:p>
            <w:pPr>
              <w:ind w:left="200"/>
              <w:spacing w:after="0"/>
              <w:rPr>
                <w:sz w:val="20"/>
                <w:szCs w:val="20"/>
                <w:color w:val="auto"/>
              </w:rPr>
            </w:pPr>
            <w:r>
              <w:rPr>
                <w:rFonts w:ascii="Arial" w:cs="Arial" w:eastAsia="Arial" w:hAnsi="Arial"/>
                <w:sz w:val="18"/>
                <w:szCs w:val="18"/>
                <w:color w:val="auto"/>
              </w:rPr>
              <w:t>Less: Net loss (income) attributable to non-controlling interests</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3,431</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Net income (loss) attributable to EchoStar Corporation common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(11,412)</w:t>
            </w:r>
          </w:p>
        </w:tc>
        <w:tc>
          <w:tcPr>
            <w:tcW w:w="120" w:type="dxa"/>
            <w:vAlign w:val="bottom"/>
          </w:tcPr>
          <w:p>
            <w:pPr>
              <w:spacing w:after="0"/>
              <w:rPr>
                <w:sz w:val="18"/>
                <w:szCs w:val="18"/>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(65,707)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03"/>
        </w:trPr>
        <w:tc>
          <w:tcPr>
            <w:tcW w:w="5460" w:type="dxa"/>
            <w:vAlign w:val="bottom"/>
          </w:tcPr>
          <w:p>
            <w:pPr>
              <w:spacing w:after="0" w:line="203" w:lineRule="exact"/>
              <w:rPr>
                <w:sz w:val="20"/>
                <w:szCs w:val="20"/>
                <w:color w:val="auto"/>
              </w:rPr>
            </w:pPr>
            <w:r>
              <w:rPr>
                <w:rFonts w:ascii="Arial" w:cs="Arial" w:eastAsia="Arial" w:hAnsi="Arial"/>
                <w:sz w:val="18"/>
                <w:szCs w:val="18"/>
                <w:color w:val="auto"/>
              </w:rPr>
              <w:t>stock</w:t>
            </w:r>
          </w:p>
        </w:tc>
        <w:tc>
          <w:tcPr>
            <w:tcW w:w="1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460" w:type="dxa"/>
            <w:vAlign w:val="bottom"/>
          </w:tcPr>
          <w:p>
            <w:pPr>
              <w:ind w:left="200"/>
              <w:spacing w:after="0"/>
              <w:rPr>
                <w:sz w:val="20"/>
                <w:szCs w:val="20"/>
                <w:color w:val="auto"/>
              </w:rPr>
            </w:pPr>
            <w:r>
              <w:rPr>
                <w:rFonts w:ascii="Arial" w:cs="Arial" w:eastAsia="Arial" w:hAnsi="Arial"/>
                <w:sz w:val="18"/>
                <w:szCs w:val="18"/>
                <w:color w:val="auto"/>
              </w:rPr>
              <w:t>Basic and diluted earnings (losses) from continuing operations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(0.67)</w:t>
            </w:r>
          </w:p>
        </w:tc>
        <w:tc>
          <w:tcPr>
            <w:tcW w:w="10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8"/>
        </w:trPr>
        <w:tc>
          <w:tcPr>
            <w:tcW w:w="5460" w:type="dxa"/>
            <w:vAlign w:val="bottom"/>
          </w:tcPr>
          <w:p>
            <w:pPr>
              <w:ind w:left="200"/>
              <w:spacing w:after="0" w:line="203" w:lineRule="exact"/>
              <w:rPr>
                <w:sz w:val="20"/>
                <w:szCs w:val="20"/>
                <w:color w:val="auto"/>
              </w:rPr>
            </w:pPr>
            <w:r>
              <w:rPr>
                <w:rFonts w:ascii="Arial" w:cs="Arial" w:eastAsia="Arial" w:hAnsi="Arial"/>
                <w:sz w:val="18"/>
                <w:szCs w:val="18"/>
                <w:color w:val="auto"/>
              </w:rPr>
              <w:t>per share</w:t>
            </w:r>
          </w:p>
        </w:tc>
        <w:tc>
          <w:tcPr>
            <w:tcW w:w="1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00"/>
              <w:spacing w:after="0"/>
              <w:rPr>
                <w:sz w:val="20"/>
                <w:szCs w:val="20"/>
                <w:color w:val="auto"/>
              </w:rPr>
            </w:pPr>
            <w:r>
              <w:rPr>
                <w:rFonts w:ascii="Arial" w:cs="Arial" w:eastAsia="Arial" w:hAnsi="Arial"/>
                <w:sz w:val="18"/>
                <w:szCs w:val="18"/>
                <w:color w:val="auto"/>
              </w:rPr>
              <w:t>Total basic and diluted earnings (losses)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(0.67)</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1008" w:right="33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45"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26035</wp:posOffset>
            </wp:positionV>
            <wp:extent cx="20320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04"/>
        </w:trPr>
        <w:tc>
          <w:tcPr>
            <w:tcW w:w="79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(72,580)</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9,948</w:t>
            </w: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b w:val="1"/>
                <w:bCs w:val="1"/>
                <w:color w:val="auto"/>
              </w:rPr>
              <w:t>Adjustments to reconcile net income (loss) to net cash flows from operating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262,255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309,631</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Losses (gains) on investments, net</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52,762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(19,791)</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Equity in losses (earnings) of unconsolidated affiliates, net</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3,732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11,107</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Foreign currency transaction losses (gains), net</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9,284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(593)</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Deferred tax provision (benefit), net</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7,014</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4,833</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3,872</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(7,295)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2,742</w:t>
            </w:r>
          </w:p>
        </w:tc>
      </w:tr>
      <w:tr>
        <w:trPr>
          <w:trHeight w:val="216"/>
        </w:trPr>
        <w:tc>
          <w:tcPr>
            <w:tcW w:w="7980" w:type="dxa"/>
            <w:vAlign w:val="bottom"/>
          </w:tcPr>
          <w:p>
            <w:pPr>
              <w:ind w:left="300"/>
              <w:spacing w:after="0"/>
              <w:rPr>
                <w:sz w:val="20"/>
                <w:szCs w:val="20"/>
                <w:color w:val="auto"/>
              </w:rPr>
            </w:pPr>
            <w:r>
              <w:rPr>
                <w:rFonts w:ascii="Arial" w:cs="Arial" w:eastAsia="Arial" w:hAnsi="Arial"/>
                <w:sz w:val="14"/>
                <w:szCs w:val="14"/>
                <w:b w:val="1"/>
                <w:bCs w:val="1"/>
                <w:color w:val="auto"/>
              </w:rPr>
              <w:t>Changes in assets and liabilities, net: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80" w:type="dxa"/>
            <w:vAlign w:val="bottom"/>
          </w:tcPr>
          <w:p>
            <w:pPr>
              <w:ind w:left="500"/>
              <w:spacing w:after="0"/>
              <w:rPr>
                <w:sz w:val="20"/>
                <w:szCs w:val="20"/>
                <w:color w:val="auto"/>
              </w:rPr>
            </w:pPr>
            <w:r>
              <w:rPr>
                <w:rFonts w:ascii="Arial" w:cs="Arial" w:eastAsia="Arial" w:hAnsi="Arial"/>
                <w:sz w:val="14"/>
                <w:szCs w:val="14"/>
                <w:color w:val="auto"/>
              </w:rPr>
              <w:t>Trade accounts receivable and contract assets, net</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167</w:t>
            </w:r>
          </w:p>
        </w:tc>
      </w:tr>
      <w:tr>
        <w:trPr>
          <w:trHeight w:val="216"/>
        </w:trPr>
        <w:tc>
          <w:tcPr>
            <w:tcW w:w="7980" w:type="dxa"/>
            <w:vAlign w:val="bottom"/>
          </w:tcPr>
          <w:p>
            <w:pPr>
              <w:ind w:left="500"/>
              <w:spacing w:after="0"/>
              <w:rPr>
                <w:sz w:val="20"/>
                <w:szCs w:val="20"/>
                <w:color w:val="auto"/>
              </w:rPr>
            </w:pPr>
            <w:r>
              <w:rPr>
                <w:rFonts w:ascii="Arial" w:cs="Arial" w:eastAsia="Arial" w:hAnsi="Arial"/>
                <w:sz w:val="14"/>
                <w:szCs w:val="14"/>
                <w:color w:val="auto"/>
              </w:rPr>
              <w:t>Other current assets, net</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(11,642)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16"/>
        </w:trPr>
        <w:tc>
          <w:tcPr>
            <w:tcW w:w="7980" w:type="dxa"/>
            <w:vAlign w:val="bottom"/>
          </w:tcPr>
          <w:p>
            <w:pPr>
              <w:ind w:left="500"/>
              <w:spacing w:after="0"/>
              <w:rPr>
                <w:sz w:val="20"/>
                <w:szCs w:val="20"/>
                <w:color w:val="auto"/>
              </w:rPr>
            </w:pPr>
            <w:r>
              <w:rPr>
                <w:rFonts w:ascii="Arial" w:cs="Arial" w:eastAsia="Arial" w:hAnsi="Arial"/>
                <w:sz w:val="14"/>
                <w:szCs w:val="14"/>
                <w:color w:val="auto"/>
              </w:rPr>
              <w:t>Trade accounts payable</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(11,701)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(225)</w:t>
            </w:r>
          </w:p>
        </w:tc>
      </w:tr>
      <w:tr>
        <w:trPr>
          <w:trHeight w:val="216"/>
        </w:trPr>
        <w:tc>
          <w:tcPr>
            <w:tcW w:w="7980" w:type="dxa"/>
            <w:vAlign w:val="bottom"/>
          </w:tcPr>
          <w:p>
            <w:pPr>
              <w:ind w:left="500"/>
              <w:spacing w:after="0"/>
              <w:rPr>
                <w:sz w:val="20"/>
                <w:szCs w:val="20"/>
                <w:color w:val="auto"/>
              </w:rPr>
            </w:pPr>
            <w:r>
              <w:rPr>
                <w:rFonts w:ascii="Arial" w:cs="Arial" w:eastAsia="Arial" w:hAnsi="Arial"/>
                <w:sz w:val="14"/>
                <w:szCs w:val="14"/>
                <w:color w:val="auto"/>
              </w:rPr>
              <w:t>Contract liabilities</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34,024</w:t>
            </w:r>
          </w:p>
        </w:tc>
      </w:tr>
      <w:tr>
        <w:trPr>
          <w:trHeight w:val="216"/>
        </w:trPr>
        <w:tc>
          <w:tcPr>
            <w:tcW w:w="7980" w:type="dxa"/>
            <w:vAlign w:val="bottom"/>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27,050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16,800</w:t>
            </w:r>
          </w:p>
        </w:tc>
      </w:tr>
      <w:tr>
        <w:trPr>
          <w:trHeight w:val="222"/>
        </w:trPr>
        <w:tc>
          <w:tcPr>
            <w:tcW w:w="7980" w:type="dxa"/>
            <w:vAlign w:val="bottom"/>
          </w:tcPr>
          <w:p>
            <w:pPr>
              <w:ind w:left="500"/>
              <w:spacing w:after="0"/>
              <w:rPr>
                <w:sz w:val="20"/>
                <w:szCs w:val="20"/>
                <w:color w:val="auto"/>
              </w:rPr>
            </w:pPr>
            <w:r>
              <w:rPr>
                <w:rFonts w:ascii="Arial" w:cs="Arial" w:eastAsia="Arial" w:hAnsi="Arial"/>
                <w:sz w:val="14"/>
                <w:szCs w:val="14"/>
                <w:color w:val="auto"/>
              </w:rPr>
              <w:t>Non-current assets and non-current liabilities,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5,729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w:t>
            </w:r>
          </w:p>
        </w:tc>
      </w:tr>
      <w:tr>
        <w:trPr>
          <w:trHeight w:val="209"/>
        </w:trPr>
        <w:tc>
          <w:tcPr>
            <w:tcW w:w="7980" w:type="dxa"/>
            <w:vAlign w:val="bottom"/>
          </w:tcPr>
          <w:p>
            <w:pPr>
              <w:spacing w:after="0"/>
              <w:rPr>
                <w:sz w:val="20"/>
                <w:szCs w:val="20"/>
                <w:color w:val="auto"/>
              </w:rPr>
            </w:pPr>
            <w:r>
              <w:rPr>
                <w:rFonts w:ascii="Arial" w:cs="Arial" w:eastAsia="Arial" w:hAnsi="Arial"/>
                <w:sz w:val="14"/>
                <w:szCs w:val="14"/>
                <w:b w:val="1"/>
                <w:bCs w:val="1"/>
                <w:color w:val="auto"/>
              </w:rPr>
              <w:t>Net cash flows from operating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245,280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380,774</w:t>
            </w:r>
          </w:p>
        </w:tc>
      </w:tr>
      <w:tr>
        <w:trPr>
          <w:trHeight w:val="407"/>
        </w:trPr>
        <w:tc>
          <w:tcPr>
            <w:tcW w:w="79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Purchases of marketable investment securities</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(555,367)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(504,264)</w:t>
            </w: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Sales and maturities of marketable investment securities</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977,532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1,621,481</w:t>
            </w: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Expenditures for property and equipment</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(196,904)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(219,440)</w:t>
            </w:r>
          </w:p>
        </w:tc>
      </w:tr>
      <w:tr>
        <w:trPr>
          <w:trHeight w:val="221"/>
        </w:trPr>
        <w:tc>
          <w:tcPr>
            <w:tcW w:w="7980" w:type="dxa"/>
            <w:vAlign w:val="bottom"/>
          </w:tcPr>
          <w:p>
            <w:pPr>
              <w:ind w:left="100"/>
              <w:spacing w:after="0"/>
              <w:rPr>
                <w:sz w:val="20"/>
                <w:szCs w:val="20"/>
                <w:color w:val="auto"/>
              </w:rPr>
            </w:pPr>
            <w:r>
              <w:rPr>
                <w:rFonts w:ascii="Arial" w:cs="Arial" w:eastAsia="Arial" w:hAnsi="Arial"/>
                <w:sz w:val="14"/>
                <w:szCs w:val="14"/>
                <w:color w:val="auto"/>
              </w:rPr>
              <w:t>Expenditures for externally marketed software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(19,237)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(15,329)</w:t>
            </w:r>
          </w:p>
        </w:tc>
      </w:tr>
      <w:tr>
        <w:trPr>
          <w:trHeight w:val="210"/>
        </w:trPr>
        <w:tc>
          <w:tcPr>
            <w:tcW w:w="7980" w:type="dxa"/>
            <w:vAlign w:val="bottom"/>
          </w:tcPr>
          <w:p>
            <w:pPr>
              <w:spacing w:after="0"/>
              <w:rPr>
                <w:sz w:val="20"/>
                <w:szCs w:val="20"/>
                <w:color w:val="auto"/>
              </w:rPr>
            </w:pPr>
            <w:r>
              <w:rPr>
                <w:rFonts w:ascii="Arial" w:cs="Arial" w:eastAsia="Arial" w:hAnsi="Arial"/>
                <w:sz w:val="14"/>
                <w:szCs w:val="14"/>
                <w:b w:val="1"/>
                <w:bCs w:val="1"/>
                <w:color w:val="auto"/>
              </w:rPr>
              <w:t>Net cash flows from investing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200,524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882,448</w:t>
            </w:r>
          </w:p>
        </w:tc>
      </w:tr>
      <w:tr>
        <w:trPr>
          <w:trHeight w:val="406"/>
        </w:trPr>
        <w:tc>
          <w:tcPr>
            <w:tcW w:w="79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Repurchase and maturity of the 2019 Senior Secured Notes</w:t>
            </w:r>
          </w:p>
        </w:tc>
        <w:tc>
          <w:tcPr>
            <w:tcW w:w="3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(920,923)</w:t>
            </w:r>
          </w:p>
        </w:tc>
      </w:tr>
      <w:tr>
        <w:trPr>
          <w:trHeight w:val="216"/>
        </w:trPr>
        <w:tc>
          <w:tcPr>
            <w:tcW w:w="7980" w:type="dxa"/>
            <w:vAlign w:val="bottom"/>
          </w:tcPr>
          <w:p>
            <w:pPr>
              <w:ind w:left="180"/>
              <w:spacing w:after="0"/>
              <w:rPr>
                <w:sz w:val="20"/>
                <w:szCs w:val="20"/>
                <w:color w:val="auto"/>
              </w:rPr>
            </w:pPr>
            <w:r>
              <w:rPr>
                <w:rFonts w:ascii="Arial" w:cs="Arial" w:eastAsia="Arial" w:hAnsi="Arial"/>
                <w:sz w:val="14"/>
                <w:szCs w:val="14"/>
                <w:color w:val="auto"/>
              </w:rPr>
              <w:t>Payment of finance lease obligations</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(20,008)</w:t>
            </w:r>
          </w:p>
        </w:tc>
      </w:tr>
      <w:tr>
        <w:trPr>
          <w:trHeight w:val="216"/>
        </w:trPr>
        <w:tc>
          <w:tcPr>
            <w:tcW w:w="7980" w:type="dxa"/>
            <w:vAlign w:val="bottom"/>
          </w:tcPr>
          <w:p>
            <w:pPr>
              <w:ind w:left="180"/>
              <w:spacing w:after="0"/>
              <w:rPr>
                <w:sz w:val="20"/>
                <w:szCs w:val="20"/>
                <w:color w:val="auto"/>
              </w:rPr>
            </w:pPr>
            <w:r>
              <w:rPr>
                <w:rFonts w:ascii="Arial" w:cs="Arial" w:eastAsia="Arial" w:hAnsi="Arial"/>
                <w:sz w:val="14"/>
                <w:szCs w:val="14"/>
                <w:color w:val="auto"/>
              </w:rPr>
              <w:t>Payment of in-orbit incentive obligations</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(3,778)</w:t>
            </w:r>
          </w:p>
        </w:tc>
      </w:tr>
      <w:tr>
        <w:trPr>
          <w:trHeight w:val="216"/>
        </w:trPr>
        <w:tc>
          <w:tcPr>
            <w:tcW w:w="7980" w:type="dxa"/>
            <w:vAlign w:val="bottom"/>
          </w:tcPr>
          <w:p>
            <w:pPr>
              <w:ind w:left="180"/>
              <w:spacing w:after="0"/>
              <w:rPr>
                <w:sz w:val="20"/>
                <w:szCs w:val="20"/>
                <w:color w:val="auto"/>
              </w:rPr>
            </w:pPr>
            <w:r>
              <w:rPr>
                <w:rFonts w:ascii="Arial" w:cs="Arial" w:eastAsia="Arial" w:hAnsi="Arial"/>
                <w:sz w:val="14"/>
                <w:szCs w:val="14"/>
                <w:color w:val="auto"/>
              </w:rPr>
              <w:t>Net proceeds from Class A common stock options exercised</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61,503</w:t>
            </w: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5,074</w:t>
            </w: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Treasury share purchase</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Contribution by non-controlling interest holder</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980" w:type="dxa"/>
            <w:vAlign w:val="bottom"/>
          </w:tcPr>
          <w:p>
            <w:pPr>
              <w:ind w:left="100"/>
              <w:spacing w:after="0"/>
              <w:rPr>
                <w:sz w:val="20"/>
                <w:szCs w:val="20"/>
                <w:color w:val="auto"/>
              </w:rPr>
            </w:pPr>
            <w:r>
              <w:rPr>
                <w:rFonts w:ascii="Arial" w:cs="Arial" w:eastAsia="Arial" w:hAnsi="Arial"/>
                <w:sz w:val="14"/>
                <w:szCs w:val="14"/>
                <w:color w:val="auto"/>
              </w:rPr>
              <w:t>Purchase of non-controlling interest</w:t>
            </w:r>
          </w:p>
        </w:tc>
        <w:tc>
          <w:tcPr>
            <w:tcW w:w="3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(7,313)</w:t>
            </w:r>
          </w:p>
        </w:tc>
      </w:tr>
      <w:tr>
        <w:trPr>
          <w:trHeight w:val="222"/>
        </w:trPr>
        <w:tc>
          <w:tcPr>
            <w:tcW w:w="798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10"/>
        </w:trPr>
        <w:tc>
          <w:tcPr>
            <w:tcW w:w="7980" w:type="dxa"/>
            <w:vAlign w:val="bottom"/>
          </w:tcPr>
          <w:p>
            <w:pPr>
              <w:spacing w:after="0"/>
              <w:rPr>
                <w:sz w:val="20"/>
                <w:szCs w:val="20"/>
                <w:color w:val="auto"/>
              </w:rPr>
            </w:pPr>
            <w:r>
              <w:rPr>
                <w:rFonts w:ascii="Arial" w:cs="Arial" w:eastAsia="Arial" w:hAnsi="Arial"/>
                <w:sz w:val="14"/>
                <w:szCs w:val="14"/>
                <w:b w:val="1"/>
                <w:bCs w:val="1"/>
                <w:color w:val="auto"/>
              </w:rPr>
              <w:t>Net cash flows from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9,075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(885,712)</w:t>
            </w:r>
          </w:p>
        </w:tc>
      </w:tr>
      <w:tr>
        <w:trPr>
          <w:trHeight w:val="412"/>
        </w:trPr>
        <w:tc>
          <w:tcPr>
            <w:tcW w:w="7980" w:type="dxa"/>
            <w:vAlign w:val="bottom"/>
          </w:tcPr>
          <w:p>
            <w:pPr>
              <w:spacing w:after="0"/>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(19,232)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w:t>
            </w:r>
          </w:p>
        </w:tc>
      </w:tr>
      <w:tr>
        <w:trPr>
          <w:trHeight w:val="203"/>
        </w:trPr>
        <w:tc>
          <w:tcPr>
            <w:tcW w:w="798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435,647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377,631</w:t>
            </w:r>
          </w:p>
        </w:tc>
      </w:tr>
      <w:tr>
        <w:trPr>
          <w:trHeight w:val="222"/>
        </w:trPr>
        <w:tc>
          <w:tcPr>
            <w:tcW w:w="798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1,521,889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929,495</w:t>
            </w:r>
          </w:p>
        </w:tc>
      </w:tr>
      <w:tr>
        <w:trPr>
          <w:trHeight w:val="216"/>
        </w:trPr>
        <w:tc>
          <w:tcPr>
            <w:tcW w:w="798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1,957,536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1,307,126</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w:t>
      </w:r>
    </w:p>
    <w:sectPr>
      <w:pgSz w:w="11900" w:h="16838" w:orient="portrait"/>
      <w:cols w:equalWidth="0" w:num="1">
        <w:col w:w="11180"/>
      </w:cols>
      <w:pgMar w:left="360" w:top="10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Roman"/>
      <w:start w:val="5"/>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upperLetter"/>
      <w:start w:val="8"/>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lowerRoman"/>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lvl w:ilvl="1">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2020-08-06T05:27:44Z</dcterms:created>
  <dcterms:modified xsi:type="dcterms:W3CDTF">2020-08-06T05:27:44Z</dcterms:modified>
</cp:coreProperties>
</file>