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 w:space="1" w:color="808080"/>
          <w:left w:val="single" w:sz="2" w:space="1" w:color="808080"/>
          <w:bottom w:val="single" w:sz="2" w:space="1" w:color="808080"/>
          <w:right w:val="single" w:sz="2" w:space="1" w:color="808080"/>
        </w:pBdr>
        <w:bidi w:val="0"/>
        <w:spacing w:lineRule="atLeast" w:line="142" w:before="185" w:after="0"/>
        <w:ind w:left="15" w:right="15" w:hanging="0"/>
        <w:jc w:val="center"/>
        <w:rPr/>
      </w:pPr>
      <w:bookmarkStart w:id="0" w:name="_Hlk167451110"/>
      <w:bookmarkStart w:id="1" w:name="sats-20260601xsd.htm"/>
      <w:bookmarkStart w:id="2" w:name="kssats20260601xsd"/>
      <w:bookmarkEnd w:id="0"/>
      <w:bookmarkEnd w:id="1"/>
      <w:bookmarkEnd w:id="2"/>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pBdr>
          <w:top w:val="single" w:sz="2" w:space="1" w:color="808080"/>
          <w:left w:val="single" w:sz="2" w:space="1" w:color="808080"/>
          <w:bottom w:val="single" w:sz="2" w:space="1" w:color="808080"/>
          <w:right w:val="single" w:sz="2" w:space="1" w:color="808080"/>
        </w:pBdr>
        <w:bidi w:val="0"/>
        <w:spacing w:lineRule="atLeast" w:line="142" w:before="185" w:after="0"/>
        <w:ind w:left="15" w:right="15"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3" w:name="FIS_UNIDENTIFIED_TABLE"/>
      <w:bookmarkEnd w:id="3"/>
      <w:r>
        <w:rPr>
          <w:rFonts w:ascii="Times New Roman;Times;serif" w:hAnsi="Times New Roman;Times;serif"/>
          <w:b/>
          <w:sz w:val="36"/>
        </w:rPr>
        <w:t>Form SD</w:t>
      </w:r>
      <w:r>
        <w:rPr>
          <w:rFonts w:ascii="Times New Roman;Times;serif" w:hAnsi="Times New Roman;Times;serif"/>
          <w:sz w:val="20"/>
        </w:rPr>
        <w:t xml:space="preserve">  </w:t>
      </w:r>
    </w:p>
    <w:p>
      <w:pPr>
        <w:pStyle w:val="TextBody"/>
        <w:bidi w:val="0"/>
        <w:spacing w:before="321" w:after="0"/>
        <w:ind w:left="0" w:right="0" w:hanging="0"/>
        <w:jc w:val="center"/>
        <w:rPr>
          <w:rFonts w:ascii="Times New Roman;Times;serif" w:hAnsi="Times New Roman;Times;serif"/>
          <w:b/>
          <w:sz w:val="24"/>
        </w:rPr>
      </w:pPr>
      <w:r>
        <w:rPr>
          <w:rFonts w:ascii="Times New Roman;Times;serif" w:hAnsi="Times New Roman;Times;serif"/>
          <w:b/>
          <w:sz w:val="24"/>
        </w:rPr>
        <w:t>Specialized Disclosure Report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EchoStar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 </w:t>
      </w:r>
    </w:p>
    <w:p>
      <w:pPr>
        <w:pStyle w:val="TextBody"/>
        <w:bidi w:val="0"/>
        <w:spacing w:lineRule="atLeast" w:line="150"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781"/>
        <w:gridCol w:w="146"/>
        <w:gridCol w:w="2220"/>
        <w:gridCol w:w="146"/>
        <w:gridCol w:w="2912"/>
      </w:tblGrid>
      <w:tr>
        <w:trPr/>
        <w:tc>
          <w:tcPr>
            <w:tcW w:w="47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22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912" w:type="dxa"/>
            <w:tcBorders/>
            <w:vAlign w:val="center"/>
          </w:tcPr>
          <w:p>
            <w:pPr>
              <w:pStyle w:val="TableContents"/>
              <w:bidi w:val="0"/>
              <w:spacing w:before="0" w:after="0"/>
              <w:ind w:left="0" w:right="0" w:hanging="0"/>
              <w:jc w:val="left"/>
              <w:rPr/>
            </w:pPr>
            <w:r>
              <w:rPr/>
              <w:t>​</w:t>
            </w:r>
          </w:p>
        </w:tc>
      </w:tr>
      <w:tr>
        <w:trPr/>
        <w:tc>
          <w:tcPr>
            <w:tcW w:w="47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Nevada</w:t>
            </w:r>
          </w:p>
        </w:tc>
        <w:tc>
          <w:tcPr>
            <w:tcW w:w="146" w:type="dxa"/>
            <w:tcBorders/>
            <w:vAlign w:val="center"/>
          </w:tcPr>
          <w:p>
            <w:pPr>
              <w:pStyle w:val="TableContents"/>
              <w:bidi w:val="0"/>
              <w:spacing w:before="0" w:after="0"/>
              <w:ind w:left="0" w:right="0" w:hanging="0"/>
              <w:jc w:val="left"/>
              <w:rPr/>
            </w:pPr>
            <w:r>
              <w:rPr/>
              <w:t> </w:t>
            </w:r>
          </w:p>
        </w:tc>
        <w:tc>
          <w:tcPr>
            <w:tcW w:w="22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001-33807</w:t>
            </w:r>
          </w:p>
        </w:tc>
        <w:tc>
          <w:tcPr>
            <w:tcW w:w="146" w:type="dxa"/>
            <w:tcBorders/>
            <w:vAlign w:val="center"/>
          </w:tcPr>
          <w:p>
            <w:pPr>
              <w:pStyle w:val="TableContents"/>
              <w:bidi w:val="0"/>
              <w:spacing w:before="0" w:after="0"/>
              <w:ind w:left="0" w:right="0" w:hanging="0"/>
              <w:jc w:val="left"/>
              <w:rPr/>
            </w:pPr>
            <w:r>
              <w:rPr/>
              <w:t> </w:t>
            </w:r>
          </w:p>
        </w:tc>
        <w:tc>
          <w:tcPr>
            <w:tcW w:w="291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26-1232727</w:t>
            </w:r>
          </w:p>
        </w:tc>
      </w:tr>
      <w:tr>
        <w:trPr/>
        <w:tc>
          <w:tcPr>
            <w:tcW w:w="4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146" w:type="dxa"/>
            <w:tcBorders/>
            <w:vAlign w:val="center"/>
          </w:tcPr>
          <w:p>
            <w:pPr>
              <w:pStyle w:val="TableContents"/>
              <w:bidi w:val="0"/>
              <w:spacing w:before="0" w:after="0"/>
              <w:ind w:left="0" w:right="0" w:hanging="0"/>
              <w:jc w:val="left"/>
              <w:rPr/>
            </w:pPr>
            <w:r>
              <w:rPr/>
              <w:t> </w:t>
            </w:r>
          </w:p>
        </w:tc>
        <w:tc>
          <w:tcPr>
            <w:tcW w:w="22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146" w:type="dxa"/>
            <w:tcBorders/>
            <w:vAlign w:val="center"/>
          </w:tcPr>
          <w:p>
            <w:pPr>
              <w:pStyle w:val="TableContents"/>
              <w:bidi w:val="0"/>
              <w:spacing w:before="0" w:after="0"/>
              <w:ind w:left="0" w:right="0" w:hanging="0"/>
              <w:jc w:val="left"/>
              <w:rPr/>
            </w:pPr>
            <w:r>
              <w:rPr/>
              <w:t> </w:t>
            </w:r>
          </w:p>
        </w:tc>
        <w:tc>
          <w:tcPr>
            <w:tcW w:w="2912" w:type="dxa"/>
            <w:tcBorders/>
            <w:vAlign w:val="center"/>
          </w:tcPr>
          <w:p>
            <w:pPr>
              <w:pStyle w:val="TableContents"/>
              <w:bidi w:val="0"/>
              <w:spacing w:before="0" w:after="0"/>
              <w:ind w:left="3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 </w:t>
      </w:r>
    </w:p>
    <w:tbl>
      <w:tblPr>
        <w:tblW w:w="4543" w:type="dxa"/>
        <w:jc w:val="center"/>
        <w:tblInd w:w="0" w:type="dxa"/>
        <w:tblLayout w:type="fixed"/>
        <w:tblCellMar>
          <w:top w:w="0" w:type="dxa"/>
          <w:left w:w="0" w:type="dxa"/>
          <w:bottom w:w="0" w:type="dxa"/>
          <w:right w:w="0" w:type="dxa"/>
        </w:tblCellMar>
      </w:tblPr>
      <w:tblGrid>
        <w:gridCol w:w="3361"/>
        <w:gridCol w:w="146"/>
        <w:gridCol w:w="1036"/>
      </w:tblGrid>
      <w:tr>
        <w:trPr/>
        <w:tc>
          <w:tcPr>
            <w:tcW w:w="3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9601 SOUTH MERIDIAN BLVD.</w:t>
              <w:br/>
              <w:t>ENGLEWOOD, COLORADO</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30" w:right="0" w:hanging="0"/>
              <w:jc w:val="center"/>
              <w:rPr/>
            </w:pPr>
            <w:r>
              <w:rPr/>
              <w: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80112</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3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Dean A. Manson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Legal Officer and Secretary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 723-1000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and telephone number, including area code, of person to contact in connection with this report)</w:t>
      </w:r>
    </w:p>
    <w:p>
      <w:pPr>
        <w:pStyle w:val="TextBody"/>
        <w:bidi w:val="0"/>
        <w:spacing w:before="0" w:after="0"/>
        <w:ind w:left="0" w:right="0" w:hanging="0"/>
        <w:jc w:val="center"/>
        <w:rPr/>
      </w:pPr>
      <w:bookmarkStart w:id="4" w:name="FIS_UNIDENTIFIED_TABLE_2"/>
      <w:bookmarkEnd w:id="4"/>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Hughes Satellite Systems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781"/>
        <w:gridCol w:w="146"/>
        <w:gridCol w:w="2220"/>
        <w:gridCol w:w="146"/>
        <w:gridCol w:w="2912"/>
      </w:tblGrid>
      <w:tr>
        <w:trPr/>
        <w:tc>
          <w:tcPr>
            <w:tcW w:w="47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22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912" w:type="dxa"/>
            <w:tcBorders/>
            <w:vAlign w:val="center"/>
          </w:tcPr>
          <w:p>
            <w:pPr>
              <w:pStyle w:val="TableContents"/>
              <w:bidi w:val="0"/>
              <w:spacing w:before="0" w:after="0"/>
              <w:ind w:left="0" w:right="0" w:hanging="0"/>
              <w:jc w:val="left"/>
              <w:rPr/>
            </w:pPr>
            <w:r>
              <w:rPr/>
              <w:t>​</w:t>
            </w:r>
          </w:p>
        </w:tc>
      </w:tr>
      <w:tr>
        <w:trPr/>
        <w:tc>
          <w:tcPr>
            <w:tcW w:w="47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Colorado</w:t>
            </w:r>
          </w:p>
        </w:tc>
        <w:tc>
          <w:tcPr>
            <w:tcW w:w="146" w:type="dxa"/>
            <w:tcBorders/>
            <w:vAlign w:val="center"/>
          </w:tcPr>
          <w:p>
            <w:pPr>
              <w:pStyle w:val="TableContents"/>
              <w:bidi w:val="0"/>
              <w:spacing w:before="0" w:after="0"/>
              <w:ind w:left="0" w:right="0" w:hanging="0"/>
              <w:jc w:val="left"/>
              <w:rPr/>
            </w:pPr>
            <w:r>
              <w:rPr/>
              <w:t> </w:t>
            </w:r>
          </w:p>
        </w:tc>
        <w:tc>
          <w:tcPr>
            <w:tcW w:w="22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333-179121</w:t>
            </w:r>
          </w:p>
        </w:tc>
        <w:tc>
          <w:tcPr>
            <w:tcW w:w="146" w:type="dxa"/>
            <w:tcBorders/>
            <w:vAlign w:val="center"/>
          </w:tcPr>
          <w:p>
            <w:pPr>
              <w:pStyle w:val="TableContents"/>
              <w:bidi w:val="0"/>
              <w:spacing w:before="0" w:after="0"/>
              <w:ind w:left="0" w:right="0" w:hanging="0"/>
              <w:jc w:val="left"/>
              <w:rPr/>
            </w:pPr>
            <w:r>
              <w:rPr/>
              <w:t> </w:t>
            </w:r>
          </w:p>
        </w:tc>
        <w:tc>
          <w:tcPr>
            <w:tcW w:w="291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45-0897865</w:t>
            </w:r>
          </w:p>
        </w:tc>
      </w:tr>
      <w:tr>
        <w:trPr/>
        <w:tc>
          <w:tcPr>
            <w:tcW w:w="4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146" w:type="dxa"/>
            <w:tcBorders/>
            <w:vAlign w:val="center"/>
          </w:tcPr>
          <w:p>
            <w:pPr>
              <w:pStyle w:val="TableContents"/>
              <w:bidi w:val="0"/>
              <w:spacing w:before="0" w:after="0"/>
              <w:ind w:left="0" w:right="0" w:hanging="0"/>
              <w:jc w:val="left"/>
              <w:rPr/>
            </w:pPr>
            <w:r>
              <w:rPr/>
              <w:t> </w:t>
            </w:r>
          </w:p>
        </w:tc>
        <w:tc>
          <w:tcPr>
            <w:tcW w:w="22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146" w:type="dxa"/>
            <w:tcBorders/>
            <w:vAlign w:val="center"/>
          </w:tcPr>
          <w:p>
            <w:pPr>
              <w:pStyle w:val="TableContents"/>
              <w:bidi w:val="0"/>
              <w:spacing w:before="0" w:after="0"/>
              <w:ind w:left="0" w:right="0" w:hanging="0"/>
              <w:jc w:val="left"/>
              <w:rPr/>
            </w:pPr>
            <w:r>
              <w:rPr/>
              <w:t> </w:t>
            </w:r>
          </w:p>
        </w:tc>
        <w:tc>
          <w:tcPr>
            <w:tcW w:w="2912" w:type="dxa"/>
            <w:tcBorders/>
            <w:vAlign w:val="center"/>
          </w:tcPr>
          <w:p>
            <w:pPr>
              <w:pStyle w:val="TableContents"/>
              <w:bidi w:val="0"/>
              <w:spacing w:before="0" w:after="0"/>
              <w:ind w:left="3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tbl>
      <w:tblPr>
        <w:tblW w:w="4543" w:type="dxa"/>
        <w:jc w:val="center"/>
        <w:tblInd w:w="0" w:type="dxa"/>
        <w:tblLayout w:type="fixed"/>
        <w:tblCellMar>
          <w:top w:w="0" w:type="dxa"/>
          <w:left w:w="0" w:type="dxa"/>
          <w:bottom w:w="0" w:type="dxa"/>
          <w:right w:w="0" w:type="dxa"/>
        </w:tblCellMar>
      </w:tblPr>
      <w:tblGrid>
        <w:gridCol w:w="3361"/>
        <w:gridCol w:w="146"/>
        <w:gridCol w:w="1036"/>
      </w:tblGrid>
      <w:tr>
        <w:trPr/>
        <w:tc>
          <w:tcPr>
            <w:tcW w:w="3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9601 SOUTH MERIDIAN BLVD.</w:t>
              <w:br/>
              <w:t>ENGLEWOOD, COLORADO</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30" w:right="0" w:hanging="0"/>
              <w:jc w:val="center"/>
              <w:rPr/>
            </w:pPr>
            <w:r>
              <w:rPr/>
              <w: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80112</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3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Dean A. Manson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Legal Officer and Secretary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 723-1000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and telephone number, including area code, of person to contact in connection with this report)</w:t>
      </w:r>
    </w:p>
    <w:p>
      <w:pPr>
        <w:pStyle w:val="TextBody"/>
        <w:bidi w:val="0"/>
        <w:spacing w:before="0" w:after="0"/>
        <w:ind w:left="0" w:right="0" w:hanging="0"/>
        <w:jc w:val="center"/>
        <w:rPr/>
      </w:pPr>
      <w:r>
        <w:rPr/>
        <w:t>​</w:t>
      </w:r>
    </w:p>
    <w:p>
      <w:pPr>
        <w:pStyle w:val="TextBody"/>
        <w:pBdr>
          <w:top w:val="single" w:sz="2" w:space="1" w:color="808080"/>
          <w:left w:val="single" w:sz="2" w:space="1" w:color="808080"/>
          <w:bottom w:val="single" w:sz="2" w:space="1" w:color="808080"/>
          <w:right w:val="single" w:sz="2" w:space="1" w:color="808080"/>
        </w:pBdr>
        <w:bidi w:val="0"/>
        <w:spacing w:lineRule="atLeast" w:line="142" w:before="185" w:after="0"/>
        <w:ind w:left="15" w:right="15"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to indicate the rule pursuant to which this form is being filed, and provide the period to which the information in this form applies:</w:t>
      </w:r>
    </w:p>
    <w:p>
      <w:pPr>
        <w:pStyle w:val="TextBody"/>
        <w:bidi w:val="0"/>
        <w:spacing w:before="0" w:after="0"/>
        <w:ind w:left="0" w:right="0" w:hanging="0"/>
        <w:jc w:val="left"/>
        <w:rPr/>
      </w:pPr>
      <w:r>
        <w:rPr/>
        <w:t> </w:t>
      </w:r>
    </w:p>
    <w:p>
      <w:pPr>
        <w:pStyle w:val="TextBody"/>
        <w:pBdr/>
        <w:bidi w:val="0"/>
        <w:spacing w:before="0" w:after="0"/>
        <w:ind w:left="780" w:right="0" w:hanging="600"/>
        <w:jc w:val="left"/>
        <w:rPr/>
      </w:pPr>
      <w:r>
        <w:rPr/>
        <w:t xml:space="preserve">⌧                       </w:t>
      </w:r>
      <w:r>
        <w:rPr>
          <w:rFonts w:ascii="Times New Roman;Times;serif" w:hAnsi="Times New Roman;Times;serif"/>
          <w:sz w:val="20"/>
        </w:rPr>
        <w:t>Rule 13p-1 under the Securities Exchange Act (17 CFR 240.13p-1) for the reporting period from January 1 to December 31, 2025.  </w:t>
      </w:r>
    </w:p>
    <w:p>
      <w:pPr>
        <w:pStyle w:val="TextBody"/>
        <w:pBdr>
          <w:top w:val="single" w:sz="2" w:space="1" w:color="808080"/>
          <w:left w:val="single" w:sz="2" w:space="1" w:color="808080"/>
          <w:bottom w:val="single" w:sz="2" w:space="1" w:color="808080"/>
          <w:right w:val="single" w:sz="2" w:space="1" w:color="808080"/>
        </w:pBdr>
        <w:bidi w:val="0"/>
        <w:spacing w:lineRule="atLeast" w:line="142" w:before="185" w:after="0"/>
        <w:ind w:left="15" w:right="15"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bookmarkStart w:id="5" w:name="page2"/>
      <w:bookmarkEnd w:id="5"/>
      <w:r>
        <w:rPr>
          <w:rFonts w:ascii="Times New Roman;Times;serif" w:hAnsi="Times New Roman;Times;serif"/>
          <w:b/>
          <w:sz w:val="20"/>
        </w:rPr>
        <w:t>EXPLANATORY NOTE</w:t>
      </w:r>
    </w:p>
    <w:p>
      <w:pPr>
        <w:pStyle w:val="TextBody"/>
        <w:bidi w:val="0"/>
        <w:spacing w:lineRule="atLeast" w:line="229" w:before="0" w:after="0"/>
        <w:ind w:left="0" w:right="0" w:hanging="0"/>
        <w:jc w:val="left"/>
        <w:rPr/>
      </w:pPr>
      <w:r>
        <w:rPr/>
        <w:t>​</w:t>
      </w:r>
    </w:p>
    <w:p>
      <w:pPr>
        <w:pStyle w:val="TextBody"/>
        <w:bidi w:val="0"/>
        <w:spacing w:lineRule="auto" w:line="326" w:before="0" w:after="0"/>
        <w:ind w:left="0" w:right="0" w:hanging="0"/>
        <w:jc w:val="left"/>
        <w:rPr>
          <w:rFonts w:ascii="Times New Roman;Times;serif" w:hAnsi="Times New Roman;Times;serif"/>
          <w:sz w:val="20"/>
        </w:rPr>
      </w:pPr>
      <w:r>
        <w:rPr>
          <w:rFonts w:ascii="Times New Roman;Times;serif" w:hAnsi="Times New Roman;Times;serif"/>
          <w:sz w:val="20"/>
        </w:rPr>
        <w:t xml:space="preserve">EchoStar Corporation (“EchoStar”) and its subsidiary, Hughes Satellite Systems Corporation (“Hughes”), (together, the “Company”); each has prepared this Specialized Disclosure Report on Form SD (“Form SD”) pursuant to Rule 13p-1 (the “Rule”) promulgated under the Securities Exchange Act of 1934, as amended (the “Exchange Act”), for the reporting period of January 1 to December 31, 2025. This Form SD is being filed for and on behalf of EchoStar and Hughes. </w:t>
      </w:r>
    </w:p>
    <w:p>
      <w:pPr>
        <w:pStyle w:val="TextBody"/>
        <w:bidi w:val="0"/>
        <w:spacing w:lineRule="atLeast" w:line="172" w:before="0" w:after="0"/>
        <w:ind w:left="0" w:right="0" w:hanging="0"/>
        <w:jc w:val="left"/>
        <w:rPr/>
      </w:pPr>
      <w:r>
        <w:rPr/>
        <w:t>​</w:t>
      </w:r>
    </w:p>
    <w:p>
      <w:pPr>
        <w:pStyle w:val="TextBody"/>
        <w:bidi w:val="0"/>
        <w:spacing w:before="0" w:after="0"/>
        <w:ind w:left="3480" w:right="0" w:hanging="0"/>
        <w:jc w:val="left"/>
        <w:rPr>
          <w:rFonts w:ascii="Times New Roman;Times;serif" w:hAnsi="Times New Roman;Times;serif"/>
          <w:b/>
          <w:sz w:val="20"/>
        </w:rPr>
      </w:pPr>
      <w:r>
        <w:rPr>
          <w:rFonts w:ascii="Times New Roman;Times;serif" w:hAnsi="Times New Roman;Times;serif"/>
          <w:b/>
          <w:sz w:val="20"/>
        </w:rPr>
        <w:t>SECTION 1—CONFLICT MINERALS DISCLOSURE</w:t>
      </w:r>
    </w:p>
    <w:p>
      <w:pPr>
        <w:pStyle w:val="TextBody"/>
        <w:bidi w:val="0"/>
        <w:spacing w:lineRule="atLeast" w:line="225"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1.01. Conflict Minerals Disclosure and Report</w:t>
      </w:r>
    </w:p>
    <w:p>
      <w:pPr>
        <w:pStyle w:val="TextBody"/>
        <w:bidi w:val="0"/>
        <w:spacing w:lineRule="atLeast" w:line="225"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Introduction</w:t>
      </w:r>
    </w:p>
    <w:p>
      <w:pPr>
        <w:pStyle w:val="TextBody"/>
        <w:bidi w:val="0"/>
        <w:spacing w:lineRule="atLeast" w:line="229" w:before="0" w:after="0"/>
        <w:ind w:left="0" w:right="0" w:hanging="0"/>
        <w:jc w:val="left"/>
        <w:rPr/>
      </w:pPr>
      <w:r>
        <w:rPr/>
        <w:t>​</w:t>
      </w:r>
    </w:p>
    <w:p>
      <w:pPr>
        <w:pStyle w:val="TextBody"/>
        <w:bidi w:val="0"/>
        <w:spacing w:lineRule="auto" w:line="319" w:before="0" w:after="0"/>
        <w:ind w:left="0" w:right="80" w:hanging="0"/>
        <w:jc w:val="left"/>
        <w:rPr>
          <w:rFonts w:ascii="Times New Roman;Times;serif" w:hAnsi="Times New Roman;Times;serif"/>
          <w:sz w:val="20"/>
        </w:rPr>
      </w:pPr>
      <w:r>
        <w:rPr>
          <w:rFonts w:ascii="Times New Roman;Times;serif" w:hAnsi="Times New Roman;Times;serif"/>
          <w:sz w:val="20"/>
        </w:rPr>
        <w:t>The Rule requires disclosure of certain information when a registrant manufactures, or contracts to manufacture, products whose manufacture was completed during the relevant reporting period that contain certain minerals that are necessary to the functionality or production of such products (the “Covered Products”). The specified minerals are gold, columbite-tantalite (coltan), cassiterite and wolframite, including their derivatives, which are limited to tantalum, tin and tungsten (collectively, the “Conflict Minerals”). For the Covered Products, the registrant must conduct in good faith a reasonable country of origin inquiry designed to determine whether any of the Conflict Minerals originated in the Democratic Republic of the Congo or certain adjoining countries (each, a “Covered Country” and collectively, the “Covered Countries”). If, based on such inquiry, a registrant knows or has reason to believe that any of the Conflict Minerals contained in its products originated or may have originated in a Covered Country and that such Conflict Minerals are not or may not be solely from recycled or scrap sources, the registrant must conduct due diligence with respect to the source and chain of custody of the Conflict Minerals to determine the origin of such Conflict Minerals and whether they directly or indirectly financed or benefited armed groups in the Covered Countries.</w:t>
      </w:r>
    </w:p>
    <w:p>
      <w:pPr>
        <w:pStyle w:val="TextBody"/>
        <w:bidi w:val="0"/>
        <w:spacing w:lineRule="atLeast" w:line="181"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Conclusion Based on Reasonable Country of Origin Inquiry</w:t>
      </w:r>
    </w:p>
    <w:p>
      <w:pPr>
        <w:pStyle w:val="TextBody"/>
        <w:bidi w:val="0"/>
        <w:spacing w:lineRule="atLeast" w:line="229"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the Rule, for the reporting period of January 1 to December 31, 2025, the Company:</w:t>
      </w:r>
    </w:p>
    <w:p>
      <w:pPr>
        <w:pStyle w:val="TextBody"/>
        <w:bidi w:val="0"/>
        <w:spacing w:lineRule="atLeast" w:line="225" w:before="0" w:after="0"/>
        <w:ind w:left="0" w:right="0" w:hanging="0"/>
        <w:jc w:val="left"/>
        <w:rPr/>
      </w:pPr>
      <w:r>
        <w:rPr/>
        <w:t>​</w:t>
      </w:r>
    </w:p>
    <w:tbl>
      <w:tblPr>
        <w:tblW w:w="8343" w:type="dxa"/>
        <w:jc w:val="left"/>
        <w:tblInd w:w="0" w:type="dxa"/>
        <w:tblLayout w:type="fixed"/>
        <w:tblCellMar>
          <w:top w:w="0" w:type="dxa"/>
          <w:left w:w="0" w:type="dxa"/>
          <w:bottom w:w="0" w:type="dxa"/>
          <w:right w:w="0" w:type="dxa"/>
        </w:tblCellMar>
      </w:tblPr>
      <w:tblGrid>
        <w:gridCol w:w="23"/>
        <w:gridCol w:w="11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Determined that the Company manufactured, or contracted to manufacture, certain Covered Products.</w:t>
            </w:r>
          </w:p>
        </w:tc>
      </w:tr>
    </w:tbl>
    <w:p>
      <w:pPr>
        <w:pStyle w:val="TextBody"/>
        <w:bidi w:val="0"/>
        <w:spacing w:lineRule="atLeast" w:line="142"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0"/>
        <w:gridCol w:w="1004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Conducted a good faith reasonable country of origin inquiry which was reasonably designed to determine whether any of the Conflict Minerals in our Covered Products originated in the Covered Countries and, if so, whether any of such Conflict Minerals were from recycled or scrap sources. Based on that inquiry, the Company has reason to believe that some of the Conflict Minerals in our Covered Products may have originated in one or more of the Covered Countries and that such Conflict Minerals may not have been from recycled or scrap sources.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ind w:left="0" w:right="0" w:hanging="0"/>
        <w:jc w:val="left"/>
        <w:rPr/>
      </w:pPr>
      <w:r>
        <w:rPr/>
        <w:t>​</w:t>
      </w:r>
    </w:p>
    <w:tbl>
      <w:tblPr>
        <w:tblW w:w="8208" w:type="dxa"/>
        <w:jc w:val="left"/>
        <w:tblInd w:w="0" w:type="dxa"/>
        <w:tblLayout w:type="fixed"/>
        <w:tblCellMar>
          <w:top w:w="0" w:type="dxa"/>
          <w:left w:w="0" w:type="dxa"/>
          <w:bottom w:w="0" w:type="dxa"/>
          <w:right w:w="0" w:type="dxa"/>
        </w:tblCellMar>
      </w:tblPr>
      <w:tblGrid>
        <w:gridCol w:w="23"/>
        <w:gridCol w:w="110"/>
        <w:gridCol w:w="807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Conducted due diligence with respect to the source and chain of custody of such Conflict Minerals.</w:t>
            </w:r>
          </w:p>
        </w:tc>
      </w:tr>
    </w:tbl>
    <w:p>
      <w:pPr>
        <w:pStyle w:val="TextBody"/>
        <w:bidi w:val="0"/>
        <w:spacing w:lineRule="atLeast" w:line="211" w:before="0" w:after="0"/>
        <w:ind w:left="0" w:right="0" w:hanging="0"/>
        <w:jc w:val="left"/>
        <w:rPr/>
      </w:pPr>
      <w:r>
        <w:rPr/>
        <w:t>​</w:t>
      </w:r>
    </w:p>
    <w:p>
      <w:pPr>
        <w:pStyle w:val="TextBody"/>
        <w:bidi w:val="0"/>
        <w:spacing w:lineRule="auto" w:line="312" w:before="0" w:after="0"/>
        <w:ind w:left="0" w:right="720" w:hanging="0"/>
        <w:jc w:val="left"/>
        <w:rPr>
          <w:rFonts w:ascii="Times New Roman;Times;serif" w:hAnsi="Times New Roman;Times;serif"/>
          <w:sz w:val="20"/>
        </w:rPr>
      </w:pPr>
      <w:r>
        <w:rPr>
          <w:rFonts w:ascii="Times New Roman;Times;serif" w:hAnsi="Times New Roman;Times;serif"/>
          <w:sz w:val="20"/>
        </w:rPr>
        <w:t>Based on the information obtained through our reasonable country of origin inquiry and our due diligence efforts, which significantly overlap, the Company has reasonably determined that countries of origin of the Conflict Minerals in the Covered Products, to the extent known, included the Democratic Republic of the Congo, Rwanda, Tanzania and Uganda.</w:t>
      </w:r>
    </w:p>
    <w:p>
      <w:pPr>
        <w:pStyle w:val="TextBody"/>
        <w:bidi w:val="0"/>
        <w:spacing w:lineRule="atLeast" w:line="180"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Conflict Minerals Disclosure</w:t>
      </w:r>
    </w:p>
    <w:p>
      <w:pPr>
        <w:pStyle w:val="TextBody"/>
        <w:bidi w:val="0"/>
        <w:spacing w:lineRule="atLeast" w:line="229" w:before="0" w:after="0"/>
        <w:ind w:left="0" w:right="0" w:hanging="0"/>
        <w:jc w:val="left"/>
        <w:rPr/>
      </w:pPr>
      <w:r>
        <w:rPr/>
        <w:t>​</w:t>
      </w:r>
    </w:p>
    <w:p>
      <w:pPr>
        <w:pStyle w:val="TextBody"/>
        <w:bidi w:val="0"/>
        <w:spacing w:lineRule="auto" w:line="304" w:before="0" w:after="0"/>
        <w:ind w:left="0" w:right="360" w:hanging="0"/>
        <w:jc w:val="left"/>
        <w:rPr>
          <w:rFonts w:ascii="Times New Roman;Times;serif" w:hAnsi="Times New Roman;Times;serif"/>
          <w:sz w:val="20"/>
        </w:rPr>
      </w:pPr>
      <w:r>
        <w:rPr>
          <w:rFonts w:ascii="Times New Roman;Times;serif" w:hAnsi="Times New Roman;Times;serif"/>
          <w:sz w:val="20"/>
        </w:rPr>
        <w:t>Based on the results of the procedures described above, the Company has filed this Form SD and the attached Conflict Minerals Report. A copy of the Company’s Conflict Minerals Report is filed as Exhibit 1.01 to this Form SD, and is publicly available on the Company’s website at http://ir.echostar.com/financial-information/sec-filings. Unless otherwise stated in this Form SD and the Conflict Minerals Report filed as Exhibit 1.01 hereto, any documents, third-party materials or references to websites, including the Company’s website, are not incorporated by reference in, or considered to be a part of, this Form SD and the attached Conflict Minerals Report.</w:t>
      </w:r>
    </w:p>
    <w:p>
      <w:pPr>
        <w:pStyle w:val="TextBody"/>
        <w:bidi w:val="0"/>
        <w:spacing w:before="0" w:after="0"/>
        <w:ind w:left="0" w:right="0" w:hanging="0"/>
        <w:jc w:val="left"/>
        <w:rPr/>
      </w:pPr>
      <w:bookmarkStart w:id="6" w:name="page3"/>
      <w:bookmarkEnd w:id="6"/>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tLeast" w:line="229" w:before="0" w:after="0"/>
        <w:ind w:left="0" w:right="0" w:hanging="0"/>
        <w:jc w:val="left"/>
        <w:rPr/>
      </w:pPr>
      <w:r>
        <w:rPr/>
        <w:t>​</w:t>
      </w:r>
    </w:p>
    <w:p>
      <w:pPr>
        <w:pStyle w:val="TextBody"/>
        <w:bidi w:val="0"/>
        <w:spacing w:lineRule="auto" w:line="338" w:before="0" w:after="0"/>
        <w:ind w:left="0" w:right="20" w:hanging="0"/>
        <w:jc w:val="left"/>
        <w:rPr>
          <w:rFonts w:ascii="Times New Roman;Times;serif" w:hAnsi="Times New Roman;Times;serif"/>
          <w:sz w:val="20"/>
        </w:rPr>
      </w:pPr>
      <w:r>
        <w:rPr>
          <w:rFonts w:ascii="Times New Roman;Times;serif" w:hAnsi="Times New Roman;Times;serif"/>
          <w:sz w:val="20"/>
        </w:rPr>
        <w:t xml:space="preserve">This Form SD and the attached Conflict Minerals Report may contain “forward-looking statements” within the meaning of the Private Securities Litigation Reform Act of 1995, Section 27A of the Securities Act of 1933, as amended, and Section 21E of the Exchange Act,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Form SD and the attached Conflict Minerals Report and represent management’s current views and assumptions based on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38" w:before="0" w:after="0"/>
        <w:ind w:left="0" w:right="20" w:hanging="0"/>
        <w:jc w:val="left"/>
        <w:rPr>
          <w:rFonts w:ascii="Times New Roman;Times;serif" w:hAnsi="Times New Roman;Times;serif"/>
          <w:sz w:val="20"/>
        </w:rPr>
      </w:pPr>
      <w:r>
        <w:rPr>
          <w:rFonts w:ascii="Times New Roman;Times;serif" w:hAnsi="Times New Roman;Times;serif"/>
          <w:sz w:val="20"/>
        </w:rPr>
        <w:t>past experience and trends, current economic and industry conditions, expected future developments and other relevant factors. Forward-looking statements are not guarantees of future performance, events or results and involve potential known and unknown risks, uncertainties and other factors, many of which may be beyond our control and may pose a risk to our operating and financial condition in both the near- and long-term. Accordingly, actual performance, events or results could differ materially from those expressed or implied in the forward-looking statements due to a number of factors. Important factors that could cause actual outcomes to differ materially from those contained in any forward-looking statement include those described in EchoStar’s and Hughes’s respective reports, including EchoStar’s and Hughes’s respective annual reports on Form 10-K for the fiscal year ended December 31, 2025, EchoStar’s and Hughes’s, respective quarterly reports on Form 10-Q and other documents that each of EchoStar and Hughes files with or furnishes to the Securities and Exchange Commission from time to time. You should not put undue reliance on any forward-looking statements. Unless we are required to do so under U.S. federal securities laws or other applicable laws, we do not intend to update or revise any forward-looking statements. 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pStyle w:val="TextBody"/>
        <w:bidi w:val="0"/>
        <w:spacing w:lineRule="atLeast" w:line="394"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1.02. Exhibit</w:t>
      </w:r>
    </w:p>
    <w:p>
      <w:pPr>
        <w:pStyle w:val="TextBody"/>
        <w:bidi w:val="0"/>
        <w:spacing w:lineRule="atLeast" w:line="229"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specified in Section 2, Item 2.01 of this Form SD, the Company is hereby filing its Conflict Minerals Report as Exhibit 1.01 to this Form SD.</w:t>
      </w:r>
    </w:p>
    <w:p>
      <w:pPr>
        <w:pStyle w:val="TextBody"/>
        <w:bidi w:val="0"/>
        <w:spacing w:lineRule="atLeast" w:line="233"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2—EXHIBITS</w:t>
      </w:r>
    </w:p>
    <w:p>
      <w:pPr>
        <w:pStyle w:val="TextBody"/>
        <w:bidi w:val="0"/>
        <w:spacing w:lineRule="atLeast" w:line="225"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2.01. Exhibits</w:t>
      </w:r>
    </w:p>
    <w:p>
      <w:pPr>
        <w:pStyle w:val="TextBody"/>
        <w:bidi w:val="0"/>
        <w:spacing w:lineRule="atLeast" w:line="229"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exhibit is filed as part of this Form SD.</w:t>
      </w:r>
    </w:p>
    <w:p>
      <w:pPr>
        <w:pStyle w:val="TextBody"/>
        <w:bidi w:val="0"/>
        <w:spacing w:lineRule="atLeast" w:line="221"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4"/>
        <w:gridCol w:w="311"/>
        <w:gridCol w:w="312"/>
        <w:gridCol w:w="109"/>
        <w:gridCol w:w="683"/>
        <w:gridCol w:w="683"/>
        <w:gridCol w:w="683"/>
        <w:gridCol w:w="2064"/>
        <w:gridCol w:w="2064"/>
        <w:gridCol w:w="2942"/>
      </w:tblGrid>
      <w:tr>
        <w:trPr/>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4790" cy="175260"/>
                      <wp:effectExtent l="0" t="0" r="0" b="0"/>
                      <wp:wrapNone/>
                      <wp:docPr id="1" name="Frame1"/>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97485" cy="175260"/>
                      <wp:effectExtent l="0" t="0" r="0" b="0"/>
                      <wp:wrapNone/>
                      <wp:docPr id="2" name="Frame2"/>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98120" cy="175260"/>
                      <wp:effectExtent l="0" t="0" r="0" b="0"/>
                      <wp:wrapNone/>
                      <wp:docPr id="3" name="Frame3"/>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33705" cy="175260"/>
                      <wp:effectExtent l="0" t="0" r="0" b="0"/>
                      <wp:wrapNone/>
                      <wp:docPr id="5" name="Frame5"/>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867410" cy="175260"/>
                      <wp:effectExtent l="0" t="0" r="0" b="0"/>
                      <wp:wrapNone/>
                      <wp:docPr id="6" name="Frame6"/>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10640" cy="175260"/>
                      <wp:effectExtent l="0" t="0" r="0" b="0"/>
                      <wp:wrapNone/>
                      <wp:docPr id="7" name="Frame7"/>
                      <a:graphic xmlns:a="http://schemas.openxmlformats.org/drawingml/2006/main">
                        <a:graphicData uri="http://schemas.microsoft.com/office/word/2010/wordprocessingShape">
                          <wps:wsp>
                            <wps:cNvSpPr txBox="1"/>
                            <wps:spPr>
                              <a:xfrm>
                                <a:off x="0" y="0"/>
                                <a:ext cx="1310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10640" cy="175260"/>
                      <wp:effectExtent l="0" t="0" r="0" b="0"/>
                      <wp:wrapNone/>
                      <wp:docPr id="8" name="Frame8"/>
                      <a:graphic xmlns:a="http://schemas.openxmlformats.org/drawingml/2006/main">
                        <a:graphicData uri="http://schemas.microsoft.com/office/word/2010/wordprocessingShape">
                          <wps:wsp>
                            <wps:cNvSpPr txBox="1"/>
                            <wps:spPr>
                              <a:xfrm>
                                <a:off x="0" y="0"/>
                                <a:ext cx="1310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868170" cy="175260"/>
                      <wp:effectExtent l="0" t="0" r="0" b="0"/>
                      <wp:wrapNone/>
                      <wp:docPr id="9" name="Frame9"/>
                      <a:graphic xmlns:a="http://schemas.openxmlformats.org/drawingml/2006/main">
                        <a:graphicData uri="http://schemas.microsoft.com/office/word/2010/wordprocessingShape">
                          <wps:wsp>
                            <wps:cNvSpPr txBox="1"/>
                            <wps:spPr>
                              <a:xfrm>
                                <a:off x="0" y="0"/>
                                <a:ext cx="186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7"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109"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left"/>
              <w:rPr/>
            </w:pPr>
            <w:r>
              <w:rPr/>
              <w:t>​</w:t>
            </w:r>
          </w:p>
        </w:tc>
        <w:tc>
          <w:tcPr>
            <w:tcW w:w="707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gridSpan w:val="2"/>
            <w:tcBorders/>
            <w:vAlign w:val="center"/>
          </w:tcPr>
          <w:p>
            <w:pPr>
              <w:pStyle w:val="TableContents"/>
              <w:bidi w:val="0"/>
              <w:spacing w:lineRule="atLeast" w:line="169"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19" w:type="dxa"/>
            <w:gridSpan w:val="6"/>
            <w:tcBorders/>
            <w:vAlign w:val="center"/>
          </w:tcPr>
          <w:p>
            <w:pPr>
              <w:pStyle w:val="TableContents"/>
              <w:bidi w:val="0"/>
              <w:spacing w:before="0" w:after="0"/>
              <w:ind w:left="0" w:right="0" w:hanging="0"/>
              <w:jc w:val="left"/>
              <w:rPr/>
            </w:pPr>
            <w:hyperlink w:anchor="sats-20260601xex1.htm">
              <w:r>
                <w:rPr>
                  <w:rStyle w:val="InternetLink"/>
                  <w:rFonts w:ascii="Times New Roman;Times;serif" w:hAnsi="Times New Roman;Times;serif"/>
                  <w:b w:val="false"/>
                  <w:i w:val="false"/>
                  <w:caps w:val="false"/>
                  <w:smallCaps w:val="false"/>
                  <w:sz w:val="20"/>
                </w:rPr>
                <w:t>Conflict Minerals Report of EchoStar Corporation and Hughes Satellite Systems Corporation for the reporting period of January 1 to December 31, 2025.</w:t>
              </w:r>
            </w:hyperlink>
          </w:p>
        </w:tc>
      </w:tr>
      <w:tr>
        <w:trPr/>
        <w:tc>
          <w:tcPr>
            <w:tcW w:w="354"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lineRule="atLeast" w:line="196"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4" w:type="dxa"/>
            <w:tcBorders/>
            <w:vAlign w:val="center"/>
          </w:tcPr>
          <w:p>
            <w:pPr>
              <w:pStyle w:val="TableContents"/>
              <w:bidi w:val="0"/>
              <w:spacing w:before="0" w:after="0"/>
              <w:ind w:left="0" w:right="0" w:hanging="0"/>
              <w:jc w:val="left"/>
              <w:rPr/>
            </w:pPr>
            <w:r>
              <w:rPr/>
              <w:t>​</w:t>
            </w:r>
          </w:p>
        </w:tc>
        <w:tc>
          <w:tcPr>
            <w:tcW w:w="2064" w:type="dxa"/>
            <w:tcBorders/>
            <w:vAlign w:val="center"/>
          </w:tcPr>
          <w:p>
            <w:pPr>
              <w:pStyle w:val="TableContents"/>
              <w:bidi w:val="0"/>
              <w:spacing w:before="0" w:after="0"/>
              <w:ind w:left="0" w:right="0" w:hanging="0"/>
              <w:jc w:val="left"/>
              <w:rPr/>
            </w:pPr>
            <w:r>
              <w:rPr/>
              <w:t>​</w:t>
            </w:r>
          </w:p>
        </w:tc>
        <w:tc>
          <w:tcPr>
            <w:tcW w:w="294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bookmarkStart w:id="7" w:name="page4"/>
      <w:bookmarkEnd w:id="7"/>
      <w:r>
        <w:rPr>
          <w:rFonts w:ascii="Times New Roman;Times;serif" w:hAnsi="Times New Roman;Times;serif"/>
          <w:b/>
          <w:sz w:val="20"/>
        </w:rPr>
        <w:t>SIGNATURES</w:t>
      </w:r>
    </w:p>
    <w:p>
      <w:pPr>
        <w:pStyle w:val="TextBody"/>
        <w:bidi w:val="0"/>
        <w:spacing w:lineRule="atLeast" w:line="229" w:before="0" w:after="0"/>
        <w:ind w:left="0" w:right="0" w:hanging="0"/>
        <w:jc w:val="left"/>
        <w:rPr/>
      </w:pPr>
      <w:r>
        <w:rPr/>
        <w:t>​</w:t>
      </w:r>
    </w:p>
    <w:p>
      <w:pPr>
        <w:pStyle w:val="TextBody"/>
        <w:bidi w:val="0"/>
        <w:spacing w:lineRule="auto" w:line="328" w:before="0" w:after="0"/>
        <w:ind w:left="0" w:right="50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each registrant has duly caused this report to be signed on its behalf by the duly authorized undersigned.</w:t>
      </w:r>
    </w:p>
    <w:p>
      <w:pPr>
        <w:pStyle w:val="TextBody"/>
        <w:bidi w:val="0"/>
        <w:spacing w:lineRule="atLeast" w:line="166"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1"/>
        <w:gridCol w:w="308"/>
        <w:gridCol w:w="309"/>
        <w:gridCol w:w="186"/>
        <w:gridCol w:w="340"/>
        <w:gridCol w:w="184"/>
        <w:gridCol w:w="3250"/>
        <w:gridCol w:w="1021"/>
        <w:gridCol w:w="1819"/>
        <w:gridCol w:w="2437"/>
      </w:tblGrid>
      <w:tr>
        <w:trPr/>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2885" cy="175260"/>
                      <wp:effectExtent l="0" t="0" r="0" b="0"/>
                      <wp:wrapNone/>
                      <wp:docPr id="10" name="Frame10"/>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5580" cy="175260"/>
                      <wp:effectExtent l="0" t="0" r="0" b="0"/>
                      <wp:wrapNone/>
                      <wp:docPr id="11" name="Frame11"/>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96215" cy="175260"/>
                      <wp:effectExtent l="0" t="0" r="0" b="0"/>
                      <wp:wrapNone/>
                      <wp:docPr id="12" name="Frame12"/>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18110" cy="175260"/>
                      <wp:effectExtent l="0" t="0" r="0" b="0"/>
                      <wp:wrapNone/>
                      <wp:docPr id="13" name="Frame13"/>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5900" cy="175260"/>
                      <wp:effectExtent l="0" t="0" r="0" b="0"/>
                      <wp:wrapNone/>
                      <wp:docPr id="14" name="Frame14"/>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16840" cy="175260"/>
                      <wp:effectExtent l="0" t="0" r="0" b="0"/>
                      <wp:wrapNone/>
                      <wp:docPr id="15" name="Frame15"/>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63750" cy="175260"/>
                      <wp:effectExtent l="0" t="0" r="0" b="0"/>
                      <wp:wrapNone/>
                      <wp:docPr id="16" name="Frame16"/>
                      <a:graphic xmlns:a="http://schemas.openxmlformats.org/drawingml/2006/main">
                        <a:graphicData uri="http://schemas.microsoft.com/office/word/2010/wordprocessingShape">
                          <wps:wsp>
                            <wps:cNvSpPr txBox="1"/>
                            <wps:spPr>
                              <a:xfrm>
                                <a:off x="0" y="0"/>
                                <a:ext cx="2063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335" cy="175260"/>
                      <wp:effectExtent l="0" t="0" r="0" b="0"/>
                      <wp:wrapNone/>
                      <wp:docPr id="17" name="Frame1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702560" cy="175260"/>
                      <wp:effectExtent l="0" t="0" r="0" b="0"/>
                      <wp:wrapNone/>
                      <wp:docPr id="18" name="Frame18"/>
                      <a:graphic xmlns:a="http://schemas.openxmlformats.org/drawingml/2006/main">
                        <a:graphicData uri="http://schemas.microsoft.com/office/word/2010/wordprocessingShape">
                          <wps:wsp>
                            <wps:cNvSpPr txBox="1"/>
                            <wps:spPr>
                              <a:xfrm>
                                <a:off x="0" y="0"/>
                                <a:ext cx="270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8527" w:type="dxa"/>
            <w:gridSpan w:val="4"/>
            <w:tcBorders/>
            <w:vAlign w:val="center"/>
          </w:tcPr>
          <w:p>
            <w:pPr>
              <w:pStyle w:val="TableContents"/>
              <w:bidi w:val="0"/>
              <w:spacing w:before="0" w:after="0"/>
              <w:ind w:left="1400" w:right="0" w:hanging="0"/>
              <w:jc w:val="left"/>
              <w:rPr>
                <w:rFonts w:ascii="Times New Roman;Times;serif" w:hAnsi="Times New Roman;Times;serif"/>
                <w:b/>
                <w:sz w:val="20"/>
              </w:rPr>
            </w:pPr>
            <w:r>
              <w:rPr>
                <w:rFonts w:ascii="Times New Roman;Times;serif" w:hAnsi="Times New Roman;Times;serif"/>
                <w:b/>
                <w:sz w:val="20"/>
              </w:rPr>
              <w:t>ECHOSTAR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HUGHES SATELLITE SYSTEMS CORPORATION</w:t>
            </w:r>
          </w:p>
        </w:tc>
      </w:tr>
      <w:tr>
        <w:trPr/>
        <w:tc>
          <w:tcPr>
            <w:tcW w:w="968" w:type="dxa"/>
            <w:gridSpan w:val="3"/>
            <w:tcBorders/>
            <w:vAlign w:val="center"/>
          </w:tcPr>
          <w:p>
            <w:pPr>
              <w:pStyle w:val="TableContents"/>
              <w:bidi w:val="0"/>
              <w:spacing w:before="0" w:after="0"/>
              <w:ind w:left="0" w:right="0" w:hanging="0"/>
              <w:jc w:val="center"/>
              <w:rPr/>
            </w:pPr>
            <w:r>
              <w:rPr/>
              <w:t>​</w:t>
            </w:r>
          </w:p>
        </w:tc>
        <w:tc>
          <w:tcPr>
            <w:tcW w:w="18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3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21" w:type="dxa"/>
            <w:tcBorders/>
            <w:vAlign w:val="center"/>
          </w:tcPr>
          <w:p>
            <w:pPr>
              <w:pStyle w:val="TableContents"/>
              <w:bidi w:val="0"/>
              <w:spacing w:before="0" w:after="0"/>
              <w:ind w:left="0" w:right="0" w:hanging="0"/>
              <w:jc w:val="left"/>
              <w:rPr/>
            </w:pPr>
            <w:r>
              <w:rPr/>
              <w:t>​</w:t>
            </w:r>
          </w:p>
        </w:tc>
        <w:tc>
          <w:tcPr>
            <w:tcW w:w="425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Dean A. Manson</w:t>
            </w:r>
          </w:p>
        </w:tc>
      </w:tr>
      <w:tr>
        <w:trPr/>
        <w:tc>
          <w:tcPr>
            <w:tcW w:w="35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3250" w:type="dxa"/>
            <w:tcBorders/>
            <w:vAlign w:val="center"/>
          </w:tcPr>
          <w:p>
            <w:pPr>
              <w:pStyle w:val="TableContents"/>
              <w:bidi w:val="0"/>
              <w:spacing w:before="0" w:after="0"/>
              <w:ind w:left="0" w:right="0" w:hanging="0"/>
              <w:jc w:val="left"/>
              <w:rPr/>
            </w:pPr>
            <w:r>
              <w:rPr/>
              <w:t>​</w:t>
            </w:r>
          </w:p>
        </w:tc>
        <w:tc>
          <w:tcPr>
            <w:tcW w:w="10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256" w:type="dxa"/>
            <w:gridSpan w:val="2"/>
            <w:tcBorders>
              <w:top w:val="single" w:sz="2" w:space="0" w:color="000000"/>
            </w:tcBorders>
            <w:tcMar>
              <w:top w:w="28" w:type="dxa"/>
            </w:tcMar>
            <w:vAlign w:val="center"/>
          </w:tcPr>
          <w:p>
            <w:pPr>
              <w:pStyle w:val="TableContents"/>
              <w:bidi w:val="0"/>
              <w:spacing w:lineRule="atLeast" w:line="195" w:before="0" w:after="0"/>
              <w:ind w:left="0" w:right="0" w:hanging="0"/>
              <w:jc w:val="left"/>
              <w:rPr>
                <w:rFonts w:ascii="Times New Roman;Times;serif" w:hAnsi="Times New Roman;Times;serif"/>
                <w:sz w:val="20"/>
              </w:rPr>
            </w:pPr>
            <w:r>
              <w:rPr>
                <w:rFonts w:ascii="Times New Roman;Times;serif" w:hAnsi="Times New Roman;Times;serif"/>
                <w:sz w:val="20"/>
              </w:rPr>
              <w:t>Dean A. Manson</w:t>
            </w:r>
          </w:p>
        </w:tc>
      </w:tr>
      <w:tr>
        <w:trPr/>
        <w:tc>
          <w:tcPr>
            <w:tcW w:w="35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3250"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4256"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Legal Officer and Secretary</w:t>
            </w:r>
          </w:p>
        </w:tc>
      </w:tr>
      <w:tr>
        <w:trPr/>
        <w:tc>
          <w:tcPr>
            <w:tcW w:w="1494"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 2026</w:t>
            </w:r>
          </w:p>
        </w:tc>
        <w:tc>
          <w:tcPr>
            <w:tcW w:w="184" w:type="dxa"/>
            <w:tcBorders/>
            <w:vAlign w:val="center"/>
          </w:tcPr>
          <w:p>
            <w:pPr>
              <w:pStyle w:val="TableContents"/>
              <w:bidi w:val="0"/>
              <w:spacing w:before="0" w:after="0"/>
              <w:ind w:left="0" w:right="0" w:hanging="0"/>
              <w:jc w:val="left"/>
              <w:rPr/>
            </w:pPr>
            <w:r>
              <w:rPr/>
              <w:t>​</w:t>
            </w:r>
          </w:p>
        </w:tc>
        <w:tc>
          <w:tcPr>
            <w:tcW w:w="3250"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4256" w:type="dxa"/>
            <w:gridSpan w:val="2"/>
            <w:tcBorders/>
            <w:vAlign w:val="center"/>
          </w:tcPr>
          <w:p>
            <w:pPr>
              <w:pStyle w:val="TableContents"/>
              <w:bidi w:val="0"/>
              <w:spacing w:before="0" w:after="0"/>
              <w:ind w:left="0" w:right="0" w:hanging="0"/>
              <w:jc w:val="left"/>
              <w:rPr/>
            </w:pPr>
            <w:r>
              <w:rPr/>
              <w:t>​</w:t>
            </w:r>
          </w:p>
        </w:tc>
      </w:tr>
      <w:tr>
        <w:trPr/>
        <w:tc>
          <w:tcPr>
            <w:tcW w:w="35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3250"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4256" w:type="dxa"/>
            <w:gridSpan w:val="2"/>
            <w:tcBorders/>
            <w:vAlign w:val="center"/>
          </w:tcPr>
          <w:p>
            <w:pPr>
              <w:pStyle w:val="TableContents"/>
              <w:bidi w:val="0"/>
              <w:spacing w:before="0" w:after="0"/>
              <w:ind w:left="0" w:right="0" w:hanging="0"/>
              <w:jc w:val="left"/>
              <w:rPr/>
            </w:pPr>
            <w:r>
              <w:rPr/>
              <w:t>​</w:t>
            </w:r>
          </w:p>
        </w:tc>
      </w:tr>
      <w:tr>
        <w:trPr/>
        <w:tc>
          <w:tcPr>
            <w:tcW w:w="35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8527"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INDEX</w:t>
            </w:r>
          </w:p>
        </w:tc>
      </w:tr>
      <w:tr>
        <w:trPr/>
        <w:tc>
          <w:tcPr>
            <w:tcW w:w="968"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18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3250" w:type="dxa"/>
            <w:tcBorders/>
            <w:vAlign w:val="center"/>
          </w:tcPr>
          <w:p>
            <w:pPr>
              <w:pStyle w:val="TableContents"/>
              <w:bidi w:val="0"/>
              <w:spacing w:before="0" w:after="0"/>
              <w:ind w:left="0" w:right="0" w:hanging="0"/>
              <w:jc w:val="left"/>
              <w:rPr/>
            </w:pPr>
            <w:r>
              <w:rPr/>
              <w:t>​</w:t>
            </w:r>
          </w:p>
        </w:tc>
        <w:tc>
          <w:tcPr>
            <w:tcW w:w="5277"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659" w:type="dxa"/>
            <w:gridSpan w:val="2"/>
            <w:tcBorders/>
            <w:vAlign w:val="center"/>
          </w:tcPr>
          <w:p>
            <w:pPr>
              <w:pStyle w:val="TableContents"/>
              <w:bidi w:val="0"/>
              <w:spacing w:lineRule="atLeast" w:line="169"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9051" w:type="dxa"/>
            <w:gridSpan w:val="6"/>
            <w:tcBorders/>
            <w:vAlign w:val="center"/>
          </w:tcPr>
          <w:p>
            <w:pPr>
              <w:pStyle w:val="TableContents"/>
              <w:bidi w:val="0"/>
              <w:spacing w:before="0" w:after="0"/>
              <w:ind w:left="0" w:right="0" w:hanging="0"/>
              <w:jc w:val="left"/>
              <w:rPr/>
            </w:pPr>
            <w:hyperlink w:anchor="sats-20260601xex1.htm">
              <w:r>
                <w:rPr>
                  <w:rStyle w:val="InternetLink"/>
                  <w:rFonts w:ascii="Times New Roman;Times;serif" w:hAnsi="Times New Roman;Times;serif"/>
                  <w:b w:val="false"/>
                  <w:i w:val="false"/>
                  <w:caps w:val="false"/>
                  <w:smallCaps w:val="false"/>
                  <w:sz w:val="20"/>
                </w:rPr>
                <w:t>Conflict Minerals Report of EchoStar Corporation and Hughes Satellite Systems Corporation for the reporting period of January 1 to December 31, 2025.</w:t>
              </w:r>
            </w:hyperlink>
          </w:p>
        </w:tc>
      </w:tr>
      <w:tr>
        <w:trPr/>
        <w:tc>
          <w:tcPr>
            <w:tcW w:w="35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3434" w:type="dxa"/>
            <w:gridSpan w:val="2"/>
            <w:tcBorders/>
            <w:vAlign w:val="center"/>
          </w:tcPr>
          <w:p>
            <w:pPr>
              <w:pStyle w:val="TableContents"/>
              <w:bidi w:val="0"/>
              <w:spacing w:lineRule="atLeast" w:line="196"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vAlign w:val="center"/>
          </w:tcPr>
          <w:p>
            <w:pPr>
              <w:pStyle w:val="TableContents"/>
              <w:bidi w:val="0"/>
              <w:spacing w:before="0" w:after="0"/>
              <w:ind w:left="0" w:right="0" w:hanging="0"/>
              <w:jc w:val="left"/>
              <w:rPr/>
            </w:pPr>
            <w:r>
              <w:rPr/>
              <w:t>​</w:t>
            </w:r>
          </w:p>
        </w:tc>
        <w:tc>
          <w:tcPr>
            <w:tcW w:w="1819" w:type="dxa"/>
            <w:tcBorders/>
            <w:vAlign w:val="center"/>
          </w:tcPr>
          <w:p>
            <w:pPr>
              <w:pStyle w:val="TableContents"/>
              <w:bidi w:val="0"/>
              <w:spacing w:before="0" w:after="0"/>
              <w:ind w:left="0" w:right="0" w:hanging="0"/>
              <w:jc w:val="left"/>
              <w:rPr/>
            </w:pPr>
            <w:r>
              <w:rPr/>
              <w:t>​</w:t>
            </w:r>
          </w:p>
        </w:tc>
        <w:tc>
          <w:tcPr>
            <w:tcW w:w="243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8" w:name="sats-20260601xex1.htm"/>
      <w:bookmarkStart w:id="9" w:name="kssats20260601xex1"/>
      <w:bookmarkEnd w:id="8"/>
      <w:bookmarkEnd w:id="9"/>
      <w:r>
        <w:rPr>
          <w:rFonts w:ascii="Times New Roman;Times;serif" w:hAnsi="Times New Roman;Times;serif"/>
          <w:b/>
          <w:sz w:val="20"/>
        </w:rPr>
        <w:t>Exhibit 1.01</w:t>
      </w:r>
      <w:r>
        <w:br w:type="page"/>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ECHOSTAR CORPORATION</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HUGHES SATELLITE SYSTEMS CORPORATION</w:t>
      </w:r>
    </w:p>
    <w:p>
      <w:pPr>
        <w:pStyle w:val="TextBody"/>
        <w:bidi w:val="0"/>
        <w:spacing w:lineRule="auto" w:line="307" w:before="0" w:after="160"/>
        <w:ind w:left="0" w:right="0" w:hanging="0"/>
        <w:jc w:val="center"/>
        <w:rPr/>
      </w:pPr>
      <w:r>
        <w:rPr/>
        <w: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Conflict Minerals Report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For the reporting period from January 1 to December 31, 2025</w:t>
      </w:r>
    </w:p>
    <w:p>
      <w:pPr>
        <w:pStyle w:val="TextBody"/>
        <w:bidi w:val="0"/>
        <w:spacing w:lineRule="auto" w:line="307" w:before="0" w:after="160"/>
        <w:ind w:left="0" w:right="0" w:hanging="0"/>
        <w:jc w:val="center"/>
        <w:rPr/>
      </w:pPr>
      <w:r>
        <w:rPr/>
        <w:t>​</w:t>
      </w:r>
    </w:p>
    <w:p>
      <w:pPr>
        <w:pStyle w:val="TextBody"/>
        <w:bidi w:val="0"/>
        <w:spacing w:lineRule="auto" w:line="307" w:before="0" w:after="0"/>
        <w:ind w:left="0" w:right="0" w:hanging="0"/>
        <w:jc w:val="left"/>
        <w:rPr>
          <w:rFonts w:ascii="Times New Roman;Times;serif" w:hAnsi="Times New Roman;Times;serif"/>
          <w:b/>
          <w:sz w:val="20"/>
        </w:rPr>
      </w:pPr>
      <w:r>
        <w:rPr>
          <w:rFonts w:ascii="Times New Roman;Times;serif" w:hAnsi="Times New Roman;Times;serif"/>
          <w:b/>
          <w:sz w:val="20"/>
        </w:rPr>
        <w:t>Introduction and Background</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This is the Conflict Minerals Report (the “Report”) of EchoStar Corporation (“EchoStar”) and Hughes Satellite Systems Corporation (“Hughes”) (together, the “Company”) for the calendar year ended December 31, 2025. This Form SD is being filed for and on behalf of EchoStar and Hughes, and has been prepared pursuant to Rule 13p-1 (the “Rule”) promulgated under the Securities Exchange Act of 1934, as amended, for the reporting period from January 1 to December 31, 2025. The Rule requires disclosure of certain information when a company manufactures or contracts to manufacture products and the minerals specified in the Rule are necessary to the functionality or production of those products. The specified minerals are gold, columbite-tantalite (coltan), cassiterite and wolframite, including their derivatives, which are limited to tantalum, tin and tungsten (collectively, the “Conflict Minerals”) that originated in the Democratic Republic of the Congo (“DRC”) and certain adjoining countries (collectively with the DRC, the “Covered Countries”).</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Pursuant to the Rule, the Company has concluded, in good faith, that during the reporting period of January 1 to December 31, 2025:</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manufactured, or contracted to manufacture, certain products whose manufacture was completed in calendar year 2025 as to which Conflict Minerals are necessary to the functionality or production of those products (our “Covered Products”);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good faith reasonable country of origin inquiry (“RCOI”) regarding the Conflict Minerals in our Covered Products, the Company had reason to believe that certain of the Conflict Minerals necessary to the functionality or production of our Covered Products may have originated in one or more of the Covered Countries and that such Conflict Minerals may not have been from recycled or scrap sources.</w:t>
            </w:r>
          </w:p>
        </w:tc>
      </w:tr>
    </w:tbl>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Therefore, the Company performed due diligence on the source and chain of custody of such Conflict Minerals in our Covered Products. The Company is filing this Report with our Specialized Disclosure Report on Form SD (the “Form SD”) to comply with the requirements of the Rule. This Report has not been subject to an independent private sector audit.</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PART I. COMPANY OVERVIEW AND DESCRIPTION OF PRODUCTS COVERED BY THIS REPORT</w:t>
      </w:r>
    </w:p>
    <w:p>
      <w:pPr>
        <w:pStyle w:val="TextBody"/>
        <w:bidi w:val="0"/>
        <w:spacing w:lineRule="auto" w:line="307" w:before="0" w:after="160"/>
        <w:ind w:left="0" w:right="0" w:hanging="0"/>
        <w:jc w:val="center"/>
        <w:rPr/>
      </w:pPr>
      <w:r>
        <w:rPr/>
        <w:t>​</w:t>
      </w:r>
    </w:p>
    <w:p>
      <w:pPr>
        <w:pStyle w:val="TextBody"/>
        <w:bidi w:val="0"/>
        <w:spacing w:lineRule="auto" w:line="307" w:before="0" w:after="0"/>
        <w:ind w:left="0" w:right="0" w:hanging="0"/>
        <w:jc w:val="left"/>
        <w:rPr>
          <w:rFonts w:ascii="Times New Roman;Times;serif" w:hAnsi="Times New Roman;Times;serif"/>
          <w:b/>
          <w:sz w:val="20"/>
        </w:rPr>
      </w:pPr>
      <w:r>
        <w:rPr>
          <w:rFonts w:ascii="Times New Roman;Times;serif" w:hAnsi="Times New Roman;Times;serif"/>
          <w:b/>
          <w:sz w:val="20"/>
        </w:rPr>
        <w:t>Description of Products</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 xml:space="preserve">EchoStar is a holding company. Its subsidiaries currently operate four primary business segments: (1) Pay-TV; (2) Wireless; (3) Broadband and Satellite Services; and (4) Other. </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bookmarkStart w:id="10" w:name="page6"/>
      <w:bookmarkEnd w:id="10"/>
      <w:r>
        <w:rPr>
          <w:rFonts w:ascii="Times New Roman;Times;serif" w:hAnsi="Times New Roman;Times;serif"/>
          <w:sz w:val="20"/>
        </w:rPr>
        <w:t>This Report relates to our Covered Products under our Pay TV and Broadband and Satellite Services business segments for the entire reporting period, which consisted of the following:</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9"/>
        <w:jc w:val="left"/>
        <w:rPr>
          <w:rFonts w:ascii="Helvetica;sans-serif" w:hAnsi="Helvetica;sans-serif"/>
          <w:sz w:val="20"/>
        </w:rPr>
      </w:pPr>
      <w:r>
        <w:rPr>
          <w:rFonts w:ascii="Times New Roman;Times;serif" w:hAnsi="Times New Roman;Times;serif"/>
          <w:b/>
          <w:sz w:val="20"/>
        </w:rPr>
        <w:t xml:space="preserve">Pay TV </w:t>
      </w:r>
      <w:r>
        <w:rPr>
          <w:rFonts w:ascii="Helvetica;sans-serif" w:hAnsi="Helvetica;sans-serif"/>
          <w:sz w:val="20"/>
        </w:rPr>
        <w:t xml:space="preserve">— </w:t>
      </w:r>
      <w:r>
        <w:rPr>
          <w:rFonts w:ascii="Times New Roman;Times;serif" w:hAnsi="Times New Roman;Times;serif"/>
          <w:sz w:val="20"/>
        </w:rPr>
        <w:t>We offer pay-TV services under the DISH® brand and the SLING® brand. We also design, develop and distribute receiver systems and provide digital broadcast operations, including satellite uplinking/downlinking, transmission and other services to third-party pay-TV providers.</w:t>
      </w:r>
    </w:p>
    <w:p>
      <w:pPr>
        <w:pStyle w:val="TextBody"/>
        <w:pBdr/>
        <w:bidi w:val="0"/>
        <w:spacing w:lineRule="auto" w:line="285" w:before="0" w:after="240"/>
        <w:ind w:left="0" w:right="0" w:hanging="9"/>
        <w:jc w:val="left"/>
        <w:rPr/>
      </w:pPr>
      <w:r>
        <w:rPr/>
        <w:t>​</w:t>
      </w:r>
    </w:p>
    <w:p>
      <w:pPr>
        <w:pStyle w:val="TextBody"/>
        <w:pBdr/>
        <w:bidi w:val="0"/>
        <w:spacing w:lineRule="auto" w:line="285" w:before="0" w:after="0"/>
        <w:ind w:left="0" w:right="0" w:hanging="9"/>
        <w:jc w:val="left"/>
        <w:rPr>
          <w:rFonts w:ascii="Helvetica;sans-serif" w:hAnsi="Helvetica;sans-serif"/>
          <w:sz w:val="20"/>
        </w:rPr>
      </w:pPr>
      <w:r>
        <w:rPr>
          <w:rFonts w:ascii="Times New Roman;Times;serif" w:hAnsi="Times New Roman;Times;serif"/>
          <w:b/>
          <w:sz w:val="20"/>
        </w:rPr>
        <w:t xml:space="preserve">Broadband and Satellite Services </w:t>
      </w:r>
      <w:r>
        <w:rPr>
          <w:rFonts w:ascii="Helvetica;sans-serif" w:hAnsi="Helvetica;sans-serif"/>
          <w:sz w:val="20"/>
        </w:rPr>
        <w:t xml:space="preserve">— </w:t>
      </w:r>
      <w:r>
        <w:rPr>
          <w:rFonts w:ascii="Times New Roman;Times;serif" w:hAnsi="Times New Roman;Times;serif"/>
          <w:sz w:val="20"/>
        </w:rPr>
        <w:t xml:space="preserve">We offer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9" w:right="0" w:hanging="0"/>
        <w:jc w:val="left"/>
        <w:rPr>
          <w:rFonts w:ascii="Times New Roman;Times;serif" w:hAnsi="Times New Roman;Times;serif"/>
          <w:sz w:val="20"/>
        </w:rPr>
      </w:pPr>
      <w:r>
        <w:rPr>
          <w:rFonts w:ascii="Times New Roman;Times;serif" w:hAnsi="Times New Roman;Times;serif"/>
          <w:sz w:val="20"/>
        </w:rPr>
        <w:t>provide telecommunication networks comprising satellite ground segment systems and terminals to mobile system operators and our enterprise customers.</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We offer a robust suite of integrated, multi-transport solutions to enable airline and airline service providers to deliver reliable in-flight network connectivity serving both commercial and business aviation. </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Certain of our Covered Products were designed, developed, engineered, manufactured, assembled and/or distributed by us; however, we also outsourced a significant portion of these functions to third parties. We worked with third-party vendors for the development and manufacture of components that are integrated into our Covered Products. We developed dual sourcing capabilities for critical parts when practical and we evaluated outsourced subcontract vendors on a periodic basis.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PART II. DESIGN OF OUR DUE DILIGENCE MEASURES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We designed our due diligence measures based on the five-step framework laid out by the Organization for Economic Co-operation and Development in its OECD Due Diligence Guidance for Responsible Supply Chains of Minerals from Conflict-Affected and High-Risk Areas: Third Edition (2016), including the related supplements on gold, tin, tantalum and tungsten (collectively, the “OECD Guidance”). Summarized below are the components of our due diligence measures as they relate to the five-step framework from the OECD Guidance.</w:t>
      </w:r>
    </w:p>
    <w:p>
      <w:pPr>
        <w:pStyle w:val="TextBody"/>
        <w:bidi w:val="0"/>
        <w:spacing w:lineRule="auto" w:line="307" w:before="0" w:after="160"/>
        <w:ind w:left="0" w:right="0" w:hanging="0"/>
        <w:jc w:val="left"/>
        <w:rPr/>
      </w:pPr>
      <w:r>
        <w:rPr/>
        <w:t>​</w:t>
      </w:r>
    </w:p>
    <w:p>
      <w:pPr>
        <w:pStyle w:val="TextBody"/>
        <w:bidi w:val="0"/>
        <w:spacing w:lineRule="auto" w:line="285"/>
        <w:ind w:left="0" w:right="0" w:hanging="0"/>
        <w:jc w:val="left"/>
        <w:rPr>
          <w:rFonts w:ascii="Times New Roman;Times;serif" w:hAnsi="Times New Roman;Times;serif"/>
          <w:b/>
          <w:sz w:val="20"/>
        </w:rPr>
      </w:pPr>
      <w:r>
        <w:rPr>
          <w:rFonts w:ascii="Times New Roman;Times;serif" w:hAnsi="Times New Roman;Times;serif"/>
          <w:b/>
          <w:sz w:val="20"/>
        </w:rPr>
        <w:t>1.Establish Strong Company Management Systems for Conflict Minerals Supply Chain Due Diligence</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Designate Internal Corporate Team</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has designated an internal team, composed of senior members of the Company’s supply chain and procurement operations and the legal department, which evaluates the Company’s applicable supply chain processes and sourcing procedures and designs and supports the Company’s due diligence efforts. The team meets periodically to develop and refine a due diligence process that:</w:t>
      </w:r>
    </w:p>
    <w:p>
      <w:pPr>
        <w:pStyle w:val="TextBody"/>
        <w:bidi w:val="0"/>
        <w:spacing w:lineRule="auto" w:line="307" w:before="0" w:after="160"/>
        <w:ind w:left="0" w:right="0" w:hanging="0"/>
        <w:jc w:val="left"/>
        <w:rPr/>
      </w:pPr>
      <w:r>
        <w:rPr/>
        <w:t>​</w:t>
      </w:r>
    </w:p>
    <w:p>
      <w:pPr>
        <w:pStyle w:val="TextBody"/>
        <w:bidi w:val="0"/>
        <w:spacing w:lineRule="auto" w:line="285" w:before="0" w:after="0"/>
        <w:ind w:left="720" w:right="0" w:hanging="0"/>
        <w:jc w:val="left"/>
        <w:rPr/>
      </w:pPr>
      <w:r>
        <w:rPr/>
        <w:t>•</w:t>
      </w:r>
      <w:r>
        <w:rPr>
          <w:rFonts w:ascii="Times New Roman;Times;serif" w:hAnsi="Times New Roman;Times;serif"/>
          <w:sz w:val="20"/>
        </w:rPr>
        <w:t>is consistent with the OECD Guidance;</w:t>
      </w:r>
    </w:p>
    <w:p>
      <w:pPr>
        <w:pStyle w:val="TextBody"/>
        <w:bidi w:val="0"/>
        <w:spacing w:lineRule="auto" w:line="285" w:before="0" w:after="0"/>
        <w:ind w:left="720" w:right="0" w:hanging="0"/>
        <w:jc w:val="left"/>
        <w:rPr/>
      </w:pPr>
      <w:r>
        <w:rPr/>
        <w:t>•</w:t>
      </w:r>
      <w:r>
        <w:rPr>
          <w:rFonts w:ascii="Times New Roman;Times;serif" w:hAnsi="Times New Roman;Times;serif"/>
          <w:sz w:val="20"/>
        </w:rPr>
        <w:t>conforms to the requirements of the Rule; and</w:t>
      </w:r>
    </w:p>
    <w:p>
      <w:pPr>
        <w:pStyle w:val="TextBody"/>
        <w:bidi w:val="0"/>
        <w:spacing w:lineRule="auto" w:line="285"/>
        <w:ind w:left="720" w:right="0" w:hanging="0"/>
        <w:jc w:val="left"/>
        <w:rPr/>
      </w:pPr>
      <w:r>
        <w:rPr/>
        <w:t>•</w:t>
      </w:r>
      <w:r>
        <w:rPr>
          <w:rFonts w:ascii="Times New Roman;Times;serif" w:hAnsi="Times New Roman;Times;serif"/>
          <w:sz w:val="20"/>
        </w:rPr>
        <w:t>is appropriate given the structure and operations of the Company’s supply chain departments.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Company’s internal audit department monitors the diligence process, provides feedback and reviews the due diligence results. Senior supply chain managers disseminate necessary information and documentation to relevant employees responsible for interfacing directly with suppliers and manufacturers (collectively referred to as “suppliers”).</w:t>
      </w:r>
    </w:p>
    <w:p>
      <w:pPr>
        <w:pStyle w:val="TextBody"/>
        <w:bidi w:val="0"/>
        <w:spacing w:lineRule="auto" w:line="307" w:before="0" w:after="160"/>
        <w:ind w:left="0" w:right="0" w:hanging="0"/>
        <w:jc w:val="left"/>
        <w:rPr/>
      </w:pPr>
      <w:bookmarkStart w:id="11" w:name="page7"/>
      <w:bookmarkEnd w:id="11"/>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Commit to a Supply Chain Policy for Minerals from Conflict-Affected and High-Risk Areas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maintains a policy relating to Conflict Minerals (the “Policy”), which generally requires suppliers to:</w:t>
      </w:r>
    </w:p>
    <w:p>
      <w:pPr>
        <w:pStyle w:val="TextBody"/>
        <w:pBdr/>
        <w:bidi w:val="0"/>
        <w:spacing w:lineRule="auto" w:line="307" w:before="0" w:after="16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 policy to reasonably assure that the Conflict Minerals in the products they manufacture for or supply to the Company do not directly or indirectly finance or benefit armed groups that are perpetrators of serious human rights abuses in the Covered Countries;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due diligence on the source and chain of custody of these minerals and make their due diligence measures available to the Company upon the Company’s request; and</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prepared to assist the Company in meeting the Conflict Minerals reporting requirements under the Rule, as well as other national or international mineral reporting regimes that may arise in the future.</w:t>
            </w:r>
          </w:p>
        </w:tc>
      </w:tr>
    </w:tbl>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Policy is incorporated into the Company’s supplier code of conduct. All of our suppliers during the reporting period were obligated to comply with the Policy.</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Establish a System of Controls and Transparency over the Conflict Minerals Supply Chain</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employs a system of controls to promote transparency over our Conflict Minerals supply chain by utilizing the Conflict Minerals Reporting Template version 6.4 (“Conflict Minerals Reporting Template”), which is a standardized supply chain survey designed to facilitate the transfer of information through the supply chain to identify the smelters and refiners that process Conflict Minerals in our Covered Products. The Conflict Minerals Reporting Template was developed by the Responsible Minerals Initiative (“RMI”), a Responsible Business Alliance and Global e-Sustainability Initiative. The Company maintains an automated database of the completed Conflict Minerals Reporting Templates submitted to the Company by our suppliers (the “Conflict Minerals Response Database”), which helps us process and analyze the information provided by our suppliers. Once in the Conflict Minerals Response Database, all completed Conflict Mineral Reporting Templates received from suppliers are stored electronically in a central location accessible to authorized employees involved in the due diligence process and are retained in accordance with the Company’s document retention guidelines.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Since 2015, the Company has been a member of RMI, an organization committed to the responsible sourcing of Conflict Minerals that currently has over 400 participating companies and associations from around the world. As a member, the Company has access to a variety of tools and resources to better assess Conflict Minerals in our supply chain, including the Responsible Minerals Assurance Process (“RMAP”), an audit program designed to validate smelters’ and refiners’ sourcing practices.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Strengthen the Company’s Engagement with Suppliers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We generally inform our suppliers of our Policy, our due diligence consistent with OECD Guidance and our compliance with the Rule. Moreover, the Company’s purchase order and contract terms and conditions generally obligate suppliers to expressly support the supply chain due diligence process employed by the Company.</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Establish a Company-Level Grievance Mechanism</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maintains a reporting system through which employees and third parties may report concerns about potential or actual violations of the Policy. Concerns may be reported anonymously through our ethics hotline which is operated by a third party or for attribution through several channels, including through an employee’s immediate manager or the Company’s legal department.</w:t>
      </w:r>
    </w:p>
    <w:p>
      <w:pPr>
        <w:pStyle w:val="TextBody"/>
        <w:bidi w:val="0"/>
        <w:spacing w:lineRule="auto" w:line="307" w:before="0" w:after="160"/>
        <w:ind w:left="0" w:right="0" w:hanging="0"/>
        <w:jc w:val="left"/>
        <w:rPr/>
      </w:pPr>
      <w:r>
        <w:rPr/>
        <w:t>​</w:t>
      </w:r>
    </w:p>
    <w:p>
      <w:pPr>
        <w:pStyle w:val="TextBody"/>
        <w:bidi w:val="0"/>
        <w:spacing w:lineRule="auto" w:line="285"/>
        <w:ind w:left="0" w:right="0" w:hanging="0"/>
        <w:jc w:val="left"/>
        <w:rPr>
          <w:rFonts w:ascii="Times New Roman;Times;serif" w:hAnsi="Times New Roman;Times;serif"/>
          <w:b/>
          <w:sz w:val="20"/>
        </w:rPr>
      </w:pPr>
      <w:r>
        <w:rPr>
          <w:rFonts w:ascii="Times New Roman;Times;serif" w:hAnsi="Times New Roman;Times;serif"/>
          <w:b/>
          <w:sz w:val="20"/>
        </w:rPr>
        <w:t>2.Identify and Assess the Risks in the Company’s Supply Chain</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does not purchase Conflict Minerals directly from mines, smelters or refiners and does not have a direct relationship with any mines, smelters or refiners. The Company’s supply chain with respect to our Covered Products is complex, and there are many third parties in the supply chain between the ultimate manufacturer of our Covered Products and the original sources of the Conflict Minerals. As a result, we designed our due diligence to conform to the requirements of the Rule and the OECD Guidance as applicable for downstream companies. Because the Company believes that the smelters and refiners of the Conflict Minerals are best situated to identify the sources of Conflict Minerals, the Company relies on communications with suppliers to identify the applicable smelters and refiners of Conflict Minerals in the Company’s supply chain. In particular, the Company performs the following measures to identify Conflict Minerals in our Covered Products.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Identify Company Suppliers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identifies our first-tier suppliers by generating reports from the Company’s applicable manufacturing and procurement systems of all manufacturers who made, and all vendors who supplied components or products, for our Covered Products. For components delivered to the Company by distributors, the Company adds the distributors to the supplier list. Senior managers in the supply chain organization review and finalize the supplier list (the “Supplier List”) to create a list that includes all relevant suppliers for purposes of the Rule.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Request Conflict Minerals Reporting Templates from Suppliers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uses good faith efforts to identify from the Conflict Minerals Reporting Templates the smelters and refiners used by our suppliers on the Supplier List. Annually, the Company sends a letter and the Conflict Minerals Reporting Template to the suppliers on the Supplier List. The letter reiterates the requirements of the Rule and its applicability to the Company and (ii) requests that each supplier complete the Conflict Minerals Reporting Template for all Covered Products supplied to the Company for the reporting period. The Company contacts suppliers that do not respond to the Company’s request by a specified date as well as suppliers that submit incomplete or inaccurate requests for follow-on discussions and to request additional information, as applicable.</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As set forth in the Conflict Minerals Reporting Template and the OECD Guidance, suppliers make representations or provide information regarding, among other things, (i) whether the Conflict Minerals contained in components or products provided by the supplier to the Company are sourced from the Covered Countries, (ii) whether such Conflict Minerals are sourced from conflict-affected and high-risk areas, (iii) smelters and refiners in the supplier’s supply chain for such Conflict Minerals, (iv) whether such smelters and refiners have been validated in compliance with the RMAP, (v) whether such supplier uses the Conflict Minerals Reporting Template with its own suppliers to gather information, and (vi) whether the supplier has its own responsible minerals sourcing policy.</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Analyze Surveys for RMAP Conformant and Active Smelters and Refiners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If correctly and fully completed, each Conflict Minerals Reporting Template identifies the smelters and refiners within the applicable supplier’s supply chain. The Company reviews the information in the completed Conflict Minerals Reporting Templates against the RMAP’s Conformant Smelter List to determine whether the smelters or refiners associated with the applicable supplier qualify as “conformant” or “RMAP Active.” We rely upon third party audits of smelters and refiners as part of the RMI’s RMAP, an audit program designed to validate smelters’ and refiners’ sourcing practices as described below. Smelters and refiners receive a “conformant” designation from RMI if (i) the audited smelter or refiner adheres to the RMAP’s assessment protocols by disclosing to independent auditors the identities and locations of the mines from which it sources Conflict Minerals and (ii) the independent auditor verifies separately that the smelter’s or refiner’s Conflict Minerals originated from conflict-free sources. The RMAP’s Conformant Smelter List includes the names, locations and links to Conflict Minerals policies of all smelters and refiners deemed “conformant” with the RMAP’s assessment protocols. Smelters and refiners labeled as “RMAP Active” have committed to undergo a RMAP audit but have not yet completed their audit or are participating in other cross-recognized certification programs. “RMAP Active” smelters and refiners may be at various stages of the audit cycle, anywhere from completion of the necessary documents to scheduling the audit date to enacting corrective actions in the post-audit phase, but may not retain their “active” status if they are unresponsive to requests for re-audit or corrective action past a certain time.</w:t>
      </w:r>
    </w:p>
    <w:p>
      <w:pPr>
        <w:pStyle w:val="TextBody"/>
        <w:bidi w:val="0"/>
        <w:spacing w:lineRule="auto" w:line="307" w:before="0" w:after="160"/>
        <w:ind w:left="0" w:right="0" w:hanging="0"/>
        <w:jc w:val="left"/>
        <w:rPr/>
      </w:pPr>
      <w:bookmarkStart w:id="12" w:name="page9"/>
      <w:bookmarkEnd w:id="12"/>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also uses good faith efforts to identify the country of origin information from the smelters and refiners provided by our suppliers on the Supplier List through the Conflict Minerals Reporting Template.</w:t>
      </w:r>
    </w:p>
    <w:p>
      <w:pPr>
        <w:pStyle w:val="TextBody"/>
        <w:bidi w:val="0"/>
        <w:spacing w:lineRule="auto" w:line="307" w:before="0" w:after="160"/>
        <w:ind w:left="0" w:right="0" w:hanging="0"/>
        <w:jc w:val="left"/>
        <w:rPr/>
      </w:pPr>
      <w:r>
        <w:rPr/>
        <w:t>​</w:t>
      </w:r>
    </w:p>
    <w:p>
      <w:pPr>
        <w:pStyle w:val="TextBody"/>
        <w:bidi w:val="0"/>
        <w:spacing w:lineRule="auto" w:line="285"/>
        <w:ind w:left="0" w:right="0" w:hanging="0"/>
        <w:jc w:val="left"/>
        <w:rPr>
          <w:rFonts w:ascii="Times New Roman;Times;serif" w:hAnsi="Times New Roman;Times;serif"/>
          <w:b/>
          <w:sz w:val="20"/>
        </w:rPr>
      </w:pPr>
      <w:r>
        <w:rPr>
          <w:rFonts w:ascii="Times New Roman;Times;serif" w:hAnsi="Times New Roman;Times;serif"/>
          <w:b/>
          <w:sz w:val="20"/>
        </w:rPr>
        <w:t>3.Design and Implement Strategies to Respond to Identified Risks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Participate in Existing Industry Conflict Minerals Initiatives; Devise, Adopt and Implement a Risk Management Plan; Monitor Risk Mitigation Efforts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In light of the complexity of the Company’s and our suppliers’ supply chains, the Company is currently unable to assess adequately the risk that Conflict Minerals exist in our Covered Products or whether they finance armed conflict in the DRC. However, the Company engages annually with suppliers to obtain current, accurate and complete information about our supply chains through the use of the Conflict Minerals Reporting Template and to promote “conformant” supply chains through our RMI membership. As a risk mitigation measure, the Company generally requires, through our supplier code of conduct, that suppliers of Covered Products report on Conflict Minerals.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i/>
          <w:sz w:val="20"/>
        </w:rPr>
      </w:pPr>
      <w:r>
        <w:rPr>
          <w:rFonts w:ascii="Times New Roman;Times;serif" w:hAnsi="Times New Roman;Times;serif"/>
          <w:i/>
          <w:sz w:val="20"/>
        </w:rPr>
        <w:t>Report Findings to Designated Senior Management</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members of the Company’s internal Conflict Minerals team (consisting of senior members of the Company’s supply chain and procurement operations and the legal department) provide a report summarizing the findings from our due diligence efforts to the senior management of the Company.</w:t>
      </w:r>
    </w:p>
    <w:p>
      <w:pPr>
        <w:pStyle w:val="TextBody"/>
        <w:bidi w:val="0"/>
        <w:spacing w:lineRule="auto" w:line="307" w:before="0" w:after="160"/>
        <w:ind w:left="0" w:right="0" w:hanging="0"/>
        <w:jc w:val="left"/>
        <w:rPr/>
      </w:pPr>
      <w:r>
        <w:rPr/>
        <w:t>​</w:t>
      </w:r>
    </w:p>
    <w:p>
      <w:pPr>
        <w:pStyle w:val="TextBody"/>
        <w:bidi w:val="0"/>
        <w:spacing w:lineRule="auto" w:line="285"/>
        <w:ind w:left="0" w:right="0" w:hanging="0"/>
        <w:jc w:val="left"/>
        <w:rPr>
          <w:rFonts w:ascii="Times New Roman;Times;serif" w:hAnsi="Times New Roman;Times;serif"/>
          <w:b/>
          <w:sz w:val="20"/>
        </w:rPr>
      </w:pPr>
      <w:r>
        <w:rPr>
          <w:rFonts w:ascii="Times New Roman;Times;serif" w:hAnsi="Times New Roman;Times;serif"/>
          <w:b/>
          <w:sz w:val="20"/>
        </w:rPr>
        <w:t>4.Carry Out Independent Third-Party Audits of Smelters/Refiners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Due to our downstream position in the supply chain, the Company does not have a direct relationship with smelters and refiners. Further, the complexity of our supply chain and the many third parties involved between the ultimate manufacturer of our Covered Products and the original sources of the Conflict Minerals hinders the Company’s ability to perform direct audits of smelters and refiners in our supply chain. Instead, we rely upon third party audits of smelters and refiners as part of the RMI’s RMAP, an audit program designed to validate smelters’ and refiners’ sourcing practices. The RMAP’s audit process is discussed above in more detail in “Identify and Assess the Risks in the Company’s Supply Chain.”</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Additionally, through our RMI membership, we support the further development and implementation of due diligence practices and tools, such as the Conflict Minerals Reporting Template and the RMAP.</w:t>
      </w:r>
    </w:p>
    <w:p>
      <w:pPr>
        <w:pStyle w:val="TextBody"/>
        <w:bidi w:val="0"/>
        <w:spacing w:lineRule="auto" w:line="307" w:before="0" w:after="160"/>
        <w:ind w:left="0" w:right="0" w:hanging="0"/>
        <w:jc w:val="left"/>
        <w:rPr/>
      </w:pPr>
      <w:r>
        <w:rPr/>
        <w:t>​</w:t>
      </w:r>
    </w:p>
    <w:p>
      <w:pPr>
        <w:pStyle w:val="TextBody"/>
        <w:bidi w:val="0"/>
        <w:spacing w:lineRule="auto" w:line="285"/>
        <w:ind w:left="0" w:right="0" w:hanging="0"/>
        <w:jc w:val="left"/>
        <w:rPr>
          <w:rFonts w:ascii="Helvetica;sans-serif" w:hAnsi="Helvetica;sans-serif"/>
          <w:sz w:val="22"/>
        </w:rPr>
      </w:pPr>
      <w:r>
        <w:rPr>
          <w:rFonts w:ascii="Times New Roman;Times;serif" w:hAnsi="Times New Roman;Times;serif"/>
          <w:b/>
          <w:sz w:val="20"/>
        </w:rPr>
        <w:t>5.</w:t>
      </w:r>
      <w:bookmarkStart w:id="13" w:name="page10"/>
      <w:bookmarkEnd w:id="13"/>
      <w:r>
        <w:rPr>
          <w:rFonts w:ascii="Times New Roman;Times;serif" w:hAnsi="Times New Roman;Times;serif"/>
          <w:b/>
          <w:sz w:val="20"/>
        </w:rPr>
        <w:t>Report Annually on Supply Chain Due Diligence</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has filed with the Securities and Exchange Commission our Form SD, which includes this Report as Exhibit 1.01, for the reporting period of January 1 to December 31, 2025. In accordance with the OECD Guidance and the Rule, this Report is available on our website at http://ir.echostar.com/financial-information/sec-filings.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PART III. DESCRIPTION OF DUE DILIGENCE MEASURES PERFORMED;</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RESULTS OF OUR DUE DILIGENCE MEASURES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b/>
          <w:sz w:val="20"/>
        </w:rPr>
      </w:pPr>
      <w:r>
        <w:rPr>
          <w:rFonts w:ascii="Times New Roman;Times;serif" w:hAnsi="Times New Roman;Times;serif"/>
          <w:b/>
          <w:sz w:val="20"/>
        </w:rPr>
        <w:t>Inherent Limitations on Due Diligence Measures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As a downstream purchaser of products which contain Conflict Minerals, our due diligence measures can provide only reasonable, not absolute, assurance regarding the source and chain of custody of Conflict Minerals. Our due diligence processes are based on the necessity of seeking data from our direct suppliers and those suppliers seeking similar information within their supply chains to identify the original sources of Conflict Minerals. We also rely, to a large extent, on information collected and provided by responsible mineral sourcing validation programs. Such sources of information may yield inaccurate or incomplete information and may be subject to fraud.</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Another complicating factor is the unavailability of country of origin and chain of custody information from our suppliers on a continuous, real-time basis. The supply chain of commodities such as Conflict Minerals is a multi-step process operating more or less on a daily basis, with ore being delivered to smelters and refiners, with smelters and refiners smelting or refining ores into metal containing derivatives such as ingots, with the derivatives being shipped, sold and stored in numerous market locations around the world and with distributors and purchasers holding varying amounts of the derivatives in inventory for use. Since we do not have direct contractual relationships with smelters and refiners, we rely on our direct suppliers and the entire supply chain to gather and provide specific information about the date when the ore is smelted into a derivative and later shipped, stored, sold and first entered the stream of commerce.</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b/>
          <w:sz w:val="20"/>
        </w:rPr>
      </w:pPr>
      <w:r>
        <w:rPr>
          <w:rFonts w:ascii="Times New Roman;Times;serif" w:hAnsi="Times New Roman;Times;serif"/>
          <w:b/>
          <w:sz w:val="20"/>
        </w:rPr>
        <w:t>Compilation and Analysis of Responses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For the reporting period of January 1 to December 31, 2025, the Company identified approximately 357 relevant suppliers. In the fourth quarter of 2025 and the first quarter of 2026, the Company sent each such supplier on the Supplier List a letter requesting completion of the Conflict Minerals Reporting Template. The Company followed up with suppliers that did not respond to the request by the specified date or that submitted incomplete or inaccurate requests.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Company received responses from 350, or approximately 98%, of the solicited suppliers, including completed Conflict Minerals Reporting Templates from 280, or approximately 78%, of the solicited suppliers. Through the use of the Conflict Minerals Response Database and access to the RMAP information, we were able to identify the smelters and refiners for the suppliers who submitted completed templates that we believe were used to process the Conflict Minerals contained in our Covered Products as set forth in Annex I attached to this Report, as well as to identify which of those smelters and refiners for the suppliers who submitted completed templates were “RMAP Conformant” or “RMAP Active.” After correction, review and removal of duplicate or alternate names, and elimination of entities we determined were not actually smelters or refiners, and elimination of entities for which we were unable to determine if they were a relevant smelter or refiner, we identified 364 unique smelters.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bookmarkStart w:id="14" w:name="page11"/>
      <w:bookmarkEnd w:id="14"/>
      <w:r>
        <w:rPr>
          <w:rFonts w:ascii="Times New Roman;Times;serif" w:hAnsi="Times New Roman;Times;serif"/>
          <w:sz w:val="20"/>
        </w:rPr>
        <w:t>Based on the Conflict Minerals Reporting Templates the Company received and information otherwise obtained by the Company during the due diligence process regarding smelters and refiners for the suppliers who submitted such templates, the following table sets forth the number of “RMAP Conformant” and “RMAP Active” smelters and refiners in our supply chain for each of the Conflict Minerals used in our Covered Products:</w:t>
      </w:r>
    </w:p>
    <w:p>
      <w:pPr>
        <w:pStyle w:val="TextBody"/>
        <w:bidi w:val="0"/>
        <w:spacing w:lineRule="auto" w:line="307" w:before="0" w:after="160"/>
        <w:ind w:left="0" w:right="0" w:hanging="0"/>
        <w:jc w:val="left"/>
        <w:rPr/>
      </w:pPr>
      <w:r>
        <w:rPr/>
        <w:t>​</w:t>
      </w:r>
    </w:p>
    <w:tbl>
      <w:tblPr>
        <w:tblW w:w="5238" w:type="dxa"/>
        <w:jc w:val="center"/>
        <w:tblInd w:w="0" w:type="dxa"/>
        <w:tblLayout w:type="fixed"/>
        <w:tblCellMar>
          <w:top w:w="0" w:type="dxa"/>
          <w:left w:w="0" w:type="dxa"/>
          <w:bottom w:w="0" w:type="dxa"/>
          <w:right w:w="0" w:type="dxa"/>
        </w:tblCellMar>
      </w:tblPr>
      <w:tblGrid>
        <w:gridCol w:w="1531"/>
        <w:gridCol w:w="1831"/>
        <w:gridCol w:w="187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72185" cy="175260"/>
                      <wp:effectExtent l="0" t="0" r="0" b="0"/>
                      <wp:wrapNone/>
                      <wp:docPr id="19" name="Frame19"/>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162685" cy="175260"/>
                      <wp:effectExtent l="0" t="0" r="0" b="0"/>
                      <wp:wrapNone/>
                      <wp:docPr id="20" name="Frame20"/>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91895" cy="175260"/>
                      <wp:effectExtent l="0" t="0" r="0" b="0"/>
                      <wp:wrapNone/>
                      <wp:docPr id="21" name="Frame21"/>
                      <a:graphic xmlns:a="http://schemas.openxmlformats.org/drawingml/2006/main">
                        <a:graphicData uri="http://schemas.microsoft.com/office/word/2010/wordprocessingShape">
                          <wps:wsp>
                            <wps:cNvSpPr txBox="1"/>
                            <wps:spPr>
                              <a:xfrm>
                                <a:off x="0" y="0"/>
                                <a:ext cx="11918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lineRule="auto" w:line="307" w:before="0" w:after="160"/>
              <w:ind w:left="0" w:right="0" w:hanging="0"/>
              <w:jc w:val="center"/>
              <w:rPr/>
            </w:pPr>
            <w:r>
              <w:rPr/>
              <w:t>​</w:t>
            </w:r>
          </w:p>
        </w:tc>
        <w:tc>
          <w:tcPr>
            <w:tcW w:w="1831" w:type="dxa"/>
            <w:tcBorders/>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RMAP Conformant</w:t>
            </w:r>
          </w:p>
        </w:tc>
        <w:tc>
          <w:tcPr>
            <w:tcW w:w="1876" w:type="dxa"/>
            <w:tcBorders/>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RMAP Active</w:t>
            </w:r>
          </w:p>
        </w:tc>
      </w:tr>
      <w:tr>
        <w:trPr/>
        <w:tc>
          <w:tcPr>
            <w:tcW w:w="15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Conflict Mineral</w:t>
            </w:r>
          </w:p>
        </w:tc>
        <w:tc>
          <w:tcPr>
            <w:tcW w:w="18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Smelters or Refiners</w:t>
            </w:r>
          </w:p>
        </w:tc>
        <w:tc>
          <w:tcPr>
            <w:tcW w:w="18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Smelters or Refiners</w:t>
            </w:r>
          </w:p>
        </w:tc>
      </w:tr>
      <w:tr>
        <w:trPr/>
        <w:tc>
          <w:tcPr>
            <w:tcW w:w="15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Gold</w:t>
            </w:r>
          </w:p>
        </w:tc>
        <w:tc>
          <w:tcPr>
            <w:tcW w:w="18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8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53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Tantalum</w:t>
            </w:r>
          </w:p>
        </w:tc>
        <w:tc>
          <w:tcPr>
            <w:tcW w:w="18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8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5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Tin</w:t>
            </w:r>
          </w:p>
        </w:tc>
        <w:tc>
          <w:tcPr>
            <w:tcW w:w="18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8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53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Tungsten</w:t>
            </w:r>
          </w:p>
        </w:tc>
        <w:tc>
          <w:tcPr>
            <w:tcW w:w="18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1876" w:type="dxa"/>
            <w:tcBorders>
              <w:bottom w:val="single" w:sz="2" w:space="0" w:color="000000"/>
            </w:tcBorders>
            <w:tcMar>
              <w:bottom w:w="28" w:type="dxa"/>
            </w:tcMar>
            <w:vAlign w:val="center"/>
          </w:tcPr>
          <w:p>
            <w:pPr>
              <w:pStyle w:val="TableContents"/>
              <w:bidi w:val="0"/>
              <w:spacing w:lineRule="auto" w:line="307" w:before="0" w:after="1"/>
              <w:ind w:left="0" w:right="72"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As discussed in “Part II. Design of Our Due Diligence Analysis” above, the Company relies on the completed Conflict Minerals Reporting Templates received from our suppliers as our main source of documentation supporting the representations made by such suppliers regarding the source and chain of custody of relevant Conflict Minerals in our Covered Products during the reporting period. The smelters and refiners identified in Annex I to this Report were identified by such suppliers and the Company cannot be certain that these smelters and refiners were in fact in the Company’s supply chain for our Covered Products.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b/>
          <w:sz w:val="20"/>
        </w:rPr>
      </w:pPr>
      <w:r>
        <w:rPr>
          <w:rFonts w:ascii="Times New Roman;Times;serif" w:hAnsi="Times New Roman;Times;serif"/>
          <w:b/>
          <w:sz w:val="20"/>
        </w:rPr>
        <w:t>Country of Origin of the Conflict Minerals in the Covered Products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the Conflict Minerals Reporting Templates the Company received and information otherwise obtained by the Company during the due diligence process regarding smelters and refiners for the suppliers who submitted such templates, the Company does not have sufficient information, with respect to our Covered Products, to determine the country of origin of all of the Conflict Minerals in all of our Covered Products. However, based on the information obtained through our reasonable country of origin inquiry and our due diligence efforts (comprised of the Conflict Minerals Reporting Templates the Company received and information otherwise obtained by the Company during the due diligence process regarding smelters and refiners for the suppliers who submitted such templates), the Company has reasonably determined that countries of origin of the Conflict Minerals in the Covered Products, to the extent known, included the Democratic Republic of the Congo, Rwanda, Tanzania and Uganda.</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b/>
          <w:sz w:val="20"/>
        </w:rPr>
      </w:pPr>
      <w:r>
        <w:rPr>
          <w:rFonts w:ascii="Times New Roman;Times;serif" w:hAnsi="Times New Roman;Times;serif"/>
          <w:b/>
          <w:sz w:val="20"/>
        </w:rPr>
        <w:t>Facilities Used to Process the Conflict Minerals in the Covered Products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the Conflict Minerals Reporting Templates the Company received and information otherwise obtained by the Company during the due diligence process regarding smelters and refiners for the suppliers who submitted such templates, the Company was unable to identify with certainty all of the facilities used to process the Conflict Minerals in our Covered Products. However, based on the information obtained through our reasonable country of origin inquiry and our due diligence efforts (comprised of the Conflict Minerals Reporting Templates the Company received and information otherwise obtained by the Company during the due diligence process regarding smelters and refiners for the suppliers who submitted such templates), the Company has reasonably determined that the facilities that were used to process the Conflict Minerals contained in our Covered Products are believed to include the smelters and refiners listed in Annex I attached to this Report. The smelters and refiners that the Company has been able to determine as “RMAP Conformant” and “RMAP Active” are identified in Annex I. However, as discussed above, the smelters and refiners identified in Annex I to this Report were identified by suppliers and the Company cannot be certain that these smelters and refiners were in fact in the Company’s supply chain for our Covered Products.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center"/>
        <w:rPr>
          <w:rFonts w:ascii="Times New Roman;Times;serif" w:hAnsi="Times New Roman;Times;serif"/>
          <w:b/>
          <w:sz w:val="20"/>
        </w:rPr>
      </w:pPr>
      <w:bookmarkStart w:id="15" w:name="page12"/>
      <w:bookmarkEnd w:id="15"/>
      <w:r>
        <w:rPr>
          <w:rFonts w:ascii="Times New Roman;Times;serif" w:hAnsi="Times New Roman;Times;serif"/>
          <w:b/>
          <w:sz w:val="20"/>
        </w:rPr>
        <w:t>PART IV. IMPLEMENTATION OF STRATEGIES TO RESPOND TO IDENTIFIED RISKS AND FUTURE STEPS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Due diligence is an ongoing, proactive and reactive process. The Company engages with our suppliers to obtain current, accurate and complete information about our supply chain. Further, reporting on Conflict Minerals is generally a requirement for our suppliers through our supplier code of conduct. The Company has used our RMI membership to gain a better understanding of the smelters and refiners in our supply chain and their RMAP compliance status, and we intend to continue to take advantage of the resources available to RMI members with regard to conformant sourcing.</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Annex 1</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rFonts w:ascii="Times New Roman;Times;serif" w:hAnsi="Times New Roman;Times;serif"/>
          <w:b/>
          <w:sz w:val="20"/>
        </w:rPr>
      </w:pPr>
      <w:r>
        <w:rPr>
          <w:rFonts w:ascii="Times New Roman;Times;serif" w:hAnsi="Times New Roman;Times;serif"/>
          <w:b/>
          <w:sz w:val="20"/>
        </w:rPr>
        <w:t>LIST OF SMELTERS AND REFINERS REPORTED IN SUPPLY CHAIN</w:t>
      </w:r>
    </w:p>
    <w:p>
      <w:pPr>
        <w:pStyle w:val="TextBody"/>
        <w:bidi w:val="0"/>
        <w:spacing w:lineRule="auto" w:line="307" w:before="0" w:after="16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6483"/>
        <w:gridCol w:w="2911"/>
      </w:tblGrid>
      <w:tr>
        <w:trPr/>
        <w:tc>
          <w:tcPr>
            <w:tcW w:w="811" w:type="dxa"/>
            <w:tcBorders/>
            <w:vAlign w:val="center"/>
          </w:tcPr>
          <w:p>
            <w:pPr>
              <w:pStyle w:val="TableHeading"/>
              <w:bidi w:val="0"/>
              <w:spacing w:lineRule="auto" w:line="307" w:before="0" w:after="160"/>
              <w:ind w:left="0" w:right="0" w:hanging="0"/>
              <w:jc w:val="left"/>
              <w:rPr/>
            </w:pPr>
            <w:r>
              <w:rPr/>
              <w:t>​</w:t>
            </w:r>
          </w:p>
        </w:tc>
        <w:tc>
          <w:tcPr>
            <w:tcW w:w="6483" w:type="dxa"/>
            <w:tcBorders/>
            <w:vAlign w:val="center"/>
          </w:tcPr>
          <w:p>
            <w:pPr>
              <w:pStyle w:val="TableHeading"/>
              <w:bidi w:val="0"/>
              <w:spacing w:lineRule="auto" w:line="307" w:before="0" w:after="160"/>
              <w:ind w:left="0" w:right="0" w:hanging="0"/>
              <w:jc w:val="left"/>
              <w:rPr/>
            </w:pPr>
            <w:r>
              <w:rPr/>
              <w:t>​</w:t>
            </w:r>
          </w:p>
        </w:tc>
        <w:tc>
          <w:tcPr>
            <w:tcW w:w="2911" w:type="dxa"/>
            <w:tcBorders/>
            <w:vAlign w:val="center"/>
          </w:tcPr>
          <w:p>
            <w:pPr>
              <w:pStyle w:val="TableHeading"/>
              <w:bidi w:val="0"/>
              <w:spacing w:lineRule="auto" w:line="307" w:before="0" w:after="160"/>
              <w:ind w:left="0" w:right="0" w:hanging="0"/>
              <w:jc w:val="left"/>
              <w:rPr/>
            </w:pPr>
            <w:r>
              <w:rPr/>
              <w:t>​</w:t>
            </w:r>
          </w:p>
        </w:tc>
      </w:tr>
      <w:tr>
        <w:trPr/>
        <w:tc>
          <w:tcPr>
            <w:tcW w:w="81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Mineral</w:t>
            </w:r>
          </w:p>
        </w:tc>
        <w:tc>
          <w:tcPr>
            <w:tcW w:w="6483"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 Name</w:t>
            </w:r>
          </w:p>
        </w:tc>
        <w:tc>
          <w:tcPr>
            <w:tcW w:w="291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Country of Smelter Facility</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8853 S.P.A.</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ITALY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ABC REFINERY PTY LTD.</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AUSTRALIA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ABINGTON RELDAN METALS, LLC</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ADVANCED CHEMICAL COMPANY</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AFRICAN GOLD REFINERY</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UGANDA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AGOSI AG</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AIDA CHEMICAL INDUSTRIES CO., LTD.</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AL ETIHAD GOLD REFINERY DMCC</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ARAB EMIRATES</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ALBINO MOUNTINHO LDA.</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PORTUGAL</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ALEXY METALS</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ALMALYK MINING AND METALLURGICAL COMPLEX (AMMC)</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UZBEKISTAN*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ANGLOGOLD ASHANTI CORREGO DO SITIO MINERACAO</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ARGOR-HERAEUS S.A.</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SWITZERLAND*</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ASAHI METALFINE, INC.</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ASAHI REFINING CANADA LTD.</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CANADA*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ASAHI REFINING USA INC.</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ASAKA RIKEN CO., LTD.</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ATASAY KUYUMCULUK SANAYI VE TICARET A.S.</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TURKEY</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ATLANTIC COPPER, S.L.U.</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SPAIN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ATTERO RECYCLING PVT LTD</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AU TRADERS AND REFINERS</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SOUTH AFRICA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AUGMONT ENTERPRISES PRIVATE LIMITED</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AURUBIS AG, HAMBURG</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BANGALORE REFINERY</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BANGKO SENTRAL NG PILIPINAS (CENTRAL BANK OF THE PHILIPPINES)</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PHILIPPINES*</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BOLIDEN MINERAL AB (RONNSKAR)</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SWEDEN*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 HAFNER GMBH + CO. KG</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CARIDAD</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MEXICO</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CENDRES + METAUX S.A.</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SWITZERLAND</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CGR METALLOYS PVT LTD.</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CHIMET S.P.A.</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ITALY*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CHUGAI MINING</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COIMPA INDUSTRIAL LTDA</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DAYE NON-FERROUS METALS MINING LTD.</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DEGUSSA SONNE / MOND GOLDHANDEL GMBH</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DIJLLAH GOLD REFINERY FZC</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ARAB EMIRATES</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DONGWU GOLD GROUP</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DOWA</w:t>
            </w:r>
          </w:p>
        </w:tc>
        <w:tc>
          <w:tcPr>
            <w:tcW w:w="291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48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DSC (DO SUNG CORPORATION)</w:t>
            </w:r>
          </w:p>
        </w:tc>
        <w:tc>
          <w:tcPr>
            <w:tcW w:w="291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bl>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A-</w:t>
      </w: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6328"/>
        <w:gridCol w:w="3066"/>
      </w:tblGrid>
      <w:tr>
        <w:trPr/>
        <w:tc>
          <w:tcPr>
            <w:tcW w:w="811" w:type="dxa"/>
            <w:tcBorders/>
            <w:vAlign w:val="center"/>
          </w:tcPr>
          <w:p>
            <w:pPr>
              <w:pStyle w:val="TableHeading"/>
              <w:bidi w:val="0"/>
              <w:spacing w:lineRule="auto" w:line="307" w:before="0" w:after="160"/>
              <w:ind w:left="0" w:right="0" w:hanging="0"/>
              <w:jc w:val="left"/>
              <w:rPr/>
            </w:pPr>
            <w:r>
              <w:rPr/>
              <w:t>​</w:t>
            </w:r>
          </w:p>
        </w:tc>
        <w:tc>
          <w:tcPr>
            <w:tcW w:w="6328" w:type="dxa"/>
            <w:tcBorders/>
            <w:vAlign w:val="center"/>
          </w:tcPr>
          <w:p>
            <w:pPr>
              <w:pStyle w:val="TableHeading"/>
              <w:bidi w:val="0"/>
              <w:spacing w:lineRule="auto" w:line="307" w:before="0" w:after="160"/>
              <w:ind w:left="0" w:right="0" w:hanging="0"/>
              <w:jc w:val="left"/>
              <w:rPr/>
            </w:pPr>
            <w:r>
              <w:rPr/>
              <w:t>​</w:t>
            </w:r>
          </w:p>
        </w:tc>
        <w:tc>
          <w:tcPr>
            <w:tcW w:w="3066" w:type="dxa"/>
            <w:tcBorders/>
            <w:vAlign w:val="center"/>
          </w:tcPr>
          <w:p>
            <w:pPr>
              <w:pStyle w:val="TableHeading"/>
              <w:bidi w:val="0"/>
              <w:spacing w:lineRule="auto" w:line="307" w:before="0" w:after="160"/>
              <w:ind w:left="0" w:right="0" w:hanging="0"/>
              <w:jc w:val="left"/>
              <w:rPr/>
            </w:pPr>
            <w:r>
              <w:rPr/>
              <w:t>​</w:t>
            </w:r>
          </w:p>
        </w:tc>
      </w:tr>
      <w:tr>
        <w:trPr/>
        <w:tc>
          <w:tcPr>
            <w:tcW w:w="81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Mineral</w:t>
            </w:r>
          </w:p>
        </w:tc>
        <w:tc>
          <w:tcPr>
            <w:tcW w:w="6328"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 Name</w:t>
            </w:r>
          </w:p>
        </w:tc>
        <w:tc>
          <w:tcPr>
            <w:tcW w:w="3066"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Country of Smelter Facility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ECO-SYSTEM RECYCLING CO., LTD. EAST PLANT</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ECO-SYSTEM RECYCLING CO., LTD. NORTH PLANT</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ECO-SYSTEM RECYCLING CO., LTD. WEST PLANT</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ELITE INDUSTECH CO.,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TAIWAN, PROVINCE OF 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EMERALD JEWEL INDUSTRY INDIA LIMITED (UNIT 1)</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EMERALD JEWEL INDUSTRY INDIA LIMITED (UNIT 2)</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EMERALD JEWEL INDUSTRY INDIA LIMITED (UNIT 3)</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EMERALD JEWEL INDUSTRY INDIA LIMITED (UNIT 4)</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EMIRATES GOLD DMCC</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ARAB EMIRATES</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FIDELITY PRINTERS AND REFINERS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ZIMBABWE</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FUJAIRAH GOLD FZC</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ARAB EMIRATES</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GASABO GOLD REFINERY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RWANDA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GG REFINERY LTD.</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TANZANIA, UNITED REPUBLIC OF*</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GGC GUJRAT GOLD CENTRE PVT.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GLENCORE CANADA CORPORATION - CCR REFINERY</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CANADA*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GOLD BY GOLD COLOMBIA</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COLOMBIA*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GOLD COAST REFINERY</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GHANA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GOLD CORPORATION - THE PERTH MINT</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AUSTRALIA*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GREAT WALL PRECIOUS METALS CO., LTD. OF CBPM</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HANGZHOU FUCHUNJIANG SMELTING CO.,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HEIMERLE + MEULE GMBH</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HERAEUS GERMANY GMBH CO. KG</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HERAEUS METALS HONG KONG LTD.</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HONG KONG*</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HUNAN CHENZHOU MINING CO.,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HUNAN GUIYANG YINXING NONFERROUS SMELTING CO., LTD.</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HWASEONG CJ CO.,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IMPALA PLATINUM - BASE METAL REFINERY (BMR)</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SOUTH AFRICA*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IMPALA PLATINUM - PLATINUM METALS REFINERY (PMR)</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SOUTH AFRICA*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IMPALA PLATINUM - RUSTENBURG SMELTER</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SOUTH AFRICA*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INNER MONGOLIA QIANKUN GOLD AND SILVER REFINERY SHARE CO.,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INTERNATIONAL PRECIOUS METAL REFINERS</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ARAB EMIRATES</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ISHIFUKU METAL INDUSTRY CO.,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ISTANBUL GOLD REFINERY</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TURKEY*</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ITALPREZIOSI</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ITALY*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JALAN &amp; COMPANY</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JAPAN MINT</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COPPER CO., LTD.</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JSC EKATERINBURG NON-FERROUS METAL PROCESSING PLANT</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JSC NOVOSIBIRSK REFINERY</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JSC URALELECTROMED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JX ADVANCED METALS CORPORATION</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K.A. RASMUSSEN</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NORWAY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KAZAKHMYS SMELTING LLC</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KAZAKHSTAN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KAZZINC LTD</w:t>
            </w:r>
          </w:p>
        </w:tc>
        <w:tc>
          <w:tcPr>
            <w:tcW w:w="3066"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KAZAKHSTAN*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328"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KENNECOTT UTAH COPPER LLC</w:t>
            </w:r>
          </w:p>
        </w:tc>
        <w:tc>
          <w:tcPr>
            <w:tcW w:w="3066"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bl>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A-</w:t>
      </w: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6833"/>
        <w:gridCol w:w="2561"/>
      </w:tblGrid>
      <w:tr>
        <w:trPr/>
        <w:tc>
          <w:tcPr>
            <w:tcW w:w="811" w:type="dxa"/>
            <w:tcBorders/>
            <w:vAlign w:val="center"/>
          </w:tcPr>
          <w:p>
            <w:pPr>
              <w:pStyle w:val="TableHeading"/>
              <w:bidi w:val="0"/>
              <w:spacing w:lineRule="auto" w:line="307" w:before="0" w:after="160"/>
              <w:ind w:left="0" w:right="0" w:hanging="0"/>
              <w:jc w:val="left"/>
              <w:rPr/>
            </w:pPr>
            <w:r>
              <w:rPr/>
              <w:t>​</w:t>
            </w:r>
          </w:p>
        </w:tc>
        <w:tc>
          <w:tcPr>
            <w:tcW w:w="6833" w:type="dxa"/>
            <w:tcBorders/>
            <w:vAlign w:val="center"/>
          </w:tcPr>
          <w:p>
            <w:pPr>
              <w:pStyle w:val="TableHeading"/>
              <w:bidi w:val="0"/>
              <w:spacing w:lineRule="auto" w:line="307" w:before="0" w:after="160"/>
              <w:ind w:left="0" w:right="0" w:hanging="0"/>
              <w:jc w:val="left"/>
              <w:rPr/>
            </w:pPr>
            <w:r>
              <w:rPr/>
              <w:t>​</w:t>
            </w:r>
          </w:p>
        </w:tc>
        <w:tc>
          <w:tcPr>
            <w:tcW w:w="2561" w:type="dxa"/>
            <w:tcBorders/>
            <w:vAlign w:val="center"/>
          </w:tcPr>
          <w:p>
            <w:pPr>
              <w:pStyle w:val="TableHeading"/>
              <w:bidi w:val="0"/>
              <w:spacing w:lineRule="auto" w:line="307" w:before="0" w:after="160"/>
              <w:ind w:left="0" w:right="0" w:hanging="0"/>
              <w:jc w:val="left"/>
              <w:rPr/>
            </w:pPr>
            <w:r>
              <w:rPr/>
              <w:t>​</w:t>
            </w:r>
          </w:p>
        </w:tc>
      </w:tr>
      <w:tr>
        <w:trPr/>
        <w:tc>
          <w:tcPr>
            <w:tcW w:w="81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Mineral</w:t>
            </w:r>
          </w:p>
        </w:tc>
        <w:tc>
          <w:tcPr>
            <w:tcW w:w="6833"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 Name</w:t>
            </w:r>
          </w:p>
        </w:tc>
        <w:tc>
          <w:tcPr>
            <w:tcW w:w="256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Country of Smelter Facility</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KGHM POLSKA MIEDZ SPOLKA AKCYJNA</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POLAND*</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KOJIMA CHEMICALS CO.,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KOREA ZINC CO., LTD.</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KP SANGHVI INTERNATIONAL PVT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KUNDAN CARE PRODUCTS LTD.</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KYRGYZALTYN JSC</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KYRGYZSTAN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KYSHTYM COPPER-ELECTROLYTIC PLANT ZAO</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L'AZURDE COMPANY FOR JEWELRY</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SAUDI ARABIA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LINGBAO GOLD CO., LTD.</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L'ORFEBRE S.A.</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ANDORRA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LS MNM INC.</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LT METAL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LUOYANG ZIJIN YINHUI GOLD REFINERY CO., LTD.</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MARSAM METALS</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MATERION</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MATSUDA SANGYO CO.,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MD OVERSEAS</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 CONCENTRATORS SA (PTY)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SOUTH AFRICA*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METALLIX REFINING INC.</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METALOR TECHNOLOGIES (HONG KONG)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METALOR TECHNOLOGIES (SINGAPORE) PTE., LTD.</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SINGAPORE*</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METALOR TECHNOLOGIES (SUZHOU)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METALOR TECHNOLOGIES S.A.</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SWITZERLAND*</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METALOR USA REFINING CORPORATION</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METALURGICA MET-MEX PENOLES S.A. DE C.V.</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MEXICO*</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MINERA TITAN DEL PERU SRL (MTP) - BELEN PLANT</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PERU</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MITSUBISHI MATERIALS CORPORATION</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MITSUI MINING AND SMELTING CO.,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MKS PAMP SA</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SWITZERLAND*</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MMTC-PAMP INDIA PVT.,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MODELTECH SDN BHD</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MALAYSIA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MORRIS AND WATSON</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NEW ZEALAND</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MOSCOW SPECIAL ALLOYS PROCESSING PLANT</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NADIR METAL RAFINERI SAN. VE TIC. A.S.</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TURKEY*</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NAOSHIMA SMELTER &amp; REFINERY</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NAVOI MINING AND METALLURGICAL COMBINAT</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UZBEKISTAN*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NH RECYTECH COMPANY</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NIHON MATERIAL CO., LTD.</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NOBLE METAL SERVICES</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OEGUSSA OESTERREICHISCHE GOLD- UND SILBER-SCHEIDEANSTALT GESM.B.H.</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AUSTRIA*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OHURA PRECIOUS METAL INDUSTRY CO., LTD.</w:t>
            </w:r>
          </w:p>
        </w:tc>
        <w:tc>
          <w:tcPr>
            <w:tcW w:w="25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8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OJSC THE GULIDOV KRASNOYARSK NON-FERROUS METALS PLANT (OJSC KRASTSVETMET)</w:t>
            </w:r>
          </w:p>
        </w:tc>
        <w:tc>
          <w:tcPr>
            <w:tcW w:w="25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bl>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A-</w:t>
      </w: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6661"/>
        <w:gridCol w:w="2733"/>
      </w:tblGrid>
      <w:tr>
        <w:trPr/>
        <w:tc>
          <w:tcPr>
            <w:tcW w:w="811" w:type="dxa"/>
            <w:tcBorders/>
            <w:vAlign w:val="center"/>
          </w:tcPr>
          <w:p>
            <w:pPr>
              <w:pStyle w:val="TableHeading"/>
              <w:bidi w:val="0"/>
              <w:spacing w:lineRule="auto" w:line="307" w:before="0" w:after="160"/>
              <w:ind w:left="0" w:right="0" w:hanging="0"/>
              <w:jc w:val="left"/>
              <w:rPr/>
            </w:pPr>
            <w:r>
              <w:rPr/>
              <w:t>​</w:t>
            </w:r>
          </w:p>
        </w:tc>
        <w:tc>
          <w:tcPr>
            <w:tcW w:w="6661" w:type="dxa"/>
            <w:tcBorders/>
            <w:vAlign w:val="center"/>
          </w:tcPr>
          <w:p>
            <w:pPr>
              <w:pStyle w:val="TableHeading"/>
              <w:bidi w:val="0"/>
              <w:spacing w:lineRule="auto" w:line="307" w:before="0" w:after="160"/>
              <w:ind w:left="0" w:right="0" w:hanging="0"/>
              <w:jc w:val="left"/>
              <w:rPr/>
            </w:pPr>
            <w:r>
              <w:rPr/>
              <w:t>​</w:t>
            </w:r>
          </w:p>
        </w:tc>
        <w:tc>
          <w:tcPr>
            <w:tcW w:w="2733" w:type="dxa"/>
            <w:tcBorders/>
            <w:vAlign w:val="center"/>
          </w:tcPr>
          <w:p>
            <w:pPr>
              <w:pStyle w:val="TableHeading"/>
              <w:bidi w:val="0"/>
              <w:spacing w:lineRule="auto" w:line="307" w:before="0" w:after="160"/>
              <w:ind w:left="0" w:right="0" w:hanging="0"/>
              <w:jc w:val="left"/>
              <w:rPr/>
            </w:pPr>
            <w:r>
              <w:rPr/>
              <w:t>​</w:t>
            </w:r>
          </w:p>
        </w:tc>
      </w:tr>
      <w:tr>
        <w:trPr/>
        <w:tc>
          <w:tcPr>
            <w:tcW w:w="81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Mineral</w:t>
            </w:r>
          </w:p>
        </w:tc>
        <w:tc>
          <w:tcPr>
            <w:tcW w:w="666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 Name</w:t>
            </w:r>
          </w:p>
        </w:tc>
        <w:tc>
          <w:tcPr>
            <w:tcW w:w="2733"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Country of Smelter Facility</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PEASE &amp; CURREN</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PENGLAI PENGGANG GOLD INDUSTRY CO., LTD.</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PLANTA RECUPERADORA DE METALES SPA</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CHILE*</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PRIOKSKY PLANT OF NON-FERROUS METALS</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ANEKA TAMBANG (PERSERO) TBK</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PX PRECINOX S.A.</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SWITZERLAND*</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QG REFINING, LLC</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RAND REFINERY (PTY) LTD.</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SOUTH AFRICA*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REMONDIS PMR B.V.</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NETHERLANDS*</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ROYAL CANADIAN MINT</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CANADA*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SAAMP</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FRANCE</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SABIN METAL CORP.</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SAFIMET S.P.A</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ITALY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SAFINA A.S.</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CZECHIA*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SAM PRECIOUS METALS FZ-LLC</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ARAB EMIRATES</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SAMDUCK PRECIOUS METALS</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SAMWON METALS CORP.</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SEMPSA JOYERIA PLATERIA S.A.</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SPAIN*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SHANDONG GOLD SMELTING CO., LTD.</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SHANDONG HUMON SMELTING CO., LTD.</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SHANDONG TIANCHENG BIOLOGICAL GOLD INDUSTRIAL CO., LTD.</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SHANDONG ZHAOJIN GOLD &amp; SILVER REFINERY CO., LTD.</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SHENZHEN CUILU GOLD CO., LTD.</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SHENZHEN JINJUNWEI RESOURCE COMPREHENSIVE DEVELOPMENT CO., LTD.</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SHENZHEN ZHONGHENGLONG REAL INDUSTRY CO., LTD.</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SHIRPUR GOLD REFINERY LTD.</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SICHUAN TIANZE PRECIOUS METALS CO., LTD.</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SINGWAY TECHNOLOGY CO., LTD.</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TAIWAN, PROVINCE OF 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SOE SHYOLKOVSKY FACTORY OF SECONDARY PRECIOUS METALS</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SOLAR APPLIED MATERIALS TECHNOLOGY CORP.</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TAIWAN, PROVINCE OF 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SOLEIL METALS (CHALA ONE PLANT)</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PERU**</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SOLEIL METALS (YAKARI PLANT)</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PERU**</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SOVEREIGN METALS</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STATE RESEARCH INSTITUTE CENTER FOR PHYSICAL SCIENCES AND TECHNOLOGY</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LITHUANIA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SUMITOMO METAL MINING CO., LTD.</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SUNGEEL HIMETAL CO., LTD.</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SUPER DRAGON TECHNOLOGY CO., LTD.</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TAIWAN, PROVINCE OF 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T.C.A S.P.A</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ITALY*</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TANAKA KIKINZOKU KOGYO K.K.</w:t>
            </w:r>
          </w:p>
        </w:tc>
        <w:tc>
          <w:tcPr>
            <w:tcW w:w="273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66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TITAN COMPANY LIMITED, JEWELLERY DIVISION</w:t>
            </w:r>
          </w:p>
        </w:tc>
        <w:tc>
          <w:tcPr>
            <w:tcW w:w="273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bl>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A-</w:t>
      </w: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01"/>
        <w:gridCol w:w="4615"/>
        <w:gridCol w:w="4389"/>
      </w:tblGrid>
      <w:tr>
        <w:trPr/>
        <w:tc>
          <w:tcPr>
            <w:tcW w:w="1201" w:type="dxa"/>
            <w:tcBorders/>
            <w:vAlign w:val="center"/>
          </w:tcPr>
          <w:p>
            <w:pPr>
              <w:pStyle w:val="TableHeading"/>
              <w:bidi w:val="0"/>
              <w:spacing w:lineRule="auto" w:line="307" w:before="0" w:after="160"/>
              <w:ind w:left="0" w:right="0" w:hanging="0"/>
              <w:jc w:val="left"/>
              <w:rPr/>
            </w:pPr>
            <w:r>
              <w:rPr/>
              <w:t>​</w:t>
            </w:r>
          </w:p>
        </w:tc>
        <w:tc>
          <w:tcPr>
            <w:tcW w:w="4615" w:type="dxa"/>
            <w:tcBorders/>
            <w:vAlign w:val="center"/>
          </w:tcPr>
          <w:p>
            <w:pPr>
              <w:pStyle w:val="TableHeading"/>
              <w:bidi w:val="0"/>
              <w:spacing w:lineRule="auto" w:line="307" w:before="0" w:after="160"/>
              <w:ind w:left="0" w:right="0" w:hanging="0"/>
              <w:jc w:val="left"/>
              <w:rPr/>
            </w:pPr>
            <w:r>
              <w:rPr/>
              <w:t>​</w:t>
            </w:r>
          </w:p>
        </w:tc>
        <w:tc>
          <w:tcPr>
            <w:tcW w:w="4389" w:type="dxa"/>
            <w:tcBorders/>
            <w:vAlign w:val="center"/>
          </w:tcPr>
          <w:p>
            <w:pPr>
              <w:pStyle w:val="TableHeading"/>
              <w:bidi w:val="0"/>
              <w:spacing w:lineRule="auto" w:line="307" w:before="0" w:after="160"/>
              <w:ind w:left="0" w:right="0" w:hanging="0"/>
              <w:jc w:val="left"/>
              <w:rPr/>
            </w:pPr>
            <w:r>
              <w:rPr/>
              <w:t>​</w:t>
            </w:r>
          </w:p>
        </w:tc>
      </w:tr>
      <w:tr>
        <w:trPr/>
        <w:tc>
          <w:tcPr>
            <w:tcW w:w="120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Mineral</w:t>
            </w:r>
          </w:p>
        </w:tc>
        <w:tc>
          <w:tcPr>
            <w:tcW w:w="4615"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 Name</w:t>
            </w:r>
          </w:p>
        </w:tc>
        <w:tc>
          <w:tcPr>
            <w:tcW w:w="4389"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Country of Smelter Facility</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TOKURIKI HONTEN CO.,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TONGLING NONFERROUS JINGUAN (AUSMELT) COPPER INDUSTRY</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TOO TAU-KEN-ALTYN</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KAZAKHSTAN*</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TORECOM</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KOREA, REPUBLIC OF</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UMICORE PRECIOUS METALS THAILAND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THAILAND</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UMICORE S.A. BUSINESS UNIT PRECIOUS METALS REFINING</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BELGIUM*</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UNITED PRECIOUS METAL REFINING, INC.</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VALCAMBI S.A.</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SWITZERLAND*</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WEEEREFINING</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FRANCE</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WIELAND EDELMETALLE GMBH</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YAMAKIN CO.,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YOKOHAMA METAL CO.,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YUNNAN COPPER SOUTHWEST COPPER BRANCH</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ZHONGYUAN GOLD SMELTER OF ZHONGJIN GOLD CORPORATION</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GOLD</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ZIJIN MINING GROUP GOLD SMELTING CO.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5D PRODUCTION OU</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ESTONIA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AMG BRASIL</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AVON SPECIALTY METALS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KINGDOM OF GREAT BRITAIN AND NORTHERN IRELAND*</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BAOJI TOWIN RARE METALS CO.,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CHANGSHA SOUTH TANTALUM NIOBIUM CO.,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CMT RARE METAL ADVANCED MATERIALS (HUNAN) CO.,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 BLOCK METALS, LLC</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EXOTECH INC.</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F&amp;X ELECTRO-MATERIALS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FIR METALS &amp; RESOURCE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GLOBAL ADVANCED METALS AIZU</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GLOBAL ADVANCED METALS BOYERTOWN</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GUANGDONG RISING RARE METALS-EO MATERIALS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HENGYANG KING XING LIFENG NEW MATERIALS CO.,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DINGHAI TANTALUM &amp; NIOBIUM CO.,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SUNS NONFERROUS MATERIALS CO.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JIUJIANG JANNY NEW MATERIAL CO.,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JIUJIANG JINXIN NONFERROUS METALS CO.,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JIUJIANG TANBRE CO.,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JIUJIANG ZHONGAO TANTALUM &amp; NIOBIUM CO.,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KEMET DE MEXICO</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MEXICO*</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MATERION NEWTON INC.</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METALLURGICAL PRODUCTS INDIA PVT., LTD.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MINERACAO TABOCA S.A.</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MITSUI KINZOKU COMPANY, LIMITED</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NINGXIA ORIENT TANTALUM INDUSTRY CO., LTD.</w:t>
            </w:r>
          </w:p>
        </w:tc>
        <w:tc>
          <w:tcPr>
            <w:tcW w:w="4389"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461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NPM SILMET OU</w:t>
            </w:r>
          </w:p>
        </w:tc>
        <w:tc>
          <w:tcPr>
            <w:tcW w:w="4389"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ESTONIA*</w:t>
            </w:r>
          </w:p>
        </w:tc>
      </w:tr>
    </w:tbl>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A-</w:t>
      </w: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01"/>
        <w:gridCol w:w="6261"/>
        <w:gridCol w:w="2743"/>
      </w:tblGrid>
      <w:tr>
        <w:trPr/>
        <w:tc>
          <w:tcPr>
            <w:tcW w:w="1201" w:type="dxa"/>
            <w:tcBorders/>
            <w:vAlign w:val="center"/>
          </w:tcPr>
          <w:p>
            <w:pPr>
              <w:pStyle w:val="TableHeading"/>
              <w:bidi w:val="0"/>
              <w:spacing w:lineRule="auto" w:line="307" w:before="0" w:after="160"/>
              <w:ind w:left="0" w:right="0" w:hanging="0"/>
              <w:jc w:val="left"/>
              <w:rPr/>
            </w:pPr>
            <w:r>
              <w:rPr/>
              <w:t>​</w:t>
            </w:r>
          </w:p>
        </w:tc>
        <w:tc>
          <w:tcPr>
            <w:tcW w:w="6261" w:type="dxa"/>
            <w:tcBorders/>
            <w:vAlign w:val="center"/>
          </w:tcPr>
          <w:p>
            <w:pPr>
              <w:pStyle w:val="TableHeading"/>
              <w:bidi w:val="0"/>
              <w:spacing w:lineRule="auto" w:line="307" w:before="0" w:after="160"/>
              <w:ind w:left="0" w:right="0" w:hanging="0"/>
              <w:jc w:val="left"/>
              <w:rPr/>
            </w:pPr>
            <w:r>
              <w:rPr/>
              <w:t>​</w:t>
            </w:r>
          </w:p>
        </w:tc>
        <w:tc>
          <w:tcPr>
            <w:tcW w:w="2743" w:type="dxa"/>
            <w:tcBorders/>
            <w:vAlign w:val="center"/>
          </w:tcPr>
          <w:p>
            <w:pPr>
              <w:pStyle w:val="TableHeading"/>
              <w:bidi w:val="0"/>
              <w:spacing w:lineRule="auto" w:line="307" w:before="0" w:after="160"/>
              <w:ind w:left="0" w:right="0" w:hanging="0"/>
              <w:jc w:val="left"/>
              <w:rPr/>
            </w:pPr>
            <w:r>
              <w:rPr/>
              <w:t>​</w:t>
            </w:r>
          </w:p>
        </w:tc>
      </w:tr>
      <w:tr>
        <w:trPr/>
        <w:tc>
          <w:tcPr>
            <w:tcW w:w="120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Mineral</w:t>
            </w:r>
          </w:p>
        </w:tc>
        <w:tc>
          <w:tcPr>
            <w:tcW w:w="626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 Name</w:t>
            </w:r>
          </w:p>
        </w:tc>
        <w:tc>
          <w:tcPr>
            <w:tcW w:w="2743"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Country of Smelter Facility</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PLANSEE SE REUTTE</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AUSTRIA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POWERX LTD.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RWANDA*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QUANTUMCLEAN</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RESIND INDUSTRIA E COMERCIO LTDA.</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RFH RECYCLING METALS CO., LTD.</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SOLIKAMSK MAGNESIUM WORKS OAO</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TAKI CHEMICAL CO., LTD.</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TANIOBIS CO., LTD.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THAILAND*</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TANIOBIS GMBH</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TANIOBIS JAPAN CO., LTD.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TANIOBIS SMELTING GMBH &amp; CO. KG</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TELEX METALS</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ULBA METALLURGICAL PLANT JSC</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KAZAKHSTAN*</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ULVAC INC.</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V&amp;D NEW MATERIALS (JIANGSU) CO., LTD.</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XIMEI RESOURCES (GUANGDONG) LIMITED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XIMEI RESOURCES(GUIZHOU) TECHNOLOGY CO., LTD.</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XINXING HAORONG ELECTRONIC MATERIAL CO., LTD.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YANLING JINCHENG TANTALUM &amp; NIOBIUM CO., LTD.</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TANTALUM</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ZHUZHOU CEMENTED CARBIDE GROUP CO., LTD.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ALPHA ASSEMBLY SOLUTIONS INC</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AN VINH JOINT STOCK MINERAL PROCESSING COMPANY</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VIET NAM</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AURUBIS BEERSE</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BELGIUM*</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AURUBIS BERANGO</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SPAIN*</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CHENZHOU YUNXIANG MINING AND METALLURGY CO., LTD.</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CHINA TIN GROUP CO., LTD.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CONECSUS LLC</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CRM FUNDICAO DE METAIS E COMERCIO DE EQUIPAMENTOS ELETRONICOS DO BRASIL LTDA</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CRM SYNERGIES EMEA, S.L.U.</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SPAIN*</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CV AYI JAYA</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DONGGUAN BEST ALLOYS CO., LTD.</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DONGGUAN CIEXPO ENVIRONMENTAL ENGINEERING CO., LTD.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DOWA</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ELECTRO-MECHANICAL FACILITY OF THE CAO BANG MINERALS &amp; METALLURGY JOINT STOCK COMPANY</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VIET NAM</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EMPRESA METALLURGICA VINTO</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BOLIVIA (PLURINATIONAL STATE OF)*</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ESTANHO DE RONDONIA S.A.</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FABRICA AURICCHIO INDUSTRIA E COMERCIO LTDA.</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FEINHUTTE HALSBRUCKE GMBH</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FENIX METALS</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POLAND*</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GEJIU CITY FUXIANG INDUSTRY AND TRADE CO., LTD.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GEJIU KAI MENG INDUSTRY AND TRADE LLC</w:t>
            </w:r>
          </w:p>
        </w:tc>
        <w:tc>
          <w:tcPr>
            <w:tcW w:w="2743"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6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GEJIU NON-FERROUS METAL PROCESSING CO., LTD.</w:t>
            </w:r>
          </w:p>
        </w:tc>
        <w:tc>
          <w:tcPr>
            <w:tcW w:w="2743"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bl>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A-</w:t>
      </w: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6233"/>
        <w:gridCol w:w="3161"/>
      </w:tblGrid>
      <w:tr>
        <w:trPr/>
        <w:tc>
          <w:tcPr>
            <w:tcW w:w="811" w:type="dxa"/>
            <w:tcBorders/>
            <w:vAlign w:val="center"/>
          </w:tcPr>
          <w:p>
            <w:pPr>
              <w:pStyle w:val="TableHeading"/>
              <w:bidi w:val="0"/>
              <w:spacing w:lineRule="auto" w:line="307" w:before="0" w:after="160"/>
              <w:ind w:left="0" w:right="0" w:hanging="0"/>
              <w:jc w:val="left"/>
              <w:rPr/>
            </w:pPr>
            <w:r>
              <w:rPr/>
              <w:t>​</w:t>
            </w:r>
          </w:p>
        </w:tc>
        <w:tc>
          <w:tcPr>
            <w:tcW w:w="6233" w:type="dxa"/>
            <w:tcBorders/>
            <w:vAlign w:val="center"/>
          </w:tcPr>
          <w:p>
            <w:pPr>
              <w:pStyle w:val="TableHeading"/>
              <w:bidi w:val="0"/>
              <w:spacing w:lineRule="auto" w:line="307" w:before="0" w:after="160"/>
              <w:ind w:left="0" w:right="0" w:hanging="0"/>
              <w:jc w:val="left"/>
              <w:rPr/>
            </w:pPr>
            <w:r>
              <w:rPr/>
              <w:t>​</w:t>
            </w:r>
          </w:p>
        </w:tc>
        <w:tc>
          <w:tcPr>
            <w:tcW w:w="3161" w:type="dxa"/>
            <w:tcBorders/>
            <w:vAlign w:val="center"/>
          </w:tcPr>
          <w:p>
            <w:pPr>
              <w:pStyle w:val="TableHeading"/>
              <w:bidi w:val="0"/>
              <w:spacing w:lineRule="auto" w:line="307" w:before="0" w:after="160"/>
              <w:ind w:left="0" w:right="0" w:hanging="0"/>
              <w:jc w:val="left"/>
              <w:rPr/>
            </w:pPr>
            <w:r>
              <w:rPr/>
              <w:t>​</w:t>
            </w:r>
          </w:p>
        </w:tc>
      </w:tr>
      <w:tr>
        <w:trPr/>
        <w:tc>
          <w:tcPr>
            <w:tcW w:w="81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Mineral</w:t>
            </w:r>
          </w:p>
        </w:tc>
        <w:tc>
          <w:tcPr>
            <w:tcW w:w="6233"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 Name</w:t>
            </w:r>
          </w:p>
        </w:tc>
        <w:tc>
          <w:tcPr>
            <w:tcW w:w="316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Country of Smelter Facility</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GEJIU YUNXIN NONFERROUS ELECTROLYSIS CO., LTD.</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GEJIU ZILI MINING AND METALLURGY CO., LTD.</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GLOBAL ADVANCED METALS GREENBUSHES PTY LTD.</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AUSTRALIA*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GUANGDONG HANHE NON-FERROUS METAL LIMITED COMPANY</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JEAN GOLDSCHMIDT INTERNATIONAL (JGI HYDROMETAL)</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BELGIUM</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NEW NANSHAN TECHNOLOGY LTD.</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LONGNAN CHUANGYUE ENVIRONMENTAL PROTECTION TECHNOLOGY DEVELOPMENT CO., LTD</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LUNA SMELTER, LTD.</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RWANDA*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MA'ANSHAN WEITAI TIN CO., LTD.</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MAGNU'S MINERAIS METAIS E LIGAS LTDA.</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MALAYSIA SMELTING CORPORATION BERHAD (PORT KLANG)</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MALAYSIA*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MELT METAIS E LIGAS S.A.</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METALLIC RESOURCES, INC.</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MINERACAO TABOCA S.A.</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MINING MINERALS RESOURCES SARL</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CONGO, DEMOCRATIC REPUBLIC OF THE*</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MINSUR</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PERU*</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MITSUBISHI MATERIALS CORPORATION</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MODELTECH SDN BHD</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MALAYSIA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NGHE TINH NON-FERROUS METALS JOINT STOCK COMPANY</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VIET NAM</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NOVOSIBIRSK TIN COMBINE</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O.M. MANUFACTURING (THAILAND) CO., LTD.</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THAILAND*</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O.M. MANUFACTURING PHILIPPINES, INC.</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PHILIPPINES*</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OPERACIONES METALURGICAS S.A.</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BOLIVIA (PLURINATIONAL STATE OF)*</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 KAY METAL, INC</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PRECIOUS MINERALS AND SMELTING LIMITED</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ARIES KENCANA SEJAHTERA</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ARTHA CIPTA LANGGENG</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ATD MAKMUR MANDIRI JAYA</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BANGKA PRIMA TIN</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CIPTA PERSADA MULIA</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MASBRO ALAM STANIA</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MITRA GRAHA RAYA</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MITRA STANIA PRIMA</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MITRA SUKSES GLOBALINDO</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PREMIUM TIN INDONESIA</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PRIMA TIMAH UTAMA</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PUTERA SARANA SHAKTI (PT PSS)</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RAJEHAN ARIQ</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TIMAH TBK</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TIMAH TBK KUNDUR</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PT TIMAH TBK MENTOK</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INDONESIA*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RESIND INDUSTRIA E COMERCIO LTDA.</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811"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RIAN RESOURCES SDN. BHD.</w:t>
            </w:r>
          </w:p>
        </w:tc>
        <w:tc>
          <w:tcPr>
            <w:tcW w:w="316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MALAYSIA</w:t>
            </w:r>
          </w:p>
        </w:tc>
      </w:tr>
      <w:tr>
        <w:trPr/>
        <w:tc>
          <w:tcPr>
            <w:tcW w:w="8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6233"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RIKAYAA GREENTECH PRIVATE LIMITED</w:t>
            </w:r>
          </w:p>
        </w:tc>
        <w:tc>
          <w:tcPr>
            <w:tcW w:w="316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INDIA</w:t>
            </w:r>
          </w:p>
        </w:tc>
      </w:tr>
    </w:tbl>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A-</w:t>
      </w: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26"/>
        <w:gridCol w:w="5545"/>
        <w:gridCol w:w="3534"/>
      </w:tblGrid>
      <w:tr>
        <w:trPr/>
        <w:tc>
          <w:tcPr>
            <w:tcW w:w="1126" w:type="dxa"/>
            <w:tcBorders/>
            <w:vAlign w:val="center"/>
          </w:tcPr>
          <w:p>
            <w:pPr>
              <w:pStyle w:val="TableHeading"/>
              <w:bidi w:val="0"/>
              <w:spacing w:lineRule="auto" w:line="307" w:before="0" w:after="160"/>
              <w:ind w:left="0" w:right="0" w:hanging="0"/>
              <w:jc w:val="left"/>
              <w:rPr/>
            </w:pPr>
            <w:r>
              <w:rPr/>
              <w:t>​</w:t>
            </w:r>
          </w:p>
        </w:tc>
        <w:tc>
          <w:tcPr>
            <w:tcW w:w="5545" w:type="dxa"/>
            <w:tcBorders/>
            <w:vAlign w:val="center"/>
          </w:tcPr>
          <w:p>
            <w:pPr>
              <w:pStyle w:val="TableHeading"/>
              <w:bidi w:val="0"/>
              <w:spacing w:lineRule="auto" w:line="307" w:before="0" w:after="160"/>
              <w:ind w:left="0" w:right="0" w:hanging="0"/>
              <w:jc w:val="left"/>
              <w:rPr/>
            </w:pPr>
            <w:r>
              <w:rPr/>
              <w:t>​</w:t>
            </w:r>
          </w:p>
        </w:tc>
        <w:tc>
          <w:tcPr>
            <w:tcW w:w="3534" w:type="dxa"/>
            <w:tcBorders/>
            <w:vAlign w:val="center"/>
          </w:tcPr>
          <w:p>
            <w:pPr>
              <w:pStyle w:val="TableHeading"/>
              <w:bidi w:val="0"/>
              <w:spacing w:lineRule="auto" w:line="307" w:before="0" w:after="160"/>
              <w:ind w:left="0" w:right="0" w:hanging="0"/>
              <w:jc w:val="left"/>
              <w:rPr/>
            </w:pPr>
            <w:r>
              <w:rPr/>
              <w:t>​</w:t>
            </w:r>
          </w:p>
        </w:tc>
      </w:tr>
      <w:tr>
        <w:trPr/>
        <w:tc>
          <w:tcPr>
            <w:tcW w:w="1126"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Mineral</w:t>
            </w:r>
          </w:p>
        </w:tc>
        <w:tc>
          <w:tcPr>
            <w:tcW w:w="5545"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 Name</w:t>
            </w:r>
          </w:p>
        </w:tc>
        <w:tc>
          <w:tcPr>
            <w:tcW w:w="3534"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Country of Smelter Facility</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RUI DA HUNG</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TAIWAN, PROVINCE OF 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SOFT METAIS LTDA.</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SUPER LIGAS</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TAKEHARA PVD MATERIALS PLANT / PVD MATERIALS DIVISION OF MITSUI MINING &amp; SMELTING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THAISARCO</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THAILAND*</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TIN SMELTING BRANCH OF YUNNAN TIN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TIN TECHNOLOGY &amp; REFINING</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VQB MINERAL AND TRADING GROUP JSC</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VIET NAM</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WHITE SOLDER METALURGIA E MINERACAO LTDA.</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WOODCROSS SMELTING COMPANY LIMITED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UGANDA*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YUNNAN CHENGFENG NON-FERROUS METALS CO.,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TIN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YUNNAN YUNFAN NON-FERROUS METALS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A.L.M.T. CORP.</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ALBASTEEL INDUSTRIA E COMERCIO DE LIGAS PARA FUNDICAO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ASIA TUNGSTEN PRODUCTS VIETNAM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VIET NAM*</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AVON SPECIALTY METALS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KINGDOM OF GREAT BRITAIN AND NORTHERN IRELAND*</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CHINA MOLYBDENUM TUNGSTEN CO.,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CHINA NATIONAL NONFERROUS METALS IMP. &amp; EXP. JIANGXI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CHONGYI ZHANGYUAN TUNGSTEN CO.,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CNMC (GUANGXI) PGMA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CRONIMET BRASIL LTDA</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BRAZIL*</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FUJIAN XINLU TUNGSTEN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GANZHOU JIANGWU FERROTUNGSTEN CO.,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GANZHOU SEADRAGON W &amp; MO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GANZHOU SUNNY NON-FERROUS METALS CO.,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GEO ENTERPRISE</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GEORGIA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GLOBAL TUNGSTEN &amp; POWDERS LLC</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GUANGDONG XIANGLU TUNGSTEN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H.C. STARCK TUNGSTEN GMBH</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GERMANY*</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HUBEI GREEN TUNGSTEN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HUNAN JINTAI NEW MATERIAL CO.,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HUNAN SHIZHUYUAN NONFERROUS METALS CO., LTD. CHENZHOU TUNGSTEN PRODUCTS BRANCH</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HYDROMETALLURG, JSC</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JAPAN NEW METALS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JAPAN*</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JIANGWU H.C. STARCK TUNGSTEN PRODUCTS CO.,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GAN BEI TUNGSTEN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MINMETALS GAO'AN NON-FERROUS METALS CO.,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RARE METALS TUNGSTEN HOLDINGS GROUP CO., LTD.</w:t>
            </w:r>
          </w:p>
        </w:tc>
        <w:tc>
          <w:tcPr>
            <w:tcW w:w="3534"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5545"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TONGGU NON-FERROUS METALLURGICAL &amp; CHEMICAL CO., LTD.</w:t>
            </w:r>
          </w:p>
        </w:tc>
        <w:tc>
          <w:tcPr>
            <w:tcW w:w="3534"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bl>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A-</w:t>
      </w: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8898" w:type="dxa"/>
        <w:jc w:val="left"/>
        <w:tblInd w:w="0" w:type="dxa"/>
        <w:tblLayout w:type="fixed"/>
        <w:tblCellMar>
          <w:top w:w="0" w:type="dxa"/>
          <w:left w:w="0" w:type="dxa"/>
          <w:bottom w:w="0" w:type="dxa"/>
          <w:right w:w="0" w:type="dxa"/>
        </w:tblCellMar>
      </w:tblPr>
      <w:tblGrid>
        <w:gridCol w:w="1126"/>
        <w:gridCol w:w="4771"/>
        <w:gridCol w:w="3001"/>
      </w:tblGrid>
      <w:tr>
        <w:trPr/>
        <w:tc>
          <w:tcPr>
            <w:tcW w:w="1126" w:type="dxa"/>
            <w:tcBorders/>
            <w:vAlign w:val="center"/>
          </w:tcPr>
          <w:p>
            <w:pPr>
              <w:pStyle w:val="TableHeading"/>
              <w:bidi w:val="0"/>
              <w:spacing w:lineRule="auto" w:line="307" w:before="0" w:after="160"/>
              <w:ind w:left="0" w:right="0" w:hanging="0"/>
              <w:jc w:val="left"/>
              <w:rPr/>
            </w:pPr>
            <w:r>
              <w:rPr/>
              <w:t>​</w:t>
            </w:r>
          </w:p>
        </w:tc>
        <w:tc>
          <w:tcPr>
            <w:tcW w:w="4771" w:type="dxa"/>
            <w:tcBorders/>
            <w:vAlign w:val="center"/>
          </w:tcPr>
          <w:p>
            <w:pPr>
              <w:pStyle w:val="TableHeading"/>
              <w:bidi w:val="0"/>
              <w:spacing w:lineRule="auto" w:line="307" w:before="0" w:after="160"/>
              <w:ind w:left="0" w:right="0" w:hanging="0"/>
              <w:jc w:val="left"/>
              <w:rPr/>
            </w:pPr>
            <w:r>
              <w:rPr/>
              <w:t>​</w:t>
            </w:r>
          </w:p>
        </w:tc>
        <w:tc>
          <w:tcPr>
            <w:tcW w:w="3001" w:type="dxa"/>
            <w:tcBorders/>
            <w:vAlign w:val="center"/>
          </w:tcPr>
          <w:p>
            <w:pPr>
              <w:pStyle w:val="TableHeading"/>
              <w:bidi w:val="0"/>
              <w:spacing w:lineRule="auto" w:line="307" w:before="0" w:after="160"/>
              <w:ind w:left="0" w:right="0" w:hanging="0"/>
              <w:jc w:val="left"/>
              <w:rPr/>
            </w:pPr>
            <w:r>
              <w:rPr/>
              <w:t>​</w:t>
            </w:r>
          </w:p>
        </w:tc>
      </w:tr>
      <w:tr>
        <w:trPr/>
        <w:tc>
          <w:tcPr>
            <w:tcW w:w="1126"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Mineral</w:t>
            </w:r>
          </w:p>
        </w:tc>
        <w:tc>
          <w:tcPr>
            <w:tcW w:w="477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Smelter Name</w:t>
            </w:r>
          </w:p>
        </w:tc>
        <w:tc>
          <w:tcPr>
            <w:tcW w:w="3001" w:type="dxa"/>
            <w:tcBorders>
              <w:top w:val="single" w:sz="2" w:space="0" w:color="3877A6"/>
              <w:left w:val="single" w:sz="2" w:space="0" w:color="3877A6"/>
              <w:bottom w:val="single" w:sz="2" w:space="0" w:color="A5A5B1"/>
              <w:right w:val="single" w:sz="2" w:space="0" w:color="3877A6"/>
            </w:tcBorders>
            <w:shd w:fill="D6DCE5" w:val="clear"/>
            <w:tcMar>
              <w:top w:w="28" w:type="dxa"/>
              <w:left w:w="28" w:type="dxa"/>
              <w:bottom w:w="28" w:type="dxa"/>
              <w:right w:w="28" w:type="dxa"/>
            </w:tcMar>
            <w:vAlign w:val="center"/>
          </w:tcPr>
          <w:p>
            <w:pPr>
              <w:pStyle w:val="TableHeading"/>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Country of Smelter Facility</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XINSHENG TUNGSTEN INDUSTRY CO., LTD.</w:t>
            </w:r>
          </w:p>
        </w:tc>
        <w:tc>
          <w:tcPr>
            <w:tcW w:w="300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JIANGXI YAOSHENG TUNGSTEN CO., LTD.</w:t>
            </w:r>
          </w:p>
        </w:tc>
        <w:tc>
          <w:tcPr>
            <w:tcW w:w="300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JING YUAN TUNGSTEN TECHNOLOGY CO., LTD.</w:t>
            </w:r>
          </w:p>
        </w:tc>
        <w:tc>
          <w:tcPr>
            <w:tcW w:w="300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TAIWAN, PROVINCE OF 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JSC KIROVGRAD HARD ALLOYS PLANT</w:t>
            </w:r>
          </w:p>
        </w:tc>
        <w:tc>
          <w:tcPr>
            <w:tcW w:w="300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KENEE MINING VIETNAM COMPANY LIMITED</w:t>
            </w:r>
          </w:p>
        </w:tc>
        <w:tc>
          <w:tcPr>
            <w:tcW w:w="300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VIET NAM*</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KENNAMETAL FALLON</w:t>
            </w:r>
          </w:p>
        </w:tc>
        <w:tc>
          <w:tcPr>
            <w:tcW w:w="300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KENNAMETAL HUNTSVILLE</w:t>
            </w:r>
          </w:p>
        </w:tc>
        <w:tc>
          <w:tcPr>
            <w:tcW w:w="300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LIANYOU ADVANCED MATERIALS CO., LTD.</w:t>
            </w:r>
          </w:p>
        </w:tc>
        <w:tc>
          <w:tcPr>
            <w:tcW w:w="300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TAIWAN, PROVINCE OF 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LIANYOU METALS CO., LTD.</w:t>
            </w:r>
          </w:p>
        </w:tc>
        <w:tc>
          <w:tcPr>
            <w:tcW w:w="300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TAIWAN, PROVINCE OF CHINA*</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MALIPO HAIYU TUNGSTEN CO., LTD.</w:t>
            </w:r>
          </w:p>
        </w:tc>
        <w:tc>
          <w:tcPr>
            <w:tcW w:w="300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CHINA*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MASAN HIGH-TECH MATERIALS</w:t>
            </w:r>
          </w:p>
        </w:tc>
        <w:tc>
          <w:tcPr>
            <w:tcW w:w="300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VIET NAM*</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MOLIREN LTD.</w:t>
            </w:r>
          </w:p>
        </w:tc>
        <w:tc>
          <w:tcPr>
            <w:tcW w:w="300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NAM VIET CROMIT JOINT STOCK COMPANY</w:t>
            </w:r>
          </w:p>
        </w:tc>
        <w:tc>
          <w:tcPr>
            <w:tcW w:w="300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VIET NAM</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NIAGARA REFINING LLC</w:t>
            </w:r>
          </w:p>
        </w:tc>
        <w:tc>
          <w:tcPr>
            <w:tcW w:w="300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UNITED STATES OF AMERICA*</w:t>
            </w:r>
          </w:p>
        </w:tc>
      </w:tr>
      <w:tr>
        <w:trPr/>
        <w:tc>
          <w:tcPr>
            <w:tcW w:w="1126" w:type="dxa"/>
            <w:tcBorders/>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NPP TYAZHMETPROM LLC</w:t>
            </w:r>
          </w:p>
        </w:tc>
        <w:tc>
          <w:tcPr>
            <w:tcW w:w="3001" w:type="dxa"/>
            <w:tcBorders>
              <w:left w:val="single" w:sz="2" w:space="0" w:color="EBEBEB"/>
              <w:bottom w:val="single" w:sz="2" w:space="0" w:color="EBEBEB"/>
              <w:right w:val="single" w:sz="2" w:space="0" w:color="EBEBEB"/>
            </w:tcBorders>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r>
        <w:trPr/>
        <w:tc>
          <w:tcPr>
            <w:tcW w:w="11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TUNGSTEN</w:t>
            </w:r>
          </w:p>
        </w:tc>
        <w:tc>
          <w:tcPr>
            <w:tcW w:w="4771" w:type="dxa"/>
            <w:tcBorders>
              <w:right w:val="single" w:sz="2" w:space="0" w:color="EBEBEB"/>
            </w:tcBorders>
            <w:shd w:fill="CCEEFF" w:val="clear"/>
            <w:tcMar>
              <w:right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OOO ?TECHNOLOM? 1</w:t>
            </w:r>
          </w:p>
        </w:tc>
        <w:tc>
          <w:tcPr>
            <w:tcW w:w="3001" w:type="dxa"/>
            <w:tcBorders>
              <w:left w:val="single" w:sz="2" w:space="0" w:color="EBEBEB"/>
              <w:bottom w:val="single" w:sz="2" w:space="0" w:color="EBEBEB"/>
              <w:right w:val="single" w:sz="2" w:space="0" w:color="EBEBEB"/>
            </w:tcBorders>
            <w:shd w:fill="CCEEFF" w:val="clear"/>
            <w:tcMar>
              <w:left w:w="28" w:type="dxa"/>
              <w:bottom w:w="28" w:type="dxa"/>
              <w:right w:w="28" w:type="dxa"/>
            </w:tcMar>
            <w:vAlign w:val="center"/>
          </w:tcPr>
          <w:p>
            <w:pPr>
              <w:pStyle w:val="TableContents"/>
              <w:bidi w:val="0"/>
              <w:spacing w:lineRule="auto" w:line="307" w:before="0" w:after="1"/>
              <w:ind w:left="0" w:right="0" w:hanging="0"/>
              <w:jc w:val="left"/>
              <w:rPr>
                <w:rFonts w:ascii="Times New Roman;Times;serif" w:hAnsi="Times New Roman;Times;serif"/>
                <w:color w:val="333333"/>
                <w:sz w:val="20"/>
              </w:rPr>
            </w:pPr>
            <w:r>
              <w:rPr>
                <w:rFonts w:ascii="Times New Roman;Times;serif" w:hAnsi="Times New Roman;Times;serif"/>
                <w:color w:val="333333"/>
                <w:sz w:val="20"/>
              </w:rPr>
              <w:t>RUSSIAN FEDERATION</w:t>
            </w:r>
          </w:p>
        </w:tc>
      </w:tr>
    </w:tbl>
    <w:p>
      <w:pPr>
        <w:pStyle w:val="TextBody"/>
        <w:bidi w:val="0"/>
        <w:spacing w:lineRule="auto" w:line="307" w:before="0" w:after="160"/>
        <w:ind w:left="0" w:right="0" w:hanging="0"/>
        <w:jc w:val="center"/>
        <w:rPr>
          <w:shd w:fill="FFFF00" w:val="clear"/>
        </w:rPr>
      </w:pPr>
      <w:r>
        <w:rPr>
          <w:shd w:fill="FFFF00" w:val="clea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*RMAP Conformant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**RMAP Active – in the process of becoming RMAP Conformant.</w:t>
      </w:r>
    </w:p>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A-</w:t>
      </w: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7678</Words>
  <Characters>44114</Characters>
  <CharactersWithSpaces>50837</CharactersWithSpaces>
  <Paragraphs>1572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