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both"/>
        <w:rPr/>
      </w:pPr>
      <w:hyperlink w:anchor="i62281276287540ef9f7680877d4c0df3_7">
        <w:r>
          <w:rPr>
            <w:rStyle w:val="InternetLink"/>
            <w:rFonts w:ascii="Arial;sans-serif" w:hAnsi="Arial;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spacing w:lineRule="auto" w:line="288" w:before="0" w:after="0"/>
        <w:jc w:val="center"/>
        <w:rPr/>
      </w:pPr>
      <w:r>
        <w:rPr>
          <w:rFonts w:ascii="Arial;sans-serif" w:hAnsi="Arial;sans-serif"/>
          <w:b/>
          <w:color w:val="000000"/>
          <w:sz w:val="28"/>
        </w:rPr>
        <w:t>WASHINGTON, D.C.  20549</w:t>
      </w:r>
      <w:r>
        <w:rPr>
          <w:color w:val="000000"/>
        </w:rPr>
        <w:t> </w:t>
      </w:r>
    </w:p>
    <w:p>
      <w:pPr>
        <w:pStyle w:val="TextBody"/>
        <w:spacing w:lineRule="auto" w:line="288" w:before="120" w:after="283"/>
        <w:jc w:val="center"/>
        <w:rPr>
          <w:rFonts w:ascii="Arial;sans-serif" w:hAnsi="Arial;sans-serif"/>
          <w:b/>
          <w:color w:val="000000"/>
          <w:sz w:val="28"/>
        </w:rPr>
      </w:pPr>
      <w:r>
        <w:rPr>
          <w:rFonts w:ascii="Arial;sans-serif" w:hAnsi="Arial;sans-serif"/>
          <w:b/>
          <w:color w:val="000000"/>
          <w:sz w:val="28"/>
        </w:rPr>
        <w:t>FORM 10-Q</w:t>
      </w:r>
    </w:p>
    <w:p>
      <w:pPr>
        <w:pStyle w:val="TextBody"/>
        <w:spacing w:lineRule="auto" w:line="288" w:before="0" w:after="0"/>
        <w:jc w:val="both"/>
        <w:rPr/>
      </w:pPr>
      <w:r>
        <w:rPr>
          <w:rFonts w:ascii="Arial;sans-serif" w:hAnsi="Arial;sans-serif"/>
          <w:b/>
          <w:color w:val="000000"/>
          <w:sz w:val="16"/>
        </w:rPr>
        <w:t>(Mark One)</w:t>
      </w:r>
      <w:r>
        <w:rPr>
          <w:color w:val="000000"/>
        </w:rPr>
        <w:t> </w:t>
      </w:r>
    </w:p>
    <w:p>
      <w:pPr>
        <w:pStyle w:val="TextBody"/>
        <w:spacing w:lineRule="auto" w:line="288" w:before="120" w:after="283"/>
        <w:ind w:left="0" w:right="0" w:hanging="450"/>
        <w:jc w:val="center"/>
        <w:rPr/>
      </w:pPr>
      <w:r>
        <w:rPr>
          <w:color w:val="000000"/>
        </w:rPr>
        <w:t>☒    </w:t>
      </w:r>
      <w:r>
        <w:rPr>
          <w:rFonts w:ascii="Arial;sans-serif" w:hAnsi="Arial;sans-serif"/>
          <w:b/>
          <w:color w:val="000000"/>
          <w:sz w:val="16"/>
        </w:rPr>
        <w:t xml:space="preserve">QUARTERLY REPORT PURSUANT TO SECTION 13 OR 15(d) OF THE SECURITIES EXCHANGE ACT OF 1934 FOR THE QUARTERLY PERIOD ENDED MARCH 31, 2023. </w:t>
      </w:r>
    </w:p>
    <w:p>
      <w:pPr>
        <w:pStyle w:val="TextBody"/>
        <w:spacing w:lineRule="auto" w:line="288" w:before="120" w:after="283"/>
        <w:ind w:left="0" w:right="0" w:hanging="450"/>
        <w:jc w:val="center"/>
        <w:rPr/>
      </w:pPr>
      <w:r>
        <w:rPr>
          <w:rFonts w:ascii="Arial;sans-serif" w:hAnsi="Arial;sans-serif"/>
          <w:b/>
          <w:color w:val="000000"/>
          <w:sz w:val="16"/>
        </w:rPr>
        <w:t>OR</w:t>
      </w:r>
      <w:r>
        <w:rPr>
          <w:color w:val="000000"/>
        </w:rPr>
        <w:t> </w:t>
      </w:r>
    </w:p>
    <w:p>
      <w:pPr>
        <w:pStyle w:val="TextBody"/>
        <w:spacing w:before="120" w:after="283"/>
        <w:ind w:left="0" w:right="0" w:hanging="450"/>
        <w:jc w:val="center"/>
        <w:rPr/>
      </w:pPr>
      <w:r>
        <w:rPr/>
      </w:r>
    </w:p>
    <w:p>
      <w:pPr>
        <w:pStyle w:val="TextBody"/>
        <w:spacing w:lineRule="auto" w:line="288" w:before="0" w:after="0"/>
        <w:ind w:left="0" w:right="0" w:hanging="450"/>
        <w:jc w:val="both"/>
        <w:rPr/>
      </w:pPr>
      <w:r>
        <w:rPr>
          <w:color w:val="000000"/>
        </w:rPr>
        <w:t>☐    </w:t>
      </w:r>
      <w:r>
        <w:rPr>
          <w:rFonts w:ascii="Arial;sans-serif" w:hAnsi="Arial;sans-serif"/>
          <w:b/>
          <w:color w:val="000000"/>
          <w:sz w:val="16"/>
        </w:rPr>
        <w:t>TRANSITION REPORT PURSUANT TO SECTION 13 OR 15(d) OF THE SECURITIES EXCHANGE ACT OF 1934</w:t>
      </w:r>
      <w:r>
        <w:rPr>
          <w:color w:val="000000"/>
        </w:rPr>
        <w:t> </w:t>
      </w:r>
      <w:r>
        <w:rPr>
          <w:rFonts w:ascii="Arial;sans-serif" w:hAnsi="Arial;sans-serif"/>
          <w:b/>
          <w:color w:val="000000"/>
          <w:sz w:val="16"/>
        </w:rPr>
        <w:t>FOR THE TRANSITION PERIOD FROM    </w:t>
      </w:r>
      <w:r>
        <w:rPr>
          <w:color w:val="000000"/>
          <w:u w:val="single"/>
        </w:rPr>
        <w:t>                                 </w:t>
      </w:r>
      <w:r>
        <w:rPr>
          <w:color w:val="000000"/>
        </w:rPr>
        <w:t xml:space="preserve">          </w:t>
      </w:r>
      <w:r>
        <w:rPr>
          <w:rFonts w:ascii="Arial;sans-serif" w:hAnsi="Arial;sans-serif"/>
          <w:b/>
          <w:color w:val="000000"/>
          <w:sz w:val="16"/>
        </w:rPr>
        <w:t>TO          </w:t>
      </w:r>
      <w:r>
        <w:rPr>
          <w:color w:val="000000"/>
          <w:u w:val="single"/>
        </w:rPr>
        <w:t>                                 </w:t>
      </w:r>
      <w:r>
        <w:rPr>
          <w:color w:val="000000"/>
        </w:rPr>
        <w:t> </w:t>
      </w:r>
      <w:r>
        <w:rPr>
          <w:rFonts w:ascii="Arial;sans-serif" w:hAnsi="Arial;sans-serif"/>
          <w:b/>
          <w:color w:val="000000"/>
          <w:sz w:val="16"/>
        </w:rPr>
        <w:t>.      </w:t>
      </w:r>
    </w:p>
    <w:p>
      <w:pPr>
        <w:pStyle w:val="TextBody"/>
        <w:spacing w:before="0" w:after="0"/>
        <w:ind w:left="0" w:right="0" w:hanging="450"/>
        <w:jc w:val="both"/>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Commission File Number: 333-179121 </w:t>
      </w:r>
    </w:p>
    <w:p>
      <w:pPr>
        <w:pStyle w:val="TextBody"/>
        <w:spacing w:before="0" w:after="0"/>
        <w:jc w:val="center"/>
        <w:rPr/>
      </w:pPr>
      <w:r>
        <w:rPr/>
      </w:r>
    </w:p>
    <w:p>
      <w:pPr>
        <w:pStyle w:val="TextBody"/>
        <w:spacing w:before="0" w:after="0"/>
        <w:jc w:val="center"/>
        <w:rPr/>
      </w:pPr>
      <w:r>
        <w:rPr/>
        <w:drawing>
          <wp:inline distT="0" distB="63500" distL="0" distR="0">
            <wp:extent cx="28575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895350"/>
                    </a:xfrm>
                    <a:prstGeom prst="rect">
                      <a:avLst/>
                    </a:prstGeom>
                  </pic:spPr>
                </pic:pic>
              </a:graphicData>
            </a:graphic>
          </wp:inline>
        </w:drawing>
      </w:r>
    </w:p>
    <w:p>
      <w:pPr>
        <w:pStyle w:val="TextBody"/>
        <w:spacing w:lineRule="auto" w:line="288" w:before="0" w:after="0"/>
        <w:jc w:val="center"/>
        <w:rPr/>
      </w:pPr>
      <w:r>
        <w:rPr>
          <w:color w:val="000000"/>
        </w:rPr>
        <w:t> </w:t>
      </w:r>
      <w:r>
        <w:rPr>
          <w:rFonts w:ascii="Arial;sans-serif" w:hAnsi="Arial;sans-serif"/>
          <w:b/>
          <w:color w:val="000000"/>
          <w:sz w:val="28"/>
        </w:rPr>
        <w:t>Hughes Satellite Systems Corporation</w:t>
      </w:r>
      <w:r>
        <w:rPr>
          <w:color w:val="000000"/>
        </w:rPr>
        <w:t xml:space="preserve"> </w:t>
      </w:r>
    </w:p>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 </w:t>
      </w:r>
    </w:p>
    <w:tbl>
      <w:tblPr>
        <w:tblW w:w="10205" w:type="dxa"/>
        <w:jc w:val="center"/>
        <w:tblInd w:w="0" w:type="dxa"/>
        <w:tblCellMar>
          <w:top w:w="28" w:type="dxa"/>
          <w:left w:w="28" w:type="dxa"/>
          <w:bottom w:w="28" w:type="dxa"/>
          <w:right w:w="28" w:type="dxa"/>
        </w:tblCellMar>
      </w:tblPr>
      <w:tblGrid>
        <w:gridCol w:w="767"/>
        <w:gridCol w:w="630"/>
        <w:gridCol w:w="608"/>
        <w:gridCol w:w="471"/>
        <w:gridCol w:w="461"/>
        <w:gridCol w:w="404"/>
        <w:gridCol w:w="471"/>
        <w:gridCol w:w="429"/>
        <w:gridCol w:w="426"/>
        <w:gridCol w:w="109"/>
        <w:gridCol w:w="109"/>
        <w:gridCol w:w="109"/>
        <w:gridCol w:w="1516"/>
        <w:gridCol w:w="1516"/>
        <w:gridCol w:w="2179"/>
      </w:tblGrid>
      <w:tr>
        <w:trPr/>
        <w:tc>
          <w:tcPr>
            <w:tcW w:w="76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2179" w:type="dxa"/>
            <w:tcBorders/>
            <w:shd w:fill="auto" w:val="clear"/>
            <w:vAlign w:val="center"/>
          </w:tcPr>
          <w:p>
            <w:pPr>
              <w:pStyle w:val="TableContents"/>
              <w:spacing w:before="0" w:after="283"/>
              <w:rPr>
                <w:sz w:val="4"/>
                <w:szCs w:val="4"/>
              </w:rPr>
            </w:pPr>
            <w:r>
              <w:rPr>
                <w:sz w:val="4"/>
                <w:szCs w:val="4"/>
              </w:rPr>
            </w:r>
          </w:p>
        </w:tc>
      </w:tr>
      <w:tr>
        <w:trPr/>
        <w:tc>
          <w:tcPr>
            <w:tcW w:w="4667"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Colorado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45-0897865</w:t>
            </w:r>
          </w:p>
        </w:tc>
      </w:tr>
      <w:tr>
        <w:trPr/>
        <w:tc>
          <w:tcPr>
            <w:tcW w:w="46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2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color w:val="000000"/>
                <w:sz w:val="16"/>
              </w:rPr>
            </w:pPr>
            <w:r>
              <w:rPr>
                <w:rFonts w:ascii="Arial;sans-serif" w:hAnsi="Arial;sans-serif"/>
                <w:b/>
                <w:color w:val="000000"/>
                <w:sz w:val="16"/>
              </w:rPr>
              <w:t>100 Inverness Terrace East,</w:t>
            </w:r>
          </w:p>
        </w:tc>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Englewood,</w:t>
            </w:r>
          </w:p>
        </w:tc>
        <w:tc>
          <w:tcPr>
            <w:tcW w:w="132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Colorado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80112-5308</w:t>
            </w:r>
          </w:p>
        </w:tc>
      </w:tr>
      <w:tr>
        <w:trPr/>
        <w:tc>
          <w:tcPr>
            <w:tcW w:w="46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2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Arial;sans-serif" w:hAnsi="Arial;sans-serif"/>
                <w:b/>
                <w:color w:val="000000"/>
                <w:sz w:val="16"/>
              </w:rPr>
            </w:pPr>
            <w:r>
              <w:rPr>
                <w:rFonts w:ascii="Arial;sans-serif" w:hAnsi="Arial;sans-serif"/>
                <w:b/>
                <w:color w:val="000000"/>
                <w:sz w:val="16"/>
              </w:rPr>
              <w:t>(303)</w:t>
            </w:r>
          </w:p>
        </w:tc>
        <w:tc>
          <w:tcPr>
            <w:tcW w:w="13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706-4000</w:t>
            </w:r>
          </w:p>
        </w:tc>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Not Applicable</w:t>
            </w:r>
          </w:p>
        </w:tc>
      </w:tr>
      <w:tr>
        <w:trPr/>
        <w:tc>
          <w:tcPr>
            <w:tcW w:w="46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(Former name, former address and former fiscal year, if changed since last report)</w:t>
            </w:r>
          </w:p>
        </w:tc>
      </w:tr>
    </w:tbl>
    <w:p>
      <w:pPr>
        <w:pStyle w:val="TextBody"/>
        <w:spacing w:lineRule="auto" w:line="288" w:before="0" w:after="0"/>
        <w:jc w:val="center"/>
        <w:rPr>
          <w:color w:val="000000"/>
        </w:rPr>
      </w:pPr>
      <w:r>
        <w:rPr>
          <w:color w:val="000000"/>
        </w:rPr>
        <w:t> </w:t>
      </w:r>
    </w:p>
    <w:p>
      <w:pPr>
        <w:pStyle w:val="TextBody"/>
        <w:spacing w:lineRule="auto" w:line="288" w:before="60" w:after="283"/>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6"/>
        </w:rPr>
        <w:t>No </w:t>
      </w:r>
      <w:r>
        <w:rPr>
          <w:color w:val="000000"/>
        </w:rPr>
        <w:t>☒ </w:t>
      </w:r>
      <w:r>
        <w:rPr>
          <w:rFonts w:ascii="Arial;sans-serif" w:hAnsi="Arial;sans-serif"/>
          <w:b w:val="false"/>
          <w:color w:val="000000"/>
          <w:sz w:val="16"/>
        </w:rPr>
        <w:t>*</w:t>
      </w:r>
    </w:p>
    <w:p>
      <w:pPr>
        <w:pStyle w:val="TextBody"/>
        <w:spacing w:lineRule="auto" w:line="288" w:before="180" w:after="283"/>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Arial;sans-serif" w:hAnsi="Arial;sans-serif"/>
          <w:b w:val="false"/>
          <w:color w:val="000000"/>
          <w:sz w:val="16"/>
        </w:rPr>
        <w:t>No </w:t>
      </w:r>
      <w:r>
        <w:rPr>
          <w:color w:val="000000"/>
        </w:rPr>
        <w:t>☐ </w:t>
      </w:r>
    </w:p>
    <w:p>
      <w:pPr>
        <w:pStyle w:val="TextBody"/>
        <w:spacing w:lineRule="auto" w:line="288" w:before="180" w:after="283"/>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6875" w:type="dxa"/>
        <w:jc w:val="center"/>
        <w:tblInd w:w="0" w:type="dxa"/>
        <w:tblCellMar>
          <w:top w:w="28" w:type="dxa"/>
          <w:left w:w="28" w:type="dxa"/>
          <w:bottom w:w="28" w:type="dxa"/>
          <w:right w:w="28" w:type="dxa"/>
        </w:tblCellMar>
      </w:tblPr>
      <w:tblGrid>
        <w:gridCol w:w="629"/>
        <w:gridCol w:w="554"/>
        <w:gridCol w:w="556"/>
        <w:gridCol w:w="109"/>
        <w:gridCol w:w="109"/>
        <w:gridCol w:w="109"/>
        <w:gridCol w:w="684"/>
        <w:gridCol w:w="684"/>
        <w:gridCol w:w="687"/>
        <w:gridCol w:w="109"/>
        <w:gridCol w:w="109"/>
        <w:gridCol w:w="109"/>
        <w:gridCol w:w="684"/>
        <w:gridCol w:w="684"/>
        <w:gridCol w:w="687"/>
        <w:gridCol w:w="109"/>
        <w:gridCol w:w="109"/>
        <w:gridCol w:w="154"/>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180" w:after="283"/>
              <w:jc w:val="left"/>
              <w:rPr>
                <w:color w:val="000000"/>
              </w:rPr>
            </w:pPr>
            <w:r>
              <w:rPr>
                <w:color w:val="000000"/>
              </w:rPr>
              <w:t>☐</w:t>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180" w:after="283"/>
              <w:jc w:val="left"/>
              <w:rPr>
                <w:color w:val="000000"/>
              </w:rPr>
            </w:pPr>
            <w:r>
              <w:rPr>
                <w:color w:val="000000"/>
              </w:rPr>
              <w:t>☐</w:t>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80" w:after="283"/>
              <w:jc w:val="left"/>
              <w:rPr>
                <w:color w:val="000000"/>
              </w:rPr>
            </w:pPr>
            <w:r>
              <w:rPr>
                <w:color w:val="000000"/>
              </w:rPr>
              <w:t>☐</w:t>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180" w:after="283"/>
              <w:jc w:val="left"/>
              <w:rPr>
                <w:color w:val="000000"/>
              </w:rPr>
            </w:pPr>
            <w:r>
              <w:rPr>
                <w:color w:val="000000"/>
              </w:rPr>
              <w:t>☒</w:t>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180" w:after="283"/>
              <w:jc w:val="left"/>
              <w:rPr>
                <w:color w:val="000000"/>
              </w:rPr>
            </w:pPr>
            <w:r>
              <w:rPr>
                <w:color w:val="000000"/>
              </w:rPr>
              <w:t>☐</w:t>
            </w:r>
          </w:p>
        </w:tc>
        <w:tc>
          <w:tcPr>
            <w:tcW w:w="2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180" w:after="283"/>
        <w:jc w:val="both"/>
        <w:rPr/>
      </w:pPr>
      <w:r>
        <w:rPr>
          <w:rFonts w:ascii="Arial;sans-serif" w:hAnsi="Arial;sans-serif"/>
          <w:b w:val="false"/>
          <w:color w:val="000000"/>
          <w:sz w:val="16"/>
        </w:rPr>
        <w:t>Indicate by check mark whether the registrant is a shell company (as defined in Rule 12b-2 of the Exchange Act).  Yes ☐ No </w:t>
      </w:r>
      <w:r>
        <w:rPr>
          <w:color w:val="000000"/>
        </w:rPr>
        <w:t>☒ </w:t>
      </w:r>
    </w:p>
    <w:p>
      <w:pPr>
        <w:pStyle w:val="TextBody"/>
        <w:spacing w:lineRule="auto" w:line="288" w:before="180" w:after="283"/>
        <w:jc w:val="both"/>
        <w:rPr>
          <w:rFonts w:ascii="Arial;sans-serif" w:hAnsi="Arial;sans-serif"/>
          <w:b w:val="false"/>
          <w:color w:val="000000"/>
          <w:sz w:val="16"/>
        </w:rPr>
      </w:pPr>
      <w:r>
        <w:rPr>
          <w:rFonts w:ascii="Arial;sans-serif" w:hAnsi="Arial;sans-serif"/>
          <w:b w:val="false"/>
          <w:color w:val="000000"/>
          <w:sz w:val="16"/>
        </w:rPr>
        <w:t>As of April 26, 2023, the registrant’s outstanding common stock consisted of 1,078 shares of common stock, $0.01 par value per share. </w:t>
      </w:r>
    </w:p>
    <w:p>
      <w:pPr>
        <w:pStyle w:val="TextBody"/>
        <w:spacing w:lineRule="auto" w:line="288" w:before="180" w:after="283"/>
        <w:jc w:val="both"/>
        <w:rPr>
          <w:rFonts w:ascii="Arial;sans-serif" w:hAnsi="Arial;sans-serif"/>
          <w:b w:val="false"/>
          <w:color w:val="000000"/>
          <w:sz w:val="16"/>
        </w:rPr>
      </w:pPr>
      <w:r>
        <w:rPr>
          <w:rFonts w:ascii="Arial;sans-serif" w:hAnsi="Arial;sans-serif"/>
          <w:b w:val="false"/>
          <w:color w:val="000000"/>
          <w:sz w:val="16"/>
        </w:rPr>
        <w:t>The Registrant meets the conditions set forth in General Instructions (H)(1)(a) and (b) of Form 10-Q and is therefore filing this Quarterly Report on Form 10-Q with the reduced disclosure format.</w:t>
      </w:r>
    </w:p>
    <w:p>
      <w:pPr>
        <w:pStyle w:val="TextBody"/>
        <w:spacing w:lineRule="auto" w:line="288" w:before="180" w:after="283"/>
        <w:jc w:val="both"/>
        <w:rPr>
          <w:rFonts w:ascii="Arial;sans-serif" w:hAnsi="Arial;sans-serif"/>
          <w:b w:val="false"/>
          <w:color w:val="000000"/>
          <w:sz w:val="16"/>
        </w:rPr>
      </w:pPr>
      <w:r>
        <w:rPr>
          <w:rFonts w:ascii="Arial;sans-serif" w:hAnsi="Arial;sans-serif"/>
          <w:b w:val="false"/>
          <w:color w:val="000000"/>
          <w:sz w:val="16"/>
        </w:rPr>
        <w:t>* The Registrant currently is not subject to the filing requirements of Section 13 or 15(d) of the Securities Exchange Act of 1934 and is filing this Quarterly Report on Form 10-Q on a voluntary basis. The Registrant has filed all reports required to be filed by Section 13 or 15(d) of the Securities Exchange Act of 1934 during the preceding 12 months as if it were subject to such filing requirements during such period.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both"/>
        <w:rPr/>
      </w:pPr>
      <w:hyperlink w:anchor="i62281276287540ef9f7680877d4c0df3_7">
        <w:r>
          <w:rPr>
            <w:rStyle w:val="InternetLink"/>
            <w:rFonts w:ascii="Arial;sans-serif" w:hAnsi="Arial;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spacing w:lineRule="auto" w:line="288" w:before="0" w:after="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647"/>
        <w:gridCol w:w="559"/>
        <w:gridCol w:w="559"/>
        <w:gridCol w:w="2823"/>
        <w:gridCol w:w="2620"/>
        <w:gridCol w:w="2621"/>
        <w:gridCol w:w="109"/>
        <w:gridCol w:w="109"/>
        <w:gridCol w:w="158"/>
      </w:tblGrid>
      <w:tr>
        <w:trPr/>
        <w:tc>
          <w:tcPr>
            <w:tcW w:w="647"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2823" w:type="dxa"/>
            <w:tcBorders/>
            <w:shd w:fill="auto" w:val="clear"/>
            <w:vAlign w:val="center"/>
          </w:tcPr>
          <w:p>
            <w:pPr>
              <w:pStyle w:val="TableContents"/>
              <w:spacing w:before="0" w:after="283"/>
              <w:rPr>
                <w:sz w:val="4"/>
                <w:szCs w:val="4"/>
              </w:rPr>
            </w:pPr>
            <w:r>
              <w:rPr>
                <w:sz w:val="4"/>
                <w:szCs w:val="4"/>
              </w:rPr>
            </w:r>
          </w:p>
        </w:tc>
        <w:tc>
          <w:tcPr>
            <w:tcW w:w="2620" w:type="dxa"/>
            <w:tcBorders/>
            <w:shd w:fill="auto" w:val="clear"/>
            <w:vAlign w:val="center"/>
          </w:tcPr>
          <w:p>
            <w:pPr>
              <w:pStyle w:val="TableContents"/>
              <w:spacing w:before="0" w:after="283"/>
              <w:rPr>
                <w:sz w:val="4"/>
                <w:szCs w:val="4"/>
              </w:rPr>
            </w:pPr>
            <w:r>
              <w:rPr>
                <w:sz w:val="4"/>
                <w:szCs w:val="4"/>
              </w:rPr>
            </w:r>
          </w:p>
        </w:tc>
        <w:tc>
          <w:tcPr>
            <w:tcW w:w="26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9829"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10">
              <w:r>
                <w:rPr>
                  <w:rStyle w:val="InternetLink"/>
                  <w:rFonts w:ascii="Arial;sans-serif" w:hAnsi="Arial;sans-serif"/>
                  <w:b w:val="false"/>
                  <w:color w:val="0000FF"/>
                  <w:sz w:val="20"/>
                  <w:u w:val="single"/>
                </w:rPr>
                <w:t>Disclosure Regarding Forward Looking Statements</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2281276287540ef9f7680877d4c0df3_10">
              <w:r>
                <w:rPr>
                  <w:rStyle w:val="InternetLink"/>
                  <w:rFonts w:ascii="Arial;sans-serif" w:hAnsi="Arial;sans-serif"/>
                  <w:b w:val="false"/>
                  <w:color w:val="0000FF"/>
                  <w:sz w:val="20"/>
                  <w:u w:val="single"/>
                </w:rPr>
                <w:t>i</w:t>
              </w:r>
            </w:hyperlink>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2281276287540ef9f7680877d4c0df3_13">
              <w:r>
                <w:rPr>
                  <w:rStyle w:val="InternetLink"/>
                </w:rPr>
                <w:t>PART I</w:t>
              </w:r>
            </w:hyperlink>
            <w:hyperlink w:anchor="i62281276287540ef9f7680877d4c0df3_13">
              <w:r>
                <w:rPr>
                  <w:rStyle w:val="InternetLink"/>
                </w:rPr>
                <w:t xml:space="preserve"> - FINANCIAL </w:t>
              </w:r>
            </w:hyperlink>
            <w:hyperlink w:anchor="i62281276287540ef9f7680877d4c0df3_13">
              <w:r>
                <w:rPr>
                  <w:rStyle w:val="InternetLink"/>
                </w:rPr>
                <w:t>IN</w:t>
              </w:r>
            </w:hyperlink>
            <w:hyperlink w:anchor="i62281276287540ef9f7680877d4c0df3_13">
              <w:r>
                <w:rPr>
                  <w:rStyle w:val="InternetLink"/>
                </w:rPr>
                <w:t>F</w:t>
              </w:r>
            </w:hyperlink>
            <w:hyperlink w:anchor="i62281276287540ef9f7680877d4c0df3_13">
              <w:r>
                <w:rPr>
                  <w:rStyle w:val="InternetLink"/>
                </w:rPr>
                <w:t>ORMATION</w:t>
              </w:r>
            </w:hyperlink>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5681">
              <w:r>
                <w:rPr>
                  <w:rStyle w:val="InternetLink"/>
                  <w:rFonts w:ascii="Arial;sans-serif" w:hAnsi="Arial;sans-serif"/>
                  <w:b w:val="false"/>
                  <w:color w:val="0000FF"/>
                  <w:sz w:val="20"/>
                  <w:u w:val="single"/>
                </w:rPr>
                <w:t>Item 1.</w:t>
              </w:r>
            </w:hyperlink>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5681">
              <w:r>
                <w:rPr>
                  <w:rStyle w:val="InternetLink"/>
                  <w:rFonts w:ascii="Arial;sans-serif" w:hAnsi="Arial;sans-serif"/>
                  <w:b w:val="false"/>
                  <w:color w:val="0000FF"/>
                  <w:sz w:val="20"/>
                  <w:u w:val="single"/>
                </w:rPr>
                <w:t>Financial Statements</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2281276287540ef9f7680877d4c0df3_5681">
              <w:r>
                <w:rPr>
                  <w:rStyle w:val="InternetLink"/>
                  <w:rFonts w:ascii="Arial;sans-serif" w:hAnsi="Arial;sans-serif"/>
                  <w:b w:val="false"/>
                  <w:color w:val="0000FF"/>
                  <w:sz w:val="20"/>
                  <w:u w:val="single"/>
                </w:rPr>
                <w:t>1</w:t>
              </w:r>
            </w:hyperlink>
          </w:p>
        </w:tc>
      </w:tr>
      <w:tr>
        <w:trPr/>
        <w:tc>
          <w:tcPr>
            <w:tcW w:w="1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5687">
              <w:r>
                <w:rPr>
                  <w:rStyle w:val="InternetLink"/>
                  <w:rFonts w:ascii="Arial;sans-serif" w:hAnsi="Arial;sans-serif"/>
                  <w:b w:val="false"/>
                  <w:color w:val="0000FF"/>
                  <w:sz w:val="20"/>
                  <w:u w:val="single"/>
                </w:rPr>
                <w:t>Consolidated Balance Sheets as of March 31, 2023 (unaudited) and December 31, 2022 (audited)</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2281276287540ef9f7680877d4c0df3_5687">
              <w:r>
                <w:rPr>
                  <w:rStyle w:val="InternetLink"/>
                  <w:rFonts w:ascii="Arial;sans-serif" w:hAnsi="Arial;sans-serif"/>
                  <w:b w:val="false"/>
                  <w:color w:val="0000FF"/>
                  <w:sz w:val="20"/>
                  <w:u w:val="single"/>
                </w:rPr>
                <w:t>1</w:t>
              </w:r>
            </w:hyperlink>
          </w:p>
        </w:tc>
      </w:tr>
      <w:tr>
        <w:trPr/>
        <w:tc>
          <w:tcPr>
            <w:tcW w:w="1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151">
              <w:r>
                <w:rPr>
                  <w:rStyle w:val="InternetLink"/>
                  <w:rFonts w:ascii="Arial;sans-serif" w:hAnsi="Arial;sans-serif"/>
                  <w:b w:val="false"/>
                  <w:color w:val="0000FF"/>
                  <w:sz w:val="20"/>
                  <w:u w:val="single"/>
                </w:rPr>
                <w:t>Consolidated Statements of Operations for the three months ended March 31, 2023 and 2022 (unaudited)</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2281276287540ef9f7680877d4c0df3_151">
              <w:r>
                <w:rPr>
                  <w:rStyle w:val="InternetLink"/>
                  <w:rFonts w:ascii="Arial;sans-serif" w:hAnsi="Arial;sans-serif"/>
                  <w:b w:val="false"/>
                  <w:color w:val="0000FF"/>
                  <w:sz w:val="20"/>
                  <w:u w:val="single"/>
                </w:rPr>
                <w:t>3</w:t>
              </w:r>
            </w:hyperlink>
          </w:p>
        </w:tc>
      </w:tr>
      <w:tr>
        <w:trPr/>
        <w:tc>
          <w:tcPr>
            <w:tcW w:w="1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154">
              <w:r>
                <w:rPr>
                  <w:rStyle w:val="InternetLink"/>
                  <w:rFonts w:ascii="Arial;sans-serif" w:hAnsi="Arial;sans-serif"/>
                  <w:b w:val="false"/>
                  <w:color w:val="0000FF"/>
                  <w:sz w:val="20"/>
                  <w:u w:val="single"/>
                </w:rPr>
                <w:t>Consolidated Statements of Comprehensive Income (Loss) for the three months ended March 31, 2023 and 2022 (unaudited)</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2281276287540ef9f7680877d4c0df3_154">
              <w:r>
                <w:rPr>
                  <w:rStyle w:val="InternetLink"/>
                  <w:rFonts w:ascii="Arial;sans-serif" w:hAnsi="Arial;sans-serif"/>
                  <w:b w:val="false"/>
                  <w:color w:val="0000FF"/>
                  <w:sz w:val="20"/>
                  <w:u w:val="single"/>
                </w:rPr>
                <w:t>4</w:t>
              </w:r>
            </w:hyperlink>
          </w:p>
        </w:tc>
      </w:tr>
      <w:tr>
        <w:trPr/>
        <w:tc>
          <w:tcPr>
            <w:tcW w:w="1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157">
              <w:r>
                <w:rPr>
                  <w:rStyle w:val="InternetLink"/>
                  <w:rFonts w:ascii="Arial;sans-serif" w:hAnsi="Arial;sans-serif"/>
                  <w:b w:val="false"/>
                  <w:color w:val="0000FF"/>
                  <w:sz w:val="20"/>
                  <w:u w:val="single"/>
                </w:rPr>
                <w:t>Consolidated Statements of Changes in Shareholder’s Equity for the three months ended March 31, 2023 and 2022 (unaudited)</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2281276287540ef9f7680877d4c0df3_157">
              <w:r>
                <w:rPr>
                  <w:rStyle w:val="InternetLink"/>
                  <w:rFonts w:ascii="Arial;sans-serif" w:hAnsi="Arial;sans-serif"/>
                  <w:b w:val="false"/>
                  <w:color w:val="0000FF"/>
                  <w:sz w:val="20"/>
                  <w:u w:val="single"/>
                </w:rPr>
                <w:t>5</w:t>
              </w:r>
            </w:hyperlink>
          </w:p>
        </w:tc>
      </w:tr>
      <w:tr>
        <w:trPr/>
        <w:tc>
          <w:tcPr>
            <w:tcW w:w="1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5971">
              <w:r>
                <w:rPr>
                  <w:rStyle w:val="InternetLink"/>
                  <w:rFonts w:ascii="Arial;sans-serif" w:hAnsi="Arial;sans-serif"/>
                  <w:b w:val="false"/>
                  <w:color w:val="0000FF"/>
                  <w:sz w:val="20"/>
                  <w:u w:val="single"/>
                </w:rPr>
                <w:t>Consolidated Statements of Cash Flows for the three months ended March 31, 2023 and 2022 (unaudited)</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2281276287540ef9f7680877d4c0df3_5971">
              <w:r>
                <w:rPr>
                  <w:rStyle w:val="InternetLink"/>
                  <w:rFonts w:ascii="Arial;sans-serif" w:hAnsi="Arial;sans-serif"/>
                  <w:b w:val="false"/>
                  <w:color w:val="0000FF"/>
                  <w:sz w:val="20"/>
                  <w:u w:val="single"/>
                </w:rPr>
                <w:t>6</w:t>
              </w:r>
            </w:hyperlink>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163">
              <w:r>
                <w:rPr>
                  <w:rStyle w:val="InternetLink"/>
                  <w:rFonts w:ascii="Arial;sans-serif" w:hAnsi="Arial;sans-serif"/>
                  <w:b w:val="false"/>
                  <w:color w:val="0000FF"/>
                  <w:sz w:val="20"/>
                  <w:u w:val="single"/>
                </w:rPr>
                <w:t>Notes to the Consolidated Financial Statements (unaudited)</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2281276287540ef9f7680877d4c0df3_163">
              <w:r>
                <w:rPr>
                  <w:rStyle w:val="InternetLink"/>
                  <w:rFonts w:ascii="Arial;sans-serif" w:hAnsi="Arial;sans-serif"/>
                  <w:b w:val="false"/>
                  <w:color w:val="0000FF"/>
                  <w:sz w:val="20"/>
                  <w:u w:val="single"/>
                </w:rPr>
                <w:t>8</w:t>
              </w:r>
            </w:hyperlink>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5795">
              <w:r>
                <w:rPr>
                  <w:rStyle w:val="InternetLink"/>
                  <w:rFonts w:ascii="Arial;sans-serif" w:hAnsi="Arial;sans-serif"/>
                  <w:b w:val="false"/>
                  <w:color w:val="0000FF"/>
                  <w:sz w:val="20"/>
                  <w:u w:val="single"/>
                </w:rPr>
                <w:t>Item 2.</w:t>
              </w:r>
            </w:hyperlink>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5795">
              <w:r>
                <w:rPr>
                  <w:rStyle w:val="InternetLink"/>
                  <w:rFonts w:ascii="Arial;sans-serif" w:hAnsi="Arial;sans-serif"/>
                  <w:b w:val="false"/>
                  <w:color w:val="0000FF"/>
                  <w:sz w:val="20"/>
                  <w:u w:val="single"/>
                </w:rPr>
                <w:t>Management’s Narrative Analysis of Results of Operations</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2281276287540ef9f7680877d4c0df3_5795">
              <w:r>
                <w:rPr>
                  <w:rStyle w:val="InternetLink"/>
                  <w:rFonts w:ascii="Arial;sans-serif" w:hAnsi="Arial;sans-serif"/>
                  <w:b w:val="false"/>
                  <w:color w:val="0000FF"/>
                  <w:sz w:val="20"/>
                  <w:u w:val="single"/>
                </w:rPr>
                <w:t>46</w:t>
              </w:r>
            </w:hyperlink>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Quantitative and Qualitative Disclosures about Market Risk</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754">
              <w:r>
                <w:rPr>
                  <w:rStyle w:val="InternetLink"/>
                  <w:rFonts w:ascii="Arial;sans-serif" w:hAnsi="Arial;sans-serif"/>
                  <w:b w:val="false"/>
                  <w:color w:val="0000FF"/>
                  <w:sz w:val="20"/>
                  <w:u w:val="single"/>
                </w:rPr>
                <w:t>Item 4.</w:t>
              </w:r>
            </w:hyperlink>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754">
              <w:r>
                <w:rPr>
                  <w:rStyle w:val="InternetLink"/>
                  <w:rFonts w:ascii="Arial;sans-serif" w:hAnsi="Arial;sans-serif"/>
                  <w:b w:val="false"/>
                  <w:color w:val="0000FF"/>
                  <w:sz w:val="20"/>
                  <w:u w:val="single"/>
                </w:rPr>
                <w:t>Controls and Procedures</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2281276287540ef9f7680877d4c0df3_754">
              <w:r>
                <w:rPr>
                  <w:rStyle w:val="InternetLink"/>
                  <w:rFonts w:ascii="Arial;sans-serif" w:hAnsi="Arial;sans-serif"/>
                  <w:b w:val="false"/>
                  <w:color w:val="0000FF"/>
                  <w:sz w:val="20"/>
                  <w:u w:val="single"/>
                </w:rPr>
                <w:t>57</w:t>
              </w:r>
            </w:hyperlink>
          </w:p>
        </w:tc>
      </w:tr>
      <w:tr>
        <w:trPr/>
        <w:tc>
          <w:tcPr>
            <w:tcW w:w="1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62281276287540ef9f7680877d4c0df3_67">
              <w:r>
                <w:rPr>
                  <w:rStyle w:val="InternetLink"/>
                  <w:rFonts w:ascii="Arial;sans-serif" w:hAnsi="Arial;sans-serif"/>
                  <w:b/>
                  <w:color w:val="0000FF"/>
                  <w:sz w:val="20"/>
                  <w:u w:val="single"/>
                </w:rPr>
                <w:t>PART II - OTHER INFORMATION</w:t>
              </w:r>
            </w:hyperlink>
          </w:p>
        </w:tc>
      </w:tr>
      <w:tr>
        <w:trPr/>
        <w:tc>
          <w:tcPr>
            <w:tcW w:w="1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760">
              <w:r>
                <w:rPr>
                  <w:rStyle w:val="InternetLink"/>
                  <w:rFonts w:ascii="Arial;sans-serif" w:hAnsi="Arial;sans-serif"/>
                  <w:b w:val="false"/>
                  <w:color w:val="0000FF"/>
                  <w:sz w:val="20"/>
                  <w:u w:val="single"/>
                </w:rPr>
                <w:t>Item 1.</w:t>
              </w:r>
            </w:hyperlink>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760">
              <w:r>
                <w:rPr>
                  <w:rStyle w:val="InternetLink"/>
                  <w:rFonts w:ascii="Arial;sans-serif" w:hAnsi="Arial;sans-serif"/>
                  <w:b w:val="false"/>
                  <w:color w:val="0000FF"/>
                  <w:sz w:val="20"/>
                  <w:u w:val="single"/>
                </w:rPr>
                <w:t>Legal Proceedings</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2281276287540ef9f7680877d4c0df3_760">
              <w:r>
                <w:rPr>
                  <w:rStyle w:val="InternetLink"/>
                  <w:rFonts w:ascii="Arial;sans-serif" w:hAnsi="Arial;sans-serif"/>
                  <w:b w:val="false"/>
                  <w:color w:val="0000FF"/>
                  <w:sz w:val="20"/>
                  <w:u w:val="single"/>
                </w:rPr>
                <w:t>58</w:t>
              </w:r>
            </w:hyperlink>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763">
              <w:r>
                <w:rPr>
                  <w:rStyle w:val="InternetLink"/>
                  <w:rFonts w:ascii="Arial;sans-serif" w:hAnsi="Arial;sans-serif"/>
                  <w:b w:val="false"/>
                  <w:color w:val="0000FF"/>
                  <w:sz w:val="20"/>
                  <w:u w:val="single"/>
                </w:rPr>
                <w:t>Item 1A.</w:t>
              </w:r>
            </w:hyperlink>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763">
              <w:r>
                <w:rPr>
                  <w:rStyle w:val="InternetLink"/>
                  <w:rFonts w:ascii="Arial;sans-serif" w:hAnsi="Arial;sans-serif"/>
                  <w:b w:val="false"/>
                  <w:color w:val="0000FF"/>
                  <w:sz w:val="20"/>
                  <w:u w:val="single"/>
                </w:rPr>
                <w:t>Risk Factors</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2281276287540ef9f7680877d4c0df3_763">
              <w:r>
                <w:rPr>
                  <w:rStyle w:val="InternetLink"/>
                  <w:rFonts w:ascii="Arial;sans-serif" w:hAnsi="Arial;sans-serif"/>
                  <w:b w:val="false"/>
                  <w:color w:val="0000FF"/>
                  <w:sz w:val="20"/>
                  <w:u w:val="single"/>
                </w:rPr>
                <w:t>58</w:t>
              </w:r>
            </w:hyperlink>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Unregistered Sales of Equity Securities and Use of Proceeds</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Defaults Upon Major Securities</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64">
              <w:r>
                <w:rPr>
                  <w:rStyle w:val="InternetLink"/>
                  <w:rFonts w:ascii="Arial;sans-serif" w:hAnsi="Arial;sans-serif"/>
                  <w:b w:val="false"/>
                  <w:color w:val="0000FF"/>
                  <w:sz w:val="20"/>
                  <w:u w:val="single"/>
                </w:rPr>
                <w:t>Item 4.</w:t>
              </w:r>
            </w:hyperlink>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64">
              <w:r>
                <w:rPr>
                  <w:rStyle w:val="InternetLink"/>
                  <w:rFonts w:ascii="Arial;sans-serif" w:hAnsi="Arial;sans-serif"/>
                  <w:b w:val="false"/>
                  <w:color w:val="0000FF"/>
                  <w:sz w:val="20"/>
                  <w:u w:val="single"/>
                </w:rPr>
                <w:t>Mine Safety Disclosures</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2281276287540ef9f7680877d4c0df3_64">
              <w:r>
                <w:rPr>
                  <w:rStyle w:val="InternetLink"/>
                  <w:rFonts w:ascii="Arial;sans-serif" w:hAnsi="Arial;sans-serif"/>
                  <w:b w:val="false"/>
                  <w:color w:val="0000FF"/>
                  <w:sz w:val="20"/>
                  <w:u w:val="single"/>
                </w:rPr>
                <w:t>58</w:t>
              </w:r>
            </w:hyperlink>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766">
              <w:r>
                <w:rPr>
                  <w:rStyle w:val="InternetLink"/>
                  <w:rFonts w:ascii="Arial;sans-serif" w:hAnsi="Arial;sans-serif"/>
                  <w:b w:val="false"/>
                  <w:color w:val="0000FF"/>
                  <w:sz w:val="20"/>
                  <w:u w:val="single"/>
                </w:rPr>
                <w:t>Item 5.</w:t>
              </w:r>
            </w:hyperlink>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766">
              <w:r>
                <w:rPr>
                  <w:rStyle w:val="InternetLink"/>
                  <w:rFonts w:ascii="Arial;sans-serif" w:hAnsi="Arial;sans-serif"/>
                  <w:b w:val="false"/>
                  <w:color w:val="0000FF"/>
                  <w:sz w:val="20"/>
                  <w:u w:val="single"/>
                </w:rPr>
                <w:t>Other Information</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2281276287540ef9f7680877d4c0df3_766">
              <w:r>
                <w:rPr>
                  <w:rStyle w:val="InternetLink"/>
                  <w:rFonts w:ascii="Arial;sans-serif" w:hAnsi="Arial;sans-serif"/>
                  <w:b w:val="false"/>
                  <w:color w:val="0000FF"/>
                  <w:sz w:val="20"/>
                  <w:u w:val="single"/>
                </w:rPr>
                <w:t>58</w:t>
              </w:r>
            </w:hyperlink>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769">
              <w:r>
                <w:rPr>
                  <w:rStyle w:val="InternetLink"/>
                  <w:rFonts w:ascii="Arial;sans-serif" w:hAnsi="Arial;sans-serif"/>
                  <w:b w:val="false"/>
                  <w:color w:val="0000FF"/>
                  <w:sz w:val="20"/>
                  <w:u w:val="single"/>
                </w:rPr>
                <w:t>Item 6.</w:t>
              </w:r>
            </w:hyperlink>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769">
              <w:r>
                <w:rPr>
                  <w:rStyle w:val="InternetLink"/>
                  <w:rFonts w:ascii="Arial;sans-serif" w:hAnsi="Arial;sans-serif"/>
                  <w:b w:val="false"/>
                  <w:color w:val="0000FF"/>
                  <w:sz w:val="20"/>
                  <w:u w:val="single"/>
                </w:rPr>
                <w:t>Exhibits</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2281276287540ef9f7680877d4c0df3_769">
              <w:r>
                <w:rPr>
                  <w:rStyle w:val="InternetLink"/>
                  <w:rFonts w:ascii="Arial;sans-serif" w:hAnsi="Arial;sans-serif"/>
                  <w:b w:val="false"/>
                  <w:color w:val="0000FF"/>
                  <w:sz w:val="20"/>
                  <w:u w:val="single"/>
                </w:rPr>
                <w:t>59</w:t>
              </w:r>
            </w:hyperlink>
          </w:p>
        </w:tc>
      </w:tr>
      <w:tr>
        <w:trPr/>
        <w:tc>
          <w:tcPr>
            <w:tcW w:w="1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2281276287540ef9f7680877d4c0df3_772">
              <w:r>
                <w:rPr>
                  <w:rStyle w:val="InternetLink"/>
                  <w:rFonts w:ascii="Arial;sans-serif" w:hAnsi="Arial;sans-serif"/>
                  <w:b w:val="false"/>
                  <w:color w:val="0000FF"/>
                  <w:sz w:val="20"/>
                  <w:u w:val="single"/>
                </w:rPr>
                <w:t>Signatures</w:t>
              </w:r>
            </w:hyperlink>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2281276287540ef9f7680877d4c0df3_772">
              <w:r>
                <w:rPr>
                  <w:rStyle w:val="InternetLink"/>
                  <w:rFonts w:ascii="Arial;sans-serif" w:hAnsi="Arial;sans-serif"/>
                  <w:b w:val="false"/>
                  <w:color w:val="0000FF"/>
                  <w:sz w:val="20"/>
                  <w:u w:val="single"/>
                </w:rPr>
                <w:t>60</w:t>
              </w:r>
            </w:hyperlink>
          </w:p>
        </w:tc>
      </w:tr>
    </w:tbl>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Arial;sans-serif" w:hAnsi="Arial;sans-serif"/>
          <w:b/>
          <w:color w:val="000000"/>
          <w:sz w:val="20"/>
        </w:rPr>
        <w:t>*</w:t>
      </w:r>
      <w:r>
        <w:rPr>
          <w:color w:val="000000"/>
        </w:rPr>
        <w:t xml:space="preserve">     </w:t>
      </w:r>
      <w:r>
        <w:rPr>
          <w:rFonts w:ascii="Arial;sans-serif" w:hAnsi="Arial;sans-serif"/>
          <w:b/>
          <w:color w:val="000000"/>
          <w:sz w:val="20"/>
        </w:rPr>
        <w:t>This item has been omitted pursuant to the reduced disclosure format as set forth in General Instructions (I) (2) (a) and (c) of Form 10-K.</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both"/>
        <w:rPr/>
      </w:pPr>
      <w:hyperlink w:anchor="i62281276287540ef9f7680877d4c0df3_7">
        <w:r>
          <w:rPr>
            <w:rStyle w:val="InternetLink"/>
            <w:rFonts w:ascii="Arial;sans-serif" w:hAnsi="Arial;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DISCLOSURE REGARDING FORWARD-LOOKING STATEMENTS</w:t>
      </w:r>
    </w:p>
    <w:p>
      <w:pPr>
        <w:pStyle w:val="TextBody"/>
        <w:spacing w:before="0" w:after="0"/>
        <w:jc w:val="center"/>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future developments,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“project,” “continue,” “future,” “will,” “would,” “could,” “can,” “may” and similar terms.  These forward-looking statements are based on information available to us as of the date of this Form 10-Q and represent management’s current views and assumptions based on past experience and trends, current economic and industry conditions, expected future developments and other relevant factors.  Forward-looking statements are not guarantees of future performance, events or results and involve potential known and unknown risks, uncertainties, including the impact of the coronavirus pandemic (COVID-19), and other factors, many of which may be beyond our control and may pose a risk to our operating and financial condition both the near- and long-term.  Accordingly, actual performance, events or results could differ materially from those expressed or implied in the forward-looking statements due to a number of factors including, but not limited to: </w:t>
      </w:r>
    </w:p>
    <w:p>
      <w:pPr>
        <w:pStyle w:val="TextBody"/>
        <w:spacing w:lineRule="auto" w:line="288" w:before="0" w:after="0"/>
        <w:jc w:val="both"/>
        <w:rPr>
          <w:color w:val="000000"/>
        </w:rPr>
      </w:pPr>
      <w:r>
        <w:rPr>
          <w:color w:val="000000"/>
        </w:rPr>
        <w:t> </w:t>
      </w:r>
    </w:p>
    <w:p>
      <w:pPr>
        <w:pStyle w:val="TextBody"/>
        <w:spacing w:lineRule="auto" w:line="288" w:before="0" w:after="120"/>
        <w:ind w:left="0" w:right="0" w:hanging="360"/>
        <w:jc w:val="both"/>
        <w:rPr/>
      </w:pPr>
      <w:r>
        <w:rPr>
          <w:color w:val="000000"/>
        </w:rPr>
        <w:t>•</w:t>
      </w:r>
      <w:r>
        <w:rPr>
          <w:rFonts w:ascii="Arial;sans-serif" w:hAnsi="Arial;sans-serif"/>
          <w:b w:val="false"/>
          <w:color w:val="000000"/>
          <w:sz w:val="20"/>
        </w:rPr>
        <w:t xml:space="preserve">significant risks related to our ability to operate and control our satellites, operational and environmental risks related to our owned and leased satellites, and risks related to our satellites under construction; </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 xml:space="preserve">our ability and the ability of third parties with whom we engage to operate our business as a result of the COVID-19 pandemic, including regulatory and competitive considerations; </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 xml:space="preserve">our ability to implement and/or realize benefits of our investments and other strategic initiatives; </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 xml:space="preserve">legal proceedings relating to the BSS Transaction or other matters that could result in substantial costs and material adverse effects to our business; </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risks related to our foreign operations and other uncertainties associated with doing business internationally;</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risks related to our dependency upon third-party providers, including supply chain disruptions and inflation;</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risks related to cybersecurity incidents; and</w:t>
      </w:r>
    </w:p>
    <w:p>
      <w:pPr>
        <w:pStyle w:val="TextBody"/>
        <w:spacing w:lineRule="auto" w:line="288" w:before="0" w:after="90"/>
        <w:ind w:left="0" w:right="0" w:hanging="360"/>
        <w:jc w:val="both"/>
        <w:rPr/>
      </w:pPr>
      <w:r>
        <w:rPr>
          <w:color w:val="000000"/>
        </w:rPr>
        <w:t>•</w:t>
      </w:r>
      <w:r>
        <w:rPr>
          <w:rFonts w:ascii="Arial;sans-serif" w:hAnsi="Arial;sans-serif"/>
          <w:b w:val="false"/>
          <w:color w:val="000000"/>
          <w:sz w:val="20"/>
        </w:rPr>
        <w:t xml:space="preserve">risks related to our human capital resources. </w:t>
      </w:r>
    </w:p>
    <w:p>
      <w:pPr>
        <w:pStyle w:val="TextBody"/>
        <w:spacing w:lineRule="auto" w:line="288" w:before="0" w:after="0"/>
        <w:ind w:left="0" w:right="0" w:hanging="36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Narrative Analysis of Results of Operations in Part I, Item 2 of this Form 10-Q and in Part II, Item 7 of our Form 10-K and those discussed in other documents we file with the SEC.</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Should one or more of the risks or uncertainties described herein or in any documents we file with the SEC occur, or should underlying assumptions prove incorrect, our actual results and plans could differ materially from those expressed in any forward-looking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v:textbox>
              </v:rect>
            </w:pict>
          </mc:Fallback>
        </mc:AlternateContent>
      </w:r>
    </w:p>
    <w:p>
      <w:pPr>
        <w:pStyle w:val="TextBody"/>
        <w:spacing w:lineRule="auto" w:line="288" w:before="0" w:after="0"/>
        <w:jc w:val="both"/>
        <w:rPr/>
      </w:pPr>
      <w:hyperlink w:anchor="i62281276287540ef9f7680877d4c0df3_7">
        <w:r>
          <w:rPr>
            <w:rStyle w:val="InternetLink"/>
            <w:rFonts w:ascii="Arial;sans-serif" w:hAnsi="Arial;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 except share and per share amounts)</w:t>
      </w:r>
    </w:p>
    <w:p>
      <w:pPr>
        <w:pStyle w:val="TextBody"/>
        <w:spacing w:before="0" w:after="0"/>
        <w:jc w:val="center"/>
        <w:rPr/>
      </w:pPr>
      <w:r>
        <w:rPr/>
      </w:r>
    </w:p>
    <w:tbl>
      <w:tblPr>
        <w:tblW w:w="8720" w:type="dxa"/>
        <w:jc w:val="left"/>
        <w:tblInd w:w="0" w:type="dxa"/>
        <w:tblCellMar>
          <w:top w:w="28" w:type="dxa"/>
          <w:left w:w="28" w:type="dxa"/>
          <w:bottom w:w="28" w:type="dxa"/>
          <w:right w:w="28" w:type="dxa"/>
        </w:tblCellMar>
      </w:tblPr>
      <w:tblGrid>
        <w:gridCol w:w="1658"/>
        <w:gridCol w:w="1455"/>
        <w:gridCol w:w="1476"/>
        <w:gridCol w:w="109"/>
        <w:gridCol w:w="109"/>
        <w:gridCol w:w="109"/>
        <w:gridCol w:w="233"/>
        <w:gridCol w:w="1131"/>
        <w:gridCol w:w="120"/>
        <w:gridCol w:w="109"/>
        <w:gridCol w:w="109"/>
        <w:gridCol w:w="109"/>
        <w:gridCol w:w="211"/>
        <w:gridCol w:w="1021"/>
        <w:gridCol w:w="761"/>
      </w:tblGrid>
      <w:tr>
        <w:trPr/>
        <w:tc>
          <w:tcPr>
            <w:tcW w:w="1658"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4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4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shd w:fill="CCEE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842,174 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653,132 </w:t>
            </w:r>
          </w:p>
        </w:tc>
        <w:tc>
          <w:tcPr>
            <w:tcW w:w="761" w:type="dxa"/>
            <w:tcBorders/>
            <w:shd w:fill="FFFF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613,012 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799,769 </w:t>
            </w:r>
          </w:p>
        </w:tc>
        <w:tc>
          <w:tcPr>
            <w:tcW w:w="761" w:type="dxa"/>
            <w:tcBorders/>
            <w:shd w:fill="CCEE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and contract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251,866 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236,336 </w:t>
            </w:r>
          </w:p>
        </w:tc>
        <w:tc>
          <w:tcPr>
            <w:tcW w:w="7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288,230 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275,202 </w:t>
            </w:r>
          </w:p>
        </w:tc>
        <w:tc>
          <w:tcPr>
            <w:tcW w:w="761" w:type="dxa"/>
            <w:tcBorders/>
            <w:shd w:fill="CCEEFF" w:val="clear"/>
            <w:tcMar>
              <w:top w:w="0" w:type="dxa"/>
              <w:left w:w="0" w:type="dxa"/>
              <w:bottom w:w="0" w:type="dxa"/>
              <w:right w:w="0" w:type="dxa"/>
            </w:tcMar>
            <w:vAlign w:val="center"/>
          </w:tcPr>
          <w:p>
            <w:pPr>
              <w:pStyle w:val="TableContents"/>
              <w:spacing w:before="0" w:after="283"/>
              <w:ind w:left="0" w:right="0" w:firstLine="450"/>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1,995,282 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1,964,439 </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1,342,226 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1,376,004 </w:t>
            </w:r>
          </w:p>
        </w:tc>
        <w:tc>
          <w:tcPr>
            <w:tcW w:w="761" w:type="dxa"/>
            <w:tcBorders/>
            <w:shd w:fill="FFFF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146,845 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150,632 </w:t>
            </w:r>
          </w:p>
        </w:tc>
        <w:tc>
          <w:tcPr>
            <w:tcW w:w="761" w:type="dxa"/>
            <w:tcBorders/>
            <w:shd w:fill="CCEE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532,858 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532,491 </w:t>
            </w:r>
          </w:p>
        </w:tc>
        <w:tc>
          <w:tcPr>
            <w:tcW w:w="761" w:type="dxa"/>
            <w:tcBorders/>
            <w:shd w:fill="FFFF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Regulatory authorizations,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408,949 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408,619 </w:t>
            </w:r>
          </w:p>
        </w:tc>
        <w:tc>
          <w:tcPr>
            <w:tcW w:w="761" w:type="dxa"/>
            <w:tcBorders/>
            <w:shd w:fill="CCEE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15,698 </w:t>
            </w:r>
          </w:p>
        </w:tc>
        <w:tc>
          <w:tcPr>
            <w:tcW w:w="761" w:type="dxa"/>
            <w:tcBorders/>
            <w:shd w:fill="FFFF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82,971 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83,523 </w:t>
            </w:r>
          </w:p>
        </w:tc>
        <w:tc>
          <w:tcPr>
            <w:tcW w:w="761" w:type="dxa"/>
            <w:tcBorders/>
            <w:shd w:fill="CCEE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281,621 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285,877 </w:t>
            </w:r>
          </w:p>
        </w:tc>
        <w:tc>
          <w:tcPr>
            <w:tcW w:w="761" w:type="dxa"/>
            <w:tcBorders/>
            <w:shd w:fill="FFFFFF" w:val="clear"/>
            <w:tcMar>
              <w:top w:w="0" w:type="dxa"/>
              <w:left w:w="0" w:type="dxa"/>
              <w:bottom w:w="0" w:type="dxa"/>
              <w:right w:w="0" w:type="dxa"/>
            </w:tcMar>
            <w:vAlign w:val="center"/>
          </w:tcPr>
          <w:p>
            <w:pPr>
              <w:pStyle w:val="TableContents"/>
              <w:spacing w:before="0" w:after="283"/>
              <w:ind w:left="0" w:right="0" w:firstLine="450"/>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2,810,621 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firstLine="630"/>
              <w:jc w:val="right"/>
              <w:rPr>
                <w:rFonts w:ascii="Arial;sans-serif" w:hAnsi="Arial;sans-serif"/>
                <w:b w:val="false"/>
                <w:color w:val="000000"/>
                <w:sz w:val="20"/>
              </w:rPr>
            </w:pPr>
            <w:r>
              <w:rPr>
                <w:rFonts w:ascii="Arial;sans-serif" w:hAnsi="Arial;sans-serif"/>
                <w:b w:val="false"/>
                <w:color w:val="000000"/>
                <w:sz w:val="20"/>
              </w:rPr>
              <w:t>2,852,844</w:t>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4,805,903 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4,817,283 </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shd w:fill="CCEE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83,753 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98,229 </w:t>
            </w:r>
          </w:p>
        </w:tc>
        <w:tc>
          <w:tcPr>
            <w:tcW w:w="761" w:type="dxa"/>
            <w:tcBorders/>
            <w:shd w:fill="FFFF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129,292 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121,739 </w:t>
            </w:r>
          </w:p>
        </w:tc>
        <w:tc>
          <w:tcPr>
            <w:tcW w:w="761" w:type="dxa"/>
            <w:tcBorders/>
            <w:shd w:fill="CCEE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360,526 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393,899 </w:t>
            </w:r>
          </w:p>
        </w:tc>
        <w:tc>
          <w:tcPr>
            <w:tcW w:w="761" w:type="dxa"/>
            <w:tcBorders/>
            <w:shd w:fill="FFFFFF" w:val="clear"/>
            <w:tcMar>
              <w:top w:w="0" w:type="dxa"/>
              <w:left w:w="0" w:type="dxa"/>
              <w:bottom w:w="0" w:type="dxa"/>
              <w:right w:w="0" w:type="dxa"/>
            </w:tcMar>
            <w:vAlign w:val="center"/>
          </w:tcPr>
          <w:p>
            <w:pPr>
              <w:pStyle w:val="TableContents"/>
              <w:spacing w:before="0" w:after="283"/>
              <w:ind w:left="0" w:right="0" w:firstLine="450"/>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573,571 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613,867 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1,496,981 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1,496,777 </w:t>
            </w:r>
          </w:p>
        </w:tc>
        <w:tc>
          <w:tcPr>
            <w:tcW w:w="761" w:type="dxa"/>
            <w:tcBorders/>
            <w:shd w:fill="CCEE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295,137 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289,757 </w:t>
            </w:r>
          </w:p>
        </w:tc>
        <w:tc>
          <w:tcPr>
            <w:tcW w:w="761" w:type="dxa"/>
            <w:tcBorders/>
            <w:shd w:fill="FFFF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131,091 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135,122 </w:t>
            </w:r>
          </w:p>
        </w:tc>
        <w:tc>
          <w:tcPr>
            <w:tcW w:w="761" w:type="dxa"/>
            <w:tcBorders/>
            <w:shd w:fill="CCEE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124,328 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133,897 </w:t>
            </w:r>
          </w:p>
        </w:tc>
        <w:tc>
          <w:tcPr>
            <w:tcW w:w="761" w:type="dxa"/>
            <w:tcBorders/>
            <w:shd w:fill="FFFFFF" w:val="clear"/>
            <w:tcMar>
              <w:top w:w="0" w:type="dxa"/>
              <w:left w:w="0" w:type="dxa"/>
              <w:bottom w:w="0" w:type="dxa"/>
              <w:right w:w="0" w:type="dxa"/>
            </w:tcMar>
            <w:vAlign w:val="center"/>
          </w:tcPr>
          <w:p>
            <w:pPr>
              <w:pStyle w:val="TableContents"/>
              <w:spacing w:before="0" w:after="283"/>
              <w:ind w:left="0" w:right="0" w:firstLine="450"/>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2,047,537 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2,055,553 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firstLine="630"/>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2,621,108 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2,669,420 </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lineRule="auto" w:line="288" w:before="0" w:after="0"/>
        <w:jc w:val="both"/>
        <w:rPr/>
      </w:pPr>
      <w:hyperlink w:anchor="i62281276287540ef9f7680877d4c0df3_7">
        <w:r>
          <w:rPr>
            <w:rStyle w:val="InternetLink"/>
            <w:rFonts w:ascii="Arial;sans-serif" w:hAnsi="Arial;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 except share and per share amounts)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481"/>
        <w:gridCol w:w="2166"/>
        <w:gridCol w:w="2176"/>
        <w:gridCol w:w="109"/>
        <w:gridCol w:w="109"/>
        <w:gridCol w:w="109"/>
        <w:gridCol w:w="211"/>
        <w:gridCol w:w="1021"/>
        <w:gridCol w:w="109"/>
        <w:gridCol w:w="109"/>
        <w:gridCol w:w="109"/>
        <w:gridCol w:w="109"/>
        <w:gridCol w:w="211"/>
        <w:gridCol w:w="1021"/>
        <w:gridCol w:w="155"/>
      </w:tblGrid>
      <w:tr>
        <w:trPr/>
        <w:tc>
          <w:tcPr>
            <w:tcW w:w="2481" w:type="dxa"/>
            <w:tcBorders/>
            <w:shd w:fill="auto" w:val="clear"/>
            <w:vAlign w:val="center"/>
          </w:tcPr>
          <w:p>
            <w:pPr>
              <w:pStyle w:val="TableContents"/>
              <w:spacing w:before="0" w:after="283"/>
              <w:rPr>
                <w:sz w:val="4"/>
                <w:szCs w:val="4"/>
              </w:rPr>
            </w:pPr>
            <w:r>
              <w:rPr>
                <w:sz w:val="4"/>
                <w:szCs w:val="4"/>
              </w:rPr>
            </w:r>
          </w:p>
        </w:tc>
        <w:tc>
          <w:tcPr>
            <w:tcW w:w="2166" w:type="dxa"/>
            <w:tcBorders/>
            <w:shd w:fill="auto" w:val="clear"/>
            <w:vAlign w:val="center"/>
          </w:tcPr>
          <w:p>
            <w:pPr>
              <w:pStyle w:val="TableContents"/>
              <w:spacing w:before="0" w:after="283"/>
              <w:rPr>
                <w:sz w:val="4"/>
                <w:szCs w:val="4"/>
              </w:rPr>
            </w:pPr>
            <w:r>
              <w:rPr>
                <w:sz w:val="4"/>
                <w:szCs w:val="4"/>
              </w:rPr>
            </w:r>
          </w:p>
        </w:tc>
        <w:tc>
          <w:tcPr>
            <w:tcW w:w="2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$0.001 par value,1,000,000 shares authorized, none issued and outstanding at both March 31, 2023 and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$0.01 par value, 1,000,000 shares authorized, 1,078 shares issued and outstanding at both March 31, 2023 and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1,480,953 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1,479,857 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(162,944)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(170,184)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earnings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769,603 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741,754 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Hughes Satellite Systems Corporation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2,087,612 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2,051,427 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96,436 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2,147,863 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shareholder's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4,805,903 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4,817,283 </w:t>
            </w:r>
          </w:p>
        </w:tc>
        <w:tc>
          <w:tcPr>
            <w:tcW w:w="1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lineRule="auto" w:line="288" w:before="0" w:after="0"/>
        <w:jc w:val="both"/>
        <w:rPr/>
      </w:pPr>
      <w:hyperlink w:anchor="i62281276287540ef9f7680877d4c0df3_7">
        <w:r>
          <w:rPr>
            <w:rStyle w:val="InternetLink"/>
            <w:rFonts w:ascii="Arial;sans-serif" w:hAnsi="Arial;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317"/>
        <w:gridCol w:w="1984"/>
        <w:gridCol w:w="1997"/>
        <w:gridCol w:w="109"/>
        <w:gridCol w:w="109"/>
        <w:gridCol w:w="109"/>
        <w:gridCol w:w="276"/>
        <w:gridCol w:w="1125"/>
        <w:gridCol w:w="142"/>
        <w:gridCol w:w="142"/>
        <w:gridCol w:w="142"/>
        <w:gridCol w:w="142"/>
        <w:gridCol w:w="276"/>
        <w:gridCol w:w="1125"/>
        <w:gridCol w:w="210"/>
      </w:tblGrid>
      <w:tr>
        <w:trPr/>
        <w:tc>
          <w:tcPr>
            <w:tcW w:w="2317" w:type="dxa"/>
            <w:tcBorders/>
            <w:shd w:fill="auto" w:val="clear"/>
            <w:vAlign w:val="center"/>
          </w:tcPr>
          <w:p>
            <w:pPr>
              <w:pStyle w:val="TableContents"/>
              <w:spacing w:before="0" w:after="283"/>
              <w:rPr>
                <w:sz w:val="4"/>
                <w:szCs w:val="4"/>
              </w:rPr>
            </w:pPr>
            <w:r>
              <w:rPr>
                <w:sz w:val="4"/>
                <w:szCs w:val="4"/>
              </w:rPr>
            </w:r>
          </w:p>
        </w:tc>
        <w:tc>
          <w:tcPr>
            <w:tcW w:w="1984" w:type="dxa"/>
            <w:tcBorders/>
            <w:shd w:fill="auto" w:val="clear"/>
            <w:vAlign w:val="center"/>
          </w:tcPr>
          <w:p>
            <w:pPr>
              <w:pStyle w:val="TableContents"/>
              <w:spacing w:before="0" w:after="283"/>
              <w:rPr>
                <w:sz w:val="4"/>
                <w:szCs w:val="4"/>
              </w:rPr>
            </w:pPr>
            <w:r>
              <w:rPr>
                <w:sz w:val="4"/>
                <w:szCs w:val="4"/>
              </w:rPr>
            </w:r>
          </w:p>
        </w:tc>
        <w:tc>
          <w:tcPr>
            <w:tcW w:w="19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62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62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375,754 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420,941 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Equipment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62,070 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82,717 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437,824 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503,658 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 - services and other (exclusive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134,039 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139,354 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 - equipment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51,671 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69,105 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104,099 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111,618 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8,256 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7,616 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96,351 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113,678 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394,416 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441,371 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43,408 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62,287 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17,948 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(22,527)</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(23,378)</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(1,714)</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transaction gains (losses),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3,030 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6,655 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(16,346)</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41,334 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45,941 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(provision),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(14,706)</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(15,128)</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26,628 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30,813 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HSSC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27,849 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6"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33,301 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lineRule="auto" w:line="288" w:before="0" w:after="0"/>
        <w:jc w:val="both"/>
        <w:rPr/>
      </w:pPr>
      <w:hyperlink w:anchor="i62281276287540ef9f7680877d4c0df3_7">
        <w:r>
          <w:rPr>
            <w:rStyle w:val="InternetLink"/>
            <w:rFonts w:ascii="Arial;sans-serif" w:hAnsi="Arial;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 (LOSS)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274"/>
        <w:gridCol w:w="1997"/>
        <w:gridCol w:w="1998"/>
        <w:gridCol w:w="109"/>
        <w:gridCol w:w="109"/>
        <w:gridCol w:w="109"/>
        <w:gridCol w:w="302"/>
        <w:gridCol w:w="1077"/>
        <w:gridCol w:w="156"/>
        <w:gridCol w:w="156"/>
        <w:gridCol w:w="156"/>
        <w:gridCol w:w="156"/>
        <w:gridCol w:w="302"/>
        <w:gridCol w:w="1077"/>
        <w:gridCol w:w="227"/>
      </w:tblGrid>
      <w:tr>
        <w:trPr/>
        <w:tc>
          <w:tcPr>
            <w:tcW w:w="2274" w:type="dxa"/>
            <w:tcBorders/>
            <w:shd w:fill="auto" w:val="clear"/>
            <w:vAlign w:val="center"/>
          </w:tcPr>
          <w:p>
            <w:pPr>
              <w:pStyle w:val="TableContents"/>
              <w:spacing w:before="0" w:after="283"/>
              <w:rPr>
                <w:sz w:val="4"/>
                <w:szCs w:val="4"/>
              </w:rPr>
            </w:pPr>
            <w:r>
              <w:rPr>
                <w:sz w:val="4"/>
                <w:szCs w:val="4"/>
              </w:rPr>
            </w:r>
          </w:p>
        </w:tc>
        <w:tc>
          <w:tcPr>
            <w:tcW w:w="1997" w:type="dxa"/>
            <w:tcBorders/>
            <w:shd w:fill="auto" w:val="clear"/>
            <w:vAlign w:val="center"/>
          </w:tcPr>
          <w:p>
            <w:pPr>
              <w:pStyle w:val="TableContents"/>
              <w:spacing w:before="0" w:after="283"/>
              <w:rPr>
                <w:sz w:val="4"/>
                <w:szCs w:val="4"/>
              </w:rPr>
            </w:pPr>
            <w:r>
              <w:rPr>
                <w:sz w:val="4"/>
                <w:szCs w:val="4"/>
              </w:rPr>
            </w:r>
          </w:p>
        </w:tc>
        <w:tc>
          <w:tcPr>
            <w:tcW w:w="19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6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6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30,813 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46,686 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 (losses)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5"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606" w:type="dxa"/>
            <w:gridSpan w:val="3"/>
            <w:tcBorders/>
            <w:shd w:fill="auto" w:val="cle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46,216 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77,029 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Comprehensive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(7,068)</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 attributable to HSSC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35,089 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69,961 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lineRule="auto" w:line="288" w:before="0" w:after="0"/>
        <w:jc w:val="both"/>
        <w:rPr/>
      </w:pPr>
      <w:hyperlink w:anchor="i62281276287540ef9f7680877d4c0df3_7">
        <w:r>
          <w:rPr>
            <w:rStyle w:val="InternetLink"/>
            <w:rFonts w:ascii="Arial;sans-serif" w:hAnsi="Arial;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CHANGES IN SHAREHOLDER’S EQUITY</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870"/>
        <w:gridCol w:w="306"/>
        <w:gridCol w:w="308"/>
        <w:gridCol w:w="109"/>
        <w:gridCol w:w="109"/>
        <w:gridCol w:w="109"/>
        <w:gridCol w:w="211"/>
        <w:gridCol w:w="1021"/>
        <w:gridCol w:w="109"/>
        <w:gridCol w:w="109"/>
        <w:gridCol w:w="109"/>
        <w:gridCol w:w="109"/>
        <w:gridCol w:w="263"/>
        <w:gridCol w:w="1070"/>
        <w:gridCol w:w="138"/>
        <w:gridCol w:w="109"/>
        <w:gridCol w:w="109"/>
        <w:gridCol w:w="109"/>
        <w:gridCol w:w="237"/>
        <w:gridCol w:w="963"/>
        <w:gridCol w:w="123"/>
        <w:gridCol w:w="109"/>
        <w:gridCol w:w="109"/>
        <w:gridCol w:w="109"/>
        <w:gridCol w:w="280"/>
        <w:gridCol w:w="1136"/>
        <w:gridCol w:w="145"/>
        <w:gridCol w:w="109"/>
        <w:gridCol w:w="109"/>
        <w:gridCol w:w="109"/>
        <w:gridCol w:w="211"/>
        <w:gridCol w:w="1021"/>
        <w:gridCol w:w="158"/>
      </w:tblGrid>
      <w:tr>
        <w:trPr/>
        <w:tc>
          <w:tcPr>
            <w:tcW w:w="87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Accumulated</w:t>
              <w:br/>
              <w:t>Earnings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Non-controlling</w:t>
              <w:br/>
              <w:t>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(173,381)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692,341 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60,253 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2,068,989 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and contribution of assets pursuant to the India JV formation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44,393 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30,303 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paid to EchoStar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36,660 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9,556 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46,216 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33,301 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0" w:type="dxa"/>
            <w:gridSpan w:val="3"/>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(136,721)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625,642 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111,714 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2,077,100 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1,479,857 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(170,184)</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741,754 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96,436 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2,147,863 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0" w:type="dxa"/>
            <w:gridSpan w:val="3"/>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0" w:type="dxa"/>
            <w:gridSpan w:val="3"/>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1,968 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27,849 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26,628 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0" w:type="dxa"/>
            <w:gridSpan w:val="3"/>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(162,944)</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769,603 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97,183 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2,184,795 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lineRule="auto" w:line="288" w:before="0" w:after="0"/>
        <w:jc w:val="both"/>
        <w:rPr/>
      </w:pPr>
      <w:hyperlink w:anchor="i62281276287540ef9f7680877d4c0df3_7">
        <w:r>
          <w:rPr>
            <w:rStyle w:val="InternetLink"/>
            <w:rFonts w:ascii="Arial;sans-serif" w:hAnsi="Arial;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432"/>
        <w:gridCol w:w="2021"/>
        <w:gridCol w:w="2035"/>
        <w:gridCol w:w="109"/>
        <w:gridCol w:w="109"/>
        <w:gridCol w:w="109"/>
        <w:gridCol w:w="268"/>
        <w:gridCol w:w="1050"/>
        <w:gridCol w:w="138"/>
        <w:gridCol w:w="138"/>
        <w:gridCol w:w="138"/>
        <w:gridCol w:w="138"/>
        <w:gridCol w:w="268"/>
        <w:gridCol w:w="1050"/>
        <w:gridCol w:w="202"/>
      </w:tblGrid>
      <w:tr>
        <w:trPr/>
        <w:tc>
          <w:tcPr>
            <w:tcW w:w="2432" w:type="dxa"/>
            <w:tcBorders/>
            <w:shd w:fill="auto" w:val="clear"/>
            <w:vAlign w:val="center"/>
          </w:tcPr>
          <w:p>
            <w:pPr>
              <w:pStyle w:val="TableContents"/>
              <w:spacing w:before="0" w:after="283"/>
              <w:rPr>
                <w:sz w:val="4"/>
                <w:szCs w:val="4"/>
              </w:rPr>
            </w:pPr>
            <w:r>
              <w:rPr>
                <w:sz w:val="4"/>
                <w:szCs w:val="4"/>
              </w:rPr>
            </w:r>
          </w:p>
        </w:tc>
        <w:tc>
          <w:tcPr>
            <w:tcW w:w="2021"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r>
      <w:tr>
        <w:trPr/>
        <w:tc>
          <w:tcPr>
            <w:tcW w:w="64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64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26,628 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30,813 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Adjustments to reconcile net income (loss) to cash flows provided by (used for)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96,351 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113,678 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(gains) on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520" w:type="dxa"/>
            <w:gridSpan w:val="3"/>
            <w:tcBorders/>
            <w:shd w:fill="auto" w:val="cle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losses (earnings)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transaction losses (gains),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(3,030)</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(6,655)</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provision (benefit),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7,575 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520" w:type="dxa"/>
            <w:gridSpan w:val="3"/>
            <w:tcBorders/>
            <w:shd w:fill="auto" w:val="cle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Changes in assets and liabilities,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and contract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(18,086)</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(8,526)</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(15,203)</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3,181 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(13,499)</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8,284 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(28,719)</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(31,511)</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assets and non-current liabilities,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(11,223)</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(9,570)</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48,794 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105,184 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(226,068)</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(76,228)</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maturities of 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420,411 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485,730 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520" w:type="dxa"/>
            <w:gridSpan w:val="3"/>
            <w:tcBorders/>
            <w:shd w:fill="auto" w:val="cle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(47,025)</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(61,021)</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externally marketed software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(6,962)</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(5,093)</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520" w:type="dxa"/>
            <w:gridSpan w:val="3"/>
            <w:tcBorders/>
            <w:shd w:fill="auto" w:val="cle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 JV formation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(7,892)</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520" w:type="dxa"/>
            <w:gridSpan w:val="3"/>
            <w:tcBorders/>
            <w:shd w:fill="auto" w:val="clear"/>
            <w:vAlign w:val="center"/>
          </w:tcPr>
          <w:p>
            <w:pPr>
              <w:pStyle w:val="TableContents"/>
              <w:spacing w:before="0" w:after="283"/>
              <w:rPr>
                <w:sz w:val="4"/>
                <w:szCs w:val="4"/>
              </w:rPr>
            </w:pPr>
            <w:r>
              <w:rPr>
                <w:sz w:val="4"/>
                <w:szCs w:val="4"/>
              </w:rPr>
            </w:r>
          </w:p>
        </w:tc>
      </w:tr>
      <w:tr>
        <w:trPr/>
        <w:tc>
          <w:tcPr>
            <w:tcW w:w="64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520" w:type="dxa"/>
            <w:gridSpan w:val="3"/>
            <w:tcBorders/>
            <w:shd w:fill="auto" w:val="cle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140,356 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335,496 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520" w:type="dxa"/>
            <w:gridSpan w:val="3"/>
            <w:tcBorders/>
            <w:shd w:fill="auto" w:val="clear"/>
            <w:vAlign w:val="center"/>
          </w:tcPr>
          <w:p>
            <w:pPr>
              <w:pStyle w:val="TableContents"/>
              <w:spacing w:before="0" w:after="283"/>
              <w:rPr>
                <w:sz w:val="4"/>
                <w:szCs w:val="4"/>
              </w:rPr>
            </w:pPr>
            <w:r>
              <w:rPr>
                <w:sz w:val="4"/>
                <w:szCs w:val="4"/>
              </w:rPr>
            </w:r>
          </w:p>
        </w:tc>
      </w:tr>
      <w:tr>
        <w:trPr/>
        <w:tc>
          <w:tcPr>
            <w:tcW w:w="64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520" w:type="dxa"/>
            <w:gridSpan w:val="3"/>
            <w:tcBorders/>
            <w:shd w:fill="auto" w:val="cle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in-orbit incentive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finance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paid to EchoStar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520" w:type="dxa"/>
            <w:gridSpan w:val="3"/>
            <w:tcBorders/>
            <w:shd w:fill="auto" w:val="cle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(101,529)</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1,669 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3,490 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188,985 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342,641 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including restricted amounts,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654,473 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430,148 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including restricted amounts,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843,458 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772,789 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color w:val="000000"/>
          <w:sz w:val="20"/>
        </w:rPr>
        <w:t>NOTE 1.</w:t>
      </w:r>
      <w:r>
        <w:rPr>
          <w:color w:val="000000"/>
        </w:rPr>
        <w:t>    </w:t>
      </w:r>
      <w:r>
        <w:rPr>
          <w:rFonts w:ascii="Arial;sans-serif" w:hAnsi="Arial;sans-serif"/>
          <w:b/>
          <w:color w:val="000000"/>
          <w:sz w:val="20"/>
        </w:rPr>
        <w:t>ORGANIZATION AND BUSINESS ACTIVITIES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Principal Business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Hughes Satellite Systems Corporation (which, together with its subsidiaries, is referred to as “HSSC,” the “Company,” “we,” “us” and “our”) is a holding company and a subsidiary of EchoStar Corporation (“EchoStar” and “parent”).   We are an industry leader in both networking technologies and services, innovating to deliver the global solutions that power a connected future for people, enterprises and things everywhere. We provide internet services to consumer customers, which include home and small to medium-sized businesses, and satellite and multi-transport technologies and managed network services to enterprise customers, telecommunications providers, aeronautical service providers and government entities, including the U.S. Department of Defense. We operate in the following two business segments:</w:t>
      </w:r>
    </w:p>
    <w:p>
      <w:pPr>
        <w:pStyle w:val="TextBody"/>
        <w:spacing w:lineRule="auto" w:line="288" w:before="0" w:after="0"/>
        <w:jc w:val="both"/>
        <w:rPr>
          <w:color w:val="000000"/>
        </w:rPr>
      </w:pPr>
      <w:r>
        <w:rPr>
          <w:color w:val="000000"/>
        </w:rPr>
        <w:t> </w:t>
      </w:r>
    </w:p>
    <w:p>
      <w:pPr>
        <w:pStyle w:val="TextBody"/>
        <w:spacing w:lineRule="auto" w:line="288" w:before="0" w:after="90"/>
        <w:ind w:left="0" w:right="0" w:hanging="360"/>
        <w:jc w:val="both"/>
        <w:rPr/>
      </w:pPr>
      <w:r>
        <w:rPr>
          <w:color w:val="000000"/>
        </w:rPr>
        <w:t>•</w:t>
      </w:r>
      <w:r>
        <w:rPr>
          <w:rFonts w:ascii="Arial;sans-serif" w:hAnsi="Arial;sans-serif"/>
          <w:b/>
          <w:i/>
          <w:color w:val="000000"/>
          <w:sz w:val="20"/>
        </w:rPr>
        <w:t xml:space="preserve">Hughes segment </w:t>
      </w:r>
      <w:r>
        <w:rPr>
          <w:color w:val="000000"/>
        </w:rPr>
        <w:t xml:space="preserve">— </w:t>
      </w:r>
      <w:r>
        <w:rPr>
          <w:rFonts w:ascii="Arial;sans-serif" w:hAnsi="Arial;sans-serif"/>
          <w:b w:val="false"/>
          <w:color w:val="000000"/>
          <w:sz w:val="20"/>
        </w:rPr>
        <w:t>which provides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pStyle w:val="TextBody"/>
        <w:spacing w:lineRule="auto" w:line="288" w:before="0" w:after="0"/>
        <w:ind w:left="0" w:right="0" w:hanging="360"/>
        <w:jc w:val="both"/>
        <w:rPr/>
      </w:pPr>
      <w:r>
        <w:rPr>
          <w:color w:val="000000"/>
        </w:rPr>
        <w:t>•</w:t>
      </w:r>
      <w:r>
        <w:rPr>
          <w:rFonts w:ascii="Arial;sans-serif" w:hAnsi="Arial;sans-serif"/>
          <w:b/>
          <w:i/>
          <w:color w:val="000000"/>
          <w:sz w:val="20"/>
        </w:rPr>
        <w:t>EchoStar Satellite Services segment (“ESS segment”)</w:t>
      </w:r>
      <w:r>
        <w:rPr>
          <w:color w:val="000000"/>
        </w:rPr>
        <w:t xml:space="preserve"> — </w:t>
      </w:r>
      <w:r>
        <w:rPr>
          <w:rFonts w:ascii="Arial;sans-serif" w:hAnsi="Arial;sans-serif"/>
          <w:b w:val="false"/>
          <w:color w:val="000000"/>
          <w:sz w:val="20"/>
        </w:rPr>
        <w:t>which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 During the first quarter of 2023, we transitioned the EchoStar IX satellite into inclined operations to extend its usable life for our customers. With this inclined mode of operation, we are expecting to extend the life of the spacecraft into 2024.</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Our operations also include various corporate functions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Corporate and Other segment in our segment reporting. We also divide our operations by primary geographic market as follows: (i) North America (the U.S. and its territories, Mexico, and Canada); (ii) South and Central America and (iii) Other (Asia, Africa, Australia, Europe, India, and the Middle East). Refer</w:t>
      </w:r>
      <w:r>
        <w:rPr>
          <w:color w:val="000000"/>
        </w:rPr>
        <w:t xml:space="preserve"> </w:t>
      </w:r>
      <w:r>
        <w:rPr>
          <w:rFonts w:ascii="Arial;sans-serif" w:hAnsi="Arial;sans-serif"/>
          <w:b w:val="false"/>
          <w:i/>
          <w:color w:val="000000"/>
          <w:sz w:val="20"/>
        </w:rPr>
        <w:t xml:space="preserve">to Note 14. Segment Reporting </w:t>
      </w:r>
      <w:r>
        <w:rPr>
          <w:rFonts w:ascii="Arial;sans-serif" w:hAnsi="Arial;sans-serif"/>
          <w:b w:val="false"/>
          <w:color w:val="000000"/>
          <w:sz w:val="20"/>
        </w:rPr>
        <w:t>for further detail</w:t>
      </w:r>
      <w:r>
        <w:rPr>
          <w:rFonts w:ascii="Arial;sans-serif" w:hAnsi="Arial;sans-serif"/>
          <w:b w:val="false"/>
          <w:i/>
          <w:color w:val="000000"/>
          <w:sz w:val="20"/>
        </w:rPr>
        <w: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2.    SUMMARY OF SIGNIFICANT ACCOUNTING POLICIES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Basis of Presentation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unaudited Consolidated Financial Statements and the accompanying notes (collectively, the “Consolidated Financial Statements”) are prepared in conformity with U.S. generally accepted accounting principles (“GAAP”) and the instructions to Form 10-Q and Article 10 of Regulation S-X for interim financial information. Accordingly, they do not include all of the information and notes required for complete financial statements prepared in conformity with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amounts presented in these Consolidated Financial Statements are expressed in thousands of U.S. dollars, except share and per share amounts and unless otherwise noted.</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Refer to </w:t>
      </w:r>
      <w:r>
        <w:rPr>
          <w:rFonts w:ascii="Arial;sans-serif" w:hAnsi="Arial;sans-serif"/>
          <w:b w:val="false"/>
          <w:i/>
          <w:color w:val="000000"/>
          <w:sz w:val="20"/>
        </w:rPr>
        <w:t>Note 2. Summary of Significant Accounting Policies</w:t>
      </w:r>
      <w:r>
        <w:rPr>
          <w:color w:val="000000"/>
        </w:rPr>
        <w:t xml:space="preserve"> </w:t>
      </w:r>
      <w:r>
        <w:rPr>
          <w:rFonts w:ascii="Arial;sans-serif" w:hAnsi="Arial;sans-serif"/>
          <w:b w:val="false"/>
          <w:color w:val="000000"/>
          <w:sz w:val="20"/>
        </w:rPr>
        <w:t>to the Consolidated Financial Statements in our Form 10-K for a summary and discussion of our significant accounting policies, except as updated below.</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Use of Estimates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required to make certain estimates and assumptions that affect the amounts reported in these Consolidated Financial Statements. The most significant estimates and assumptions are used in determining: (i) inputs used to recognize revenue over time, including amortization periods for deferred contract acquisition costs; (ii) allowances for doubtful accounts, and estimated credit losses on investments; (iii) deferred taxes and related valuation allowances, including uncertain tax positions; (iv) loss contingencies; (v) fair value of financial instruments; (vi) fair value of assets and liabilities acquired in business combinations; and (vii) assets and goodwill impairment testing.</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Recently Adopted Accounting Pronouncements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Government Assistance</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On January 1, 2022, we adopted ASU No. 2021-10 -</w:t>
      </w:r>
      <w:r>
        <w:rPr>
          <w:color w:val="000000"/>
        </w:rPr>
        <w:t xml:space="preserve"> </w:t>
      </w:r>
      <w:r>
        <w:rPr>
          <w:rFonts w:ascii="Arial;sans-serif" w:hAnsi="Arial;sans-serif"/>
          <w:b w:val="false"/>
          <w:i/>
          <w:color w:val="000000"/>
          <w:sz w:val="20"/>
        </w:rPr>
        <w:t>Government Assistance (Topic 832)</w:t>
      </w:r>
      <w:r>
        <w:rPr>
          <w:rFonts w:ascii="Arial;sans-serif" w:hAnsi="Arial;sans-serif"/>
          <w:b w:val="false"/>
          <w:color w:val="000000"/>
          <w:sz w:val="20"/>
        </w:rPr>
        <w:t>: Disclosures by Business Entities about Government Assistance, which requires business entities (except for not-for-profit entities and employee benefit plans) to disclose information about certain government assistance they receive. The Topic 832 disclosure requirements include: (i) the nature of the transactions and the related accounting policy used; (ii) the line items on the balance sheet and income statement that are affected and the amounts applicable to each financial statement line item; and (iii) significant terms and conditions of the transactions. Our adoption of this ASU did not have a material impact on our Consolidated Financial Statements.</w:t>
      </w:r>
    </w:p>
    <w:p>
      <w:pPr>
        <w:pStyle w:val="TextBody"/>
        <w:spacing w:before="0" w:after="0"/>
        <w:jc w:val="both"/>
        <w:rPr/>
      </w:pPr>
      <w:r>
        <w:rPr/>
      </w:r>
    </w:p>
    <w:p>
      <w:pPr>
        <w:pStyle w:val="TextBody"/>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Income Taxes</w:t>
      </w:r>
    </w:p>
    <w:p>
      <w:pPr>
        <w:pStyle w:val="TextBody"/>
        <w:spacing w:before="0" w:after="0"/>
        <w:jc w:val="both"/>
        <w:rPr/>
      </w:pPr>
      <w:r>
        <w:rPr/>
      </w:r>
    </w:p>
    <w:p>
      <w:pPr>
        <w:pStyle w:val="TextBody"/>
        <w:spacing w:lineRule="auto" w:line="276" w:before="0" w:after="0"/>
        <w:jc w:val="both"/>
        <w:rPr/>
      </w:pPr>
      <w:r>
        <w:rPr>
          <w:rFonts w:ascii="Arial;sans-serif" w:hAnsi="Arial;sans-serif"/>
          <w:b w:val="false"/>
          <w:color w:val="000000"/>
          <w:sz w:val="20"/>
        </w:rPr>
        <w:t xml:space="preserve">On January 1, 2021, we adopted ASU No. 2019-12 - </w:t>
      </w:r>
      <w:r>
        <w:rPr>
          <w:rFonts w:ascii="Arial;sans-serif" w:hAnsi="Arial;sans-serif"/>
          <w:b w:val="false"/>
          <w:i/>
          <w:color w:val="000000"/>
          <w:sz w:val="20"/>
        </w:rPr>
        <w:t xml:space="preserve">Income Taxes (Topic 740): Simplifying the Accounting for Income Taxes </w:t>
      </w:r>
      <w:r>
        <w:rPr>
          <w:rFonts w:ascii="Arial;sans-serif" w:hAnsi="Arial;sans-serif"/>
          <w:b w:val="false"/>
          <w:color w:val="000000"/>
          <w:sz w:val="20"/>
        </w:rPr>
        <w:t>(“ASU 2019-12”)</w:t>
      </w:r>
      <w:r>
        <w:rPr>
          <w:rFonts w:ascii="Arial;sans-serif" w:hAnsi="Arial;sans-serif"/>
          <w:b w:val="false"/>
          <w:i/>
          <w:color w:val="000000"/>
          <w:sz w:val="20"/>
        </w:rPr>
        <w:t xml:space="preserve">. </w:t>
      </w:r>
      <w:r>
        <w:rPr>
          <w:rFonts w:ascii="Arial;sans-serif" w:hAnsi="Arial;sans-serif"/>
          <w:b w:val="false"/>
          <w:color w:val="000000"/>
          <w:sz w:val="20"/>
        </w:rPr>
        <w:t xml:space="preserve">ASU 2019-12 is part of the Financial Accounting Standards Board (“FASB”) overall simplification initiative and seeks to simplify the accounting for income taxes by updating certain guidance and removing certain exceptions. Our adoption of this ASU did not have a material impact on our Consolidated Financial Statements.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Business Combinations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On January 1, 2023, we adopted Accounting Standards Update (“ASU”) No. 2021-08 - </w:t>
      </w:r>
      <w:r>
        <w:rPr>
          <w:rFonts w:ascii="Arial;sans-serif" w:hAnsi="Arial;sans-serif"/>
          <w:b w:val="false"/>
          <w:i/>
          <w:color w:val="000000"/>
          <w:sz w:val="20"/>
        </w:rPr>
        <w:t>Business Combinations (Topic 805): Accounting for Contract Assets and Contract Liabilities from Contracts with Customers</w:t>
      </w:r>
      <w:r>
        <w:rPr>
          <w:rFonts w:ascii="Arial;sans-serif" w:hAnsi="Arial;sans-serif"/>
          <w:b w:val="false"/>
          <w:color w:val="000000"/>
          <w:sz w:val="20"/>
        </w:rPr>
        <w:t xml:space="preserve">, which provides an exception to fair value measurement for contract assets and contract liabilities related to revenue contracts acquired in a business combination. The ASU requires an entity (acquirer) to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ASU is applied to business combinations occurring on or after the adoption date.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Recently Issued Accounting Pronouncements Not Yet Adopted</w:t>
      </w:r>
    </w:p>
    <w:p>
      <w:pPr>
        <w:pStyle w:val="TextBody"/>
        <w:spacing w:before="0" w:after="0"/>
        <w:rPr/>
      </w:pPr>
      <w:r>
        <w:rPr/>
      </w:r>
    </w:p>
    <w:p>
      <w:pPr>
        <w:pStyle w:val="TextBody"/>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Leases - Common Control Arrangements</w:t>
      </w:r>
    </w:p>
    <w:p>
      <w:pPr>
        <w:pStyle w:val="TextBody"/>
        <w:spacing w:before="0" w:after="0"/>
        <w:jc w:val="both"/>
        <w:rPr/>
      </w:pPr>
      <w:r>
        <w:rPr/>
      </w:r>
    </w:p>
    <w:p>
      <w:pPr>
        <w:pStyle w:val="TextBody"/>
        <w:spacing w:lineRule="auto" w:line="276" w:before="0" w:after="0"/>
        <w:jc w:val="both"/>
        <w:rPr/>
      </w:pPr>
      <w:r>
        <w:rPr>
          <w:rFonts w:ascii="Arial;sans-serif" w:hAnsi="Arial;sans-serif"/>
          <w:b w:val="false"/>
          <w:color w:val="000000"/>
          <w:sz w:val="20"/>
        </w:rPr>
        <w:t xml:space="preserve">In March 2023, the FASB issued ASU No. 2023-01 - </w:t>
      </w:r>
      <w:r>
        <w:rPr>
          <w:rFonts w:ascii="Arial;sans-serif" w:hAnsi="Arial;sans-serif"/>
          <w:b w:val="false"/>
          <w:i/>
          <w:color w:val="000000"/>
          <w:sz w:val="20"/>
        </w:rPr>
        <w:t>Leases (Topic 842): Common Control Arrangements</w:t>
      </w:r>
      <w:r>
        <w:rPr>
          <w:rFonts w:ascii="Arial;sans-serif" w:hAnsi="Arial;sans-serif"/>
          <w:b w:val="false"/>
          <w:color w:val="000000"/>
          <w:sz w:val="20"/>
        </w:rPr>
        <w:t xml:space="preserve">. Among other things, this ASU requires all lessees to amortize leasehold improvements associated with common control leases over their useful life to the common control group and account for them as a transfer of assets between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entities under common control at the end of the lease. Additional disclosures are required when the useful life of leasehold improvements to the common control group exceeds the related lease term. The guidance is effective for fiscal years beginning after December 15, 2023, including interim periods within those fiscal years. Early adoption is permitted. We are evaluating the impact of adopting this new guidance and we do not expect it to have a material impact on our Consolidated Financial Statements.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Reference Rate Reform</w:t>
      </w:r>
    </w:p>
    <w:p>
      <w:pPr>
        <w:pStyle w:val="TextBody"/>
        <w:spacing w:before="0" w:after="0"/>
        <w:jc w:val="both"/>
        <w:rPr/>
      </w:pPr>
      <w:r>
        <w:rPr/>
      </w:r>
    </w:p>
    <w:p>
      <w:pPr>
        <w:pStyle w:val="TextBody"/>
        <w:spacing w:lineRule="auto" w:line="276" w:before="0" w:after="0"/>
        <w:jc w:val="both"/>
        <w:rPr/>
      </w:pPr>
      <w:r>
        <w:rPr>
          <w:rFonts w:ascii="Arial;sans-serif" w:hAnsi="Arial;sans-serif"/>
          <w:b w:val="false"/>
          <w:color w:val="000000"/>
          <w:sz w:val="20"/>
        </w:rPr>
        <w:t xml:space="preserve">In March 2020, the FASB issued ASU No. 2020-04 - </w:t>
      </w:r>
      <w:r>
        <w:rPr>
          <w:rFonts w:ascii="Arial;sans-serif" w:hAnsi="Arial;sans-serif"/>
          <w:b w:val="false"/>
          <w:i/>
          <w:color w:val="000000"/>
          <w:sz w:val="20"/>
        </w:rPr>
        <w:t>Reference Rate Reform (Topic 848)</w:t>
      </w:r>
      <w:r>
        <w:rPr>
          <w:rFonts w:ascii="Arial;sans-serif" w:hAnsi="Arial;sans-serif"/>
          <w:b w:val="false"/>
          <w:color w:val="000000"/>
          <w:sz w:val="20"/>
        </w:rPr>
        <w:t>, and all subsequent amendments to the initial guidance, codified as ASC 848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2024. We expect to utilize the optional expedients provided by the guidance for contracts amended solely to use an alternative reference rate. We have evaluated the new guidance and we are in the process of implementing this ASU, and all subsequent amendments, and do not expect them to have a material impact on our Consolidated Financial Statements.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3.     REVENUE RECOGNITION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Contract Balances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components of our contract balances: </w:t>
      </w:r>
    </w:p>
    <w:tbl>
      <w:tblPr>
        <w:tblW w:w="9052" w:type="dxa"/>
        <w:jc w:val="center"/>
        <w:tblInd w:w="0" w:type="dxa"/>
        <w:tblCellMar>
          <w:top w:w="28" w:type="dxa"/>
          <w:left w:w="28" w:type="dxa"/>
          <w:bottom w:w="28" w:type="dxa"/>
          <w:right w:w="28" w:type="dxa"/>
        </w:tblCellMar>
      </w:tblPr>
      <w:tblGrid>
        <w:gridCol w:w="1820"/>
        <w:gridCol w:w="1598"/>
        <w:gridCol w:w="1607"/>
        <w:gridCol w:w="109"/>
        <w:gridCol w:w="109"/>
        <w:gridCol w:w="109"/>
        <w:gridCol w:w="266"/>
        <w:gridCol w:w="1081"/>
        <w:gridCol w:w="137"/>
        <w:gridCol w:w="109"/>
        <w:gridCol w:w="109"/>
        <w:gridCol w:w="109"/>
        <w:gridCol w:w="326"/>
        <w:gridCol w:w="1325"/>
        <w:gridCol w:w="238"/>
      </w:tblGrid>
      <w:tr>
        <w:trPr/>
        <w:tc>
          <w:tcPr>
            <w:tcW w:w="1820"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5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Trade accounts receivable and contract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193,348 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170,466 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7,935 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trade accounts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202,745 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178,401 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73,293 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(16,192)</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(15,358)</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trade accounts receivable and contract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251,866 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236,336 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129,292 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121,739 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8,326 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contract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137,164 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130,065 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revenue recognized in the Consolidated Statements of Operations that was previously included within contract liabilities: </w:t>
      </w:r>
    </w:p>
    <w:p>
      <w:pPr>
        <w:pStyle w:val="TextBody"/>
        <w:spacing w:before="0" w:after="0"/>
        <w:jc w:val="both"/>
        <w:rPr/>
      </w:pPr>
      <w:r>
        <w:rPr/>
      </w:r>
    </w:p>
    <w:tbl>
      <w:tblPr>
        <w:tblW w:w="4901" w:type="dxa"/>
        <w:jc w:val="left"/>
        <w:tblInd w:w="0" w:type="dxa"/>
        <w:tblCellMar>
          <w:top w:w="28" w:type="dxa"/>
          <w:left w:w="28" w:type="dxa"/>
          <w:bottom w:w="28" w:type="dxa"/>
          <w:right w:w="28" w:type="dxa"/>
        </w:tblCellMar>
      </w:tblPr>
      <w:tblGrid>
        <w:gridCol w:w="321"/>
        <w:gridCol w:w="282"/>
        <w:gridCol w:w="283"/>
        <w:gridCol w:w="109"/>
        <w:gridCol w:w="109"/>
        <w:gridCol w:w="109"/>
        <w:gridCol w:w="309"/>
        <w:gridCol w:w="1102"/>
        <w:gridCol w:w="160"/>
        <w:gridCol w:w="160"/>
        <w:gridCol w:w="160"/>
        <w:gridCol w:w="160"/>
        <w:gridCol w:w="309"/>
        <w:gridCol w:w="1102"/>
        <w:gridCol w:w="226"/>
      </w:tblGrid>
      <w:tr>
        <w:trPr/>
        <w:tc>
          <w:tcPr>
            <w:tcW w:w="32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60,963 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88,947 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Contract Acquisition Costs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activity in our contract acquisition costs, net: </w:t>
      </w:r>
    </w:p>
    <w:p>
      <w:pPr>
        <w:pStyle w:val="TextBody"/>
        <w:spacing w:before="0" w:after="0"/>
        <w:jc w:val="both"/>
        <w:rPr/>
      </w:pPr>
      <w:r>
        <w:rPr/>
      </w:r>
    </w:p>
    <w:tbl>
      <w:tblPr>
        <w:tblW w:w="7000" w:type="dxa"/>
        <w:jc w:val="left"/>
        <w:tblInd w:w="0" w:type="dxa"/>
        <w:tblCellMar>
          <w:top w:w="28" w:type="dxa"/>
          <w:left w:w="28" w:type="dxa"/>
          <w:bottom w:w="28" w:type="dxa"/>
          <w:right w:w="28" w:type="dxa"/>
        </w:tblCellMar>
      </w:tblPr>
      <w:tblGrid>
        <w:gridCol w:w="1081"/>
        <w:gridCol w:w="949"/>
        <w:gridCol w:w="955"/>
        <w:gridCol w:w="109"/>
        <w:gridCol w:w="109"/>
        <w:gridCol w:w="109"/>
        <w:gridCol w:w="309"/>
        <w:gridCol w:w="1102"/>
        <w:gridCol w:w="160"/>
        <w:gridCol w:w="160"/>
        <w:gridCol w:w="160"/>
        <w:gridCol w:w="160"/>
        <w:gridCol w:w="309"/>
        <w:gridCol w:w="1102"/>
        <w:gridCol w:w="226"/>
      </w:tblGrid>
      <w:tr>
        <w:trPr/>
        <w:tc>
          <w:tcPr>
            <w:tcW w:w="1081"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82,986 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15,788 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(16,638)</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(20,197)</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1,995 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60,234 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80,572 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Performance Obligations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2023, the remaining performance obligations for our customer contracts with original expected durations of more than one year was approximately $1.0 billion. Performance obligations expected to be satisfied within one year and greater than one year are 26.8% and 73.2%, respectively. This amount and percentages exclude agreements with consumer customers in our Hughes segment, our leasing arrangements and agreements with certain customers under which collectability of all amounts due through the term of contracts is uncertain.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Disaggregation of Revenue </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Geographic Information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tables present our revenue from customer contracts disaggregated by primary geographic market and by segment: </w:t>
      </w:r>
    </w:p>
    <w:tbl>
      <w:tblPr>
        <w:tblW w:w="10205" w:type="dxa"/>
        <w:jc w:val="center"/>
        <w:tblInd w:w="0" w:type="dxa"/>
        <w:tblCellMar>
          <w:top w:w="28" w:type="dxa"/>
          <w:left w:w="28" w:type="dxa"/>
          <w:bottom w:w="28" w:type="dxa"/>
          <w:right w:w="28" w:type="dxa"/>
        </w:tblCellMar>
      </w:tblPr>
      <w:tblGrid>
        <w:gridCol w:w="1328"/>
        <w:gridCol w:w="1167"/>
        <w:gridCol w:w="1171"/>
        <w:gridCol w:w="109"/>
        <w:gridCol w:w="109"/>
        <w:gridCol w:w="109"/>
        <w:gridCol w:w="211"/>
        <w:gridCol w:w="856"/>
        <w:gridCol w:w="109"/>
        <w:gridCol w:w="109"/>
        <w:gridCol w:w="109"/>
        <w:gridCol w:w="109"/>
        <w:gridCol w:w="211"/>
        <w:gridCol w:w="646"/>
        <w:gridCol w:w="109"/>
        <w:gridCol w:w="109"/>
        <w:gridCol w:w="109"/>
        <w:gridCol w:w="109"/>
        <w:gridCol w:w="395"/>
        <w:gridCol w:w="1210"/>
        <w:gridCol w:w="205"/>
        <w:gridCol w:w="109"/>
        <w:gridCol w:w="109"/>
        <w:gridCol w:w="109"/>
        <w:gridCol w:w="220"/>
        <w:gridCol w:w="894"/>
        <w:gridCol w:w="165"/>
      </w:tblGrid>
      <w:tr>
        <w:trPr/>
        <w:tc>
          <w:tcPr>
            <w:tcW w:w="1328"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Hughes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Corporate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Consolidated</w:t>
              <w:br/>
              <w:t>Total</w:t>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For the 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354,450 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and Central America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38,373 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437,824 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For the 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399,422 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403,698 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and Central America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42,872 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5,276 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57,088 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503,658 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Nature of Products and Services </w:t>
      </w:r>
    </w:p>
    <w:p>
      <w:pPr>
        <w:pStyle w:val="TextBody"/>
        <w:spacing w:before="0" w:after="0"/>
        <w:jc w:val="both"/>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following tables present our revenue disaggregated by the nature of products and services and by segment: </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364"/>
        <w:gridCol w:w="1190"/>
        <w:gridCol w:w="1193"/>
        <w:gridCol w:w="109"/>
        <w:gridCol w:w="109"/>
        <w:gridCol w:w="109"/>
        <w:gridCol w:w="211"/>
        <w:gridCol w:w="826"/>
        <w:gridCol w:w="109"/>
        <w:gridCol w:w="109"/>
        <w:gridCol w:w="109"/>
        <w:gridCol w:w="109"/>
        <w:gridCol w:w="211"/>
        <w:gridCol w:w="616"/>
        <w:gridCol w:w="109"/>
        <w:gridCol w:w="109"/>
        <w:gridCol w:w="109"/>
        <w:gridCol w:w="109"/>
        <w:gridCol w:w="403"/>
        <w:gridCol w:w="1178"/>
        <w:gridCol w:w="208"/>
        <w:gridCol w:w="109"/>
        <w:gridCol w:w="109"/>
        <w:gridCol w:w="109"/>
        <w:gridCol w:w="226"/>
        <w:gridCol w:w="884"/>
        <w:gridCol w:w="169"/>
      </w:tblGrid>
      <w:tr>
        <w:trPr/>
        <w:tc>
          <w:tcPr>
            <w:tcW w:w="1364"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3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Hughes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Corporate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Consolidated</w:t>
              <w:br/>
              <w:t>Total</w:t>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For the year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363,427 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12,327 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services and other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375,754 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Equipment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20,965 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Design, development and construction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36,904 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4,201 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equipment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62,070 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437,824 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For the year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403,337 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services and other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420,941 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Equipment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25,885 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Design, development and construction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55,905 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equipment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82,717 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503,658 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Lease Revenue </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lease revenue by type of lease:</w:t>
      </w:r>
    </w:p>
    <w:p>
      <w:pPr>
        <w:pStyle w:val="TextBody"/>
        <w:spacing w:before="0" w:after="0"/>
        <w:jc w:val="both"/>
        <w:rPr/>
      </w:pPr>
      <w:r>
        <w:rPr/>
      </w:r>
    </w:p>
    <w:tbl>
      <w:tblPr>
        <w:tblW w:w="7105" w:type="dxa"/>
        <w:jc w:val="center"/>
        <w:tblInd w:w="0" w:type="dxa"/>
        <w:tblCellMar>
          <w:top w:w="28" w:type="dxa"/>
          <w:left w:w="28" w:type="dxa"/>
          <w:bottom w:w="28" w:type="dxa"/>
          <w:right w:w="28" w:type="dxa"/>
        </w:tblCellMar>
      </w:tblPr>
      <w:tblGrid>
        <w:gridCol w:w="1118"/>
        <w:gridCol w:w="983"/>
        <w:gridCol w:w="989"/>
        <w:gridCol w:w="109"/>
        <w:gridCol w:w="109"/>
        <w:gridCol w:w="109"/>
        <w:gridCol w:w="309"/>
        <w:gridCol w:w="1102"/>
        <w:gridCol w:w="160"/>
        <w:gridCol w:w="160"/>
        <w:gridCol w:w="160"/>
        <w:gridCol w:w="160"/>
        <w:gridCol w:w="309"/>
        <w:gridCol w:w="1102"/>
        <w:gridCol w:w="226"/>
      </w:tblGrid>
      <w:tr>
        <w:trPr/>
        <w:tc>
          <w:tcPr>
            <w:tcW w:w="1118"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Sales-type lease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at lease commencement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sales-type lease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17,604 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18,531 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4.    MARKETABLE INVESTMENT SECURITIES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Marketable investment securities</w:t>
      </w:r>
      <w:r>
        <w:rPr>
          <w:rFonts w:ascii="Arial;sans-serif" w:hAnsi="Arial;sans-serif"/>
          <w:b w:val="false"/>
          <w:color w:val="000000"/>
          <w:sz w:val="20"/>
        </w:rPr>
        <w:t xml:space="preserve">: </w:t>
      </w:r>
    </w:p>
    <w:tbl>
      <w:tblPr>
        <w:tblW w:w="7521" w:type="dxa"/>
        <w:jc w:val="left"/>
        <w:tblInd w:w="0" w:type="dxa"/>
        <w:tblCellMar>
          <w:top w:w="28" w:type="dxa"/>
          <w:left w:w="28" w:type="dxa"/>
          <w:bottom w:w="28" w:type="dxa"/>
          <w:right w:w="28" w:type="dxa"/>
        </w:tblCellMar>
      </w:tblPr>
      <w:tblGrid>
        <w:gridCol w:w="1265"/>
        <w:gridCol w:w="1112"/>
        <w:gridCol w:w="1117"/>
        <w:gridCol w:w="109"/>
        <w:gridCol w:w="109"/>
        <w:gridCol w:w="109"/>
        <w:gridCol w:w="266"/>
        <w:gridCol w:w="1081"/>
        <w:gridCol w:w="137"/>
        <w:gridCol w:w="109"/>
        <w:gridCol w:w="109"/>
        <w:gridCol w:w="109"/>
        <w:gridCol w:w="326"/>
        <w:gridCol w:w="1325"/>
        <w:gridCol w:w="238"/>
      </w:tblGrid>
      <w:tr>
        <w:trPr/>
        <w:tc>
          <w:tcPr>
            <w:tcW w:w="1265"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181,065 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154,580 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429,690 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643,526 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613,012 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799,769 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613,012 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799,769 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Debt Securities</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Available-for-Sale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components of our available-for-sale debt securities:</w:t>
      </w:r>
    </w:p>
    <w:tbl>
      <w:tblPr>
        <w:tblW w:w="8786" w:type="dxa"/>
        <w:jc w:val="center"/>
        <w:tblInd w:w="0" w:type="dxa"/>
        <w:tblCellMar>
          <w:top w:w="28" w:type="dxa"/>
          <w:left w:w="28" w:type="dxa"/>
          <w:bottom w:w="28" w:type="dxa"/>
          <w:right w:w="28" w:type="dxa"/>
        </w:tblCellMar>
      </w:tblPr>
      <w:tblGrid>
        <w:gridCol w:w="1238"/>
        <w:gridCol w:w="1088"/>
        <w:gridCol w:w="1093"/>
        <w:gridCol w:w="109"/>
        <w:gridCol w:w="109"/>
        <w:gridCol w:w="109"/>
        <w:gridCol w:w="211"/>
        <w:gridCol w:w="856"/>
        <w:gridCol w:w="109"/>
        <w:gridCol w:w="109"/>
        <w:gridCol w:w="109"/>
        <w:gridCol w:w="109"/>
        <w:gridCol w:w="211"/>
        <w:gridCol w:w="481"/>
        <w:gridCol w:w="109"/>
        <w:gridCol w:w="109"/>
        <w:gridCol w:w="109"/>
        <w:gridCol w:w="109"/>
        <w:gridCol w:w="211"/>
        <w:gridCol w:w="541"/>
        <w:gridCol w:w="109"/>
        <w:gridCol w:w="109"/>
        <w:gridCol w:w="109"/>
        <w:gridCol w:w="109"/>
        <w:gridCol w:w="211"/>
        <w:gridCol w:w="856"/>
        <w:gridCol w:w="154"/>
      </w:tblGrid>
      <w:tr>
        <w:trPr/>
        <w:tc>
          <w:tcPr>
            <w:tcW w:w="1238"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Amortized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Unrealized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Estimated</w:t>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Fair Value</w:t>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181,115 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429,690 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613,012 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643,553 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643,526 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799,733 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799,769 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activity on our available-for-sale debt securities:</w:t>
      </w:r>
    </w:p>
    <w:p>
      <w:pPr>
        <w:pStyle w:val="TextBody"/>
        <w:spacing w:before="0" w:after="0"/>
        <w:jc w:val="both"/>
        <w:rPr/>
      </w:pPr>
      <w:r>
        <w:rPr/>
      </w:r>
    </w:p>
    <w:tbl>
      <w:tblPr>
        <w:tblW w:w="5935" w:type="dxa"/>
        <w:jc w:val="left"/>
        <w:tblInd w:w="0" w:type="dxa"/>
        <w:tblCellMar>
          <w:top w:w="28" w:type="dxa"/>
          <w:left w:w="28" w:type="dxa"/>
          <w:bottom w:w="28" w:type="dxa"/>
          <w:right w:w="28" w:type="dxa"/>
        </w:tblCellMar>
      </w:tblPr>
      <w:tblGrid>
        <w:gridCol w:w="694"/>
        <w:gridCol w:w="611"/>
        <w:gridCol w:w="615"/>
        <w:gridCol w:w="109"/>
        <w:gridCol w:w="109"/>
        <w:gridCol w:w="109"/>
        <w:gridCol w:w="309"/>
        <w:gridCol w:w="1102"/>
        <w:gridCol w:w="160"/>
        <w:gridCol w:w="160"/>
        <w:gridCol w:w="160"/>
        <w:gridCol w:w="160"/>
        <w:gridCol w:w="309"/>
        <w:gridCol w:w="1102"/>
        <w:gridCol w:w="226"/>
      </w:tblGrid>
      <w:tr>
        <w:trPr/>
        <w:tc>
          <w:tcPr>
            <w:tcW w:w="69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38,109 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29,018 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March 31, 2023, we have $529.8 million of available-for-sale debt securities with contractual maturities of one year or less and $83.2 million with contractual maturities greater than one year.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Fair Value Measurements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our marketable investment securities categorized by the fair value hierarchy, certain of which have historically experienced volatility: </w:t>
      </w:r>
    </w:p>
    <w:tbl>
      <w:tblPr>
        <w:tblW w:w="7673" w:type="dxa"/>
        <w:jc w:val="left"/>
        <w:tblInd w:w="0" w:type="dxa"/>
        <w:tblCellMar>
          <w:top w:w="28" w:type="dxa"/>
          <w:left w:w="28" w:type="dxa"/>
          <w:bottom w:w="28" w:type="dxa"/>
          <w:right w:w="28" w:type="dxa"/>
        </w:tblCellMar>
      </w:tblPr>
      <w:tblGrid>
        <w:gridCol w:w="1265"/>
        <w:gridCol w:w="1112"/>
        <w:gridCol w:w="1117"/>
        <w:gridCol w:w="109"/>
        <w:gridCol w:w="109"/>
        <w:gridCol w:w="109"/>
        <w:gridCol w:w="211"/>
        <w:gridCol w:w="481"/>
        <w:gridCol w:w="109"/>
        <w:gridCol w:w="109"/>
        <w:gridCol w:w="109"/>
        <w:gridCol w:w="109"/>
        <w:gridCol w:w="211"/>
        <w:gridCol w:w="856"/>
        <w:gridCol w:w="109"/>
        <w:gridCol w:w="109"/>
        <w:gridCol w:w="109"/>
        <w:gridCol w:w="109"/>
        <w:gridCol w:w="211"/>
        <w:gridCol w:w="856"/>
        <w:gridCol w:w="154"/>
      </w:tblGrid>
      <w:tr>
        <w:trPr/>
        <w:tc>
          <w:tcPr>
            <w:tcW w:w="1265"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 (including restricted)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737,633 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737,913 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429,690 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429,690 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613,012 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613,012 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 (including restricted)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548,554 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154,580 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643,526 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643,526 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799,769 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2023 and December 31, 2022, we did not have any investments that were categorized within Level 3 of the fair value hierarchy.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color w:val="000000"/>
          <w:sz w:val="20"/>
        </w:rPr>
        <w:t>NOTE 5.</w:t>
      </w:r>
      <w:r>
        <w:rPr>
          <w:color w:val="000000"/>
        </w:rPr>
        <w:t>    </w:t>
      </w:r>
      <w:r>
        <w:rPr>
          <w:rFonts w:ascii="Arial;sans-serif" w:hAnsi="Arial;sans-serif"/>
          <w:b/>
          <w:color w:val="000000"/>
          <w:sz w:val="20"/>
        </w:rPr>
        <w:t>PROPERTY AND EQUIPMENT</w:t>
      </w:r>
    </w:p>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val="false"/>
          <w:color w:val="000000"/>
          <w:sz w:val="20"/>
        </w:rPr>
        <w:t xml:space="preserve">The following table presents the components of </w:t>
      </w:r>
      <w:r>
        <w:rPr>
          <w:rFonts w:ascii="Arial;sans-serif" w:hAnsi="Arial;sans-serif"/>
          <w:b w:val="false"/>
          <w:i/>
          <w:color w:val="000000"/>
          <w:sz w:val="20"/>
        </w:rPr>
        <w:t>Property and equipment, net</w:t>
      </w:r>
      <w:r>
        <w:rPr>
          <w:rFonts w:ascii="Arial;sans-serif" w:hAnsi="Arial;sans-serif"/>
          <w:b w:val="false"/>
          <w:color w:val="000000"/>
          <w:sz w:val="20"/>
        </w:rPr>
        <w:t>:</w:t>
      </w:r>
    </w:p>
    <w:tbl>
      <w:tblPr>
        <w:tblW w:w="7118" w:type="dxa"/>
        <w:jc w:val="center"/>
        <w:tblInd w:w="0" w:type="dxa"/>
        <w:tblCellMar>
          <w:top w:w="28" w:type="dxa"/>
          <w:left w:w="28" w:type="dxa"/>
          <w:bottom w:w="28" w:type="dxa"/>
          <w:right w:w="28" w:type="dxa"/>
        </w:tblCellMar>
      </w:tblPr>
      <w:tblGrid>
        <w:gridCol w:w="1119"/>
        <w:gridCol w:w="984"/>
        <w:gridCol w:w="987"/>
        <w:gridCol w:w="109"/>
        <w:gridCol w:w="109"/>
        <w:gridCol w:w="109"/>
        <w:gridCol w:w="233"/>
        <w:gridCol w:w="1131"/>
        <w:gridCol w:w="120"/>
        <w:gridCol w:w="109"/>
        <w:gridCol w:w="109"/>
        <w:gridCol w:w="109"/>
        <w:gridCol w:w="287"/>
        <w:gridCol w:w="1393"/>
        <w:gridCol w:w="210"/>
      </w:tblGrid>
      <w:tr>
        <w:trPr/>
        <w:tc>
          <w:tcPr>
            <w:tcW w:w="1119"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731,217 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754,019 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611,009 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621,985 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1,342,226 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1,376,004 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Satellites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March 31, 2023, our satellite fleet consisted of eight geosynchronous (“GEO”) satellites, five of which are owned and three of which are leased. They are all in geosynchronous orbit, approximately 22,300 miles above the equator.</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GEO satellite fleet as of March 31, 2023:</w:t>
      </w:r>
    </w:p>
    <w:tbl>
      <w:tblPr>
        <w:tblW w:w="10205" w:type="dxa"/>
        <w:jc w:val="left"/>
        <w:tblInd w:w="0" w:type="dxa"/>
        <w:tblCellMar>
          <w:top w:w="28" w:type="dxa"/>
          <w:left w:w="28" w:type="dxa"/>
          <w:bottom w:w="28" w:type="dxa"/>
          <w:right w:w="28" w:type="dxa"/>
        </w:tblCellMar>
      </w:tblPr>
      <w:tblGrid>
        <w:gridCol w:w="622"/>
        <w:gridCol w:w="546"/>
        <w:gridCol w:w="493"/>
        <w:gridCol w:w="109"/>
        <w:gridCol w:w="109"/>
        <w:gridCol w:w="109"/>
        <w:gridCol w:w="310"/>
        <w:gridCol w:w="310"/>
        <w:gridCol w:w="311"/>
        <w:gridCol w:w="109"/>
        <w:gridCol w:w="109"/>
        <w:gridCol w:w="109"/>
        <w:gridCol w:w="455"/>
        <w:gridCol w:w="455"/>
        <w:gridCol w:w="430"/>
        <w:gridCol w:w="109"/>
        <w:gridCol w:w="109"/>
        <w:gridCol w:w="109"/>
        <w:gridCol w:w="1001"/>
        <w:gridCol w:w="1001"/>
        <w:gridCol w:w="1003"/>
        <w:gridCol w:w="109"/>
        <w:gridCol w:w="109"/>
        <w:gridCol w:w="109"/>
        <w:gridCol w:w="572"/>
        <w:gridCol w:w="572"/>
        <w:gridCol w:w="816"/>
      </w:tblGrid>
      <w:tr>
        <w:trPr/>
        <w:tc>
          <w:tcPr>
            <w:tcW w:w="622"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r>
      <w:tr>
        <w:trPr/>
        <w:tc>
          <w:tcPr>
            <w:tcW w:w="16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GEO Satellite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Segment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Launch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Nominal Degree Orbital Location (Longitude)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Depreciable Life (In Years)</w:t>
            </w:r>
          </w:p>
        </w:tc>
      </w:tr>
      <w:tr>
        <w:trPr/>
        <w:tc>
          <w:tcPr>
            <w:tcW w:w="16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6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SPACEWAY 3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2007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 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16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EchoStar XVII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2012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 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6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EchoStar XIX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97.1 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66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Al Yah 3 </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 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r>
      <w:tr>
        <w:trPr/>
        <w:tc>
          <w:tcPr>
            <w:tcW w:w="16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EchoStar IX </w:t>
            </w:r>
            <w:r>
              <w:rPr>
                <w:rFonts w:ascii="Arial;sans-serif" w:hAnsi="Arial;sans-serif"/>
                <w:b w:val="false"/>
                <w:color w:val="000000"/>
                <w:sz w:val="13"/>
              </w:rPr>
              <w:t>(3) (4)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2003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121 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r>
      <w:tr>
        <w:trPr/>
        <w:tc>
          <w:tcPr>
            <w:tcW w:w="16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6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6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Eutelsat 65 West 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 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6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Telesat T19V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 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r>
        <w:trPr/>
        <w:tc>
          <w:tcPr>
            <w:tcW w:w="16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EchoStar 105/SES-11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October 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 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r>
    </w:tbl>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    Depreciable life represents the remaining useful life as of June 8, 2011, the date EchoStar completed the acquisition of Hughes Communications, Inc. (“Hughes Communications”) and its subsidiaries in 2011 (the “Hughes Acquisition”). </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(2)    Upon consummation of our joint venture with Al Yah Satellite Communications Company PrJSC (“Yahsat”) in Brazil in November 2019, we acquired the Brazilian Ka-band payload on this satellite. Depreciable life represents the remaining useful life as of November 2019. </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    We own the Ka-band and Ku-band payloads on this satellite.</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    The Company placed the satellite in an inclined-orbit in the first quarter of 2023. Inclined-orbit will extend its life to enable further revenue generating opportunities.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the components of our satellites, net: </w:t>
      </w:r>
    </w:p>
    <w:tbl>
      <w:tblPr>
        <w:tblW w:w="10205" w:type="dxa"/>
        <w:jc w:val="center"/>
        <w:tblInd w:w="0" w:type="dxa"/>
        <w:tblCellMar>
          <w:top w:w="28" w:type="dxa"/>
          <w:left w:w="28" w:type="dxa"/>
          <w:bottom w:w="28" w:type="dxa"/>
          <w:right w:w="28" w:type="dxa"/>
        </w:tblCellMar>
      </w:tblPr>
      <w:tblGrid>
        <w:gridCol w:w="1277"/>
        <w:gridCol w:w="1102"/>
        <w:gridCol w:w="1105"/>
        <w:gridCol w:w="109"/>
        <w:gridCol w:w="109"/>
        <w:gridCol w:w="109"/>
        <w:gridCol w:w="807"/>
        <w:gridCol w:w="807"/>
        <w:gridCol w:w="809"/>
        <w:gridCol w:w="109"/>
        <w:gridCol w:w="109"/>
        <w:gridCol w:w="109"/>
        <w:gridCol w:w="230"/>
        <w:gridCol w:w="1120"/>
        <w:gridCol w:w="118"/>
        <w:gridCol w:w="109"/>
        <w:gridCol w:w="109"/>
        <w:gridCol w:w="109"/>
        <w:gridCol w:w="279"/>
        <w:gridCol w:w="1358"/>
        <w:gridCol w:w="212"/>
      </w:tblGrid>
      <w:tr>
        <w:trPr/>
        <w:tc>
          <w:tcPr>
            <w:tcW w:w="1277"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Depreciable Life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Satellites,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owned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 to 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1,504,514 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1,503,435 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acquired under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363,333 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360,642 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satellites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1,867,847 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1,864,077 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owned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(1,007,595)</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(988,164)</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acquired under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(129,035)</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(121,894)</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accumulated depreciation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(1,136,630)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(1,110,058)</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satellites,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731,217 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754,019 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The following table presents the depreciation expense associated with our satellites, net: </w:t>
      </w:r>
    </w:p>
    <w:tbl>
      <w:tblPr>
        <w:tblW w:w="9337" w:type="dxa"/>
        <w:jc w:val="left"/>
        <w:tblInd w:w="0" w:type="dxa"/>
        <w:tblCellMar>
          <w:top w:w="28" w:type="dxa"/>
          <w:left w:w="28" w:type="dxa"/>
          <w:bottom w:w="28" w:type="dxa"/>
          <w:right w:w="28" w:type="dxa"/>
        </w:tblCellMar>
      </w:tblPr>
      <w:tblGrid>
        <w:gridCol w:w="1343"/>
        <w:gridCol w:w="1179"/>
        <w:gridCol w:w="1183"/>
        <w:gridCol w:w="109"/>
        <w:gridCol w:w="109"/>
        <w:gridCol w:w="109"/>
        <w:gridCol w:w="109"/>
        <w:gridCol w:w="109"/>
        <w:gridCol w:w="308"/>
        <w:gridCol w:w="308"/>
        <w:gridCol w:w="596"/>
        <w:gridCol w:w="2124"/>
        <w:gridCol w:w="308"/>
        <w:gridCol w:w="109"/>
        <w:gridCol w:w="109"/>
        <w:gridCol w:w="109"/>
        <w:gridCol w:w="211"/>
        <w:gridCol w:w="751"/>
        <w:gridCol w:w="154"/>
      </w:tblGrid>
      <w:tr>
        <w:trPr/>
        <w:tc>
          <w:tcPr>
            <w:tcW w:w="1343"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212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1443" w:type="dxa"/>
            <w:gridSpan w:val="6"/>
            <w:tcBorders/>
            <w:shd w:fill="auto" w:val="clea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Depreciation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owned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18,923 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Satellites - acquired under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6,018 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depreciation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24,941 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capitalized interest associated with our satellites and satellite-related ground infrastructure:</w:t>
      </w:r>
    </w:p>
    <w:p>
      <w:pPr>
        <w:pStyle w:val="TextBody"/>
        <w:spacing w:before="0" w:after="0"/>
        <w:jc w:val="both"/>
        <w:rPr/>
      </w:pPr>
      <w:r>
        <w:rPr/>
      </w:r>
    </w:p>
    <w:tbl>
      <w:tblPr>
        <w:tblW w:w="7311" w:type="dxa"/>
        <w:jc w:val="left"/>
        <w:tblInd w:w="0" w:type="dxa"/>
        <w:tblCellMar>
          <w:top w:w="28" w:type="dxa"/>
          <w:left w:w="28" w:type="dxa"/>
          <w:bottom w:w="28" w:type="dxa"/>
          <w:right w:w="28" w:type="dxa"/>
        </w:tblCellMar>
      </w:tblPr>
      <w:tblGrid>
        <w:gridCol w:w="646"/>
        <w:gridCol w:w="568"/>
        <w:gridCol w:w="571"/>
        <w:gridCol w:w="109"/>
        <w:gridCol w:w="109"/>
        <w:gridCol w:w="109"/>
        <w:gridCol w:w="109"/>
        <w:gridCol w:w="109"/>
        <w:gridCol w:w="335"/>
        <w:gridCol w:w="335"/>
        <w:gridCol w:w="649"/>
        <w:gridCol w:w="1989"/>
        <w:gridCol w:w="335"/>
        <w:gridCol w:w="109"/>
        <w:gridCol w:w="109"/>
        <w:gridCol w:w="109"/>
        <w:gridCol w:w="211"/>
        <w:gridCol w:w="646"/>
        <w:gridCol w:w="154"/>
      </w:tblGrid>
      <w:tr>
        <w:trPr/>
        <w:tc>
          <w:tcPr>
            <w:tcW w:w="64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98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1338" w:type="dxa"/>
            <w:gridSpan w:val="6"/>
            <w:tcBorders/>
            <w:shd w:fill="auto" w:val="clea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9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2,566 </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Satellite-Related Commitments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2023 and December 31, 2022 our satellite-related commitments were $135.9 million and $143.5 million, respectively. These include payments pursuant to regulatory authorizations, non-lease costs associated with our finance lease satellites, in-orbit incentives relating to certain satellites and commitments for satellite service arrangements.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certain circumstances, the dates on which we are obligated to pay our contractual obligations could change. </w:t>
      </w:r>
    </w:p>
    <w:p>
      <w:pPr>
        <w:pStyle w:val="TextBody"/>
        <w:spacing w:before="0" w:after="0"/>
        <w:jc w:val="both"/>
        <w:rPr/>
      </w:pPr>
      <w:r>
        <w:rPr/>
      </w:r>
    </w:p>
    <w:p>
      <w:pPr>
        <w:pStyle w:val="TextBody"/>
        <w:spacing w:lineRule="auto" w:line="288" w:before="0" w:after="0"/>
        <w:jc w:val="both"/>
        <w:rPr/>
      </w:pPr>
      <w:r>
        <w:rPr>
          <w:rFonts w:ascii="Arial;sans-serif" w:hAnsi="Arial;sans-serif"/>
          <w:b w:val="false"/>
          <w:i/>
          <w:color w:val="000000"/>
          <w:sz w:val="20"/>
        </w:rPr>
        <w:t>Satellite Anomalies and Impairments</w:t>
      </w:r>
      <w:r>
        <w:rPr>
          <w:color w:val="000000"/>
        </w:rPr>
        <w:t xml:space="preserve">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three months ended March 31, 2023.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Satellite Insurance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generally do not carry in-orbit insurance on our satellites or payloads because we have assessed that the cost of insurance is not economical relative to the risk of failures. Therefore, we generally bear the risk of any in-orbit failures. Pursuant to the terms of our joint venture agreement with Yahsat, we are required to maintain insurance for the Al Yah 3 Brazilian payload during the commercial in-orbit service of such payload, subject to certain limitations on coverage. We have obtained certain insurance for our EchoStar XXIV satellite covering launch plus the first year of operations. We will continue to assess circumstances going forward and make insurance-related decisions on a case-by-case basis.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Fair Value of In-Orbit Incentives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2023 and December 31, 2022, the fair values of our in-orbit incentive obligations approximated their carrying amounts of $48.4 million and $50.2 million, respectively.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6.    REGULATORY AUTHORIZATIONS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417" w:before="0" w:after="0"/>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Regulatory authorizations, net</w:t>
      </w:r>
      <w:r>
        <w:rPr>
          <w:rFonts w:ascii="Arial;sans-serif" w:hAnsi="Arial;sans-serif"/>
          <w:b w:val="false"/>
          <w:color w:val="000000"/>
          <w:sz w:val="20"/>
        </w:rPr>
        <w:t>:</w:t>
      </w:r>
    </w:p>
    <w:tbl>
      <w:tblPr>
        <w:tblW w:w="10205" w:type="dxa"/>
        <w:jc w:val="left"/>
        <w:tblInd w:w="0" w:type="dxa"/>
        <w:tblCellMar>
          <w:top w:w="28" w:type="dxa"/>
          <w:left w:w="28" w:type="dxa"/>
          <w:bottom w:w="28" w:type="dxa"/>
          <w:right w:w="28" w:type="dxa"/>
        </w:tblCellMar>
      </w:tblPr>
      <w:tblGrid>
        <w:gridCol w:w="866"/>
        <w:gridCol w:w="633"/>
        <w:gridCol w:w="637"/>
        <w:gridCol w:w="109"/>
        <w:gridCol w:w="109"/>
        <w:gridCol w:w="109"/>
        <w:gridCol w:w="211"/>
        <w:gridCol w:w="751"/>
        <w:gridCol w:w="109"/>
        <w:gridCol w:w="109"/>
        <w:gridCol w:w="109"/>
        <w:gridCol w:w="109"/>
        <w:gridCol w:w="401"/>
        <w:gridCol w:w="1229"/>
        <w:gridCol w:w="208"/>
        <w:gridCol w:w="109"/>
        <w:gridCol w:w="109"/>
        <w:gridCol w:w="109"/>
        <w:gridCol w:w="211"/>
        <w:gridCol w:w="646"/>
        <w:gridCol w:w="109"/>
        <w:gridCol w:w="109"/>
        <w:gridCol w:w="109"/>
        <w:gridCol w:w="109"/>
        <w:gridCol w:w="239"/>
        <w:gridCol w:w="973"/>
        <w:gridCol w:w="123"/>
        <w:gridCol w:w="109"/>
        <w:gridCol w:w="109"/>
        <w:gridCol w:w="109"/>
        <w:gridCol w:w="211"/>
        <w:gridCol w:w="856"/>
        <w:gridCol w:w="157"/>
      </w:tblGrid>
      <w:tr>
        <w:trPr/>
        <w:tc>
          <w:tcPr>
            <w:tcW w:w="866"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Finite lived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Indefinite lived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21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408,959 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(2,141)</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409,410 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408,619 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(3,095)</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408,949 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34"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useful life (in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7.    OTHER INVESTMENTS</w:t>
      </w:r>
    </w:p>
    <w:p>
      <w:pPr>
        <w:pStyle w:val="TextBody"/>
        <w:spacing w:before="0" w:after="0"/>
        <w:rPr/>
      </w:pPr>
      <w:r>
        <w:rPr/>
      </w:r>
    </w:p>
    <w:p>
      <w:pPr>
        <w:pStyle w:val="TextBody"/>
        <w:spacing w:lineRule="auto" w:line="288" w:before="0" w:after="0"/>
        <w:jc w:val="both"/>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Other investments, net</w:t>
      </w:r>
      <w:r>
        <w:rPr>
          <w:rFonts w:ascii="Arial;sans-serif" w:hAnsi="Arial;sans-serif"/>
          <w:b w:val="false"/>
          <w:color w:val="000000"/>
          <w:sz w:val="20"/>
        </w:rPr>
        <w:t xml:space="preserve">: </w:t>
      </w:r>
    </w:p>
    <w:tbl>
      <w:tblPr>
        <w:tblW w:w="6592" w:type="dxa"/>
        <w:jc w:val="center"/>
        <w:tblInd w:w="0" w:type="dxa"/>
        <w:tblCellMar>
          <w:top w:w="28" w:type="dxa"/>
          <w:left w:w="28" w:type="dxa"/>
          <w:bottom w:w="28" w:type="dxa"/>
          <w:right w:w="28" w:type="dxa"/>
        </w:tblCellMar>
      </w:tblPr>
      <w:tblGrid>
        <w:gridCol w:w="929"/>
        <w:gridCol w:w="816"/>
        <w:gridCol w:w="819"/>
        <w:gridCol w:w="109"/>
        <w:gridCol w:w="109"/>
        <w:gridCol w:w="109"/>
        <w:gridCol w:w="292"/>
        <w:gridCol w:w="1042"/>
        <w:gridCol w:w="151"/>
        <w:gridCol w:w="109"/>
        <w:gridCol w:w="109"/>
        <w:gridCol w:w="109"/>
        <w:gridCol w:w="357"/>
        <w:gridCol w:w="1272"/>
        <w:gridCol w:w="260"/>
      </w:tblGrid>
      <w:tr>
        <w:trPr/>
        <w:tc>
          <w:tcPr>
            <w:tcW w:w="929"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82,971 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83,523 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82,971 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83,523 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Equity Method Investments</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Deluxe/EchoStar LLC</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own 50% of Deluxe/EchoStar LLC (“Deluxe”), a joint venture that we entered into in 2010 to build an advanced digital cinema satellite distribution network targeting delivery to digitally equipped theaters in the U.S. and Canada. </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Broadband Connectivity Solutions (Restricted) Limited</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and Al Yah 3 Ka-band satellites.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Financial Information for Our Equity Method Investments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revenue recognized:</w:t>
      </w:r>
    </w:p>
    <w:p>
      <w:pPr>
        <w:pStyle w:val="TextBody"/>
        <w:spacing w:before="0" w:after="0"/>
        <w:jc w:val="both"/>
        <w:rPr/>
      </w:pPr>
      <w:r>
        <w:rPr/>
      </w:r>
    </w:p>
    <w:tbl>
      <w:tblPr>
        <w:tblW w:w="6247" w:type="dxa"/>
        <w:jc w:val="left"/>
        <w:tblInd w:w="0" w:type="dxa"/>
        <w:tblCellMar>
          <w:top w:w="28" w:type="dxa"/>
          <w:left w:w="28" w:type="dxa"/>
          <w:bottom w:w="28" w:type="dxa"/>
          <w:right w:w="28" w:type="dxa"/>
        </w:tblCellMar>
      </w:tblPr>
      <w:tblGrid>
        <w:gridCol w:w="261"/>
        <w:gridCol w:w="229"/>
        <w:gridCol w:w="231"/>
        <w:gridCol w:w="109"/>
        <w:gridCol w:w="109"/>
        <w:gridCol w:w="109"/>
        <w:gridCol w:w="109"/>
        <w:gridCol w:w="109"/>
        <w:gridCol w:w="335"/>
        <w:gridCol w:w="335"/>
        <w:gridCol w:w="649"/>
        <w:gridCol w:w="1989"/>
        <w:gridCol w:w="335"/>
        <w:gridCol w:w="109"/>
        <w:gridCol w:w="109"/>
        <w:gridCol w:w="109"/>
        <w:gridCol w:w="211"/>
        <w:gridCol w:w="646"/>
        <w:gridCol w:w="154"/>
      </w:tblGrid>
      <w:tr>
        <w:trPr/>
        <w:tc>
          <w:tcPr>
            <w:tcW w:w="26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98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1338" w:type="dxa"/>
            <w:gridSpan w:val="6"/>
            <w:tcBorders/>
            <w:shd w:fill="auto" w:val="clear"/>
          </w:tcPr>
          <w:p>
            <w:pPr>
              <w:pStyle w:val="TableContents"/>
              <w:spacing w:before="0" w:after="283"/>
              <w:rPr>
                <w:sz w:val="4"/>
                <w:szCs w:val="4"/>
              </w:rPr>
            </w:pPr>
            <w:r>
              <w:rPr>
                <w:sz w:val="4"/>
                <w:szCs w:val="4"/>
              </w:rPr>
            </w:r>
          </w:p>
        </w:tc>
      </w:tr>
      <w:tr>
        <w:trPr/>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9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Deluxe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BCS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822 </w:t>
            </w:r>
          </w:p>
        </w:tc>
        <w:tc>
          <w:tcPr>
            <w:tcW w:w="3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trade accounts receivable:</w:t>
      </w:r>
    </w:p>
    <w:tbl>
      <w:tblPr>
        <w:tblW w:w="4749" w:type="dxa"/>
        <w:jc w:val="left"/>
        <w:tblInd w:w="0" w:type="dxa"/>
        <w:tblCellMar>
          <w:top w:w="28" w:type="dxa"/>
          <w:left w:w="28" w:type="dxa"/>
          <w:bottom w:w="28" w:type="dxa"/>
          <w:right w:w="28" w:type="dxa"/>
        </w:tblCellMar>
      </w:tblPr>
      <w:tblGrid>
        <w:gridCol w:w="261"/>
        <w:gridCol w:w="229"/>
        <w:gridCol w:w="231"/>
        <w:gridCol w:w="109"/>
        <w:gridCol w:w="109"/>
        <w:gridCol w:w="109"/>
        <w:gridCol w:w="324"/>
        <w:gridCol w:w="993"/>
        <w:gridCol w:w="167"/>
        <w:gridCol w:w="109"/>
        <w:gridCol w:w="109"/>
        <w:gridCol w:w="109"/>
        <w:gridCol w:w="393"/>
        <w:gridCol w:w="1207"/>
        <w:gridCol w:w="290"/>
      </w:tblGrid>
      <w:tr>
        <w:trPr/>
        <w:tc>
          <w:tcPr>
            <w:tcW w:w="26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Deluxe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3,026 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BCS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5,437 </w:t>
            </w:r>
          </w:p>
        </w:tc>
        <w:tc>
          <w:tcPr>
            <w:tcW w:w="1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5,062 </w:t>
            </w:r>
          </w:p>
        </w:tc>
        <w:tc>
          <w:tcPr>
            <w:tcW w:w="2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8    LONG-TERM DEBT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val="false"/>
          <w:color w:val="000000"/>
          <w:sz w:val="20"/>
        </w:rPr>
        <w:t xml:space="preserve">The following table presents the carrying amount and fair values of our </w:t>
      </w:r>
      <w:r>
        <w:rPr>
          <w:rFonts w:ascii="Arial;sans-serif" w:hAnsi="Arial;sans-serif"/>
          <w:b w:val="false"/>
          <w:color w:val="000000"/>
          <w:sz w:val="24"/>
        </w:rPr>
        <w:t>Long-term debt, net</w:t>
      </w:r>
      <w:r>
        <w:rPr>
          <w:rFonts w:ascii="Arial;sans-serif" w:hAnsi="Arial;sans-serif"/>
          <w:b w:val="false"/>
          <w:i/>
          <w:color w:val="000000"/>
          <w:sz w:val="20"/>
        </w:rPr>
        <w:t>:</w:t>
      </w:r>
    </w:p>
    <w:tbl>
      <w:tblPr>
        <w:tblW w:w="10205" w:type="dxa"/>
        <w:jc w:val="left"/>
        <w:tblInd w:w="0" w:type="dxa"/>
        <w:tblCellMar>
          <w:top w:w="28" w:type="dxa"/>
          <w:left w:w="28" w:type="dxa"/>
          <w:bottom w:w="28" w:type="dxa"/>
          <w:right w:w="28" w:type="dxa"/>
        </w:tblCellMar>
      </w:tblPr>
      <w:tblGrid>
        <w:gridCol w:w="789"/>
        <w:gridCol w:w="554"/>
        <w:gridCol w:w="556"/>
        <w:gridCol w:w="109"/>
        <w:gridCol w:w="109"/>
        <w:gridCol w:w="109"/>
        <w:gridCol w:w="420"/>
        <w:gridCol w:w="420"/>
        <w:gridCol w:w="421"/>
        <w:gridCol w:w="109"/>
        <w:gridCol w:w="109"/>
        <w:gridCol w:w="109"/>
        <w:gridCol w:w="211"/>
        <w:gridCol w:w="1021"/>
        <w:gridCol w:w="109"/>
        <w:gridCol w:w="109"/>
        <w:gridCol w:w="109"/>
        <w:gridCol w:w="109"/>
        <w:gridCol w:w="211"/>
        <w:gridCol w:w="1021"/>
        <w:gridCol w:w="109"/>
        <w:gridCol w:w="109"/>
        <w:gridCol w:w="109"/>
        <w:gridCol w:w="109"/>
        <w:gridCol w:w="211"/>
        <w:gridCol w:w="1021"/>
        <w:gridCol w:w="109"/>
        <w:gridCol w:w="109"/>
        <w:gridCol w:w="109"/>
        <w:gridCol w:w="109"/>
        <w:gridCol w:w="211"/>
        <w:gridCol w:w="1021"/>
        <w:gridCol w:w="155"/>
      </w:tblGrid>
      <w:tr>
        <w:trPr/>
        <w:tc>
          <w:tcPr>
            <w:tcW w:w="78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Effective 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1"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1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5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1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Carrying</w:t>
            </w:r>
          </w:p>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Fair</w:t>
            </w:r>
          </w:p>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Carrying</w:t>
            </w:r>
          </w:p>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Fair</w:t>
            </w:r>
          </w:p>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Value</w:t>
            </w:r>
          </w:p>
        </w:tc>
      </w:tr>
      <w:tr>
        <w:trPr/>
        <w:tc>
          <w:tcPr>
            <w:tcW w:w="1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 1/4% Senior Secured Notes due 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727,763 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Senior Unsecured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 5/8% Senior Unsecured Notes due 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712,433 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707,490 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1,496,981 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1,427,753 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1,435,253 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NOTE 9.    INCOME TAXES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income tax provision for interim periods is determined using an estimate of our annual effective tax rate, adjusted for discrete items, if any, in the relevant period. Each quarter we update our estimate of the annual effective tax rate, and if our estimated tax rate changes, we make a cumulative adjustment.</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interim income tax provision and our interim estimate of our annual effective tax rate are influenced by several factors, including foreign losses and capital gains and losses for which related deferred tax assets are partially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Our income tax provision was $14.7 million for the three months ended March 31, 2023 compared to our income tax provision of $15.1 million for the three months ended March 31, 2022. Our estimated effective income tax rate was 35.6% and 32.9% for the three months ended March 31, 2023 and 2022, respectively. The variations in our effective tax rate from the U.S. federal statutory rate for the three months ended March 31, 2023 were primarily due to excluded foreign losses where the Company carries a full valuation allowance and a reserve recorded for an uncertain tax benefit. The variations in our effective tax rate from the U.S. federal statutory rate for the three months ended March 31, 2022 were primarily due to excluded foreign losses where the Company carries a full valuation allowance and the impact of state and local taxes.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10.    RELATED PARTY TRANSACTIONS - ECHOSTAR</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is a summary of the transactions and the terms of the underlying principal agreements that have had or may have an impact on our consolidated financial condition and results of operations.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Shared Corporate Services.</w:t>
      </w:r>
      <w:r>
        <w:rPr>
          <w:color w:val="000000"/>
        </w:rPr>
        <w:t xml:space="preserve"> </w:t>
      </w:r>
      <w:r>
        <w:rPr>
          <w:rFonts w:ascii="Arial;sans-serif" w:hAnsi="Arial;sans-serif"/>
          <w:b w:val="false"/>
          <w:color w:val="000000"/>
          <w:sz w:val="20"/>
        </w:rPr>
        <w:t>We and EchoStar, including EchoStar’s other subsidiaries, have agreed that we shall</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each have the right, but not the obligation, to receive from the other certain shared corporate services, including among other things: treasury, tax, accounting and reporting, risk management, cybersecurity, legal, internal audit, human resources, and information technology. These shared corporate services are generally provided at cost. We and EchoStar, including EchoStar’s other subsidiaries, may each terminate a particular shared corporate service for any reason upon at least 30 days’ notice. We recorded these expenses within Operating expenses - EchoStar for shared corporate services received from EchoStar and its other subsidiaries of $3.5 million and $2.6 million for the three months ended March 31, 2023 and 2022,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Services and Other Revenue — EchoStar</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 xml:space="preserve">Services and other revenue </w:t>
      </w:r>
      <w:r>
        <w:rPr>
          <w:rFonts w:ascii="Arial;sans-serif" w:hAnsi="Arial;sans-serif"/>
          <w:b w:val="false"/>
          <w:color w:val="000000"/>
          <w:sz w:val="20"/>
        </w:rPr>
        <w:t>from EchoStar:</w:t>
      </w:r>
    </w:p>
    <w:tbl>
      <w:tblPr>
        <w:tblW w:w="9021" w:type="dxa"/>
        <w:jc w:val="center"/>
        <w:tblInd w:w="0" w:type="dxa"/>
        <w:tblCellMar>
          <w:top w:w="28" w:type="dxa"/>
          <w:left w:w="28" w:type="dxa"/>
          <w:bottom w:w="28" w:type="dxa"/>
          <w:right w:w="28" w:type="dxa"/>
        </w:tblCellMar>
      </w:tblPr>
      <w:tblGrid>
        <w:gridCol w:w="1267"/>
        <w:gridCol w:w="1111"/>
        <w:gridCol w:w="1117"/>
        <w:gridCol w:w="109"/>
        <w:gridCol w:w="109"/>
        <w:gridCol w:w="109"/>
        <w:gridCol w:w="109"/>
        <w:gridCol w:w="109"/>
        <w:gridCol w:w="335"/>
        <w:gridCol w:w="335"/>
        <w:gridCol w:w="649"/>
        <w:gridCol w:w="1989"/>
        <w:gridCol w:w="335"/>
        <w:gridCol w:w="109"/>
        <w:gridCol w:w="109"/>
        <w:gridCol w:w="109"/>
        <w:gridCol w:w="211"/>
        <w:gridCol w:w="646"/>
        <w:gridCol w:w="154"/>
      </w:tblGrid>
      <w:tr>
        <w:trPr/>
        <w:tc>
          <w:tcPr>
            <w:tcW w:w="1267"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98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1338" w:type="dxa"/>
            <w:gridSpan w:val="6"/>
            <w:tcBorders/>
            <w:shd w:fill="auto" w:val="clea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9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other revenue - EchoStar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1,140 </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corresponding related party receivables:</w:t>
      </w:r>
    </w:p>
    <w:tbl>
      <w:tblPr>
        <w:tblW w:w="8497" w:type="dxa"/>
        <w:jc w:val="left"/>
        <w:tblInd w:w="0" w:type="dxa"/>
        <w:tblCellMar>
          <w:top w:w="28" w:type="dxa"/>
          <w:left w:w="28" w:type="dxa"/>
          <w:bottom w:w="28" w:type="dxa"/>
          <w:right w:w="28" w:type="dxa"/>
        </w:tblCellMar>
      </w:tblPr>
      <w:tblGrid>
        <w:gridCol w:w="1618"/>
        <w:gridCol w:w="1424"/>
        <w:gridCol w:w="1428"/>
        <w:gridCol w:w="109"/>
        <w:gridCol w:w="109"/>
        <w:gridCol w:w="109"/>
        <w:gridCol w:w="266"/>
        <w:gridCol w:w="1081"/>
        <w:gridCol w:w="137"/>
        <w:gridCol w:w="109"/>
        <w:gridCol w:w="109"/>
        <w:gridCol w:w="109"/>
        <w:gridCol w:w="326"/>
        <w:gridCol w:w="1325"/>
        <w:gridCol w:w="238"/>
      </w:tblGrid>
      <w:tr>
        <w:trPr/>
        <w:tc>
          <w:tcPr>
            <w:tcW w:w="1618"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receivables - EchoStar - 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106,774 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112,985 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receivables - EchoStar - 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54,312 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55,834 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related party receivables - EchoStar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161,086 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168,819 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Receivables.</w:t>
      </w:r>
      <w:r>
        <w:rPr>
          <w:color w:val="000000"/>
        </w:rPr>
        <w:t xml:space="preserve"> </w:t>
      </w:r>
      <w:r>
        <w:rPr>
          <w:rFonts w:ascii="Arial;sans-serif" w:hAnsi="Arial;sans-serif"/>
          <w:b w:val="false"/>
          <w:color w:val="000000"/>
          <w:sz w:val="20"/>
        </w:rPr>
        <w:t>EchoStar and its other subsidiaries reimburse us from time to time for amounts paid by us for costs and expenses attributable to EchoStar and its other subsidiaries. We report receivables under these arrangements within Related party receivables - EchoStar - current. No repayment schedule for these receivables has been determined.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Operating Expenses — EchoStar</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The following table presents our operating expenses</w:t>
      </w:r>
      <w:r>
        <w:rPr>
          <w:color w:val="000000"/>
        </w:rPr>
        <w:t xml:space="preserve"> </w:t>
      </w:r>
      <w:r>
        <w:rPr>
          <w:rFonts w:ascii="Arial;sans-serif" w:hAnsi="Arial;sans-serif"/>
          <w:b w:val="false"/>
          <w:color w:val="000000"/>
          <w:sz w:val="20"/>
        </w:rPr>
        <w:t>from EchoStar:</w:t>
      </w:r>
    </w:p>
    <w:tbl>
      <w:tblPr>
        <w:tblW w:w="8482" w:type="dxa"/>
        <w:jc w:val="center"/>
        <w:tblInd w:w="0" w:type="dxa"/>
        <w:tblCellMar>
          <w:top w:w="28" w:type="dxa"/>
          <w:left w:w="28" w:type="dxa"/>
          <w:bottom w:w="28" w:type="dxa"/>
          <w:right w:w="28" w:type="dxa"/>
        </w:tblCellMar>
      </w:tblPr>
      <w:tblGrid>
        <w:gridCol w:w="1033"/>
        <w:gridCol w:w="906"/>
        <w:gridCol w:w="911"/>
        <w:gridCol w:w="109"/>
        <w:gridCol w:w="109"/>
        <w:gridCol w:w="109"/>
        <w:gridCol w:w="109"/>
        <w:gridCol w:w="109"/>
        <w:gridCol w:w="308"/>
        <w:gridCol w:w="308"/>
        <w:gridCol w:w="596"/>
        <w:gridCol w:w="2124"/>
        <w:gridCol w:w="308"/>
        <w:gridCol w:w="109"/>
        <w:gridCol w:w="109"/>
        <w:gridCol w:w="109"/>
        <w:gridCol w:w="211"/>
        <w:gridCol w:w="751"/>
        <w:gridCol w:w="154"/>
      </w:tblGrid>
      <w:tr>
        <w:trPr/>
        <w:tc>
          <w:tcPr>
            <w:tcW w:w="1033"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212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1443" w:type="dxa"/>
            <w:gridSpan w:val="6"/>
            <w:tcBorders/>
            <w:shd w:fill="auto" w:val="clear"/>
          </w:tcPr>
          <w:p>
            <w:pPr>
              <w:pStyle w:val="TableContents"/>
              <w:spacing w:before="0" w:after="283"/>
              <w:rPr>
                <w:sz w:val="4"/>
                <w:szCs w:val="4"/>
              </w:rPr>
            </w:pPr>
            <w:r>
              <w:rPr>
                <w:sz w:val="4"/>
                <w:szCs w:val="4"/>
              </w:rPr>
            </w:r>
          </w:p>
        </w:tc>
      </w:tr>
      <w:tr>
        <w:trPr/>
        <w:tc>
          <w:tcPr>
            <w:tcW w:w="2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 EchoStar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20,910 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corresponding related party payables:</w:t>
      </w:r>
    </w:p>
    <w:tbl>
      <w:tblPr>
        <w:tblW w:w="8286" w:type="dxa"/>
        <w:jc w:val="left"/>
        <w:tblInd w:w="0" w:type="dxa"/>
        <w:tblCellMar>
          <w:top w:w="28" w:type="dxa"/>
          <w:left w:w="28" w:type="dxa"/>
          <w:bottom w:w="28" w:type="dxa"/>
          <w:right w:w="28" w:type="dxa"/>
        </w:tblCellMar>
      </w:tblPr>
      <w:tblGrid>
        <w:gridCol w:w="1544"/>
        <w:gridCol w:w="1353"/>
        <w:gridCol w:w="1362"/>
        <w:gridCol w:w="109"/>
        <w:gridCol w:w="109"/>
        <w:gridCol w:w="109"/>
        <w:gridCol w:w="266"/>
        <w:gridCol w:w="1081"/>
        <w:gridCol w:w="137"/>
        <w:gridCol w:w="109"/>
        <w:gridCol w:w="109"/>
        <w:gridCol w:w="109"/>
        <w:gridCol w:w="326"/>
        <w:gridCol w:w="1325"/>
        <w:gridCol w:w="238"/>
      </w:tblGrid>
      <w:tr>
        <w:trPr/>
        <w:tc>
          <w:tcPr>
            <w:tcW w:w="1544"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payables - EchoStar - 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216,771 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216,504 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payables - EchoStar - 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21,270 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23,423 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related party payables - EchoStar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238,041 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239,927 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 xml:space="preserve">Payables. </w:t>
      </w:r>
      <w:r>
        <w:rPr>
          <w:rFonts w:ascii="Arial;sans-serif" w:hAnsi="Arial;sans-serif"/>
          <w:b w:val="false"/>
          <w:color w:val="000000"/>
          <w:sz w:val="20"/>
        </w:rPr>
        <w:t>We reimburse EchoStar and its other subsidiaries from time to time for amounts paid by EchoStar and its other subsidiaries for costs and expenses attributable to us. We report payables under these arrangements within Related party payables - EchoStar - current. No repayment schedule for these payables has been determined.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Real Estate. </w:t>
      </w:r>
      <w:r>
        <w:rPr>
          <w:rFonts w:ascii="Arial;sans-serif" w:hAnsi="Arial;sans-serif"/>
          <w:b w:val="false"/>
          <w:color w:val="000000"/>
          <w:sz w:val="20"/>
        </w:rPr>
        <w:t>We occupy certain office space in buildings owned or leased by EchoStar and its other subsidiaries and pay a portion of the taxes, insurance, utilities and maintenance of the premises in accordance with the percentage of the space we occupy.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Cash Advances.</w:t>
      </w:r>
      <w:r>
        <w:rPr>
          <w:color w:val="000000"/>
        </w:rPr>
        <w:t xml:space="preserve"> </w:t>
      </w:r>
      <w:r>
        <w:rPr>
          <w:rFonts w:ascii="Arial;sans-serif" w:hAnsi="Arial;sans-serif"/>
          <w:b w:val="false"/>
          <w:color w:val="000000"/>
          <w:sz w:val="20"/>
        </w:rPr>
        <w:t>EchoStar and certain of its other subsidiaries have also provided cash advances to certain of our</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foreign subsidiaries to fund certain expenditures pursuant to loan agreements that mature in 2023. Advances under these agreements bear interest at annual rates of three percent. We report amounts payable under these agreements within Related party payables - EchoStar - non-current.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BSS Transaction</w:t>
      </w:r>
      <w:r>
        <w:rPr>
          <w:rFonts w:ascii="Arial;sans-serif" w:hAnsi="Arial;sans-serif"/>
          <w:b w:val="false"/>
          <w:color w:val="000000"/>
          <w:sz w:val="20"/>
        </w:rPr>
        <w:t>. Pursuant to the pre-closing restructuring contemplated by the Master Transaction Agreement (as defined below), and as part of the BSS Transaction (as defined below), we and our subsidiaries transferred certain of the BSS Business (as defined below) to BSS Corp. (as defined below), and we distributed all of the shares of BSS Corp. to EchoStar as a dividend.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Share Exchange Agreement.</w:t>
      </w:r>
      <w:r>
        <w:rPr>
          <w:color w:val="000000"/>
        </w:rPr>
        <w:t xml:space="preserve"> </w:t>
      </w:r>
      <w:r>
        <w:rPr>
          <w:rFonts w:ascii="Arial;sans-serif" w:hAnsi="Arial;sans-serif"/>
          <w:b w:val="false"/>
          <w:color w:val="000000"/>
          <w:sz w:val="20"/>
        </w:rPr>
        <w:t xml:space="preserve">Prior to consummation of the Share Exchange, EchoStar was required to complete steps necessary for the transferring of certain assets and liabilities to DISH Network Corporation (“DISH”) and its subsidiaries (together with DISH, “DISH Network”). As part of these steps, subsidiaries of EchoStar that, prior to the consummation of the Share Exchange, owned EchoStar’s business of providing online video delivery and satellite video delivery for broadcasters and pay-TV operators, including satellite uplinking/downlinking, transmission services, signal processing and conditional access management, and other services and related assets and liabilities were contributed to one of our subsidiaries in consideration for additional shares of HSSC’s common stock that were then issued to a subsidiary of EchoStar.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EchoStar Mobile Limited Service Agreements.</w:t>
      </w:r>
      <w:r>
        <w:rPr>
          <w:color w:val="000000"/>
        </w:rPr>
        <w:t xml:space="preserve"> </w:t>
      </w:r>
      <w:r>
        <w:rPr>
          <w:rFonts w:ascii="Arial;sans-serif" w:hAnsi="Arial;sans-serif"/>
          <w:b w:val="false"/>
          <w:color w:val="000000"/>
          <w:sz w:val="20"/>
        </w:rPr>
        <w:t xml:space="preserve">We provide services and lease equipment to support the business of EchoStar Mobile Limited, a subsidiary of EchoStar that is licensed by the EU to provide mobile satellite services and complementary ground component services covering the entire EU using S-band spectrum. Generally, the amounts EchoStar’s other subsidiaries pay for these services are based on cost plus a fixed margin. We recorded revenue in </w:t>
      </w:r>
      <w:r>
        <w:rPr>
          <w:rFonts w:ascii="Arial;sans-serif" w:hAnsi="Arial;sans-serif"/>
          <w:b w:val="false"/>
          <w:i/>
          <w:color w:val="000000"/>
          <w:sz w:val="20"/>
        </w:rPr>
        <w:t xml:space="preserve">Services and other revenue </w:t>
      </w:r>
      <w:r>
        <w:rPr>
          <w:rFonts w:ascii="Arial;sans-serif" w:hAnsi="Arial;sans-serif"/>
          <w:b w:val="false"/>
          <w:color w:val="000000"/>
          <w:sz w:val="20"/>
        </w:rPr>
        <w:t>of $1.1 million and $5.3 million for the three months ended March 31, 2023 and 2022, respectively, related to these services. Additionally, we have converted the receivables for certain of these services into loans, bearing an annual interest rate of 5%, that mature in 2023. We report these loans within Related party receivables - EchoStar - non-current.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Construction Management Services for EchoStar XXIV satellite.</w:t>
      </w:r>
      <w:r>
        <w:rPr>
          <w:color w:val="000000"/>
        </w:rPr>
        <w:t xml:space="preserve"> </w:t>
      </w:r>
      <w:r>
        <w:rPr>
          <w:rFonts w:ascii="Arial;sans-serif" w:hAnsi="Arial;sans-serif"/>
          <w:b w:val="false"/>
          <w:color w:val="000000"/>
          <w:sz w:val="20"/>
        </w:rPr>
        <w:t>In August 2017, a subsidiary of EchoStar entered into a contract with Maxar Space, LLC (formerly Space Systems/Loral, LLC), for the design and construction of the EchoStar XXIV satellite, a new, next-generation, high throughput geostationary satellite. We provide construction management services to EchoStar’s subsidiary for the construction of the EchoStar XXIV satellite. We charged EchoStar’s subsidiary and reduced our operating expenses by the costs of such services of $0.4 million and $0.3 million for the three months ended March 31, 2023 and 2022,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NOTE 11.    RELATED PARTY TRANSACTIONS - DISH NETWORK</w:t>
      </w:r>
    </w:p>
    <w:p>
      <w:pPr>
        <w:pStyle w:val="TextBody"/>
        <w:spacing w:before="0" w:after="0"/>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Overview</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EchoStar and DISH have operated as separate publicly-traded companies since 2008 (the “Spin-off”). A substantial majority of the voting power of the shares of each of EchoStar and DISH is owned beneficially by Charles W. Ergen, our Chairman, and by certain entities established for the benefit of his family.</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In January 2017, EchoStar and certain of its subsidiaries entered into a share exchange agreement (the “Share Exchange Agreement”) with DISH and certain of its subsidiaries pursuant to which, in February 2017, we received all of the shares of preferred tracking stock previously issued by us and one of our subsidiaries (the “Tracking Stock”), representing an 80% economic interest in the residential retail satellite broadband business of our Hughes segment, in exchange for 100% of the equity interests of certain EchoStar subsidiaries that held substantially all of our EchoStar Technologies businesses and certain other assets (collectively, the “Share Exchange”).</w:t>
      </w:r>
      <w:r>
        <w:rPr>
          <w:color w:val="000000"/>
        </w:rPr>
        <w:t xml:space="preserve"> </w:t>
      </w:r>
      <w:r>
        <w:rPr>
          <w:rFonts w:ascii="Arial;sans-serif" w:hAnsi="Arial;sans-serif"/>
          <w:b w:val="false"/>
          <w:color w:val="000000"/>
          <w:sz w:val="20"/>
        </w:rPr>
        <w:t>The Tracking Stock was retired in March 2017.</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Network and our former joint venture Dish Mexico, S. de R.L. de C.V. and its subsidiaries (“Dish Mexico”),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connection with and following the Spin-off, the Share Exchange and the BSS Transaction, EchoStar, we and certain other of EchoStar’s subsidiaries and DISH Network entered into certain agreements pursuant to which we, EchoStar and certain of its other subsidiaries, on the one hand, obtain certain products, services and rights from DISH Network, on the other hand; DISH Network, on the one hand, obtains certain products, services and rights from us, EchoStar and certain of its other subsidiaries, on the other hand; and such entities indemnify each other against certain liabilities arising from their respective businesses.  Generally, the amounts we and/or EchoStar and its other subsidiaries or DISH Network pay for products and services provided under the agreements are based on cost plus a fixed margin (unless noted differently below), which varies depending on the nature of the products and services provided. We and/or EchoStar and its other subsidiaries may also enter into additional agreements with DISH Network in the future.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is a summary of the transactions and the terms of the underlying principal agreements that have had or may have an impact on our consolidated financial condition and results of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Services and Other Revenue — DISH Network</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The following table presents our </w:t>
      </w:r>
      <w:r>
        <w:rPr>
          <w:rFonts w:ascii="Arial;sans-serif" w:hAnsi="Arial;sans-serif"/>
          <w:b w:val="false"/>
          <w:i/>
          <w:color w:val="000000"/>
          <w:sz w:val="20"/>
        </w:rPr>
        <w:t>Services and other revenue - DISH Network</w:t>
      </w:r>
      <w:r>
        <w:rPr>
          <w:rFonts w:ascii="Arial;sans-serif" w:hAnsi="Arial;sans-serif"/>
          <w:b w:val="false"/>
          <w:color w:val="000000"/>
          <w:sz w:val="20"/>
        </w:rPr>
        <w:t>:</w:t>
      </w:r>
    </w:p>
    <w:tbl>
      <w:tblPr>
        <w:tblW w:w="9440" w:type="dxa"/>
        <w:jc w:val="left"/>
        <w:tblInd w:w="0" w:type="dxa"/>
        <w:tblCellMar>
          <w:top w:w="28" w:type="dxa"/>
          <w:left w:w="28" w:type="dxa"/>
          <w:bottom w:w="28" w:type="dxa"/>
          <w:right w:w="28" w:type="dxa"/>
        </w:tblCellMar>
      </w:tblPr>
      <w:tblGrid>
        <w:gridCol w:w="1418"/>
        <w:gridCol w:w="1246"/>
        <w:gridCol w:w="1250"/>
        <w:gridCol w:w="109"/>
        <w:gridCol w:w="109"/>
        <w:gridCol w:w="109"/>
        <w:gridCol w:w="109"/>
        <w:gridCol w:w="109"/>
        <w:gridCol w:w="335"/>
        <w:gridCol w:w="335"/>
        <w:gridCol w:w="649"/>
        <w:gridCol w:w="1989"/>
        <w:gridCol w:w="335"/>
        <w:gridCol w:w="109"/>
        <w:gridCol w:w="109"/>
        <w:gridCol w:w="109"/>
        <w:gridCol w:w="211"/>
        <w:gridCol w:w="646"/>
        <w:gridCol w:w="154"/>
      </w:tblGrid>
      <w:tr>
        <w:trPr/>
        <w:tc>
          <w:tcPr>
            <w:tcW w:w="1418"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98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1338" w:type="dxa"/>
            <w:gridSpan w:val="6"/>
            <w:tcBorders/>
            <w:shd w:fill="auto" w:val="clea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9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other revenue - DISH Network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3,378 </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related trade accounts receivable:</w:t>
      </w:r>
    </w:p>
    <w:tbl>
      <w:tblPr>
        <w:tblW w:w="7853" w:type="dxa"/>
        <w:jc w:val="left"/>
        <w:tblInd w:w="0" w:type="dxa"/>
        <w:tblCellMar>
          <w:top w:w="28" w:type="dxa"/>
          <w:left w:w="28" w:type="dxa"/>
          <w:bottom w:w="28" w:type="dxa"/>
          <w:right w:w="28" w:type="dxa"/>
        </w:tblCellMar>
      </w:tblPr>
      <w:tblGrid>
        <w:gridCol w:w="1384"/>
        <w:gridCol w:w="1217"/>
        <w:gridCol w:w="1224"/>
        <w:gridCol w:w="109"/>
        <w:gridCol w:w="109"/>
        <w:gridCol w:w="109"/>
        <w:gridCol w:w="324"/>
        <w:gridCol w:w="993"/>
        <w:gridCol w:w="167"/>
        <w:gridCol w:w="109"/>
        <w:gridCol w:w="109"/>
        <w:gridCol w:w="109"/>
        <w:gridCol w:w="393"/>
        <w:gridCol w:w="1207"/>
        <w:gridCol w:w="290"/>
      </w:tblGrid>
      <w:tr>
        <w:trPr/>
        <w:tc>
          <w:tcPr>
            <w:tcW w:w="1384"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 DISH Network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Satellite Capacity Leased to DISH Network. </w:t>
      </w:r>
      <w:r>
        <w:rPr>
          <w:rFonts w:ascii="Arial;sans-serif" w:hAnsi="Arial;sans-serif"/>
          <w:b w:val="false"/>
          <w:color w:val="000000"/>
          <w:sz w:val="20"/>
        </w:rPr>
        <w:t>Effective January 2008, DISH Network began leasing satellite capacity from us on the EchoStar IX satellite. We terminated the provision of this satellite capacity in December 2022.</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jc w:val="both"/>
        <w:rPr/>
      </w:pPr>
      <w:r>
        <w:rPr>
          <w:rFonts w:ascii="Arial;sans-serif" w:hAnsi="Arial;sans-serif"/>
          <w:b/>
          <w:i/>
          <w:color w:val="000000"/>
          <w:sz w:val="20"/>
        </w:rPr>
        <w:t xml:space="preserve">Telesat Obligation Agreement. </w:t>
      </w:r>
      <w:r>
        <w:rPr>
          <w:rFonts w:ascii="Arial;sans-serif" w:hAnsi="Arial;sans-serif"/>
          <w:b w:val="false"/>
          <w:color w:val="000000"/>
          <w:sz w:val="20"/>
        </w:rPr>
        <w:t>In September 2009, we entered into an agreement with Telesat Canada to lease satellite capacity from Telesat Canada on all 32 direct broadcast satellite (“DBS”) transponders on the Nimiq 5 satellite at the 72.7 degree west longitude orbital location (the “Telesat Transponder Agreement”).</w:t>
      </w:r>
      <w:r>
        <w:rPr>
          <w:color w:val="000000"/>
        </w:rPr>
        <w:t xml:space="preserve"> </w:t>
      </w:r>
      <w:r>
        <w:rPr>
          <w:rFonts w:ascii="Arial;sans-serif" w:hAnsi="Arial;sans-serif"/>
          <w:b w:val="false"/>
          <w:color w:val="000000"/>
          <w:sz w:val="20"/>
        </w:rPr>
        <w:t>In September 2009, we entered into an agreement with DISH Network, pursuant to which DISH Network leased satellite capacity from us on all 32 of the DBS transponders covered by the Telesat Transponder Agreement (the “DISH Nimiq 5 Agreement”).</w:t>
      </w:r>
      <w:r>
        <w:rPr>
          <w:color w:val="000000"/>
        </w:rPr>
        <w:t xml:space="preserve"> </w:t>
      </w:r>
      <w:r>
        <w:rPr>
          <w:rFonts w:ascii="Arial;sans-serif" w:hAnsi="Arial;sans-serif"/>
          <w:b w:val="false"/>
          <w:color w:val="000000"/>
          <w:sz w:val="20"/>
        </w:rPr>
        <w:t xml:space="preserve">Under the terms of the DISH Nimiq 5 Agreement, DISH Network made certain monthly payments to us that commenced in September 2009, when the Nimiq 5 satellite was placed into service. We transferred the Telesat Transponder Agreement to DISH Network in September 2019 as part of the BSS Transaction; however, we retained certain obligations related to DISH Network’s performance under that agreement and we entered into an agreement with DISH Network whereby DISH Network compensates us for retaining such obligations.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TerreStar Agreement. </w:t>
      </w:r>
      <w:r>
        <w:rPr>
          <w:rFonts w:ascii="Arial;sans-serif" w:hAnsi="Arial;sans-serif"/>
          <w:b w:val="false"/>
          <w:color w:val="000000"/>
          <w:sz w:val="20"/>
        </w:rPr>
        <w:t xml:space="preserve">In March 2012, DISH Network completed its acquisition of substantially all the assets of TerreStar Networks Inc. (“TerreStar”). Prior to DISH Network’s acquisition of substantially all the assets of TerreStar and EchoStar’s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these services are terminated by DISH Network upon at least 90 days’ written notice to us.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have recommenced providing warranty services to DISH Network. In May 2022, we and DISH Network amended the agreement for the provision of hosting services to extend the term until May 2027.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Hughes Broadband Distribution Agreement. </w:t>
      </w:r>
      <w:r>
        <w:rPr>
          <w:rFonts w:ascii="Arial;sans-serif" w:hAnsi="Arial;sans-serif"/>
          <w:b w:val="false"/>
          <w:color w:val="000000"/>
          <w:sz w:val="20"/>
        </w:rPr>
        <w:t xml:space="preserve">Effective October 2012, we and DISH Network entered into a distribution agreement (the “Distribution Agreement”) pursuant to which 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Gen 4 HughesNet service. The Distribution Agreement had an initial term of five years with automatic renewal for successive one-year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provide our Gen 4 HughesNet service to the then-current DISH Network subscribers pursuant to the terms and conditions of the Distribution Agreement.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DBSD North America Agreement. </w:t>
      </w:r>
      <w:r>
        <w:rPr>
          <w:rFonts w:ascii="Arial;sans-serif" w:hAnsi="Arial;sans-serif"/>
          <w:b w:val="false"/>
          <w:color w:val="000000"/>
          <w:sz w:val="20"/>
        </w:rPr>
        <w:t xml:space="preserve">In March 2012, DISH Network completed its acquisition of all of the equity of DBSD North America, Inc. (“DBSD North America”). Prior to DISH Network’s acquisition of DBSD North America and EchoStar’s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Hughes Equipment and Services Agreement</w:t>
      </w:r>
      <w:r>
        <w:rPr>
          <w:rFonts w:ascii="Arial;sans-serif" w:hAnsi="Arial;sans-serif"/>
          <w:b w:val="false"/>
          <w:color w:val="000000"/>
          <w:sz w:val="20"/>
        </w:rPr>
        <w:t xml:space="preserve">. In February 2019, we and DISH Network entered into an agreement pursuant to which we will 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Operating Expenses — DISH Network</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operating expenses related to DISH Network:</w:t>
      </w:r>
    </w:p>
    <w:p>
      <w:pPr>
        <w:pStyle w:val="TextBody"/>
        <w:spacing w:before="0" w:after="0"/>
        <w:jc w:val="both"/>
        <w:rPr/>
      </w:pPr>
      <w:r>
        <w:rPr/>
      </w:r>
    </w:p>
    <w:tbl>
      <w:tblPr>
        <w:tblW w:w="8795" w:type="dxa"/>
        <w:jc w:val="left"/>
        <w:tblInd w:w="0" w:type="dxa"/>
        <w:tblCellMar>
          <w:top w:w="28" w:type="dxa"/>
          <w:left w:w="28" w:type="dxa"/>
          <w:bottom w:w="28" w:type="dxa"/>
          <w:right w:w="28" w:type="dxa"/>
        </w:tblCellMar>
      </w:tblPr>
      <w:tblGrid>
        <w:gridCol w:w="1184"/>
        <w:gridCol w:w="1041"/>
        <w:gridCol w:w="1044"/>
        <w:gridCol w:w="109"/>
        <w:gridCol w:w="109"/>
        <w:gridCol w:w="109"/>
        <w:gridCol w:w="109"/>
        <w:gridCol w:w="109"/>
        <w:gridCol w:w="335"/>
        <w:gridCol w:w="335"/>
        <w:gridCol w:w="649"/>
        <w:gridCol w:w="1989"/>
        <w:gridCol w:w="335"/>
        <w:gridCol w:w="109"/>
        <w:gridCol w:w="109"/>
        <w:gridCol w:w="109"/>
        <w:gridCol w:w="211"/>
        <w:gridCol w:w="646"/>
        <w:gridCol w:w="154"/>
      </w:tblGrid>
      <w:tr>
        <w:trPr/>
        <w:tc>
          <w:tcPr>
            <w:tcW w:w="1184"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98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1338" w:type="dxa"/>
            <w:gridSpan w:val="6"/>
            <w:tcBorders/>
            <w:shd w:fill="auto" w:val="clea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9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 DISH Network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1,120 </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related trade accounts payable:</w:t>
      </w:r>
    </w:p>
    <w:tbl>
      <w:tblPr>
        <w:tblW w:w="7643" w:type="dxa"/>
        <w:jc w:val="center"/>
        <w:tblInd w:w="0" w:type="dxa"/>
        <w:tblCellMar>
          <w:top w:w="28" w:type="dxa"/>
          <w:left w:w="28" w:type="dxa"/>
          <w:bottom w:w="28" w:type="dxa"/>
          <w:right w:w="28" w:type="dxa"/>
        </w:tblCellMar>
      </w:tblPr>
      <w:tblGrid>
        <w:gridCol w:w="1310"/>
        <w:gridCol w:w="1148"/>
        <w:gridCol w:w="1156"/>
        <w:gridCol w:w="109"/>
        <w:gridCol w:w="109"/>
        <w:gridCol w:w="109"/>
        <w:gridCol w:w="391"/>
        <w:gridCol w:w="892"/>
        <w:gridCol w:w="202"/>
        <w:gridCol w:w="109"/>
        <w:gridCol w:w="109"/>
        <w:gridCol w:w="109"/>
        <w:gridCol w:w="470"/>
        <w:gridCol w:w="1074"/>
        <w:gridCol w:w="346"/>
      </w:tblGrid>
      <w:tr>
        <w:trPr/>
        <w:tc>
          <w:tcPr>
            <w:tcW w:w="1310"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 - DISH Network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pPr>
      <w:r>
        <w:rPr>
          <w:rFonts w:ascii="Arial;sans-serif" w:hAnsi="Arial;sans-serif"/>
          <w:b/>
          <w:i/>
          <w:color w:val="000000"/>
          <w:sz w:val="20"/>
        </w:rPr>
        <w:t>Amended and Restated Professional Services Agreement</w:t>
      </w:r>
      <w:r>
        <w:rPr>
          <w:rFonts w:ascii="Arial;sans-serif" w:hAnsi="Arial;sans-serif"/>
          <w:b w:val="false"/>
          <w:color w:val="000000"/>
          <w:sz w:val="20"/>
        </w:rPr>
        <w:t xml:space="preserve">.  In connection with the Spin-off, EchoStar entered into various agreements with DISH Network including a transition services agreement, satellite procurement agreement and services agreement, all of which expired in January 2010 and were replaced by a professional services agreement (the “Professional Services Agreement”).  In January 2010, EchoStar and DISH Network agreed that EchoStar and its subsidiaries shall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EchoStar and DISH Network agreed that DISH Network would continue to have the right, but not the obligation, to engage EchoStar and its subsidiaries to manage the process of procuring new satellite capacity for DISH Network (previously provided under a satellite procurement agreement), receive logistics, procurement and quality assurance services from EchoStar and its subsidiaries (previously provided under a services agreement) and provide other support services. In connection with the consummation of the Share Exchange, EchoStar and DISH amended and restated the Professional Services Agreement (as amended to date, the “Amended and Restated Professional Services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Agreement”) to provide that EchoStar and its subsidiaries and DISH Network shall have the right to receive additional services that either EchoStar and its subsidiaries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EchoStar and DISH further amended the Professional Services Agreement (the “Amended and Restated Professional Services Agreement”) to provide that EchoStar and its subsidiaries and DISH Network shall have the right to receive additional services that either EchoStar and its subsidiaries or DISH Network may require as a result of the BSS Transaction and to remove our access to and the maintenance and support services for the TT&amp;C Antennas. A portion of these costs and expenses have been allocated to us in the manner described in Note 10. Related Party Transactions - EchoStar. The term of the Amended and Restated Professional Services Agreement is through January 1, 2023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provided under the Amended and Restated Professional Services Agreement may survive the termination of the agreement.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Collocation and Antenna Space Agreements</w:t>
      </w:r>
      <w:r>
        <w:rPr>
          <w:rFonts w:ascii="Arial;sans-serif" w:hAnsi="Arial;sans-serif"/>
          <w:b w:val="false"/>
          <w:color w:val="000000"/>
          <w:sz w:val="20"/>
        </w:rPr>
        <w:t xml:space="preserve">. We and DISH Network entered into an agreement pursuant to which DISH Network provided us with collocation space in El Paso, Texas. This agreement was for an initial period ending in July 2015, and provided us with renewal options for four consecutive three-year terms. We exercised our first renewal option for a period commencing in August 2015 and ending in July 2018, in April 2018 we exercised our second renewal option for a period ending in July 2021, and in May 2021 we exercised our third renewal option for a period ending in July 2024.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 effective May 2020. In November 2020, we provided a termination notice for one of our Englewood, Colorado agreements effective May 2021. In November 2021, we exercised our right to renew the collocation agreements at Gilbert, Arizona, Cheyenne, Wyoming, Spokane, Washington, Englewood, Colorado and Monee, Illinois for a period ending in February 2025. In August 2017, we and DISH Network also entered into certain other agreements pursuant to which DISH Network provides additional collocation and antenna space to us in Monee, Illinois and Spokane, Washington through August 2022. In May 2022, we exercised our right to renew such other agreements at Monee, Illinois and Spokane, Washington through August 2025.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60 days’ prior written notice and certain other of these agreements with 180 days’ prior written notice. In September 2019, in connection with the BSS Transaction, we entered into an agreement pursuant to which DISH Network provided us with certain additional collocation space in Cheyenne, Wyoming for a period that ended in September 2020. The fees for the services provided under these agreements depend on the number of racks located at the location. </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Also in connection with the BSS Transaction, in September 2019, we entered into an agreement pursuant to which DISH Network provides us with antenna space and power in Cheyenne, Wyoming for a period of five years commencing in August 2020, with four three-year renewal terms, with prior written notice of renewal required no more than 120 days but no less than 90 days prior to the end of the then-current term. In March 2021, we entered into additional agreements pursuant to which DISH Network provides us with</w:t>
      </w:r>
      <w:r>
        <w:rPr>
          <w:color w:val="000000"/>
        </w:rPr>
        <w:t xml:space="preserve"> </w:t>
      </w:r>
      <w:r>
        <w:rPr>
          <w:rFonts w:ascii="Arial;sans-serif" w:hAnsi="Arial;sans-serif"/>
          <w:b w:val="false"/>
          <w:color w:val="000000"/>
          <w:sz w:val="20"/>
        </w:rPr>
        <w:t>antenna space and power in Cheyenne, Wyoming, and the right to use an antenna and certain space in Gilbert, Arizona. Both agreements are for a period of five years with four three-year renewal terms, with prior written notice of renewal required no more than 120 days but no less than 90 days prior to the end of the then-current term.</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Hughes Broadband Master Services Agreement</w:t>
      </w:r>
      <w:r>
        <w:rPr>
          <w:rFonts w:ascii="Arial;sans-serif" w:hAnsi="Arial;sans-serif"/>
          <w:b w:val="false"/>
          <w:color w:val="000000"/>
          <w:sz w:val="20"/>
        </w:rPr>
        <w:t xml:space="preserve">.  In conjunction with the launch of our EchoStar XIX satellite, in March 2017, we and DISH Network entered into a master service 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current term of the Hughes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Broadband MSA is through March 2023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$0.7 million and $1.7 million for the three months ended March 31, 2023 and 2022,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2019 TT&amp;C Agreement</w:t>
      </w:r>
      <w:r>
        <w:rPr>
          <w:rFonts w:ascii="Arial;sans-serif" w:hAnsi="Arial;sans-serif"/>
          <w:b w:val="false"/>
          <w:color w:val="000000"/>
          <w:sz w:val="20"/>
        </w:rPr>
        <w:t xml:space="preserve">.  In September 2019, in connection with the BSS Transaction, we and a subsidiary of EchoStar entered into an agreement pursuant to which DISH Network provides TT&amp;C services to us and EchoStar and its other subsidiaries for a period ending in September 2021, with the option for a subsidiary of EchoStar to renew for a one-year period upon written notice at least 90 days prior to the initial expiration (the “2019 TT&amp;C Agreement”). In June 2021, we amended the 2019 TT&amp;C Agreement to extend the term until September 2022 and added the option for us to renew the 2019 TT&amp;C Agreement up to an additional three years. In September 2022, we exercised the option to renew the 2019 TT&amp;C Agreement until September 2023.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Referral Marketing Agreement</w:t>
      </w:r>
      <w:r>
        <w:rPr>
          <w:rFonts w:ascii="Arial;sans-serif" w:hAnsi="Arial;sans-serif"/>
          <w:b w:val="false"/>
          <w:color w:val="000000"/>
          <w:sz w:val="20"/>
        </w:rPr>
        <w:t xml:space="preserve">. In June 2021, we and DISH Network entered into an agreement pursuant to which we will pre-qualify prospects contacting Hughes call centers and transfer those prospects to DISH Network for introduction to DISH Network’s video services, for prospects that convert Hughes will receive a commission. This agreement has an indefinite term and may be terminated by either party upon 90 days’ prior written notice.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Whidbey Island 5G Network Test Bed Subcontract</w:t>
      </w:r>
      <w:r>
        <w:rPr>
          <w:rFonts w:ascii="Arial;sans-serif" w:hAnsi="Arial;sans-serif"/>
          <w:b w:val="false"/>
          <w:color w:val="000000"/>
          <w:sz w:val="20"/>
        </w:rPr>
        <w:t>. In June 2022, we and DISH Wireless entered into a subcontract (“DISH Subcontract”) pursuant to which DISH will provide access and use of a DISH lab, technical support and integration and testing support for the 5G network test bed to be delivered by Hughes to its customer.</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Other Receivables - DISH Network</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 xml:space="preserve">Tax Sharing Agreement. </w:t>
      </w:r>
      <w:r>
        <w:rPr>
          <w:rFonts w:ascii="Arial;sans-serif" w:hAnsi="Arial;sans-serif"/>
          <w:b w:val="false"/>
          <w:color w:val="000000"/>
          <w:sz w:val="20"/>
        </w:rPr>
        <w:t xml:space="preserve">Effective December 2007, EchoStar and DISH Network entered into a tax sharing agreement (the “Tax Sharing Agreement”) in connection with the Spin-off. This agreement governs EchoStar and DISH and their respective subsidiaries’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EchoStar and its subsidiaries for such taxes. However, DISH Network is not liable for and does not indemnify EchoStar or its subsidiaries for any taxes that are incurred as a result of the Spin-off or certain related transactions failing to qualify as tax-free distributions pursuant to any provision of Section 355 or Section 361 of the Internal Revenue Code of 1986, as amended (the “Code”), because of: (i) a direct or indirect acquisition of any of EchoStar’s stock, stock options or assets; (ii) any action that EchoStar or its subsidiaries take or fail to take or (iii) any action that EchoStar or its subsidiaries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EchoStar and its subsidiaries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light of the Tax Sharing Agreement, among other things, and in connection with EchoStar’s consolidated federal income tax returns for certain tax years prior to and for the year of the Spin-off, in September 2013, EchoStar and DISH Network agreed upon a supplemental allocation of the tax benefits arising from certain tax items resolved in the course of the IRS’s examination of EchoStar’s consolidated tax returns. As a result, DISH Network agreed to pay EchoStar an amount that includes the federal tax benefit DISH received as a result of our operations.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August 2018, EchoStar and DISH Network amended the Tax Sharing Agreement and the 2013 agreements (the “Tax Sharing Amendment”). Under the Tax Sharing Amendment, DISH Network is required to compensate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EchoStar for certain past and future excess California research and development tax credits generated by EchoStar and its subsidiaries and used by DISH Network.</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Other Agreements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Master Transaction Agreement. </w:t>
      </w:r>
      <w:r>
        <w:rPr>
          <w:rFonts w:ascii="Arial;sans-serif" w:hAnsi="Arial;sans-serif"/>
          <w:b w:val="false"/>
          <w:color w:val="000000"/>
          <w:sz w:val="20"/>
        </w:rPr>
        <w:t>In May 2019, EchoStar and BSS Corp. entered into the Master Transaction Agreement with DISH and Merger Sub with respect to the BSS Transaction. Pursuant to the terms of the Master Transaction Agreement, on September 10, 2019: (i) EchoStar and its subsidiaries and we and our subsidiaries transferred the BSS Business to BSS Corp.; (ii) EchoStar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 Following the consummation of the BSS Transaction, we no longer operate the BSS Business, which was a substantial portion of our ESS segment. The Master Transaction Agreement contained customary representations and warranties by the parties, including EchoStar’s representations relating to the assets, liabilities and financial condition of the BSS Business, and representations by DISH Network relating to its financial condition and liabilities.  EchoStar and DISH Network have agreed to indemnify each other against certain losses with respect to breaches of certain representations and covenants and certain retained and assumed liabilities,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BSS Transaction Intellectual Property and Technology License Agreement. </w:t>
      </w:r>
      <w:r>
        <w:rPr>
          <w:rFonts w:ascii="Arial;sans-serif" w:hAnsi="Arial;sans-serif"/>
          <w:b w:val="false"/>
          <w:color w:val="000000"/>
          <w:sz w:val="20"/>
        </w:rPr>
        <w:t xml:space="preserve">Effective September 2019, in connection with the BSS Transaction, we, EchoStar and DISH Network entered into an intellectual property and technology license agreement (the “BSS IPTLA”) pursuant to which we, EchoStar and its other subsidiaries and DISH Network license to each other certain intellectual property and technology. The BSS IPTLA will continue in perpetuity, unless mutually terminated by the parties. Pursuant to the BSS IPTLA, we, EchoStar and its other subsidiaries granted to DISH Network a license to our and their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EchoStar and its other subsidiaries, among other things, for the continued use of all intellectual property and technology that is used in our, EchoStar and its other subsidiaries’ retained businesses but the ownership of which was transferred to DISH Network pursuant to the BSS Transaction.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 xml:space="preserve">BSS Transaction Tax Matters Agreement. </w:t>
      </w:r>
      <w:r>
        <w:rPr>
          <w:rFonts w:ascii="Arial;sans-serif" w:hAnsi="Arial;sans-serif"/>
          <w:b w:val="false"/>
          <w:color w:val="000000"/>
          <w:sz w:val="20"/>
        </w:rPr>
        <w:t xml:space="preserve">Effective September 2019, in connection with the BSS Transaction, EchoStar, BSS Corp. and DISH entered into a tax matters agreement. This agreement governs certain rights, responsibilities and obligations of EchoStar and its subsidiaries’ with respect to taxes of the BSS Business transferred pursuant to the BSS Transaction. Generally, EchoStar is responsible for all tax returns and tax liabilities for the BSS Business for periods prior to the BSS Transaction and DISH is responsible for all tax returns and tax liabilities for the BSS Business from and after the BSS Transaction.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Both EchoStar and DISH made certain tax-related representations and are subject to various tax-related covenants after the consummation of the BSS Transaction. Both EchoStar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EchoStar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This tax matters agreement supplements the Tax Sharing Agreement outlined above and the Share Exchange Tax Matters Agreement outlined below, both of which continue in full force and effect.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 xml:space="preserve">BSS Transaction Employee Matters Agreement. </w:t>
      </w:r>
      <w:r>
        <w:rPr>
          <w:rFonts w:ascii="Arial;sans-serif" w:hAnsi="Arial;sans-serif"/>
          <w:b w:val="false"/>
          <w:color w:val="000000"/>
          <w:sz w:val="20"/>
        </w:rPr>
        <w:t xml:space="preserve">Effective September 2019, in connection with the BSS Transaction, EchoStar and DISH Network entered into an employee matters agreement that addressed the transfer of employees from us to DISH Network, including certain benefit and compensation matters and the allocation of responsibility for employee related liabilities relating to current and past employees of the BSS Business. DISH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Network assumed employee-related liabilities relating to the BSS Business as part of the BSS Transaction, except that EchoStar is responsible for certain pre-BSS Transaction compensation and benefits for employees who transferred to DISH Network in connection with the BSS Transaction.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Share Exchange Agreement</w:t>
      </w:r>
      <w:r>
        <w:rPr>
          <w:rFonts w:ascii="Arial;sans-serif" w:hAnsi="Arial;sans-serif"/>
          <w:b w:val="false"/>
          <w:color w:val="000000"/>
          <w:sz w:val="20"/>
        </w:rPr>
        <w:t xml:space="preserve">. In February 2017 EchoStar consummated the Share Exchange, following which EchoStar and certain of its and our subsidiaries no longer operate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EchoStar and certain of its and our subsidiaries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EchoStar related to the transferred assets, assumed liabilities and the financial condition of the transferred businesses. EchoStar and DISH Network also agreed to customary indemnification provisions whereby each party indemnifies the other against certain losses with respect to breaches of representations, warranties or covenants and certain liabilities and if certain actions undertaken by EchoStar or DISH causes the transaction to be taxable to the other party after closing.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Share Exchange Intellectual Property and Technology License Agreement</w:t>
      </w:r>
      <w:r>
        <w:rPr>
          <w:rFonts w:ascii="Arial;sans-serif" w:hAnsi="Arial;sans-serif"/>
          <w:b w:val="false"/>
          <w:color w:val="000000"/>
          <w:sz w:val="20"/>
        </w:rPr>
        <w:t xml:space="preserve">. Effective March 2017, in connection with the Share Exchange, EchoStar and one of its other subsidiaries and DISH Network entered into an intellectual property and technology license agreement (“IPTLA”) pursuant to which we, EchoStar and its other subsidiaries and DISH Network license to each other certain intellectual property and technology. The IPTLA will continue in perpetuity, unless mutually terminated by the parties. Pursuant to the IPTLA, we, EchoStar and its other subsidiaries granted to DISH Network a license to our and their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EchoStar and its other subsidiaries, among other things, for the continued use of all intellectual property and technology that is used in our, EchoStar and its other subsidiaries’ retained businesses but the ownership of which was transferred to DISH Network pursuant to the Share Exchange.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i/>
          <w:color w:val="000000"/>
          <w:sz w:val="20"/>
        </w:rPr>
        <w:t>Share Exchange Tax Matters Agreement</w:t>
      </w:r>
      <w:r>
        <w:rPr>
          <w:rFonts w:ascii="Arial;sans-serif" w:hAnsi="Arial;sans-serif"/>
          <w:b w:val="false"/>
          <w:color w:val="000000"/>
          <w:sz w:val="20"/>
        </w:rPr>
        <w:t xml:space="preserve">. Effective March 2017, in connection with the Share Exchange, EchoStar and DISH entered into a tax matters agreement. This agreement governs certain rights, responsibilities and obligations of EchoStar and its subsidiaries with respect to taxes of the transferred businesses pursuant to the Share Exchange. Generally, EchoStar is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EchoStar and DISH Network made certain tax-related representations and are subject to various tax-related covenants after the consummation of the Share Exchange. Both EchoStar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EchoStar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NOTE 12.    RELATED PARTY TRANSACTIONS - OTHER</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Hughes Systique Corporation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contract with Hughes Systique Corporation (“Hughes Systique”) for software development services. In addition to our approximately 42% ownership in Hughes Systique, Mr. Pradman Kaul, the former President of our subsidiary Hughes Communications and Vice-Chair of our board of directors (effective January 1, 2023), and his brother, who is the Chief Executive Officer and President of Hughes Systique, own in the aggregate approximately 25%, on an undiluted basis, of Hughes Systique’s outstanding shares as of March 31, 2023.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Consolidated Financial Statements.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TerreStar Solutions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$0.5 million and $0.5 million for the three months ended March 31, 2023 and 2022, respectively. As of March 31, 2023 we had $0.5 million of trade accounts receivable from TSI.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NOTE 13. CONTINGENCIES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Patents and Intellectual Property</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Certain Arrangements with DISH Network</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connection with EchoStar’s spin-off from DISH in 2008, EchoStar entered into a separation agreement with DISH Network that provides, among other things, for the division of certain liabilities, including liabilities resulting from litigation. Under the terms of the separation agreement, EchoStar assumed certain liabilities that relate to its and our business, including certain designated liabilities for acts or omissions that occurred prior to the Spin-off. Certain specific provisions govern intellectual property related claims under which EchoStar will generally only be liable for its and its subsidiaries’ acts or omissions following the Spin-off and DISH Network will indemnify EchoStar for any liabilities or damages resulting from intellectual property claims relating to the period prior to the Spin-off as well as DISH Network’s acts or omissions following the Spin-off. In connection with the Share Exchange and BSS Transaction, EchoStar and certain of its and our subsidiaries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EchoStar and us and DISH Network for, in the case of the Share Exchange, certain pre-existing liabilities and legal proceedings and, in the case of the BSS Transaction, certain losses with respect to breaches of certain representations and covenants and certain liabilities.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Litigation</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expense as incurred.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Shareholder Litigation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July 2, 2019, the City of Hallandale Beach Police Officers’ and Firefighters’ Personnel Retirement Trust, purporting to sue on behalf of a class of EchoStar Corporation’s stockholders, filed a complaint in the District Court of Clark County, Nevada against EchoStar’s directors, Charles W. Ergen, R. Stanton Dodge, Anthony M. Federico, Pradman P. Kaul, C. Michael Schroeder, Jeffrey R. Tarr, William D. Wade, and Michael T. Dugan; our chief financial officer, David J. Rayner; EchoStar; HSSC; our former subsidiary BSS Corp.; and DISH and its subsidiary Merger Sub. On September 5, 2019, the defendants filed motions to dismiss. On October 11, 2019, the plaintiffs filed an amended complaint removing Messrs. Dodge, Federico, Kaul, Schroeder, Tarr and Wade as defendants. The amended complaint alleges that Mr. Ergen, as our controlling stockholder, breached fiduciary duties to EchoStar’s minority stockholders by structuring the BSS Transaction with inadequate consideration and improperly influencing our and EchoStar’s boards of directors to approve the BSS Transaction. The amended complaint also alleges that the other defendants aided and abetted such alleged breaches. The plaintiffs seek equitable and monetary relief, including the issuance of additional DISH Common Stock, and other costs and disbursements, including attorneys’ fees on behalf of the purported class. On November 11, 2019, we and the other defendants filed separate motions to dismiss plaintiff’s amended complaint and during a hearing on January 13, 2020 the court denied these motions. On February 10, 2020, we and the other defendants filed answers to the amended complaint. The Court certified plaintiff’s class on January 11, 2021. On June 18, 2021, the parties executed a settlement agreement to resolve all claims in this case. On the same day, the parties filed a joint motion for preliminary approval of the settlement agreement. The motion was granted by an order dated July 30, 2021. On December 9, 2021, the Court held a final settlement hearing. On December 10, 2021, the Court issued an Order granting final approval of the settlement agreement. In an order dated October 24, 2022, the Court granted plaintiff’s unopposed motion to approve the class distribution plan.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License Fee Dispute with Government of India, Department of Telecommunications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1994, the Government of India promulgated a “National Telecommunications Policy” under which the government liberalized the telecommunications sector and required telecommunications service providers to pay fixed license fees. Pursuant to this policy, our subsidiary HCIPL, formerly known as Hughes Escorts Communications Limited, obtained a license to operate a data network over satellite using VSAT systems. In 2002, HCIPL’s license was amended pursuant to a new government policy that was first established in 1999. The new policy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September 1, 2020, the Supreme Court issued a judgment permitting a10-year payment schedule. Under this payment schedule, HCIPL is required to make an annual payment every March 31, through 2031. Following the Supreme Court of India’s October 2019 judgment, HCIPL made payments during the first quarter of 2020, and additional payments on each March 31 thereafter.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components of the accrual:</w:t>
      </w:r>
    </w:p>
    <w:tbl>
      <w:tblPr>
        <w:tblW w:w="6997" w:type="dxa"/>
        <w:jc w:val="left"/>
        <w:tblInd w:w="0" w:type="dxa"/>
        <w:tblCellMar>
          <w:top w:w="28" w:type="dxa"/>
          <w:left w:w="28" w:type="dxa"/>
          <w:bottom w:w="28" w:type="dxa"/>
          <w:right w:w="28" w:type="dxa"/>
        </w:tblCellMar>
      </w:tblPr>
      <w:tblGrid>
        <w:gridCol w:w="1074"/>
        <w:gridCol w:w="946"/>
        <w:gridCol w:w="949"/>
        <w:gridCol w:w="109"/>
        <w:gridCol w:w="109"/>
        <w:gridCol w:w="109"/>
        <w:gridCol w:w="292"/>
        <w:gridCol w:w="1042"/>
        <w:gridCol w:w="151"/>
        <w:gridCol w:w="109"/>
        <w:gridCol w:w="109"/>
        <w:gridCol w:w="109"/>
        <w:gridCol w:w="357"/>
        <w:gridCol w:w="1272"/>
        <w:gridCol w:w="260"/>
      </w:tblGrid>
      <w:tr>
        <w:trPr/>
        <w:tc>
          <w:tcPr>
            <w:tcW w:w="1074"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license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Penalties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3,544 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3,516 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interest on penalties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80,236 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78,327 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(28,200)</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(17,785)</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59,033 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67,483 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10,273 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10,191 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accrual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48,760 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57,292 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Any eventual payments made with respect to the ultimate outcome of this matter may be different from our accrual and such differences could be significant.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Other</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pPr>
      <w:r>
        <w:rPr>
          <w:rFonts w:ascii="Arial;sans-serif" w:hAnsi="Arial;sans-serif"/>
          <w:b/>
          <w:color w:val="000000"/>
          <w:sz w:val="20"/>
        </w:rPr>
        <w:t>NOTE 14.</w:t>
      </w:r>
      <w:r>
        <w:rPr>
          <w:color w:val="000000"/>
        </w:rPr>
        <w:t>    </w:t>
      </w:r>
      <w:r>
        <w:rPr>
          <w:rFonts w:ascii="Arial;sans-serif" w:hAnsi="Arial;sans-serif"/>
          <w:b/>
          <w:color w:val="000000"/>
          <w:sz w:val="20"/>
        </w:rPr>
        <w:t>SEGMENT REPORTING</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Business segments are components of an enterprise for which separate financial information is available and regularly evaluated by our chief operating decision maker (“CODM”), who is our Chief Executive Officer. We operate in two business segments, Hughes segment and ESS segment.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primary measure of segment profitability that is reported regularly to our CODM is earnings before interest, taxes, depreciation and amortization, and net income (loss) attributable to non-controlling interests (“EBITDA”).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assets by segment have not been reported herein because the information is not provided to our CODM on a regular basis.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total revenue, capital expenditures and EBITDA for each of our business segments: </w:t>
      </w:r>
    </w:p>
    <w:p>
      <w:pPr>
        <w:pStyle w:val="TextBody"/>
        <w:spacing w:before="0" w:after="0"/>
        <w:jc w:val="both"/>
        <w:rPr/>
      </w:pPr>
      <w:r>
        <w:rPr/>
      </w:r>
    </w:p>
    <w:tbl>
      <w:tblPr>
        <w:tblW w:w="9607" w:type="dxa"/>
        <w:jc w:val="left"/>
        <w:tblInd w:w="0" w:type="dxa"/>
        <w:tblCellMar>
          <w:top w:w="28" w:type="dxa"/>
          <w:left w:w="28" w:type="dxa"/>
          <w:bottom w:w="28" w:type="dxa"/>
          <w:right w:w="28" w:type="dxa"/>
        </w:tblCellMar>
      </w:tblPr>
      <w:tblGrid>
        <w:gridCol w:w="1385"/>
        <w:gridCol w:w="1218"/>
        <w:gridCol w:w="1222"/>
        <w:gridCol w:w="109"/>
        <w:gridCol w:w="109"/>
        <w:gridCol w:w="109"/>
        <w:gridCol w:w="211"/>
        <w:gridCol w:w="826"/>
        <w:gridCol w:w="109"/>
        <w:gridCol w:w="109"/>
        <w:gridCol w:w="109"/>
        <w:gridCol w:w="109"/>
        <w:gridCol w:w="211"/>
        <w:gridCol w:w="616"/>
        <w:gridCol w:w="109"/>
        <w:gridCol w:w="109"/>
        <w:gridCol w:w="109"/>
        <w:gridCol w:w="109"/>
        <w:gridCol w:w="211"/>
        <w:gridCol w:w="796"/>
        <w:gridCol w:w="109"/>
        <w:gridCol w:w="109"/>
        <w:gridCol w:w="109"/>
        <w:gridCol w:w="109"/>
        <w:gridCol w:w="226"/>
        <w:gridCol w:w="884"/>
        <w:gridCol w:w="166"/>
      </w:tblGrid>
      <w:tr>
        <w:trPr/>
        <w:tc>
          <w:tcPr>
            <w:tcW w:w="1385"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Hughes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Corporate</w:t>
              <w:br/>
              <w:t>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Consolidated</w:t>
              <w:br/>
              <w:t>Total</w:t>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For the 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437,824 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437,824 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47,025 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(18,404)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143,485 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For the 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External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503,658 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503,658 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61,021 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191,170 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183,205 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Arial;sans-serif" w:hAnsi="Arial;sans-serif"/>
          <w:b w:val="false"/>
          <w:color w:val="000000"/>
          <w:sz w:val="20"/>
        </w:rPr>
        <w:t xml:space="preserve">The following table reconciles </w:t>
      </w:r>
      <w:r>
        <w:rPr>
          <w:rFonts w:ascii="Arial;sans-serif" w:hAnsi="Arial;sans-serif"/>
          <w:b w:val="false"/>
          <w:i/>
          <w:color w:val="000000"/>
          <w:sz w:val="20"/>
        </w:rPr>
        <w:t>Income (loss) before income taxes</w:t>
      </w:r>
      <w:r>
        <w:rPr>
          <w:color w:val="000000"/>
        </w:rPr>
        <w:t xml:space="preserve"> </w:t>
      </w:r>
      <w:r>
        <w:rPr>
          <w:rFonts w:ascii="Arial;sans-serif" w:hAnsi="Arial;sans-serif"/>
          <w:b w:val="false"/>
          <w:color w:val="000000"/>
          <w:sz w:val="20"/>
        </w:rPr>
        <w:t xml:space="preserve">in the Consolidated Statements of Operations to EBITDA: </w:t>
      </w:r>
    </w:p>
    <w:tbl>
      <w:tblPr>
        <w:tblW w:w="10205" w:type="dxa"/>
        <w:jc w:val="left"/>
        <w:tblInd w:w="0" w:type="dxa"/>
        <w:tblCellMar>
          <w:top w:w="28" w:type="dxa"/>
          <w:left w:w="28" w:type="dxa"/>
          <w:bottom w:w="28" w:type="dxa"/>
          <w:right w:w="28" w:type="dxa"/>
        </w:tblCellMar>
      </w:tblPr>
      <w:tblGrid>
        <w:gridCol w:w="1730"/>
        <w:gridCol w:w="1471"/>
        <w:gridCol w:w="1478"/>
        <w:gridCol w:w="109"/>
        <w:gridCol w:w="109"/>
        <w:gridCol w:w="109"/>
        <w:gridCol w:w="109"/>
        <w:gridCol w:w="109"/>
        <w:gridCol w:w="268"/>
        <w:gridCol w:w="268"/>
        <w:gridCol w:w="518"/>
        <w:gridCol w:w="2107"/>
        <w:gridCol w:w="268"/>
        <w:gridCol w:w="109"/>
        <w:gridCol w:w="109"/>
        <w:gridCol w:w="109"/>
        <w:gridCol w:w="211"/>
        <w:gridCol w:w="856"/>
        <w:gridCol w:w="158"/>
      </w:tblGrid>
      <w:tr>
        <w:trPr/>
        <w:tc>
          <w:tcPr>
            <w:tcW w:w="1730"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107"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1552" w:type="dxa"/>
            <w:gridSpan w:val="6"/>
            <w:tcBorders/>
            <w:shd w:fill="auto" w:val="clea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8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41,334 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45,941 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(17,948)</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22,527 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23,378 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96,351 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113,678 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143,485 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183,205 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NOTE 15.    SUPPLEMENTAL FINANCIAL INFORMATION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Other Current Assets, Net and Other Non-current Assets, Net </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The following table presents the components of</w:t>
      </w:r>
      <w:r>
        <w:rPr>
          <w:color w:val="000000"/>
        </w:rPr>
        <w:t xml:space="preserve"> </w:t>
      </w:r>
      <w:r>
        <w:rPr>
          <w:rFonts w:ascii="Arial;sans-serif" w:hAnsi="Arial;sans-serif"/>
          <w:b w:val="false"/>
          <w:color w:val="000000"/>
          <w:sz w:val="20"/>
        </w:rPr>
        <w:t>Other current assets, net and Other non-current assets, net:</w:t>
      </w:r>
    </w:p>
    <w:tbl>
      <w:tblPr>
        <w:tblW w:w="7852" w:type="dxa"/>
        <w:jc w:val="center"/>
        <w:tblInd w:w="0" w:type="dxa"/>
        <w:tblCellMar>
          <w:top w:w="28" w:type="dxa"/>
          <w:left w:w="28" w:type="dxa"/>
          <w:bottom w:w="28" w:type="dxa"/>
          <w:right w:w="28" w:type="dxa"/>
        </w:tblCellMar>
      </w:tblPr>
      <w:tblGrid>
        <w:gridCol w:w="1386"/>
        <w:gridCol w:w="1215"/>
        <w:gridCol w:w="1224"/>
        <w:gridCol w:w="109"/>
        <w:gridCol w:w="109"/>
        <w:gridCol w:w="109"/>
        <w:gridCol w:w="266"/>
        <w:gridCol w:w="1081"/>
        <w:gridCol w:w="137"/>
        <w:gridCol w:w="109"/>
        <w:gridCol w:w="109"/>
        <w:gridCol w:w="109"/>
        <w:gridCol w:w="326"/>
        <w:gridCol w:w="1325"/>
        <w:gridCol w:w="238"/>
      </w:tblGrid>
      <w:tr>
        <w:trPr/>
        <w:tc>
          <w:tcPr>
            <w:tcW w:w="1386"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receivables - EchoStar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106,774 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112,985 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136,443 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123,006 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Prepaids and deposits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25,698 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23,948 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 DISH Network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13,271 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288,230 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275,202 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non-current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116,545 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116,844 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acquisition costs,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60,234 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64,447 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receivables - EchoStar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54,312 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55,834 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7,822 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1,341 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fulfillment costs,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1,931 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39,207 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37,658 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non-current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281,621 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285,877 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Inventory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components of inventory:</w:t>
      </w:r>
    </w:p>
    <w:p>
      <w:pPr>
        <w:pStyle w:val="TextBody"/>
        <w:spacing w:before="0" w:after="0"/>
        <w:jc w:val="both"/>
        <w:rPr/>
      </w:pPr>
      <w:r>
        <w:rPr/>
      </w:r>
    </w:p>
    <w:tbl>
      <w:tblPr>
        <w:tblW w:w="5558" w:type="dxa"/>
        <w:jc w:val="left"/>
        <w:tblInd w:w="0" w:type="dxa"/>
        <w:tblCellMar>
          <w:top w:w="28" w:type="dxa"/>
          <w:left w:w="28" w:type="dxa"/>
          <w:bottom w:w="28" w:type="dxa"/>
          <w:right w:w="28" w:type="dxa"/>
        </w:tblCellMar>
      </w:tblPr>
      <w:tblGrid>
        <w:gridCol w:w="554"/>
        <w:gridCol w:w="486"/>
        <w:gridCol w:w="491"/>
        <w:gridCol w:w="109"/>
        <w:gridCol w:w="109"/>
        <w:gridCol w:w="109"/>
        <w:gridCol w:w="266"/>
        <w:gridCol w:w="1081"/>
        <w:gridCol w:w="137"/>
        <w:gridCol w:w="109"/>
        <w:gridCol w:w="109"/>
        <w:gridCol w:w="109"/>
        <w:gridCol w:w="326"/>
        <w:gridCol w:w="1325"/>
        <w:gridCol w:w="238"/>
      </w:tblGrid>
      <w:tr>
        <w:trPr/>
        <w:tc>
          <w:tcPr>
            <w:tcW w:w="55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35,932 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32,920 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16,408 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80,954 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73,678 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inventory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136,443 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123,006 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rPr/>
      </w:pPr>
      <w:r>
        <w:rPr>
          <w:rFonts w:ascii="Arial;sans-serif" w:hAnsi="Arial;sans-serif"/>
          <w:b/>
          <w:color w:val="000000"/>
          <w:sz w:val="20"/>
        </w:rPr>
        <w:t>Accrued Expenses and Other Current Liabilities and Other Non-Current Liabilities</w:t>
      </w:r>
      <w:r>
        <w:rPr>
          <w:color w:val="000000"/>
        </w:rPr>
        <w:t xml:space="preserve"> </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 xml:space="preserve">The following table presents the components of Accrued expenses and other current liabilities and </w:t>
      </w:r>
      <w:r>
        <w:rPr>
          <w:rFonts w:ascii="Arial;sans-serif" w:hAnsi="Arial;sans-serif"/>
          <w:b w:val="false"/>
          <w:i/>
          <w:color w:val="000000"/>
          <w:sz w:val="20"/>
        </w:rPr>
        <w:t>Other non-current liabilities</w:t>
      </w:r>
      <w:r>
        <w:rPr>
          <w:rFonts w:ascii="Arial;sans-serif" w:hAnsi="Arial;sans-serif"/>
          <w:b w:val="false"/>
          <w:color w:val="000000"/>
          <w:sz w:val="20"/>
        </w:rPr>
        <w:t>:</w:t>
      </w:r>
    </w:p>
    <w:p>
      <w:pPr>
        <w:pStyle w:val="TextBody"/>
        <w:spacing w:before="0" w:after="0"/>
        <w:jc w:val="both"/>
        <w:rPr/>
      </w:pPr>
      <w:r>
        <w:rPr/>
      </w:r>
    </w:p>
    <w:tbl>
      <w:tblPr>
        <w:tblW w:w="8571" w:type="dxa"/>
        <w:jc w:val="left"/>
        <w:tblInd w:w="0" w:type="dxa"/>
        <w:tblCellMar>
          <w:top w:w="28" w:type="dxa"/>
          <w:left w:w="28" w:type="dxa"/>
          <w:bottom w:w="28" w:type="dxa"/>
          <w:right w:w="28" w:type="dxa"/>
        </w:tblCellMar>
      </w:tblPr>
      <w:tblGrid>
        <w:gridCol w:w="1646"/>
        <w:gridCol w:w="1444"/>
        <w:gridCol w:w="1454"/>
        <w:gridCol w:w="109"/>
        <w:gridCol w:w="109"/>
        <w:gridCol w:w="109"/>
        <w:gridCol w:w="266"/>
        <w:gridCol w:w="1081"/>
        <w:gridCol w:w="137"/>
        <w:gridCol w:w="109"/>
        <w:gridCol w:w="109"/>
        <w:gridCol w:w="109"/>
        <w:gridCol w:w="326"/>
        <w:gridCol w:w="1325"/>
        <w:gridCol w:w="238"/>
      </w:tblGrid>
      <w:tr>
        <w:trPr/>
        <w:tc>
          <w:tcPr>
            <w:tcW w:w="1646"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payables - EchoStar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216,771 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216,504 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35,424 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40,684 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obligation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17,766 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39,194 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10,631 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Accrual for license fee dispute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10,191 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In-orbit incentive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5,369 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 - DISH Network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49,035 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52,993 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360,526 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393,899 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Accrual for license fee dispute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48,760 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57,292 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In-orbit incentive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44,041 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44,836 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payables - EchoStar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21,270 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23,423 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8,326 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124,328 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133,897 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Supplemental and Non-cash Investing and Financing Activities </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presents the supplemental and non-cash investing and financing activities: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2218"/>
        <w:gridCol w:w="1949"/>
        <w:gridCol w:w="1958"/>
        <w:gridCol w:w="109"/>
        <w:gridCol w:w="109"/>
        <w:gridCol w:w="109"/>
        <w:gridCol w:w="298"/>
        <w:gridCol w:w="1062"/>
        <w:gridCol w:w="153"/>
        <w:gridCol w:w="153"/>
        <w:gridCol w:w="153"/>
        <w:gridCol w:w="153"/>
        <w:gridCol w:w="298"/>
        <w:gridCol w:w="1062"/>
        <w:gridCol w:w="153"/>
        <w:gridCol w:w="109"/>
        <w:gridCol w:w="159"/>
      </w:tblGrid>
      <w:tr>
        <w:trPr/>
        <w:tc>
          <w:tcPr>
            <w:tcW w:w="2218" w:type="dxa"/>
            <w:tcBorders/>
            <w:shd w:fill="auto" w:val="clear"/>
            <w:vAlign w:val="center"/>
          </w:tcPr>
          <w:p>
            <w:pPr>
              <w:pStyle w:val="TableContents"/>
              <w:spacing w:before="0" w:after="283"/>
              <w:rPr>
                <w:sz w:val="4"/>
                <w:szCs w:val="4"/>
              </w:rPr>
            </w:pPr>
            <w:r>
              <w:rPr>
                <w:sz w:val="4"/>
                <w:szCs w:val="4"/>
              </w:rPr>
            </w:r>
          </w:p>
        </w:tc>
        <w:tc>
          <w:tcPr>
            <w:tcW w:w="1949" w:type="dxa"/>
            <w:tcBorders/>
            <w:shd w:fill="auto" w:val="clear"/>
            <w:vAlign w:val="center"/>
          </w:tcPr>
          <w:p>
            <w:pPr>
              <w:pStyle w:val="TableContents"/>
              <w:spacing w:before="0" w:after="283"/>
              <w:rPr>
                <w:sz w:val="4"/>
                <w:szCs w:val="4"/>
              </w:rPr>
            </w:pPr>
            <w:r>
              <w:rPr>
                <w:sz w:val="4"/>
                <w:szCs w:val="4"/>
              </w:rPr>
            </w:r>
          </w:p>
        </w:tc>
        <w:tc>
          <w:tcPr>
            <w:tcW w:w="19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 net of amounts capitalized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49,616 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43,226 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53"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capital expenditures included in accounts payable,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(5,255)</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net assets received as part of the India JV formation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36,701 </w:t>
            </w:r>
          </w:p>
        </w:tc>
        <w:tc>
          <w:tcPr>
            <w:tcW w:w="1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pPr>
      <w:r>
        <w:rPr>
          <w:rFonts w:ascii="Arial;sans-serif" w:hAnsi="Arial;sans-serif"/>
          <w:b/>
          <w:color w:val="000000"/>
          <w:sz w:val="20"/>
        </w:rPr>
        <w:t>NOTE 16.</w:t>
      </w:r>
      <w:r>
        <w:rPr>
          <w:color w:val="000000"/>
        </w:rPr>
        <w:t>    </w:t>
      </w:r>
      <w:r>
        <w:rPr>
          <w:rFonts w:ascii="Arial;sans-serif" w:hAnsi="Arial;sans-serif"/>
          <w:b/>
          <w:color w:val="000000"/>
          <w:sz w:val="20"/>
        </w:rPr>
        <w:t>SUPPLEMENTAL GUARANTOR AND NON-GUARANTOR FINANCIAL INFORMATION</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Certain of our wholly-owned subsidiaries (together, the “Guarantor Subsidiaries”) have fully and unconditionally guaranteed, on a joint and several basis, the obligations of our Notes.  See Note 8. Long-term Debt for further information on our Notes.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lieu of separate financial statements of the Guarantor Subsidiaries, accompanying consolidating financial information prepared in accordance with Rule 3-10(f) of Regulation S-X is presented below, including the accompanying balance sheet information, the accompanying statement of operations and comprehensive income (loss) information and the accompanying statement of cash flows information of HSSC, the Guarantor Subsidiaries on a combined basis and the non-guarantor subsidiaries of HSSC on a combined basis and the eliminations necessary to arrive at the corresponding information of HSSC on a consolidated basis.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indentures governing our Notes contain restrictive covenants that, among other things, impose limitations on our ability and the ability of certain of our subsidiaries to pay dividends or make distributions, incur additional debt, make certain investments, create liens or enter into sale and leaseback transactions, merge or consolidate with another company, transfer and sell assets, enter into transactions with affiliates or allow to exist certain restrictions on the ability to pay dividends, make distributions, make other payments, or transfer assets.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consolidating financial information (amounts in thousands) presented below should be read in conjunction with our Consolidated Financial Statements and notes thereto included herein.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Consolidating Balance Sheet as of March 31, 2023 </w:t>
      </w:r>
    </w:p>
    <w:tbl>
      <w:tblPr>
        <w:tblW w:w="10205" w:type="dxa"/>
        <w:jc w:val="left"/>
        <w:tblInd w:w="0" w:type="dxa"/>
        <w:tblCellMar>
          <w:top w:w="28" w:type="dxa"/>
          <w:left w:w="28" w:type="dxa"/>
          <w:bottom w:w="28" w:type="dxa"/>
          <w:right w:w="28" w:type="dxa"/>
        </w:tblCellMar>
      </w:tblPr>
      <w:tblGrid>
        <w:gridCol w:w="946"/>
        <w:gridCol w:w="414"/>
        <w:gridCol w:w="386"/>
        <w:gridCol w:w="109"/>
        <w:gridCol w:w="109"/>
        <w:gridCol w:w="109"/>
        <w:gridCol w:w="242"/>
        <w:gridCol w:w="1120"/>
        <w:gridCol w:w="125"/>
        <w:gridCol w:w="109"/>
        <w:gridCol w:w="109"/>
        <w:gridCol w:w="109"/>
        <w:gridCol w:w="211"/>
        <w:gridCol w:w="976"/>
        <w:gridCol w:w="109"/>
        <w:gridCol w:w="109"/>
        <w:gridCol w:w="109"/>
        <w:gridCol w:w="109"/>
        <w:gridCol w:w="254"/>
        <w:gridCol w:w="995"/>
        <w:gridCol w:w="132"/>
        <w:gridCol w:w="109"/>
        <w:gridCol w:w="109"/>
        <w:gridCol w:w="109"/>
        <w:gridCol w:w="211"/>
        <w:gridCol w:w="996"/>
        <w:gridCol w:w="109"/>
        <w:gridCol w:w="109"/>
        <w:gridCol w:w="109"/>
        <w:gridCol w:w="109"/>
        <w:gridCol w:w="211"/>
        <w:gridCol w:w="976"/>
        <w:gridCol w:w="157"/>
      </w:tblGrid>
      <w:tr>
        <w:trPr/>
        <w:tc>
          <w:tcPr>
            <w:tcW w:w="94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Hughes Satellite Systems 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Non-Guarantor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737,159 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86,569 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842,174 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613,012 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613,012 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and contract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71,291 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251,866 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1,367,965 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291,762 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(1,371,529)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288,230 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1,350,203 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449,622 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1,995,282 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Non-current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1,116,319 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225,907 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1,342,226 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28,520 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146,845 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28,685 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532,858 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authorizations,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408,949 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3,023 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73,579 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82,971 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subsidiaries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3,353,739 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(3,712,149)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157,239 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281,621 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3,364,227 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2,764,629 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525,902 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(3,844,137)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2,810,621 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4,714,430 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4,331,615 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975,524 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(5,215,666)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4,805,903 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10,653 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83,753 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129,292 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1,129,837 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273,508 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328,710 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(1,371,529)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360,526 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1,129,837 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344,260 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(1,371,529)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573,571 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1,496,981 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1,496,981 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294,082 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295,137 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131,091 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150,129 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124,328 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1,496,981 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175,110 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2,047,537 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2,626,818 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519,370 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(1,503,517)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2,621,108 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Hughes Satellite Systems Corporation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2,087,612 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3,353,178 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358,971 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(3,712,149)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2,087,612 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97,183 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97,183 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2,087,612 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3,353,178 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456,154 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(3,712,149)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2,184,795 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4,714,430 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4,331,615 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975,524 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(5,215,666)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4,805,903 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Consolidating Balance Sheet as of December 31, 2022 </w:t>
      </w:r>
    </w:p>
    <w:tbl>
      <w:tblPr>
        <w:tblW w:w="10205" w:type="dxa"/>
        <w:jc w:val="left"/>
        <w:tblInd w:w="0" w:type="dxa"/>
        <w:tblCellMar>
          <w:top w:w="28" w:type="dxa"/>
          <w:left w:w="28" w:type="dxa"/>
          <w:bottom w:w="28" w:type="dxa"/>
          <w:right w:w="28" w:type="dxa"/>
        </w:tblCellMar>
      </w:tblPr>
      <w:tblGrid>
        <w:gridCol w:w="946"/>
        <w:gridCol w:w="414"/>
        <w:gridCol w:w="386"/>
        <w:gridCol w:w="109"/>
        <w:gridCol w:w="109"/>
        <w:gridCol w:w="109"/>
        <w:gridCol w:w="242"/>
        <w:gridCol w:w="1120"/>
        <w:gridCol w:w="125"/>
        <w:gridCol w:w="109"/>
        <w:gridCol w:w="109"/>
        <w:gridCol w:w="109"/>
        <w:gridCol w:w="211"/>
        <w:gridCol w:w="976"/>
        <w:gridCol w:w="109"/>
        <w:gridCol w:w="109"/>
        <w:gridCol w:w="109"/>
        <w:gridCol w:w="109"/>
        <w:gridCol w:w="254"/>
        <w:gridCol w:w="995"/>
        <w:gridCol w:w="132"/>
        <w:gridCol w:w="109"/>
        <w:gridCol w:w="109"/>
        <w:gridCol w:w="109"/>
        <w:gridCol w:w="211"/>
        <w:gridCol w:w="996"/>
        <w:gridCol w:w="109"/>
        <w:gridCol w:w="109"/>
        <w:gridCol w:w="109"/>
        <w:gridCol w:w="109"/>
        <w:gridCol w:w="211"/>
        <w:gridCol w:w="976"/>
        <w:gridCol w:w="157"/>
      </w:tblGrid>
      <w:tr>
        <w:trPr/>
        <w:tc>
          <w:tcPr>
            <w:tcW w:w="94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7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Hughes Satellite Systems 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Non-Guarantor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547,605 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80,209 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653,132 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799,769 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799,769 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and contract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168,484 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67,852 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236,336 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284,621 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(1,340,303)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275,202 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1,347,445 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432,682 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1,964,439 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Non-current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1,140,294 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235,710 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1,376,004 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29,023 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150,632 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28,318 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532,491 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authorizations,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408,619 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8,920 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74,603 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83,523 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subsidiaries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3,312,961 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(3,671,102)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163,165 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285,877 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3,322,976 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2,798,622 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542,637 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(3,811,391)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2,852,844 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4,670,421 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4,323,237 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975,319 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(5,151,694)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4,817,283 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98,229 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5,846 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121,739 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1,121,740 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296,666 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315,796 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(1,340,303)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393,899 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1,122,217 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334,067 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613,867 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1,496,777 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1,496,777 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288,716 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289,757 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24,070 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135,122 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160,593 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133,897 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1,496,777 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186,114 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2,055,553 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2,618,994 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520,181 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2,669,420 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Hughes Satellite Systems Corporation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2,051,427 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3,312,400 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358,702 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(3,671,102)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2,051,427 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96,436 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96,436 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2,051,427 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3,312,400 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455,138 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(3,671,102)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2,147,863 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4,670,421 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4,323,237 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975,319 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(5,151,694)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4,817,283 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 xml:space="preserve">Consolidating Statement of Operations and Comprehensive Income (Loss) </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For the Three Months Ended March 31, 2023</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1152"/>
        <w:gridCol w:w="642"/>
        <w:gridCol w:w="644"/>
        <w:gridCol w:w="109"/>
        <w:gridCol w:w="109"/>
        <w:gridCol w:w="109"/>
        <w:gridCol w:w="320"/>
        <w:gridCol w:w="1061"/>
        <w:gridCol w:w="180"/>
        <w:gridCol w:w="109"/>
        <w:gridCol w:w="109"/>
        <w:gridCol w:w="109"/>
        <w:gridCol w:w="203"/>
        <w:gridCol w:w="764"/>
        <w:gridCol w:w="114"/>
        <w:gridCol w:w="109"/>
        <w:gridCol w:w="109"/>
        <w:gridCol w:w="109"/>
        <w:gridCol w:w="269"/>
        <w:gridCol w:w="887"/>
        <w:gridCol w:w="150"/>
        <w:gridCol w:w="109"/>
        <w:gridCol w:w="109"/>
        <w:gridCol w:w="109"/>
        <w:gridCol w:w="222"/>
        <w:gridCol w:w="749"/>
        <w:gridCol w:w="125"/>
        <w:gridCol w:w="109"/>
        <w:gridCol w:w="109"/>
        <w:gridCol w:w="109"/>
        <w:gridCol w:w="196"/>
        <w:gridCol w:w="736"/>
        <w:gridCol w:w="156"/>
      </w:tblGrid>
      <w:tr>
        <w:trPr/>
        <w:tc>
          <w:tcPr>
            <w:tcW w:w="1152"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Hughes Satellite Systems 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Guarantor</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Non-Guarantor</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306,897 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76,042 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(7,185)</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375,754 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57,983 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(3,881)</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62,070 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364,880 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84,010 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437,824 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Costs and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 - services and other (exclusive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99,575 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41,629 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(7,165)</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134,039 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 - equipment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49,374 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(3,321)</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51,671 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85,069 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104,099 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69,725 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26,626 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96,351 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311,929 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93,283 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394,416 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52,951 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(9,273)</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16,426 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17,948 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(22,469)</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(2,454)</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(22,527)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Gains (losses) on investments,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earnings (losses) of unconsolidated affiliates,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(1,024)</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earnings (losses) of subsidiaries,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32,354 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(7,143)</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(25,211)</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transaction gains (losses),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26,781 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26,511 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47,830 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(7,796)</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(provision),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(15,476)</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(14,706)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27,849 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32,354 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(8,364)</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HSSC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27,849 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32,354 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(7,143)</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6"/>
              </w:rPr>
            </w:pPr>
            <w:r>
              <w:rPr>
                <w:rFonts w:ascii="Arial;sans-serif" w:hAnsi="Arial;sans-serif"/>
                <w:b/>
                <w:color w:val="000000"/>
                <w:sz w:val="16"/>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27,849 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32,354 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(8,364)</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(25,211)</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26,628 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gains (losses) on available-for-sale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Amounts reclassified to 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other comprehensive income (loss) of subsidiaries,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(14,656)</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(14,656)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35,089 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39,682 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(39,867)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Comprehensive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 attributable to HSSC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35,089 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39,682 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(39,867)</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35,089 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100" w:after="283"/>
        <w:jc w:val="center"/>
        <w:rPr>
          <w:rFonts w:ascii="Arial;sans-serif" w:hAnsi="Arial;sans-serif"/>
          <w:b/>
          <w:color w:val="000000"/>
          <w:sz w:val="18"/>
        </w:rPr>
      </w:pPr>
      <w:r>
        <w:rPr>
          <w:rFonts w:ascii="Arial;sans-serif" w:hAnsi="Arial;sans-serif"/>
          <w:b/>
          <w:color w:val="000000"/>
          <w:sz w:val="18"/>
        </w:rPr>
        <w:t xml:space="preserve">Consolidating Statement of Operations and Comprehensive Income (Loss) </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For the Three Months Ended March 31, 2022</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151"/>
        <w:gridCol w:w="641"/>
        <w:gridCol w:w="643"/>
        <w:gridCol w:w="109"/>
        <w:gridCol w:w="109"/>
        <w:gridCol w:w="109"/>
        <w:gridCol w:w="320"/>
        <w:gridCol w:w="1060"/>
        <w:gridCol w:w="180"/>
        <w:gridCol w:w="109"/>
        <w:gridCol w:w="109"/>
        <w:gridCol w:w="109"/>
        <w:gridCol w:w="203"/>
        <w:gridCol w:w="764"/>
        <w:gridCol w:w="114"/>
        <w:gridCol w:w="109"/>
        <w:gridCol w:w="109"/>
        <w:gridCol w:w="109"/>
        <w:gridCol w:w="264"/>
        <w:gridCol w:w="893"/>
        <w:gridCol w:w="149"/>
        <w:gridCol w:w="109"/>
        <w:gridCol w:w="109"/>
        <w:gridCol w:w="109"/>
        <w:gridCol w:w="196"/>
        <w:gridCol w:w="795"/>
        <w:gridCol w:w="109"/>
        <w:gridCol w:w="109"/>
        <w:gridCol w:w="109"/>
        <w:gridCol w:w="109"/>
        <w:gridCol w:w="196"/>
        <w:gridCol w:w="736"/>
        <w:gridCol w:w="156"/>
      </w:tblGrid>
      <w:tr>
        <w:trPr/>
        <w:tc>
          <w:tcPr>
            <w:tcW w:w="1151"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Hughes Satellite Systems 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Non-Guarantor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344,278 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82,683 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420,941 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82,985 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6,033 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82,717 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427,263 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88,716 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503,658 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Costs and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 - services and other (exclusive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105,621 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41,857 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139,354 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 - equipment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69,418 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3,433 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69,105 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90,634 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21,435 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111,618 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78,306 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35,372 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113,678 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351,515 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102,177 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441,371 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(13,461)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(22,457)</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(3,009)</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(23,378)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Equity in earnings (losses) of subsidiaries,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49,756 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(9,842)</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transaction gains (losses),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5,758 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28,425 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(6,729)</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28,425 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(11,589)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(provision),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(19,263)</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33,301 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HSSC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33,301 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33,301 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49,756 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(12,330)</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30,813 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46,686 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46,686 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Unrealized gains (losses) on available-for-sale securities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Amounts reclassified to 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other comprehensive income (loss) of subsidiaries,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37,130 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37,130 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36,660 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37,130 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46,686 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69,961 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86,886 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34,356 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Comprehensive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(7,068)</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 attributable to HSSC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69,961 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86,886 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27,288 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69,961 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Consolidating Statement of Cash Flows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months ended March 31, 2023 </w:t>
      </w:r>
    </w:p>
    <w:tbl>
      <w:tblPr>
        <w:tblW w:w="10205" w:type="dxa"/>
        <w:jc w:val="left"/>
        <w:tblInd w:w="0" w:type="dxa"/>
        <w:tblCellMar>
          <w:top w:w="28" w:type="dxa"/>
          <w:left w:w="28" w:type="dxa"/>
          <w:bottom w:w="28" w:type="dxa"/>
          <w:right w:w="28" w:type="dxa"/>
        </w:tblCellMar>
      </w:tblPr>
      <w:tblGrid>
        <w:gridCol w:w="1046"/>
        <w:gridCol w:w="722"/>
        <w:gridCol w:w="724"/>
        <w:gridCol w:w="109"/>
        <w:gridCol w:w="109"/>
        <w:gridCol w:w="109"/>
        <w:gridCol w:w="282"/>
        <w:gridCol w:w="1065"/>
        <w:gridCol w:w="159"/>
        <w:gridCol w:w="109"/>
        <w:gridCol w:w="109"/>
        <w:gridCol w:w="109"/>
        <w:gridCol w:w="222"/>
        <w:gridCol w:w="734"/>
        <w:gridCol w:w="125"/>
        <w:gridCol w:w="109"/>
        <w:gridCol w:w="109"/>
        <w:gridCol w:w="109"/>
        <w:gridCol w:w="269"/>
        <w:gridCol w:w="887"/>
        <w:gridCol w:w="150"/>
        <w:gridCol w:w="109"/>
        <w:gridCol w:w="109"/>
        <w:gridCol w:w="109"/>
        <w:gridCol w:w="222"/>
        <w:gridCol w:w="749"/>
        <w:gridCol w:w="125"/>
        <w:gridCol w:w="109"/>
        <w:gridCol w:w="109"/>
        <w:gridCol w:w="109"/>
        <w:gridCol w:w="196"/>
        <w:gridCol w:w="736"/>
        <w:gridCol w:w="157"/>
      </w:tblGrid>
      <w:tr>
        <w:trPr/>
        <w:tc>
          <w:tcPr>
            <w:tcW w:w="1046"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Hughes Satellite Systems 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Non-Guarantor</w:t>
              <w:b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27,849 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32,354 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(8,364)</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(25,211)</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26,628 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(loss) to cash flows provided by (used for)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(62,296)</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37,279 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21,972 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22,166 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for)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(34,447)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69,633 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13,608 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(226,068)</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(226,068)</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maturities of 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420,411 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420,411 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Expenditures for 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(38,051)</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(8,974)</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Expenditures for externally marketed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(6,962)</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(6,962)</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4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(contributions) and advances from (to) subsidiaries,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(29,659)</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4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4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for)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224,002 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(45,013)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(8,974)</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140,356 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4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in-orbit incentive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4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4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 (distributions) and advances (to) from parent,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(29,659)</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for)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(31,493)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189,555 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188,985 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including restricted amounts,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547,605 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25,318 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81,550 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654,473 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including restricted amounts,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737,160 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18,445 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87,853 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843,458 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both"/>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HUGHES SATELLITE SYSTEMS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Consolidating Statement of Cash Flows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months ended March 31, 2022 </w:t>
      </w:r>
    </w:p>
    <w:tbl>
      <w:tblPr>
        <w:tblW w:w="10205" w:type="dxa"/>
        <w:jc w:val="left"/>
        <w:tblInd w:w="0" w:type="dxa"/>
        <w:tblCellMar>
          <w:top w:w="28" w:type="dxa"/>
          <w:left w:w="28" w:type="dxa"/>
          <w:bottom w:w="28" w:type="dxa"/>
          <w:right w:w="28" w:type="dxa"/>
        </w:tblCellMar>
      </w:tblPr>
      <w:tblGrid>
        <w:gridCol w:w="1046"/>
        <w:gridCol w:w="722"/>
        <w:gridCol w:w="724"/>
        <w:gridCol w:w="109"/>
        <w:gridCol w:w="109"/>
        <w:gridCol w:w="109"/>
        <w:gridCol w:w="282"/>
        <w:gridCol w:w="1065"/>
        <w:gridCol w:w="159"/>
        <w:gridCol w:w="109"/>
        <w:gridCol w:w="109"/>
        <w:gridCol w:w="109"/>
        <w:gridCol w:w="222"/>
        <w:gridCol w:w="734"/>
        <w:gridCol w:w="125"/>
        <w:gridCol w:w="109"/>
        <w:gridCol w:w="109"/>
        <w:gridCol w:w="109"/>
        <w:gridCol w:w="264"/>
        <w:gridCol w:w="893"/>
        <w:gridCol w:w="149"/>
        <w:gridCol w:w="109"/>
        <w:gridCol w:w="109"/>
        <w:gridCol w:w="109"/>
        <w:gridCol w:w="222"/>
        <w:gridCol w:w="749"/>
        <w:gridCol w:w="125"/>
        <w:gridCol w:w="109"/>
        <w:gridCol w:w="109"/>
        <w:gridCol w:w="109"/>
        <w:gridCol w:w="196"/>
        <w:gridCol w:w="736"/>
        <w:gridCol w:w="157"/>
      </w:tblGrid>
      <w:tr>
        <w:trPr/>
        <w:tc>
          <w:tcPr>
            <w:tcW w:w="1046"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Hughes Satellite Systems 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Guarantor</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Non-Guarantor</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33,301 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49,756 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(12,330)</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(39,914)</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30,813 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(loss) to cash flows provided by (used for)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(179,357)</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172,734 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41,080 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39,914 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74,371 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for)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(146,056)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222,490 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28,750 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105,184 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marketable 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(76,228)</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(76,228)</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maturities of marketable investment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485,730 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485,730 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Expenditures for 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(46,491)</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(14,530)</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(61,021)</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Expenditures for externally marketed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(5,093)</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(contributions) and advances from (to) subsidiaries,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182,738 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(182,738)</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India JV formation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(7,892)</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(7,892)</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for)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592,240 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(59,476)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(14,530)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(182,738)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335,496 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finance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in-orbit incentive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(1,444)</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 paid to EchoStar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 (distributions) and advances (to) from parent,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(182,738)</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182,738 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for)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(184,182)</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182,738 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(101,529)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3,490 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346,184 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(21,168)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17,625 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342,641 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including restricted amounts, 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324,764 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42,550 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62,834 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430,148 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including restricted amounts,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670,948 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21,382 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80,459 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772,789 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v:rect>
            </w:pict>
          </mc:Fallback>
        </mc:AlternateContent>
      </w:r>
    </w:p>
    <w:p>
      <w:pPr>
        <w:pStyle w:val="TextBody"/>
        <w:spacing w:lineRule="auto" w:line="288" w:before="0" w:after="0"/>
        <w:jc w:val="both"/>
        <w:rPr/>
      </w:pPr>
      <w:hyperlink w:anchor="i62281276287540ef9f7680877d4c0df3_7">
        <w:r>
          <w:rPr>
            <w:rStyle w:val="InternetLink"/>
            <w:rFonts w:ascii="Arial;sans-serif" w:hAnsi="Arial;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pPr>
      <w:r>
        <w:rPr>
          <w:rFonts w:ascii="Arial;sans-serif" w:hAnsi="Arial;sans-serif"/>
          <w:b/>
          <w:color w:val="000000"/>
          <w:sz w:val="20"/>
        </w:rPr>
        <w:t>ITEM 2.</w:t>
      </w:r>
      <w:r>
        <w:rPr>
          <w:color w:val="000000"/>
        </w:rPr>
        <w:t>    </w:t>
      </w:r>
      <w:r>
        <w:rPr>
          <w:rFonts w:ascii="Arial;sans-serif" w:hAnsi="Arial;sans-serif"/>
          <w:b/>
          <w:color w:val="000000"/>
          <w:sz w:val="20"/>
        </w:rPr>
        <w:t>MANAGEMENT’S NARRATIVE ANALYSIS OF RESULTS OF OPERATIONS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Unless the context indicates otherwise, the terms “we,” “us,” “HSSC,” the “Company” and “our” refer to Hughes Satellite Systems Corporation and its subsidiaries. The following Management’s Narrative Analysis of Results of Operations (“Management’s Narrative Analysis”) should be read in conjunction with our accompanying Consolidated Financial Statements and notes thereto (“Consolidated Financial Statements”) in Item 1 of this Quarterly Report on Form 10-Q (“Form 10-Q”).  This Management’s Narrative Analysis is intended to help provide an understanding of our financial condition, changes in our financial condition and our results of operations.  Many of the statements in this Management’s Narrative Analysis are forward-looking statements that involve assumptions and are subject to risks and uncertainties that are often difficult to predict and beyond our control. Actual results could differ materially from those expressed or implied by such forward-looking statements.  Refer to the Disclosure Regarding Forward-Looking Statements in this Form 10-Q for further discussion. For a discussion of additional risks, uncertainties and other factors that could impact our results of operations or financial condition, refer to the Risk Factors in Part II, Item 1A of this Form 10-Q and in Part I, Item 1A of our most recent Annual Report on Form 10-K (“Form 10-K”) filed with the Securities and Exchange Commission (“SEC”).  Further, such forward-looking statements speak only as of the date of this Form 10-Q and we undertake no obligation to update them.</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EXECUTIVE SUMMARY</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Overview</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currently operate in two business segments: our Hughes segment and our EchoStar Satellite Services segment (“ESS segment”). Our operations include various corporate functions that have not been assigned to our business segments. These activities, costs and income, as well as eliminations of intersegment transactions, are accounted for in our Corporate and Other segment in our segment reporting.</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All amounts presented in this Management’s Narrative Analysis are expressed in thousands of U.S. dollars, except share and per share amounts and unless otherwise noted.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Hughes Segment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Hughes segment is an industry leader in both networking technologies and services, innovating to deliver the global solutions that power a connected future for people, enterprises and things everywhere. We offer broadband satellite technologies and broadband internet products and services to consumer customers. We offer broadband network technologies, managed services, equipment, hardware, satellite services and communications solutions to government and enterprise customers.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Hughes segment continues to focus its efforts on optimizing financial returns of our existing satellites while planning for new satellite capacity to be launched, leased or acquired. Our consumer revenue growth depends on our success in adding new and retaining existing subscribers, as well as increasing our Average Revenue Per User/subscriber (“ARPU”). Service and acquisition costs related to ongoing support for our direct and indirect customers and partners are typically impacted most significantly by our growth. The growth of our enterprise and consumer businesses relies heavily on global economic conditions and the competitive landscape for pricing relative to competitors and alternative technologies. In most areas of the U.S. we are nearing or have reached capacity, which has resulted in our consumer subscriber base becoming increasingly limited. Our Latin America consumer subscriber base in certain areas has also become capacity constrained. These constraints are expected to be addressed by the launch of the EchoStar XXIV satellite.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 date, we have not experienced a material adverse impact from the Russia-Ukraine conflict and the associated sanctions.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January 4, 2022, our India JV was formed, which allows us to offer flexible and scalable enterprise networking solutions using satellite connectivity for primary transport, back-up and hybrid implementation in India.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EchoStar XXIV satellite is currently expected to be shipped to the launch site in June and subsequently launched at the first window that Space Exploration Technologies Corp. (“SpaceX”) can allocate to it, which is subject to preemption by certain higher-priority government launches. The EchoStar XXIV satellite is primarily intended to provide additional capacity for our HughesNet service in North, Central and South America as well as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v:rect>
            </w:pict>
          </mc:Fallback>
        </mc:AlternateConten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enterprise broadband services. Following delays of over two years, in November 2022 we negotiated an amendment to our contract with the manufacturer to provide for additional compensation for past delays and a realignment of remedies. Delay in the availability of the EchoStar XXIV satellite could have a material adverse impact on our business operations, future revenues, financial position and prospects, and our planned expansion of satellite broadband services throughout North, South and Central America. Capital expenditures associated with the construction and launch of the EchoStar XXIV satellite are included in our Corporate and Other segment in our segment reporting.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broadband subscribers include customers that subscribe to our HughesNet services in the U.S. and Latin America through retail, wholesale and small/medium enterprise service channels.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approximate number of broadband subscribers:</w:t>
      </w:r>
    </w:p>
    <w:p>
      <w:pPr>
        <w:pStyle w:val="TextBody"/>
        <w:spacing w:before="0" w:after="0"/>
        <w:jc w:val="both"/>
        <w:rPr/>
      </w:pPr>
      <w:r>
        <w:rPr/>
      </w:r>
    </w:p>
    <w:tbl>
      <w:tblPr>
        <w:tblW w:w="5689" w:type="dxa"/>
        <w:jc w:val="left"/>
        <w:tblInd w:w="0" w:type="dxa"/>
        <w:tblCellMar>
          <w:top w:w="28" w:type="dxa"/>
          <w:left w:w="28" w:type="dxa"/>
          <w:bottom w:w="28" w:type="dxa"/>
          <w:right w:w="28" w:type="dxa"/>
        </w:tblCellMar>
      </w:tblPr>
      <w:tblGrid>
        <w:gridCol w:w="934"/>
        <w:gridCol w:w="821"/>
        <w:gridCol w:w="825"/>
        <w:gridCol w:w="109"/>
        <w:gridCol w:w="109"/>
        <w:gridCol w:w="109"/>
        <w:gridCol w:w="510"/>
        <w:gridCol w:w="511"/>
        <w:gridCol w:w="176"/>
        <w:gridCol w:w="109"/>
        <w:gridCol w:w="109"/>
        <w:gridCol w:w="109"/>
        <w:gridCol w:w="510"/>
        <w:gridCol w:w="511"/>
        <w:gridCol w:w="237"/>
      </w:tblGrid>
      <w:tr>
        <w:trPr/>
        <w:tc>
          <w:tcPr>
            <w:tcW w:w="934"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931,000 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287,000 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297,000 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broadband subscribers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1,177,000 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1,228,000 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the approximate number of net subscriber additions:</w:t>
      </w:r>
    </w:p>
    <w:p>
      <w:pPr>
        <w:pStyle w:val="TextBody"/>
        <w:spacing w:before="0" w:after="0"/>
        <w:jc w:val="both"/>
        <w:rPr/>
      </w:pPr>
      <w:r>
        <w:rPr/>
      </w:r>
    </w:p>
    <w:tbl>
      <w:tblPr>
        <w:tblW w:w="7255" w:type="dxa"/>
        <w:jc w:val="left"/>
        <w:tblInd w:w="0" w:type="dxa"/>
        <w:tblCellMar>
          <w:top w:w="28" w:type="dxa"/>
          <w:left w:w="28" w:type="dxa"/>
          <w:bottom w:w="28" w:type="dxa"/>
          <w:right w:w="28" w:type="dxa"/>
        </w:tblCellMar>
      </w:tblPr>
      <w:tblGrid>
        <w:gridCol w:w="972"/>
        <w:gridCol w:w="854"/>
        <w:gridCol w:w="858"/>
        <w:gridCol w:w="109"/>
        <w:gridCol w:w="109"/>
        <w:gridCol w:w="109"/>
        <w:gridCol w:w="495"/>
        <w:gridCol w:w="495"/>
        <w:gridCol w:w="495"/>
        <w:gridCol w:w="290"/>
        <w:gridCol w:w="290"/>
        <w:gridCol w:w="290"/>
        <w:gridCol w:w="552"/>
        <w:gridCol w:w="552"/>
        <w:gridCol w:w="785"/>
      </w:tblGrid>
      <w:tr>
        <w:trPr/>
        <w:tc>
          <w:tcPr>
            <w:tcW w:w="972"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w:t>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(41,000)</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(43,000)</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w:t>
            </w:r>
          </w:p>
        </w:tc>
        <w:tc>
          <w:tcPr>
            <w:tcW w:w="4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(14,000)</w:t>
            </w:r>
          </w:p>
        </w:tc>
        <w:tc>
          <w:tcPr>
            <w:tcW w:w="7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subscriber additions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(51,000)</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(57,000)</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Our ability to gain new customers and retain existing customers in the U.S. is being impacted by our capacity limitations, competitive pressure from satellite-based competitors and other technologies, and increased bandwidth usage on average by our existing customers. For the three months ended March 31, 2023, these factors resulted in lower total subscribers as compared to the three months ended December 31, 2022.</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ability to gain new customers and retain existing customers in Latin America were tempered by our focus on more profitable consumer segments and our allocation of capacity to enterprise opportunities. In addition, capacity constraints in certain areas limit our ability to add new subscribers. For the three months ended March 31, 2023, the decline in net subscribers was primarily due to more selective customer screening as compared to the three months ended December 31, 2022.</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continued to execute our strategy of maximizing financial returns by utilizing capacity for higher economic value enterprise and government applications in Latin America. Continued success of this strategy will further reduce the available capacity for consumer subscribers.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March 31, 2023, our Hughes segment had $1.6 billion of contracted revenue backlog, an increase of 6.7%, as compared to December 31, 2022, primarily due to increases in contracts from our domestic customers. We define Hughes segment contracted revenue backlog as our expected future revenue under enterprise customer contracts that are non-cancelable, including lease revenue.</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v:rect>
            </w:pict>
          </mc:Fallback>
        </mc:AlternateConten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 xml:space="preserve">ESS Segment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 During the first quarter of 2023, we transitioned the EchoStar IX satellite into inclined operations to extend its usable life for our customers. With this inclined mode of operation, we are expecting to extend the life of the spacecraft into 2024.</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March 31, 2023, our ESS segment had $18.2 million of contracted revenue backlog, a decrease of 18.4%, as compared to December 31, 2022, primarily due to the recognition of revenue of existing contracts. We define contracted revenue backlog for our ESS segment as contracted future satellite lease revenue.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Arial;sans-serif" w:hAnsi="Arial;sans-serif"/>
          <w:b/>
          <w:color w:val="000000"/>
          <w:sz w:val="20"/>
        </w:rPr>
      </w:pPr>
      <w:r>
        <w:rPr>
          <w:rFonts w:ascii="Arial;sans-serif" w:hAnsi="Arial;sans-serif"/>
          <w:b/>
          <w:color w:val="000000"/>
          <w:sz w:val="20"/>
        </w:rPr>
        <w:t>Corporate and Other Segment</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Satellite Anomalies and Impairments</w:t>
      </w:r>
    </w:p>
    <w:p>
      <w:pPr>
        <w:pStyle w:val="TextBody"/>
        <w:spacing w:lineRule="auto" w:line="288" w:before="0" w:after="0"/>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satellites may experience anomalies from time to time, some of which may have a significant adverse effect on their remaining useful lives, the commercial operation of the satellites or our operating results or financial position. We are not aware of any anomalies with respect to our owned or leased satellites that have had any such significant adverse effect during the year ended March 31, 2023. There can be no assurance, however, that anomalies will not have a significant adverse effect in the future. In addition, there can be no assurance that we can recover critical transmission capacity in the event one or more of our satellites were to fail.</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Arial;sans-serif" w:hAnsi="Arial;sans-serif"/>
          <w:b/>
          <w:color w:val="000000"/>
          <w:sz w:val="20"/>
        </w:rPr>
        <w:t>Cybersecurity</w:t>
      </w:r>
      <w:r>
        <w:rPr>
          <w:color w:val="000000"/>
        </w:rPr>
        <w:t xml:space="preserve">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not aware of any cyber-incidents with respect to our owned or leased satellites or other networks, equipment or systems that have had a material adverse effect on our business, costs, operations, prospects, results of operation or financial position during the three months ended March 31, 2023 and through May 8, 2023. There can be no assurance, however, that any such incident can be detected or thwarted or will not have such a material adverse effect in the future.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EXPLANATION OF KEY METRICS AND OTHER ITEMS</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Arial;sans-serif" w:hAnsi="Arial;sans-serif"/>
          <w:b/>
          <w:i/>
          <w:color w:val="000000"/>
          <w:sz w:val="20"/>
        </w:rPr>
        <w:t>Services and other revenue</w:t>
      </w:r>
      <w:r>
        <w:rPr>
          <w:rFonts w:ascii="Arial;sans-serif" w:hAnsi="Arial;sans-serif"/>
          <w:b w:val="false"/>
          <w:color w:val="000000"/>
          <w:sz w:val="20"/>
        </w:rPr>
        <w:t xml:space="preserve">.  Services and other revenue primarily includes the sales of consumer and enterprise broadband services, maintenance and other contracted services, revenue associated with satellite and transponder leases and services, satellite uplinking/downlinking, subscriber wholesale service fees for the HughesNet service, professional services and facilities rental revenue.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Equipment revenue</w:t>
      </w:r>
      <w:r>
        <w:rPr>
          <w:rFonts w:ascii="Arial;sans-serif" w:hAnsi="Arial;sans-serif"/>
          <w:b w:val="false"/>
          <w:color w:val="000000"/>
          <w:sz w:val="20"/>
        </w:rPr>
        <w:t xml:space="preserve">.  Equipment revenue primarily includes broadband equipment and networks sold to customers in our consumer and enterprise markets.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Cost of sales - services and other</w:t>
      </w:r>
      <w:r>
        <w:rPr>
          <w:rFonts w:ascii="Arial;sans-serif" w:hAnsi="Arial;sans-serif"/>
          <w:b w:val="false"/>
          <w:color w:val="000000"/>
          <w:sz w:val="20"/>
        </w:rPr>
        <w:t xml:space="preserve">.  Cost of sales - services and other primarily includes the cost of broadband services provided to our consumer and enterprise customers, maintenance and other contracted services, costs associated with satellite and transponder leases and services, professional services and facilities rental.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Cost of sales - equipment</w:t>
      </w:r>
      <w:r>
        <w:rPr>
          <w:rFonts w:ascii="Arial;sans-serif" w:hAnsi="Arial;sans-serif"/>
          <w:b w:val="false"/>
          <w:color w:val="000000"/>
          <w:sz w:val="18"/>
        </w:rPr>
        <w:t xml:space="preserve">. </w:t>
      </w:r>
      <w:r>
        <w:rPr>
          <w:rFonts w:ascii="Arial;sans-serif" w:hAnsi="Arial;sans-serif"/>
          <w:b w:val="false"/>
          <w:color w:val="000000"/>
          <w:sz w:val="20"/>
        </w:rPr>
        <w:t xml:space="preserve">Cost of sales - equipment consists primarily of the cost of broadband equipment and networks provided to customers in our consumer and enterprise markets. It also includes certain other costs associated with the deployment of equipment to our customers. </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Arial;sans-serif" w:hAnsi="Arial;sans-serif"/>
          <w:b/>
          <w:i/>
          <w:color w:val="000000"/>
          <w:sz w:val="20"/>
        </w:rPr>
        <w:t>Selling, general and administrative expenses</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Selling, general and administrative expenses primarily include selling and marketing costs and employee-related costs associated with administrative services (e.g., information systems, human resources and other services), including bad debt expense and stock-based compensation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v:rect>
            </w:pict>
          </mc:Fallback>
        </mc:AlternateConten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expense.  It also includes professional fees (e.g. legal, information systems and accounting services) and other expenses associated with facilities and administrative services. </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Arial;sans-serif" w:hAnsi="Arial;sans-serif"/>
          <w:b/>
          <w:i/>
          <w:color w:val="000000"/>
          <w:sz w:val="20"/>
        </w:rPr>
        <w:t>Research and development expenses</w:t>
      </w:r>
      <w:r>
        <w:rPr>
          <w:rFonts w:ascii="Arial;sans-serif" w:hAnsi="Arial;sans-serif"/>
          <w:b w:val="false"/>
          <w:color w:val="000000"/>
          <w:sz w:val="20"/>
        </w:rPr>
        <w:t xml:space="preserve">.  Research and development expenses primarily include costs associated with the design and development of products to support future growth and provide new technology and innovation to our customers.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Impairment of long-lived assets</w:t>
      </w:r>
      <w:r>
        <w:rPr>
          <w:rFonts w:ascii="Arial;sans-serif" w:hAnsi="Arial;sans-serif"/>
          <w:b w:val="false"/>
          <w:color w:val="000000"/>
          <w:sz w:val="20"/>
        </w:rPr>
        <w:t>. Impairment of long-lived assets includes our impairment losses related to our property and equipment, goodwill, regulatory authorizations and other intangible assets.</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Interest income, net</w:t>
      </w:r>
      <w:r>
        <w:rPr>
          <w:rFonts w:ascii="Arial;sans-serif" w:hAnsi="Arial;sans-serif"/>
          <w:b w:val="false"/>
          <w:color w:val="000000"/>
          <w:sz w:val="20"/>
        </w:rPr>
        <w:t xml:space="preserve">.  Interest income, net primarily includes interest earned on our cash, cash equivalents and marketable investment securities, and other investments including premium amortization, discount accretion on debt securities and changes in allowance for estimated credit losses on investments.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Interest expense, net of amounts capitalized</w:t>
      </w:r>
      <w:r>
        <w:rPr>
          <w:rFonts w:ascii="Arial;sans-serif" w:hAnsi="Arial;sans-serif"/>
          <w:b w:val="false"/>
          <w:color w:val="000000"/>
          <w:sz w:val="20"/>
        </w:rPr>
        <w:t xml:space="preserve">. Interest expense, net of amounts capitalized primarily includes interest expense associated with our debt and finance lease obligations (net of capitalized interest), amortization of debt issuance costs and interest expense related to certain legal proceedings.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Gains (losses) on investments, net</w:t>
      </w:r>
      <w:r>
        <w:rPr>
          <w:rFonts w:ascii="Arial;sans-serif" w:hAnsi="Arial;sans-serif"/>
          <w:b w:val="false"/>
          <w:color w:val="000000"/>
          <w:sz w:val="20"/>
        </w:rPr>
        <w:t>.  Gains (losses) on investments, net primarily includes changes in fair value of our marketable equity 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equity securities and debt securities without readily determinable fair value and adjustments to the carrying amount of investments in unconsolidated affiliates and marketable equity securities resulting from impairments and observable price changes.</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Equity in earnings (losses) of unconsolidated affiliates, net</w:t>
      </w:r>
      <w:r>
        <w:rPr>
          <w:rFonts w:ascii="Arial;sans-serif" w:hAnsi="Arial;sans-serif"/>
          <w:b w:val="false"/>
          <w:color w:val="000000"/>
          <w:sz w:val="20"/>
        </w:rPr>
        <w:t>. Equity in earnings (losses) of unconsolidated affiliates, net includes earnings or losses from our investments accounted for using the equity method.</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Foreign currency transaction gains (losses), net</w:t>
      </w:r>
      <w:r>
        <w:rPr>
          <w:rFonts w:ascii="Arial;sans-serif" w:hAnsi="Arial;sans-serif"/>
          <w:b w:val="false"/>
          <w:color w:val="000000"/>
          <w:sz w:val="20"/>
        </w:rPr>
        <w:t xml:space="preserve">. Foreign currency transaction gains (losses), net include gains and losses resulting from the re-measurement of transactions denominated in foreign currencies.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Other, net</w:t>
      </w:r>
      <w:r>
        <w:rPr>
          <w:rFonts w:ascii="Arial;sans-serif" w:hAnsi="Arial;sans-serif"/>
          <w:b w:val="false"/>
          <w:color w:val="000000"/>
          <w:sz w:val="20"/>
        </w:rPr>
        <w:t>.  Other, net primarily includes dividends received from our marketable investment securities and other non-operating income and expense items that are not appropriately classified elsewhere in the Consolidated Statements of Operations in our Consolidated Financial Statements.</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Earnings before interest, taxes, depreciation and amortization (“EBITDA”)</w:t>
      </w:r>
      <w:r>
        <w:rPr>
          <w:rFonts w:ascii="Arial;sans-serif" w:hAnsi="Arial;sans-serif"/>
          <w:b w:val="false"/>
          <w:color w:val="000000"/>
          <w:sz w:val="20"/>
        </w:rPr>
        <w:t>. EBITDA is defined as Net income (loss) excluding Interest income and expense, net, Income tax benefit (provision), net, Depreciation and amortization, and Net income (loss) attributable to non-controlling interests.  EBITDA is not a measure determined in accordance with U.S. generally accepted accounting principles (“GAAP”). This non-GAAP measure is reconciled to Net income (loss) in our discussion of Results of Operations section below. EBITDA should not be considered in isolation or as a substitute for operating income, net income or any other measure determined in accordance with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 xml:space="preserve">Subscribers. </w:t>
      </w:r>
      <w:r>
        <w:rPr>
          <w:rFonts w:ascii="Arial;sans-serif" w:hAnsi="Arial;sans-serif"/>
          <w:b w:val="false"/>
          <w:color w:val="000000"/>
          <w:sz w:val="20"/>
        </w:rPr>
        <w:t>Subscribers include customers that subscribe to our HughesNet service, through retail, wholesale and small/medium enterprise service channels.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v:rect>
            </w:pict>
          </mc:Fallback>
        </mc:AlternateConten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RESULTS OF OPERATIONS</w:t>
      </w:r>
    </w:p>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 xml:space="preserve">Three Months Ended March 31, 2023 Compared to the Three Months Ended March 31, 2022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consolidated results of operations for the three months ended March 31, 2023 compared to the three months ended March 31, 2022:</w:t>
      </w:r>
    </w:p>
    <w:tbl>
      <w:tblPr>
        <w:tblW w:w="10205" w:type="dxa"/>
        <w:jc w:val="left"/>
        <w:tblInd w:w="0" w:type="dxa"/>
        <w:tblCellMar>
          <w:top w:w="28" w:type="dxa"/>
          <w:left w:w="28" w:type="dxa"/>
          <w:bottom w:w="28" w:type="dxa"/>
          <w:right w:w="28" w:type="dxa"/>
        </w:tblCellMar>
      </w:tblPr>
      <w:tblGrid>
        <w:gridCol w:w="1456"/>
        <w:gridCol w:w="1278"/>
        <w:gridCol w:w="1281"/>
        <w:gridCol w:w="109"/>
        <w:gridCol w:w="109"/>
        <w:gridCol w:w="109"/>
        <w:gridCol w:w="236"/>
        <w:gridCol w:w="927"/>
        <w:gridCol w:w="304"/>
        <w:gridCol w:w="122"/>
        <w:gridCol w:w="122"/>
        <w:gridCol w:w="122"/>
        <w:gridCol w:w="236"/>
        <w:gridCol w:w="927"/>
        <w:gridCol w:w="304"/>
        <w:gridCol w:w="109"/>
        <w:gridCol w:w="109"/>
        <w:gridCol w:w="109"/>
        <w:gridCol w:w="211"/>
        <w:gridCol w:w="767"/>
        <w:gridCol w:w="109"/>
        <w:gridCol w:w="109"/>
        <w:gridCol w:w="109"/>
        <w:gridCol w:w="109"/>
        <w:gridCol w:w="329"/>
        <w:gridCol w:w="331"/>
        <w:gridCol w:w="162"/>
      </w:tblGrid>
      <w:tr>
        <w:trPr/>
        <w:tc>
          <w:tcPr>
            <w:tcW w:w="1456"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Variance</w:t>
            </w:r>
          </w:p>
        </w:tc>
      </w:tr>
      <w:tr>
        <w:trPr/>
        <w:tc>
          <w:tcPr>
            <w:tcW w:w="40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 xml:space="preserve">Statements of Operations Data </w:t>
            </w:r>
            <w:r>
              <w:rPr>
                <w:rFonts w:ascii="Arial;sans-serif" w:hAnsi="Arial;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40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 and other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375,754 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420,941 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62,070 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82,717 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437,824 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503,658 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 - services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134,039 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139,354 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 of total services and other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35.7</w:t>
            </w:r>
            <w:r>
              <w:rPr>
                <w:color w:val="000000"/>
              </w:rPr>
              <w:t> </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33.1</w:t>
            </w:r>
            <w:r>
              <w:rPr>
                <w:color w:val="000000"/>
              </w:rPr>
              <w:t> </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 -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51,671 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69,105 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 of total equipment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83.2</w:t>
            </w:r>
            <w:r>
              <w:rPr>
                <w:color w:val="000000"/>
              </w:rPr>
              <w:t> </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83.5</w:t>
            </w:r>
            <w:r>
              <w:rPr>
                <w:color w:val="000000"/>
              </w:rPr>
              <w:t> </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104,099 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111,618 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 of 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23.8</w:t>
            </w:r>
            <w:r>
              <w:rPr>
                <w:color w:val="000000"/>
              </w:rPr>
              <w:t> </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22.2</w:t>
            </w:r>
            <w:r>
              <w:rPr>
                <w:color w:val="000000"/>
              </w:rPr>
              <w:t> </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8,256 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7,616 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 of 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1.9</w:t>
            </w:r>
            <w:r>
              <w:rPr>
                <w:color w:val="000000"/>
              </w:rPr>
              <w:t> </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8"/>
              </w:rPr>
              <w:t>1.5</w:t>
            </w:r>
            <w:r>
              <w:rPr>
                <w:color w:val="000000"/>
              </w:rPr>
              <w:t> </w:t>
            </w:r>
          </w:p>
        </w:tc>
        <w:tc>
          <w:tcPr>
            <w:tcW w:w="3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96,351 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113,678 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7"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4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2" w:type="dxa"/>
            <w:gridSpan w:val="3"/>
            <w:tcBorders/>
            <w:shd w:fill="auto" w:val="clear"/>
            <w:vAlign w:val="center"/>
          </w:tcPr>
          <w:p>
            <w:pPr>
              <w:pStyle w:val="TableContents"/>
              <w:spacing w:before="0" w:after="283"/>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394,416 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441,371 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43,408 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62,287 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Other income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17,948 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2,280 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(22,527)</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(23,378)</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investments,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of unconsolidated affiliates,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transaction gains (losses),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3,030 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6,655 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(16,346)</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41,334 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45,941 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 benefit (provision),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(14,706)</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(15,128)</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26,628 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30,813 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HSSC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27,849 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33,301 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Other data: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EBITDA</w:t>
            </w:r>
            <w:r>
              <w:rPr>
                <w:color w:val="000000"/>
              </w:rPr>
              <w:t xml:space="preserve">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143,485 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183,205 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Subscribers,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1,177,000 </w:t>
            </w:r>
          </w:p>
        </w:tc>
        <w:tc>
          <w:tcPr>
            <w:tcW w:w="3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1,406,000 </w:t>
            </w:r>
          </w:p>
        </w:tc>
        <w:tc>
          <w:tcPr>
            <w:tcW w:w="3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(229,000)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both"/>
        <w:rPr>
          <w:rFonts w:ascii="Arial;sans-serif" w:hAnsi="Arial;sans-serif"/>
          <w:b w:val="false"/>
          <w:color w:val="000000"/>
          <w:sz w:val="16"/>
        </w:rPr>
      </w:pPr>
      <w:r>
        <w:rPr>
          <w:rFonts w:ascii="Arial;sans-serif" w:hAnsi="Arial;sans-serif"/>
          <w:b w:val="false"/>
          <w:color w:val="000000"/>
          <w:sz w:val="16"/>
        </w:rPr>
        <w:t>*    Percentage is not meaningful.</w:t>
      </w:r>
    </w:p>
    <w:p>
      <w:pPr>
        <w:pStyle w:val="TextBody"/>
        <w:spacing w:lineRule="auto" w:line="288" w:before="0" w:after="0"/>
        <w:jc w:val="both"/>
        <w:rPr>
          <w:rFonts w:ascii="Arial;sans-serif" w:hAnsi="Arial;sans-serif"/>
          <w:b w:val="false"/>
          <w:color w:val="000000"/>
          <w:sz w:val="16"/>
        </w:rPr>
      </w:pPr>
      <w:r>
        <w:rPr>
          <w:rFonts w:ascii="Arial;sans-serif" w:hAnsi="Arial;sans-serif"/>
          <w:b w:val="false"/>
          <w:color w:val="000000"/>
          <w:sz w:val="16"/>
        </w:rPr>
        <w:t>(1)    An explanation of our key metrics is included in Explanation of Key Metrics and Other Items.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(2)    A reconciliation of EBITDA to Net income (loss), the most directly comparable GAAP measure in our Consolidated Financial Statements, is included in Results of Operations.  For further information on our use of EBITDA, see Explanation of Key Metrics and Other Items.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v:rect>
            </w:pict>
          </mc:Fallback>
        </mc:AlternateConten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discussion relates to our results of operations for the three months ended March 31, 2023 compared to the three months ended March 31, 2022:</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Services and other revenue</w:t>
      </w:r>
      <w:r>
        <w:rPr>
          <w:rFonts w:ascii="Arial;sans-serif" w:hAnsi="Arial;sans-serif"/>
          <w:b w:val="false"/>
          <w:color w:val="000000"/>
          <w:sz w:val="20"/>
        </w:rPr>
        <w:t xml:space="preserve">.  Services and other revenue totaled $375.8 million for the three months ended March 31, 2023, a decrease of $45.2 million, or 10.7%, as compared to 2022. The decrease was primarily attributable to our Hughes segment related to lower sales of broadband services to our consumer customers of $41.0 million, and lower sales of broadband services to our enterprise customers of $2.2 million, partially offset by increased sales of broadband services to our mobile satellite system and other customers of $1.0 million. Our ESS segment increased by $1.5 million. These variances reflect an estimated negative impact of exchange rate fluctuations of $1.7 million, primarily attributable to our enterprise customers. </w:t>
      </w:r>
    </w:p>
    <w:p>
      <w:pPr>
        <w:pStyle w:val="TextBody"/>
        <w:spacing w:before="0" w:after="0"/>
        <w:jc w:val="both"/>
        <w:rPr/>
      </w:pPr>
      <w:r>
        <w:rPr/>
      </w:r>
    </w:p>
    <w:p>
      <w:pPr>
        <w:pStyle w:val="TextBody"/>
        <w:spacing w:lineRule="auto" w:line="268" w:before="0" w:after="0"/>
        <w:jc w:val="both"/>
        <w:rPr/>
      </w:pPr>
      <w:r>
        <w:rPr>
          <w:rFonts w:ascii="Arial;sans-serif" w:hAnsi="Arial;sans-serif"/>
          <w:b/>
          <w:i/>
          <w:color w:val="000000"/>
          <w:sz w:val="20"/>
        </w:rPr>
        <w:t xml:space="preserve">Equipment revenue. </w:t>
      </w:r>
      <w:r>
        <w:rPr>
          <w:rFonts w:ascii="Arial;sans-serif" w:hAnsi="Arial;sans-serif"/>
          <w:b w:val="false"/>
          <w:color w:val="000000"/>
          <w:sz w:val="20"/>
        </w:rPr>
        <w:t xml:space="preserve">Equipment revenue totaled $62.1 million for the three months ended March 31, 2023, a decrease of $20.6 million, or 25.0%, as compared to 2022. The decrease was primarily attributable to: i) decreases in hardware sales to our enterprise customers of $19.1 million mainly associated with a certain customer in North America and to international customers, and ii) decreases in hardware sales of $2.2 million to our consumer customers. These decreases were partially offset by increases on our hardware sales to our mobile satellite system customers of $0.6 million.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Cost of sales - services and other</w:t>
      </w:r>
      <w:r>
        <w:rPr>
          <w:rFonts w:ascii="Arial;sans-serif" w:hAnsi="Arial;sans-serif"/>
          <w:b w:val="false"/>
          <w:color w:val="000000"/>
          <w:sz w:val="20"/>
        </w:rPr>
        <w:t xml:space="preserve">.  Cost of sales - services and other totaled $134.0 million for the three months ended March 31, 2023, a decrease of $5.3 million, or 3.8%, as compared to 2022.  The increase was primarily attributable to lower sales of broadband services and corresponding decreases in cost of services provided to our consumer and enterprise customers of $4.8 million, mainly related to service delivery expenses, such as field services and customer care.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Cost of sales - equipment. </w:t>
      </w:r>
      <w:r>
        <w:rPr>
          <w:color w:val="000000"/>
        </w:rPr>
        <w:t xml:space="preserve"> </w:t>
      </w:r>
      <w:r>
        <w:rPr>
          <w:rFonts w:ascii="Arial;sans-serif" w:hAnsi="Arial;sans-serif"/>
          <w:b w:val="false"/>
          <w:color w:val="000000"/>
          <w:sz w:val="20"/>
        </w:rPr>
        <w:t>Cost of sales - equipment totaled $51.7 million for the three months ended March 31, 2023, a decrease of $17.4 million, or 25.2%, as compared to 2022.  The increase was primarily attributable to the corresponding decrease in equipment revenue.</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Arial;sans-serif" w:hAnsi="Arial;sans-serif"/>
          <w:b/>
          <w:i/>
          <w:color w:val="000000"/>
          <w:sz w:val="20"/>
        </w:rPr>
        <w:t>Selling, general and administrative expenses</w:t>
      </w:r>
      <w:r>
        <w:rPr>
          <w:rFonts w:ascii="Arial;sans-serif" w:hAnsi="Arial;sans-serif"/>
          <w:b w:val="false"/>
          <w:color w:val="000000"/>
          <w:sz w:val="20"/>
        </w:rPr>
        <w:t xml:space="preserve">.  Selling, general and administrative expenses totaled $104.1 million for the three months ended March 31, 2023, a decrease of $7.5 million, or 6.7%, as compared to 2022. The decrease was primarily attributable to decreases in sales and marketing expenses of $9.8 million offset by increases in bad debt expense of $1.1 million. </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Depreciation and amortization.</w:t>
      </w:r>
      <w:r>
        <w:rPr>
          <w:color w:val="000000"/>
        </w:rPr>
        <w:t xml:space="preserve">  </w:t>
      </w:r>
      <w:r>
        <w:rPr>
          <w:rFonts w:ascii="Arial;sans-serif" w:hAnsi="Arial;sans-serif"/>
          <w:b w:val="false"/>
          <w:color w:val="000000"/>
          <w:sz w:val="20"/>
        </w:rPr>
        <w:t>Depreciation and amortization expenses totaled $96.4 million for the three months ended March 31, 2023, a decrease of $17.3 million, or 15.2%, as compared to 2022.  The decrease was primarily attributable to: i) decreases in other property and equipment depreciation expense of $14.6 million, ii) decreases in amortization of our capitalized software of $1.6 million, and iii) decreases in our satellite depreciation of $1.0 million.</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Interest income, net</w:t>
      </w:r>
      <w:r>
        <w:rPr>
          <w:rFonts w:ascii="Arial;sans-serif" w:hAnsi="Arial;sans-serif"/>
          <w:b w:val="false"/>
          <w:color w:val="000000"/>
          <w:sz w:val="20"/>
        </w:rPr>
        <w:t>.  Interest income, net totaled $17.9 million for the three months ended March 31, 2023, an increase of $15.7 million, as compared to 2022, primarily attributable to increases in the yield on our marketable investment securities.</w:t>
      </w:r>
    </w:p>
    <w:p>
      <w:pPr>
        <w:pStyle w:val="TextBody"/>
        <w:spacing w:before="0" w:after="0"/>
        <w:jc w:val="both"/>
        <w:rPr/>
      </w:pPr>
      <w:r>
        <w:rPr/>
      </w:r>
    </w:p>
    <w:p>
      <w:pPr>
        <w:pStyle w:val="TextBody"/>
        <w:spacing w:lineRule="auto" w:line="288" w:before="0" w:after="0"/>
        <w:jc w:val="both"/>
        <w:rPr/>
      </w:pPr>
      <w:r>
        <w:rPr>
          <w:rFonts w:ascii="Arial;sans-serif" w:hAnsi="Arial;sans-serif"/>
          <w:b/>
          <w:i/>
          <w:color w:val="000000"/>
          <w:sz w:val="20"/>
        </w:rPr>
        <w:t>Interest expense, net of amounts capitalized</w:t>
      </w:r>
      <w:r>
        <w:rPr>
          <w:rFonts w:ascii="Arial;sans-serif" w:hAnsi="Arial;sans-serif"/>
          <w:b w:val="false"/>
          <w:color w:val="000000"/>
          <w:sz w:val="20"/>
        </w:rPr>
        <w:t>. Interest expense, net of amounts capitalized, totaled $22.5 million for the three months ended March 31, 2023, a decrease of $0.9 million, or 3.6%, as compared to 2022. The decrease was primarily attributable to an increase of $0.6 million in capitalized interest relating to the construction of our satellite-related ground infrastructure.</w:t>
      </w:r>
    </w:p>
    <w:p>
      <w:pPr>
        <w:pStyle w:val="TextBody"/>
        <w:spacing w:before="0" w:after="0"/>
        <w:jc w:val="both"/>
        <w:rPr/>
      </w:pPr>
      <w:r>
        <w:rPr/>
      </w:r>
    </w:p>
    <w:p>
      <w:pPr>
        <w:pStyle w:val="TextBody"/>
        <w:spacing w:lineRule="auto" w:line="268" w:before="0" w:after="0"/>
        <w:jc w:val="both"/>
        <w:rPr/>
      </w:pPr>
      <w:r>
        <w:rPr>
          <w:rFonts w:ascii="Arial;sans-serif" w:hAnsi="Arial;sans-serif"/>
          <w:b/>
          <w:i/>
          <w:color w:val="000000"/>
          <w:sz w:val="20"/>
        </w:rPr>
        <w:t xml:space="preserve">Foreign currency transaction gains (losses), net. </w:t>
      </w:r>
      <w:r>
        <w:rPr>
          <w:rFonts w:ascii="Arial;sans-serif" w:hAnsi="Arial;sans-serif"/>
          <w:b w:val="false"/>
          <w:color w:val="000000"/>
          <w:sz w:val="20"/>
        </w:rPr>
        <w:t>Foreign currency transaction gains (losses), net</w:t>
      </w:r>
      <w:r>
        <w:rPr>
          <w:color w:val="000000"/>
        </w:rPr>
        <w:t xml:space="preserve"> </w:t>
      </w:r>
      <w:r>
        <w:rPr>
          <w:rFonts w:ascii="Arial;sans-serif" w:hAnsi="Arial;sans-serif"/>
          <w:b w:val="false"/>
          <w:color w:val="000000"/>
          <w:sz w:val="20"/>
        </w:rPr>
        <w:t>totaled $3.0 million in gains for the three months ended March 31, 2023, as compared to $6.7 million in losses for the three months ended March 31, 2022, a positive change of $3.6 million. The change was due to the net impact of foreign exchange rate fluctuations of certain foreign currencies during the period, primarily related to the Mexican, Chilean and Colombian Pesos.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v:rect>
            </w:pict>
          </mc:Fallback>
        </mc:AlternateContent>
      </w:r>
    </w:p>
    <w:p>
      <w:pPr>
        <w:pStyle w:val="TextBody"/>
        <w:spacing w:before="0" w:after="0"/>
        <w:jc w:val="both"/>
        <w:rPr/>
      </w:pPr>
      <w:r>
        <w:rPr/>
      </w:r>
    </w:p>
    <w:p>
      <w:pPr>
        <w:pStyle w:val="TextBody"/>
        <w:spacing w:before="0" w:after="0"/>
        <w:jc w:val="both"/>
        <w:rPr/>
      </w:pPr>
      <w:r>
        <w:rPr/>
      </w:r>
    </w:p>
    <w:p>
      <w:pPr>
        <w:pStyle w:val="TextBody"/>
        <w:spacing w:lineRule="auto" w:line="276" w:before="0" w:after="0"/>
        <w:jc w:val="both"/>
        <w:rPr/>
      </w:pPr>
      <w:r>
        <w:rPr>
          <w:rFonts w:ascii="Arial;sans-serif" w:hAnsi="Arial;sans-serif"/>
          <w:b/>
          <w:i/>
          <w:color w:val="000000"/>
          <w:sz w:val="20"/>
        </w:rPr>
        <w:t>Income tax benefit (provision), net</w:t>
      </w:r>
      <w:r>
        <w:rPr>
          <w:rFonts w:ascii="Arial;sans-serif" w:hAnsi="Arial;sans-serif"/>
          <w:b w:val="false"/>
          <w:color w:val="000000"/>
          <w:sz w:val="20"/>
        </w:rPr>
        <w:t>.  Income tax benefit (provision), net was $(14.7) million for the three months ended March 31, 2023, as compared to $(15.1) million for the three months ended March 31, 2022. Our effective income tax rate was 35.6% and 32.9% for the three months ended March 31, 2023 and 2022, respectively.  The variations in our effective tax rate from the U.S. federal statutory rate for the three months ended March 31, 2023 were primarily due to excluded foreign losses where the Company carries a full valuation allowance and a reserve recorded for an uncertain tax benefit. The variations in our effective tax rate from the U.S. federal statutory rate for the three months ended March 31, 2022 were primarily due to excluded foreign losses where the Company carries a full valuation allowance and the impact of state and local taxes.</w:t>
      </w:r>
    </w:p>
    <w:p>
      <w:pPr>
        <w:pStyle w:val="TextBody"/>
        <w:spacing w:before="0" w:after="0"/>
        <w:jc w:val="both"/>
        <w:rPr/>
      </w:pPr>
      <w:r>
        <w:rPr/>
      </w:r>
    </w:p>
    <w:p>
      <w:pPr>
        <w:pStyle w:val="TextBody"/>
        <w:spacing w:lineRule="auto" w:line="276" w:before="0" w:after="0"/>
        <w:jc w:val="both"/>
        <w:rPr/>
      </w:pPr>
      <w:r>
        <w:rPr>
          <w:rFonts w:ascii="Arial;sans-serif" w:hAnsi="Arial;sans-serif"/>
          <w:b/>
          <w:i/>
          <w:color w:val="000000"/>
          <w:sz w:val="20"/>
        </w:rPr>
        <w:t>Net income (loss) attributable to HSSC.</w:t>
      </w:r>
      <w:r>
        <w:rPr>
          <w:color w:val="000000"/>
        </w:rPr>
        <w:t> </w:t>
      </w:r>
      <w:r>
        <w:rPr>
          <w:rFonts w:ascii="Arial;sans-serif" w:hAnsi="Arial;sans-serif"/>
          <w:b w:val="false"/>
          <w:color w:val="000000"/>
          <w:sz w:val="20"/>
        </w:rPr>
        <w:t xml:space="preserve">The following table reconciles the change in Net income (loss) attributable to HSSC: </w:t>
      </w:r>
    </w:p>
    <w:tbl>
      <w:tblPr>
        <w:tblW w:w="9078" w:type="dxa"/>
        <w:jc w:val="left"/>
        <w:tblInd w:w="0" w:type="dxa"/>
        <w:tblCellMar>
          <w:top w:w="28" w:type="dxa"/>
          <w:left w:w="28" w:type="dxa"/>
          <w:bottom w:w="28" w:type="dxa"/>
          <w:right w:w="28" w:type="dxa"/>
        </w:tblCellMar>
      </w:tblPr>
      <w:tblGrid>
        <w:gridCol w:w="2761"/>
        <w:gridCol w:w="2432"/>
        <w:gridCol w:w="2442"/>
        <w:gridCol w:w="109"/>
        <w:gridCol w:w="109"/>
        <w:gridCol w:w="109"/>
        <w:gridCol w:w="211"/>
        <w:gridCol w:w="751"/>
        <w:gridCol w:w="154"/>
      </w:tblGrid>
      <w:tr>
        <w:trPr/>
        <w:tc>
          <w:tcPr>
            <w:tcW w:w="2761" w:type="dxa"/>
            <w:tcBorders/>
            <w:shd w:fill="auto" w:val="clear"/>
            <w:vAlign w:val="center"/>
          </w:tcPr>
          <w:p>
            <w:pPr>
              <w:pStyle w:val="TableContents"/>
              <w:spacing w:before="0" w:after="283"/>
              <w:rPr>
                <w:sz w:val="4"/>
                <w:szCs w:val="4"/>
              </w:rPr>
            </w:pPr>
            <w:r>
              <w:rPr>
                <w:sz w:val="4"/>
                <w:szCs w:val="4"/>
              </w:rPr>
            </w:r>
          </w:p>
        </w:tc>
        <w:tc>
          <w:tcPr>
            <w:tcW w:w="2432" w:type="dxa"/>
            <w:tcBorders/>
            <w:shd w:fill="auto" w:val="clear"/>
            <w:vAlign w:val="center"/>
          </w:tcPr>
          <w:p>
            <w:pPr>
              <w:pStyle w:val="TableContents"/>
              <w:spacing w:before="0" w:after="283"/>
              <w:rPr>
                <w:sz w:val="4"/>
                <w:szCs w:val="4"/>
              </w:rPr>
            </w:pPr>
            <w:r>
              <w:rPr>
                <w:sz w:val="4"/>
                <w:szCs w:val="4"/>
              </w:rPr>
            </w:r>
          </w:p>
        </w:tc>
        <w:tc>
          <w:tcPr>
            <w:tcW w:w="2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Amounts</w:t>
            </w:r>
          </w:p>
        </w:tc>
      </w:tr>
      <w:tr>
        <w:trPr/>
        <w:tc>
          <w:tcPr>
            <w:tcW w:w="7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HSSC for the 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interest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income tax benefit (provision),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operating income (loss), including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(18,879)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HSSC for the 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both"/>
        <w:rPr/>
      </w:pPr>
      <w:r>
        <w:rPr/>
      </w:r>
    </w:p>
    <w:p>
      <w:pPr>
        <w:pStyle w:val="TextBody"/>
        <w:spacing w:lineRule="auto" w:line="288" w:before="0" w:after="0"/>
        <w:jc w:val="both"/>
        <w:rPr/>
      </w:pPr>
      <w:r>
        <w:rPr>
          <w:rFonts w:ascii="Arial;sans-serif" w:hAnsi="Arial;sans-serif"/>
          <w:b/>
          <w:color w:val="000000"/>
          <w:sz w:val="20"/>
        </w:rPr>
        <w:t>EBITDA.</w:t>
      </w:r>
      <w:r>
        <w:rPr>
          <w:color w:val="000000"/>
        </w:rPr>
        <w:t xml:space="preserve">  </w:t>
      </w:r>
      <w:r>
        <w:rPr>
          <w:rFonts w:ascii="Arial;sans-serif" w:hAnsi="Arial;sans-serif"/>
          <w:b w:val="false"/>
          <w:color w:val="000000"/>
          <w:sz w:val="20"/>
        </w:rPr>
        <w:t xml:space="preserve">EBITDA is a non-GAAP financial measure and is described under Explanation of Key Metrics and Other Items section.  The following table reconciles EBITDA to Net income (loss), the most directly comparable GAAP measure in our Consolidated Financial Statements: </w:t>
      </w:r>
    </w:p>
    <w:tbl>
      <w:tblPr>
        <w:tblW w:w="10205" w:type="dxa"/>
        <w:jc w:val="left"/>
        <w:tblInd w:w="0" w:type="dxa"/>
        <w:tblCellMar>
          <w:top w:w="28" w:type="dxa"/>
          <w:left w:w="28" w:type="dxa"/>
          <w:bottom w:w="28" w:type="dxa"/>
          <w:right w:w="28" w:type="dxa"/>
        </w:tblCellMar>
      </w:tblPr>
      <w:tblGrid>
        <w:gridCol w:w="1561"/>
        <w:gridCol w:w="1217"/>
        <w:gridCol w:w="1222"/>
        <w:gridCol w:w="109"/>
        <w:gridCol w:w="109"/>
        <w:gridCol w:w="109"/>
        <w:gridCol w:w="265"/>
        <w:gridCol w:w="1077"/>
        <w:gridCol w:w="137"/>
        <w:gridCol w:w="137"/>
        <w:gridCol w:w="137"/>
        <w:gridCol w:w="137"/>
        <w:gridCol w:w="265"/>
        <w:gridCol w:w="1077"/>
        <w:gridCol w:w="137"/>
        <w:gridCol w:w="109"/>
        <w:gridCol w:w="109"/>
        <w:gridCol w:w="109"/>
        <w:gridCol w:w="211"/>
        <w:gridCol w:w="794"/>
        <w:gridCol w:w="109"/>
        <w:gridCol w:w="109"/>
        <w:gridCol w:w="109"/>
        <w:gridCol w:w="109"/>
        <w:gridCol w:w="290"/>
        <w:gridCol w:w="292"/>
        <w:gridCol w:w="159"/>
      </w:tblGrid>
      <w:tr>
        <w:trPr/>
        <w:tc>
          <w:tcPr>
            <w:tcW w:w="1561"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r>
      <w:tr>
        <w:trPr/>
        <w:tc>
          <w:tcPr>
            <w:tcW w:w="4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4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26,628 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(17,948)</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22,527 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23,378 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96,351 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113,678 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143,485 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183,205 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both"/>
        <w:rPr>
          <w:rFonts w:ascii="Arial;sans-serif" w:hAnsi="Arial;sans-serif"/>
          <w:b w:val="false"/>
          <w:color w:val="000000"/>
          <w:sz w:val="16"/>
        </w:rPr>
      </w:pPr>
      <w:r>
        <w:rPr>
          <w:rFonts w:ascii="Arial;sans-serif" w:hAnsi="Arial;sans-serif"/>
          <w:b w:val="false"/>
          <w:color w:val="000000"/>
          <w:sz w:val="16"/>
        </w:rPr>
        <w:t>*    Percentage is not meaningful.</w:t>
      </w:r>
    </w:p>
    <w:p>
      <w:pPr>
        <w:pStyle w:val="TextBody"/>
        <w:spacing w:before="100" w:after="283"/>
        <w:jc w:val="both"/>
        <w:rPr/>
      </w:pPr>
      <w:r>
        <w:rPr/>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v:rect>
            </w:pict>
          </mc:Fallback>
        </mc:AlternateContent>
      </w:r>
    </w:p>
    <w:p>
      <w:pPr>
        <w:pStyle w:val="TextBody"/>
        <w:spacing w:before="0" w:after="0"/>
        <w:jc w:val="both"/>
        <w:rPr/>
      </w:pPr>
      <w:r>
        <w:rPr/>
      </w:r>
    </w:p>
    <w:p>
      <w:pPr>
        <w:pStyle w:val="TextBody"/>
        <w:spacing w:before="0" w:after="0"/>
        <w:jc w:val="both"/>
        <w:rPr/>
      </w:pPr>
      <w:r>
        <w:rPr/>
      </w:r>
    </w:p>
    <w:p>
      <w:pPr>
        <w:pStyle w:val="TextBody"/>
        <w:spacing w:lineRule="auto" w:line="288" w:before="100" w:after="283"/>
        <w:rPr>
          <w:rFonts w:ascii="Arial;sans-serif" w:hAnsi="Arial;sans-serif"/>
          <w:b w:val="false"/>
          <w:color w:val="000000"/>
          <w:sz w:val="20"/>
        </w:rPr>
      </w:pPr>
      <w:r>
        <w:rPr>
          <w:rFonts w:ascii="Arial;sans-serif" w:hAnsi="Arial;sans-serif"/>
          <w:b w:val="false"/>
          <w:color w:val="000000"/>
          <w:sz w:val="20"/>
        </w:rPr>
        <w:t>The following table reconciles the change in EBITDA: </w:t>
      </w:r>
    </w:p>
    <w:tbl>
      <w:tblPr>
        <w:tblW w:w="9243" w:type="dxa"/>
        <w:jc w:val="left"/>
        <w:tblInd w:w="0" w:type="dxa"/>
        <w:tblCellMar>
          <w:top w:w="28" w:type="dxa"/>
          <w:left w:w="28" w:type="dxa"/>
          <w:bottom w:w="28" w:type="dxa"/>
          <w:right w:w="28" w:type="dxa"/>
        </w:tblCellMar>
      </w:tblPr>
      <w:tblGrid>
        <w:gridCol w:w="2782"/>
        <w:gridCol w:w="2453"/>
        <w:gridCol w:w="2460"/>
        <w:gridCol w:w="109"/>
        <w:gridCol w:w="109"/>
        <w:gridCol w:w="109"/>
        <w:gridCol w:w="211"/>
        <w:gridCol w:w="856"/>
        <w:gridCol w:w="154"/>
      </w:tblGrid>
      <w:tr>
        <w:trPr/>
        <w:tc>
          <w:tcPr>
            <w:tcW w:w="2782"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Amounts</w:t>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183,205 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gains (losses) on investments,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operating income (loss),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Segment Operating Results and Capital Expenditures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our total revenue, capital expenditures and EBITDA by segment for the three months ended March 31, 2023, as compared to the three months ended March 31, 2022:</w:t>
      </w:r>
    </w:p>
    <w:tbl>
      <w:tblPr>
        <w:tblW w:w="10064" w:type="dxa"/>
        <w:jc w:val="left"/>
        <w:tblInd w:w="0" w:type="dxa"/>
        <w:tblCellMar>
          <w:top w:w="28" w:type="dxa"/>
          <w:left w:w="28" w:type="dxa"/>
          <w:bottom w:w="28" w:type="dxa"/>
          <w:right w:w="28" w:type="dxa"/>
        </w:tblCellMar>
      </w:tblPr>
      <w:tblGrid>
        <w:gridCol w:w="1113"/>
        <w:gridCol w:w="979"/>
        <w:gridCol w:w="982"/>
        <w:gridCol w:w="109"/>
        <w:gridCol w:w="109"/>
        <w:gridCol w:w="109"/>
        <w:gridCol w:w="211"/>
        <w:gridCol w:w="826"/>
        <w:gridCol w:w="109"/>
        <w:gridCol w:w="109"/>
        <w:gridCol w:w="109"/>
        <w:gridCol w:w="109"/>
        <w:gridCol w:w="211"/>
        <w:gridCol w:w="616"/>
        <w:gridCol w:w="109"/>
        <w:gridCol w:w="109"/>
        <w:gridCol w:w="109"/>
        <w:gridCol w:w="109"/>
        <w:gridCol w:w="419"/>
        <w:gridCol w:w="1224"/>
        <w:gridCol w:w="217"/>
        <w:gridCol w:w="109"/>
        <w:gridCol w:w="109"/>
        <w:gridCol w:w="109"/>
        <w:gridCol w:w="308"/>
        <w:gridCol w:w="1206"/>
        <w:gridCol w:w="226"/>
      </w:tblGrid>
      <w:tr>
        <w:trPr/>
        <w:tc>
          <w:tcPr>
            <w:tcW w:w="1113"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Hughes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Corporate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Consolidated Total</w:t>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For the year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437,824 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47,025 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(18,404)</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143,485 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For the year ended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503,658 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61,021 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(10,656)</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183,205 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Hughes Segment</w:t>
      </w:r>
    </w:p>
    <w:tbl>
      <w:tblPr>
        <w:tblW w:w="7548" w:type="dxa"/>
        <w:jc w:val="left"/>
        <w:tblInd w:w="0" w:type="dxa"/>
        <w:tblCellMar>
          <w:top w:w="28" w:type="dxa"/>
          <w:left w:w="28" w:type="dxa"/>
          <w:bottom w:w="28" w:type="dxa"/>
          <w:right w:w="28" w:type="dxa"/>
        </w:tblCellMar>
      </w:tblPr>
      <w:tblGrid>
        <w:gridCol w:w="685"/>
        <w:gridCol w:w="601"/>
        <w:gridCol w:w="604"/>
        <w:gridCol w:w="109"/>
        <w:gridCol w:w="109"/>
        <w:gridCol w:w="109"/>
        <w:gridCol w:w="211"/>
        <w:gridCol w:w="858"/>
        <w:gridCol w:w="109"/>
        <w:gridCol w:w="109"/>
        <w:gridCol w:w="109"/>
        <w:gridCol w:w="109"/>
        <w:gridCol w:w="211"/>
        <w:gridCol w:w="858"/>
        <w:gridCol w:w="109"/>
        <w:gridCol w:w="109"/>
        <w:gridCol w:w="109"/>
        <w:gridCol w:w="109"/>
        <w:gridCol w:w="211"/>
        <w:gridCol w:w="811"/>
        <w:gridCol w:w="109"/>
        <w:gridCol w:w="109"/>
        <w:gridCol w:w="109"/>
        <w:gridCol w:w="109"/>
        <w:gridCol w:w="109"/>
        <w:gridCol w:w="299"/>
        <w:gridCol w:w="301"/>
        <w:gridCol w:w="154"/>
      </w:tblGrid>
      <w:tr>
        <w:trPr/>
        <w:tc>
          <w:tcPr>
            <w:tcW w:w="68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7"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c>
          <w:tcPr>
            <w:tcW w:w="754" w:type="dxa"/>
            <w:gridSpan w:val="3"/>
            <w:tcBorders/>
            <w:shd w:fill="auto" w:val="clea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Total revenue was $431.2 million for the three months ended March 31, 2023, a decrease of $62.9 million, or 12.7%, as compared to 2022. Services and other revenue decreased primarily due to lower sales of broadband services to our consumer customers of $41.0 million, and lower sales of broadband services to our enterprise customers of $2.2 million, partially offset by increased sales of broadband services to our mobile satellite system and other customers of $1.0 million. Equipment revenue decreased primarily due to: i) decreases in hardware sales to our enterprise customers of $19.1 million mainly associated with a certain customer in North America and to international customers, and ii) decreases in hardware sales of $2.2 million to our consumer customers. These decreases were partially offset by increases on our hardware sales to our mobile satellite system customers of $0.6 million. These variances reflect an estimated negative impact of exchange rate fluctuations of $2.2 million, primarily attributable to our enterprise customers.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Capital expenditures were $47.0 million for the three months ended March 31, 2023, a decrease of $14.0 million, or 22.9%, as compared to 2022, primarily due to decreases in expenditures associated with our consumer business, and decreases in expenditures related to the construction of our satellite-related ground infrastructure. </w:t>
      </w:r>
    </w:p>
    <w:p>
      <w:pPr>
        <w:pStyle w:val="TextBody"/>
        <w:spacing w:lineRule="auto" w:line="288" w:before="0" w:after="0"/>
        <w:jc w:val="both"/>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v:rect>
            </w:pict>
          </mc:Fallback>
        </mc:AlternateContent>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reconciles the change in the Hughes Segment EBITDA: </w:t>
      </w:r>
    </w:p>
    <w:tbl>
      <w:tblPr>
        <w:tblW w:w="9243" w:type="dxa"/>
        <w:jc w:val="left"/>
        <w:tblInd w:w="0" w:type="dxa"/>
        <w:tblCellMar>
          <w:top w:w="28" w:type="dxa"/>
          <w:left w:w="28" w:type="dxa"/>
          <w:bottom w:w="28" w:type="dxa"/>
          <w:right w:w="28" w:type="dxa"/>
        </w:tblCellMar>
      </w:tblPr>
      <w:tblGrid>
        <w:gridCol w:w="2782"/>
        <w:gridCol w:w="2453"/>
        <w:gridCol w:w="2460"/>
        <w:gridCol w:w="109"/>
        <w:gridCol w:w="109"/>
        <w:gridCol w:w="109"/>
        <w:gridCol w:w="211"/>
        <w:gridCol w:w="856"/>
        <w:gridCol w:w="154"/>
      </w:tblGrid>
      <w:tr>
        <w:trPr/>
        <w:tc>
          <w:tcPr>
            <w:tcW w:w="2782"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Amounts</w:t>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net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operating income (loss),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(30,097)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ESS Segment</w:t>
      </w:r>
    </w:p>
    <w:tbl>
      <w:tblPr>
        <w:tblW w:w="6737" w:type="dxa"/>
        <w:jc w:val="left"/>
        <w:tblInd w:w="0" w:type="dxa"/>
        <w:tblCellMar>
          <w:top w:w="28" w:type="dxa"/>
          <w:left w:w="28" w:type="dxa"/>
          <w:bottom w:w="28" w:type="dxa"/>
          <w:right w:w="28" w:type="dxa"/>
        </w:tblCellMar>
      </w:tblPr>
      <w:tblGrid>
        <w:gridCol w:w="473"/>
        <w:gridCol w:w="415"/>
        <w:gridCol w:w="417"/>
        <w:gridCol w:w="109"/>
        <w:gridCol w:w="109"/>
        <w:gridCol w:w="109"/>
        <w:gridCol w:w="250"/>
        <w:gridCol w:w="768"/>
        <w:gridCol w:w="129"/>
        <w:gridCol w:w="129"/>
        <w:gridCol w:w="129"/>
        <w:gridCol w:w="129"/>
        <w:gridCol w:w="250"/>
        <w:gridCol w:w="768"/>
        <w:gridCol w:w="129"/>
        <w:gridCol w:w="109"/>
        <w:gridCol w:w="109"/>
        <w:gridCol w:w="109"/>
        <w:gridCol w:w="211"/>
        <w:gridCol w:w="646"/>
        <w:gridCol w:w="109"/>
        <w:gridCol w:w="109"/>
        <w:gridCol w:w="109"/>
        <w:gridCol w:w="109"/>
        <w:gridCol w:w="109"/>
        <w:gridCol w:w="270"/>
        <w:gridCol w:w="271"/>
        <w:gridCol w:w="154"/>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c>
          <w:tcPr>
            <w:tcW w:w="695" w:type="dxa"/>
            <w:gridSpan w:val="3"/>
            <w:tcBorders/>
            <w:shd w:fill="auto" w:val="clea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Total revenue was $6.0 million for the three months ended March 31, 2023, an increase of $1.5 million, or 34.0%, compared to 2022, primarily due to an increase in transponder services provided to third parties.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EBITDA was $4.7 million for the three months ended March 31, 2023, an increase of $2.0 million, or 73.0%, as compared to 2022, primarily due to the increase in overall ESS segment revenue and lower expenses. </w:t>
      </w:r>
    </w:p>
    <w:p>
      <w:pPr>
        <w:pStyle w:val="TextBody"/>
        <w:spacing w:before="0" w:after="0"/>
        <w:jc w:val="both"/>
        <w:rPr/>
      </w:pPr>
      <w:r>
        <w:rPr/>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Corporate and Other Segment </w:t>
      </w:r>
    </w:p>
    <w:tbl>
      <w:tblPr>
        <w:tblW w:w="6854" w:type="dxa"/>
        <w:jc w:val="left"/>
        <w:tblInd w:w="0" w:type="dxa"/>
        <w:tblCellMar>
          <w:top w:w="28" w:type="dxa"/>
          <w:left w:w="28" w:type="dxa"/>
          <w:bottom w:w="28" w:type="dxa"/>
          <w:right w:w="28" w:type="dxa"/>
        </w:tblCellMar>
      </w:tblPr>
      <w:tblGrid>
        <w:gridCol w:w="473"/>
        <w:gridCol w:w="415"/>
        <w:gridCol w:w="417"/>
        <w:gridCol w:w="109"/>
        <w:gridCol w:w="109"/>
        <w:gridCol w:w="109"/>
        <w:gridCol w:w="270"/>
        <w:gridCol w:w="616"/>
        <w:gridCol w:w="139"/>
        <w:gridCol w:w="139"/>
        <w:gridCol w:w="139"/>
        <w:gridCol w:w="139"/>
        <w:gridCol w:w="270"/>
        <w:gridCol w:w="828"/>
        <w:gridCol w:w="139"/>
        <w:gridCol w:w="109"/>
        <w:gridCol w:w="109"/>
        <w:gridCol w:w="109"/>
        <w:gridCol w:w="211"/>
        <w:gridCol w:w="706"/>
        <w:gridCol w:w="109"/>
        <w:gridCol w:w="109"/>
        <w:gridCol w:w="109"/>
        <w:gridCol w:w="109"/>
        <w:gridCol w:w="109"/>
        <w:gridCol w:w="299"/>
        <w:gridCol w:w="301"/>
        <w:gridCol w:w="154"/>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Variance</w:t>
            </w:r>
          </w:p>
        </w:tc>
        <w:tc>
          <w:tcPr>
            <w:tcW w:w="754" w:type="dxa"/>
            <w:gridSpan w:val="3"/>
            <w:tcBorders/>
            <w:shd w:fill="auto" w:val="clea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4" w:type="dxa"/>
            <w:gridSpan w:val="3"/>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(18,404)</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(10,656)</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both"/>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reconciles the change in the Corporate and Other Segment EBITDA:  </w:t>
      </w:r>
    </w:p>
    <w:tbl>
      <w:tblPr>
        <w:tblW w:w="9198" w:type="dxa"/>
        <w:jc w:val="left"/>
        <w:tblInd w:w="0" w:type="dxa"/>
        <w:tblCellMar>
          <w:top w:w="28" w:type="dxa"/>
          <w:left w:w="28" w:type="dxa"/>
          <w:bottom w:w="28" w:type="dxa"/>
          <w:right w:w="28" w:type="dxa"/>
        </w:tblCellMar>
      </w:tblPr>
      <w:tblGrid>
        <w:gridCol w:w="2782"/>
        <w:gridCol w:w="2452"/>
        <w:gridCol w:w="2461"/>
        <w:gridCol w:w="109"/>
        <w:gridCol w:w="109"/>
        <w:gridCol w:w="109"/>
        <w:gridCol w:w="211"/>
        <w:gridCol w:w="811"/>
        <w:gridCol w:w="154"/>
      </w:tblGrid>
      <w:tr>
        <w:trPr/>
        <w:tc>
          <w:tcPr>
            <w:tcW w:w="2782" w:type="dxa"/>
            <w:tcBorders/>
            <w:shd w:fill="auto" w:val="clear"/>
            <w:vAlign w:val="center"/>
          </w:tcPr>
          <w:p>
            <w:pPr>
              <w:pStyle w:val="TableContents"/>
              <w:spacing w:before="0" w:after="283"/>
              <w:rPr>
                <w:sz w:val="4"/>
                <w:szCs w:val="4"/>
              </w:rPr>
            </w:pPr>
            <w:r>
              <w:rPr>
                <w:sz w:val="4"/>
                <w:szCs w:val="4"/>
              </w:rPr>
            </w:r>
          </w:p>
        </w:tc>
        <w:tc>
          <w:tcPr>
            <w:tcW w:w="2452" w:type="dxa"/>
            <w:tcBorders/>
            <w:shd w:fill="auto" w:val="clear"/>
            <w:vAlign w:val="center"/>
          </w:tcPr>
          <w:p>
            <w:pPr>
              <w:pStyle w:val="TableContents"/>
              <w:spacing w:before="0" w:after="283"/>
              <w:rPr>
                <w:sz w:val="4"/>
                <w:szCs w:val="4"/>
              </w:rPr>
            </w:pPr>
            <w:r>
              <w:rPr>
                <w:sz w:val="4"/>
                <w:szCs w:val="4"/>
              </w:rPr>
            </w:r>
          </w:p>
        </w:tc>
        <w:tc>
          <w:tcPr>
            <w:tcW w:w="24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Amounts</w:t>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operating income (loss),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foreign currency transaction gains (losses),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gains (losses) on investments,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in 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equity in earnings (losses) of unconsolidated affiliates,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for the 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(18,405)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v:rect>
            </w:pict>
          </mc:Fallback>
        </mc:AlternateContent>
      </w:r>
    </w:p>
    <w:p>
      <w:pPr>
        <w:pStyle w:val="TextBody"/>
        <w:spacing w:before="0" w:after="0"/>
        <w:jc w:val="both"/>
        <w:rPr/>
      </w:pPr>
      <w:r>
        <w:rPr/>
      </w:r>
    </w:p>
    <w:p>
      <w:pPr>
        <w:pStyle w:val="TextBody"/>
        <w:spacing w:before="0" w:after="0"/>
        <w:jc w:val="both"/>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4.    CONTROLS AND PROCEDURES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Disclosure Controls and Procedures</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supervision and with the participation of our management, including our Chief Executive Officer and Chief Financial Officer, we evaluated the effectiveness of our disclosure controls and procedures (as defined in Rule 15d-15(e) under the Securities Exchange Act of 1934, as amended) as of the end of the period covered by this Form 10-Q. Based upon that evaluation, our Chief Executive Officer and Chief Financial Officer concluded that our disclosure controls and procedures were effective as of the end of the period covered by this Form 10-Q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has been no change in our internal control over financial reporting (as defined in Rule 15d-15(f) under the Securities Exchange Act of 1934, as amended) that occurred during the three months ended March 31, 2023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1.    LEGAL PROCEEDINGS</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Arial;sans-serif" w:hAnsi="Arial;sans-serif"/>
          <w:b w:val="false"/>
          <w:color w:val="000000"/>
          <w:sz w:val="20"/>
        </w:rPr>
        <w:t xml:space="preserve">For a discussion of legal proceedings, refer to Part I, Item 1. Financial Statements - </w:t>
      </w:r>
      <w:r>
        <w:rPr>
          <w:rFonts w:ascii="Arial;sans-serif" w:hAnsi="Arial;sans-serif"/>
          <w:b w:val="false"/>
          <w:i/>
          <w:color w:val="000000"/>
          <w:sz w:val="20"/>
        </w:rPr>
        <w:t>Note 13. Contingencies</w:t>
      </w:r>
      <w:r>
        <w:rPr>
          <w:color w:val="000000"/>
        </w:rPr>
        <w:t xml:space="preserve"> </w:t>
      </w:r>
      <w:r>
        <w:rPr>
          <w:rFonts w:ascii="Arial;sans-serif" w:hAnsi="Arial;sans-serif"/>
          <w:b w:val="false"/>
          <w:color w:val="000000"/>
          <w:sz w:val="20"/>
        </w:rPr>
        <w:t>- Litigation in this Form 10-Q.</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ITEM 1A.    RISK FACTORS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Item 1A, Risk Factors, of our Form 10-K for the year ended December 31, 2022 includes a detailed discussion of our risk factors.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ITEM 4.    MINE SAFETY DISCLOSURES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 xml:space="preserve">ITEM 5.    OTHER INFORMATION </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Financial Results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May 8, 2023, EchoStar issued a press release (the “Press Release”) announcing its financial results for the quarter ended March 31, 2023. A copy of the Press Release is furnished herewith as Exhibit 99.1. The foregoing information, including the exhibit related thereto, is furnished in response to Item 2.02 of Form 8-K and shall not be deemed “filed” for the purposes of Section 18 of the Securities Exchange Act of 1934, as amended, or otherwise, and shall not be incorporated by reference into any registration statement or other document pursuant to the Securities Act of 1933, as amended, or into any filing or other document pursuant to the Securities Exchange Act of 1934, as amended, except as otherwise expressly stated in any such filing.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v:rect>
            </w:pict>
          </mc:Fallback>
        </mc:AlternateContent>
      </w:r>
    </w:p>
    <w:p>
      <w:pPr>
        <w:pStyle w:val="TextBody"/>
        <w:spacing w:lineRule="auto" w:line="288" w:before="0" w:after="0"/>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rPr/>
      </w:pPr>
      <w:r>
        <w:rPr>
          <w:rFonts w:ascii="Arial;sans-serif" w:hAnsi="Arial;sans-serif"/>
          <w:b/>
          <w:color w:val="000000"/>
          <w:sz w:val="20"/>
        </w:rPr>
        <w:t>ITEM 6.</w:t>
      </w:r>
      <w:r>
        <w:rPr>
          <w:color w:val="000000"/>
        </w:rPr>
        <w:t>    </w:t>
      </w:r>
      <w:r>
        <w:rPr>
          <w:rFonts w:ascii="Arial;sans-serif" w:hAnsi="Arial;sans-serif"/>
          <w:b/>
          <w:color w:val="000000"/>
          <w:sz w:val="20"/>
        </w:rPr>
        <w:t>EXHIBITS</w:t>
      </w:r>
    </w:p>
    <w:p>
      <w:pPr>
        <w:pStyle w:val="TextBody"/>
        <w:spacing w:lineRule="auto" w:line="288" w:before="0" w:after="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59"/>
        <w:gridCol w:w="315"/>
        <w:gridCol w:w="317"/>
        <w:gridCol w:w="109"/>
        <w:gridCol w:w="109"/>
        <w:gridCol w:w="109"/>
        <w:gridCol w:w="2618"/>
        <w:gridCol w:w="2592"/>
        <w:gridCol w:w="3677"/>
      </w:tblGrid>
      <w:tr>
        <w:trPr/>
        <w:tc>
          <w:tcPr>
            <w:tcW w:w="35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8" w:type="dxa"/>
            <w:tcBorders/>
            <w:shd w:fill="auto" w:val="clear"/>
            <w:vAlign w:val="center"/>
          </w:tcPr>
          <w:p>
            <w:pPr>
              <w:pStyle w:val="TableContents"/>
              <w:spacing w:before="0" w:after="283"/>
              <w:rPr>
                <w:sz w:val="4"/>
                <w:szCs w:val="4"/>
              </w:rPr>
            </w:pPr>
            <w:r>
              <w:rPr>
                <w:sz w:val="4"/>
                <w:szCs w:val="4"/>
              </w:rPr>
            </w:r>
          </w:p>
        </w:tc>
        <w:tc>
          <w:tcPr>
            <w:tcW w:w="2592" w:type="dxa"/>
            <w:tcBorders/>
            <w:shd w:fill="auto" w:val="clear"/>
            <w:vAlign w:val="center"/>
          </w:tcPr>
          <w:p>
            <w:pPr>
              <w:pStyle w:val="TableContents"/>
              <w:spacing w:before="0" w:after="283"/>
              <w:rPr>
                <w:sz w:val="4"/>
                <w:szCs w:val="4"/>
              </w:rPr>
            </w:pPr>
            <w:r>
              <w:rPr>
                <w:sz w:val="4"/>
                <w:szCs w:val="4"/>
              </w:rPr>
            </w:r>
          </w:p>
        </w:tc>
        <w:tc>
          <w:tcPr>
            <w:tcW w:w="3677" w:type="dxa"/>
            <w:tcBorders/>
            <w:shd w:fill="auto" w:val="clear"/>
            <w:vAlign w:val="center"/>
          </w:tcPr>
          <w:p>
            <w:pPr>
              <w:pStyle w:val="TableContents"/>
              <w:spacing w:before="0" w:after="283"/>
              <w:rPr>
                <w:sz w:val="4"/>
                <w:szCs w:val="4"/>
              </w:rPr>
            </w:pPr>
            <w:r>
              <w:rPr>
                <w:sz w:val="4"/>
                <w:szCs w:val="4"/>
              </w:rPr>
            </w:r>
          </w:p>
        </w:tc>
      </w:tr>
      <w:tr>
        <w:trPr/>
        <w:tc>
          <w:tcPr>
            <w:tcW w:w="9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hssc03312310-qxexx311.htm">
              <w:r>
                <w:rPr>
                  <w:rStyle w:val="InternetLink"/>
                  <w:rFonts w:ascii="Arial;sans-serif" w:hAnsi="Arial;sans-serif"/>
                  <w:b w:val="false"/>
                  <w:color w:val="0000FF"/>
                  <w:sz w:val="20"/>
                  <w:u w:val="single"/>
                </w:rPr>
                <w:t>31.1 (H)</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hssc03312310-qxexx311.htm">
              <w:r>
                <w:rPr>
                  <w:rStyle w:val="InternetLink"/>
                  <w:rFonts w:ascii="Arial;sans-serif" w:hAnsi="Arial;sans-serif"/>
                  <w:b w:val="false"/>
                  <w:color w:val="0000FF"/>
                  <w:sz w:val="20"/>
                  <w:u w:val="single"/>
                </w:rPr>
                <w:t>Section 302 Certification of Chief Executive Officer and Principal Financial Officer</w:t>
              </w:r>
            </w:hyperlink>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hssc03312310-qxexx321.htm">
              <w:r>
                <w:rPr>
                  <w:rStyle w:val="InternetLink"/>
                  <w:rFonts w:ascii="Arial;sans-serif" w:hAnsi="Arial;sans-serif"/>
                  <w:b w:val="false"/>
                  <w:color w:val="0000FF"/>
                  <w:sz w:val="20"/>
                  <w:u w:val="single"/>
                </w:rPr>
                <w:t>32.1 (I)</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hssc03312310-qxexx321.htm">
              <w:r>
                <w:rPr>
                  <w:rStyle w:val="InternetLink"/>
                  <w:rFonts w:ascii="Arial;sans-serif" w:hAnsi="Arial;sans-serif"/>
                  <w:b w:val="false"/>
                  <w:color w:val="0000FF"/>
                  <w:sz w:val="20"/>
                  <w:u w:val="single"/>
                </w:rPr>
                <w:t>Section 906 Certification of Chief Executive Officer and Principal Financial Officer</w:t>
              </w:r>
            </w:hyperlink>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pressreleaseq12023-exx991.htm">
              <w:r>
                <w:rPr>
                  <w:rStyle w:val="InternetLink"/>
                  <w:rFonts w:ascii="Arial;sans-serif" w:hAnsi="Arial;sans-serif"/>
                  <w:b w:val="false"/>
                  <w:color w:val="0000FF"/>
                  <w:sz w:val="20"/>
                  <w:u w:val="single"/>
                </w:rPr>
                <w:t>99.1 (I)</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pressreleaseq12023-exx991.htm">
              <w:r>
                <w:rPr>
                  <w:rStyle w:val="InternetLink"/>
                  <w:rFonts w:ascii="Arial;sans-serif" w:hAnsi="Arial;sans-serif"/>
                  <w:b w:val="false"/>
                  <w:color w:val="0000FF"/>
                  <w:sz w:val="20"/>
                  <w:u w:val="single"/>
                </w:rPr>
                <w:t>Press release dated May 3, 2023 issued by EchoStar Corporation regarding financial results for the period ended March 31, 2023.</w:t>
              </w:r>
            </w:hyperlink>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The instance document does not appear in the Interactive Data File because its XBRL tags are embedded within the Inline XBRL document.</w:t>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Schema.</w:t>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Calculation Linkbase.</w:t>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Definition Linkbase.</w:t>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Label Linkbase.</w:t>
            </w:r>
          </w:p>
        </w:tc>
      </w:tr>
      <w:tr>
        <w:trPr/>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w:t>
            </w:r>
          </w:p>
        </w:tc>
      </w:tr>
    </w:tbl>
    <w:p>
      <w:pPr>
        <w:pStyle w:val="TextBody"/>
        <w:spacing w:lineRule="auto" w:line="288" w:before="0" w:after="0"/>
        <w:ind w:left="0" w:right="0" w:hanging="450"/>
        <w:jc w:val="both"/>
        <w:rPr>
          <w:rFonts w:ascii="Arial;sans-serif" w:hAnsi="Arial;sans-serif"/>
          <w:b w:val="false"/>
          <w:color w:val="000000"/>
          <w:sz w:val="16"/>
        </w:rPr>
      </w:pPr>
      <w:r>
        <w:rPr>
          <w:rFonts w:ascii="Arial;sans-serif" w:hAnsi="Arial;sans-serif"/>
          <w:b w:val="false"/>
          <w:color w:val="000000"/>
          <w:sz w:val="16"/>
        </w:rPr>
        <w:t>(H)    Filed herewith.</w:t>
      </w:r>
    </w:p>
    <w:p>
      <w:pPr>
        <w:pStyle w:val="TextBody"/>
        <w:spacing w:lineRule="auto" w:line="288" w:before="0" w:after="0"/>
        <w:ind w:left="0" w:right="0" w:hanging="450"/>
        <w:jc w:val="both"/>
        <w:rPr>
          <w:rFonts w:ascii="Arial;sans-serif" w:hAnsi="Arial;sans-serif"/>
          <w:b w:val="false"/>
          <w:color w:val="000000"/>
          <w:sz w:val="16"/>
        </w:rPr>
      </w:pPr>
      <w:r>
        <w:rPr>
          <w:rFonts w:ascii="Arial;sans-serif" w:hAnsi="Arial;sans-serif"/>
          <w:b w:val="false"/>
          <w:color w:val="000000"/>
          <w:sz w:val="16"/>
        </w:rPr>
        <w:t>(I)    Furnished herewith.</w:t>
      </w:r>
    </w:p>
    <w:p>
      <w:pPr>
        <w:pStyle w:val="TextBody"/>
        <w:spacing w:lineRule="auto" w:line="288" w:before="0" w:after="0"/>
        <w:ind w:left="0" w:right="0" w:hanging="540"/>
        <w:jc w:val="both"/>
        <w:rPr>
          <w:rFonts w:ascii="Arial;sans-serif" w:hAnsi="Arial;sans-serif"/>
          <w:b w:val="false"/>
          <w:color w:val="000000"/>
          <w:sz w:val="16"/>
        </w:rPr>
      </w:pPr>
      <w:r>
        <w:rPr>
          <w:rFonts w:ascii="Arial;sans-serif" w:hAnsi="Arial;sans-serif"/>
          <w:b w:val="false"/>
          <w:color w:val="000000"/>
          <w:sz w:val="16"/>
        </w:rPr>
        <w:t>*    Incorporated by reference.</w:t>
      </w:r>
    </w:p>
    <w:p>
      <w:pPr>
        <w:pStyle w:val="TextBody"/>
        <w:spacing w:lineRule="auto" w:line="288" w:before="0" w:after="0"/>
        <w:ind w:left="0" w:right="0" w:hanging="540"/>
        <w:jc w:val="both"/>
        <w:rPr>
          <w:rFonts w:ascii="Arial;sans-serif" w:hAnsi="Arial;sans-serif"/>
          <w:b w:val="false"/>
          <w:color w:val="000000"/>
          <w:sz w:val="16"/>
        </w:rPr>
      </w:pPr>
      <w:r>
        <w:rPr>
          <w:rFonts w:ascii="Arial;sans-serif" w:hAnsi="Arial;sans-serif"/>
          <w:b w:val="false"/>
          <w:color w:val="000000"/>
          <w:sz w:val="16"/>
        </w:rPr>
        <w:t>** Constitutes a management contract or compensatory plan or arrangement.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52</w:t>
                      </w:r>
                    </w:p>
                  </w:txbxContent>
                </v:textbox>
              </v:rect>
            </w:pict>
          </mc:Fallback>
        </mc:AlternateContent>
      </w:r>
    </w:p>
    <w:p>
      <w:pPr>
        <w:pStyle w:val="TextBody"/>
        <w:spacing w:lineRule="auto" w:line="288" w:before="0" w:after="0"/>
        <w:jc w:val="both"/>
        <w:rPr/>
      </w:pPr>
      <w:hyperlink w:anchor="i62281276287540ef9f7680877d4c0df3_709">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Form 10-Q to be signed on its behalf by the undersigned thereunto duly authorized. </w:t>
      </w:r>
    </w:p>
    <w:p>
      <w:pPr>
        <w:pStyle w:val="TextBody"/>
        <w:spacing w:lineRule="auto" w:line="288" w:before="0" w:after="0"/>
        <w:jc w:val="both"/>
        <w:rPr>
          <w:color w:val="000000"/>
        </w:rPr>
      </w:pPr>
      <w:r>
        <w:rPr>
          <w:color w:val="000000"/>
        </w:rPr>
        <w:t> </w:t>
      </w:r>
    </w:p>
    <w:tbl>
      <w:tblPr>
        <w:tblW w:w="7573" w:type="dxa"/>
        <w:jc w:val="left"/>
        <w:tblInd w:w="0" w:type="dxa"/>
        <w:tblCellMar>
          <w:top w:w="28" w:type="dxa"/>
          <w:left w:w="28" w:type="dxa"/>
          <w:bottom w:w="28" w:type="dxa"/>
          <w:right w:w="28" w:type="dxa"/>
        </w:tblCellMar>
      </w:tblPr>
      <w:tblGrid>
        <w:gridCol w:w="624"/>
        <w:gridCol w:w="547"/>
        <w:gridCol w:w="553"/>
        <w:gridCol w:w="194"/>
        <w:gridCol w:w="194"/>
        <w:gridCol w:w="196"/>
        <w:gridCol w:w="1542"/>
        <w:gridCol w:w="1542"/>
        <w:gridCol w:w="2181"/>
      </w:tblGrid>
      <w:tr>
        <w:trPr/>
        <w:tc>
          <w:tcPr>
            <w:tcW w:w="62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c>
          <w:tcPr>
            <w:tcW w:w="2181"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HUGHES SATELLITE SYSTEMS CORPORATION</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8, 2023</w:t>
            </w:r>
          </w:p>
        </w:tc>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firstLine="180"/>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Hamid Akhavan</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Hamid Akhavan</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President</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 and Principal Financial Officer)</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8, 2023</w:t>
            </w:r>
          </w:p>
        </w:tc>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Veronika Takacs</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Veronika Takacs</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Chief Accounting Officer and Controller</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 OF CHIEF EXECUTIVE OFFICER AND PRINCIPAL FINANCIAL OFFICER</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302 Certification</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 Hamid Akhavan, certify that: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Hughes Satellite Systems Corporation;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36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360"/>
        <w:jc w:val="both"/>
        <w:rPr/>
      </w:pPr>
      <w:r>
        <w:rPr/>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 </w:t>
      </w:r>
    </w:p>
    <w:tbl>
      <w:tblPr>
        <w:tblW w:w="6472" w:type="dxa"/>
        <w:jc w:val="left"/>
        <w:tblInd w:w="0" w:type="dxa"/>
        <w:tblCellMar>
          <w:top w:w="28" w:type="dxa"/>
          <w:left w:w="28" w:type="dxa"/>
          <w:bottom w:w="28" w:type="dxa"/>
          <w:right w:w="28" w:type="dxa"/>
        </w:tblCellMar>
      </w:tblPr>
      <w:tblGrid>
        <w:gridCol w:w="319"/>
        <w:gridCol w:w="281"/>
        <w:gridCol w:w="281"/>
        <w:gridCol w:w="1738"/>
        <w:gridCol w:w="1738"/>
        <w:gridCol w:w="1743"/>
        <w:gridCol w:w="109"/>
        <w:gridCol w:w="109"/>
        <w:gridCol w:w="154"/>
      </w:tblGrid>
      <w:tr>
        <w:trPr/>
        <w:tc>
          <w:tcPr>
            <w:tcW w:w="31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0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8,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Hamid Akhavan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2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Hamid Akhavan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President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 and 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spacing w:lineRule="auto" w:line="288" w:before="0" w:after="0"/>
        <w:rPr>
          <w:color w:val="000000"/>
        </w:rPr>
      </w:pPr>
      <w:r>
        <w:rPr>
          <w:color w:val="000000"/>
        </w:rPr>
        <w:t> </w:t>
      </w:r>
    </w:p>
    <w:p>
      <w:pPr>
        <w:pStyle w:val="TextBody"/>
        <w:spacing w:lineRule="auto" w:line="288" w:before="0" w:after="0"/>
        <w:jc w:val="center"/>
        <w:rPr/>
      </w:pPr>
      <w:r>
        <w:rPr>
          <w:rFonts w:ascii="Arial;sans-serif" w:hAnsi="Arial;sans-serif"/>
          <w:b/>
          <w:color w:val="000000"/>
          <w:sz w:val="20"/>
        </w:rPr>
        <w:t>CERTIFICATION OF</w:t>
      </w:r>
      <w:r>
        <w:rPr>
          <w:color w:val="000000"/>
        </w:rPr>
        <w:t xml:space="preserve"> </w:t>
      </w:r>
      <w:r>
        <w:rPr>
          <w:rFonts w:ascii="Arial;sans-serif" w:hAnsi="Arial;sans-serif"/>
          <w:b/>
          <w:color w:val="000000"/>
          <w:sz w:val="20"/>
        </w:rPr>
        <w:t>CHIEF EXECUTIVE OFFICER AND PRINCIPAL FINANCIAL OFFICER</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Section 906 Certifications</w:t>
      </w:r>
    </w:p>
    <w:p>
      <w:pPr>
        <w:pStyle w:val="TextBody"/>
        <w:spacing w:lineRule="auto" w:line="288" w:before="0" w:after="0"/>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for the quarter ended March 31, 2023 on Form 10-Q (the “Report”), of Hughes Satellite Systems Corporation (the “Company”) as filed with the Securities and Exchange Commission on the date hereof, I, Hamid Akhavan, Chief Executive Officer and Principal Financial Officer of the Company, certify, pursuant to 18 U.S.C. Section 1350, as adopted pursuant to section 906 of the Sarbanes-Oxley Act of 2002, that to the best of our knowledge:</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(i)    the Report fully complies with the requirements of Section 13(a) or Section 15(d), as applicable, of the Securities Exchange Act of 1934; and</w:t>
      </w:r>
    </w:p>
    <w:p>
      <w:pPr>
        <w:pStyle w:val="TextBody"/>
        <w:spacing w:lineRule="auto" w:line="288" w:before="0" w:after="0"/>
        <w:ind w:left="0" w:right="0" w:hanging="540"/>
        <w:jc w:val="both"/>
        <w:rPr>
          <w:color w:val="000000"/>
        </w:rPr>
      </w:pPr>
      <w:r>
        <w:rPr>
          <w:color w:val="000000"/>
        </w:rPr>
        <w:t> </w:t>
      </w:r>
    </w:p>
    <w:p>
      <w:pPr>
        <w:pStyle w:val="TextBody"/>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(ii)    the information contained in the Report fairly presents, in all material respects, the financial condition and results of operations of the Company. </w:t>
      </w:r>
    </w:p>
    <w:p>
      <w:pPr>
        <w:pStyle w:val="TextBody"/>
        <w:spacing w:lineRule="auto" w:line="288" w:before="0" w:after="0"/>
        <w:jc w:val="both"/>
        <w:rPr>
          <w:color w:val="000000"/>
        </w:rPr>
      </w:pPr>
      <w:r>
        <w:rPr>
          <w:color w:val="000000"/>
        </w:rPr>
        <w:t> </w:t>
      </w:r>
    </w:p>
    <w:tbl>
      <w:tblPr>
        <w:tblW w:w="6472" w:type="dxa"/>
        <w:jc w:val="left"/>
        <w:tblInd w:w="0" w:type="dxa"/>
        <w:tblCellMar>
          <w:top w:w="28" w:type="dxa"/>
          <w:left w:w="28" w:type="dxa"/>
          <w:bottom w:w="28" w:type="dxa"/>
          <w:right w:w="28" w:type="dxa"/>
        </w:tblCellMar>
      </w:tblPr>
      <w:tblGrid>
        <w:gridCol w:w="319"/>
        <w:gridCol w:w="281"/>
        <w:gridCol w:w="281"/>
        <w:gridCol w:w="1738"/>
        <w:gridCol w:w="1738"/>
        <w:gridCol w:w="1743"/>
        <w:gridCol w:w="109"/>
        <w:gridCol w:w="109"/>
        <w:gridCol w:w="154"/>
      </w:tblGrid>
      <w:tr>
        <w:trPr/>
        <w:tc>
          <w:tcPr>
            <w:tcW w:w="31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0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May 8, 2023</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10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Hamid Akhavan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2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Hamid Akhavan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President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 and 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foregoing certification is being furnished solely pursuant to 18 U.S.C. Section 1350 and is not being filed as part of the Report or as a separate disclosure document.</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45"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99.1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EchoStar Announces Financial Results for the Three Months Ended March 31, 2023 </w:t>
      </w:r>
    </w:p>
    <w:p>
      <w:pPr>
        <w:pStyle w:val="TextBody"/>
        <w:spacing w:before="0" w:after="0"/>
        <w:rPr/>
      </w:pPr>
      <w:r>
        <w:rPr/>
      </w:r>
    </w:p>
    <w:p>
      <w:pPr>
        <w:pStyle w:val="TextBody"/>
        <w:spacing w:lineRule="auto" w:line="288" w:before="0" w:after="0"/>
        <w:jc w:val="both"/>
        <w:rPr/>
      </w:pPr>
      <w:r>
        <w:rPr>
          <w:rFonts w:ascii="Arial;sans-serif" w:hAnsi="Arial;sans-serif"/>
          <w:b/>
          <w:color w:val="000000"/>
          <w:sz w:val="20"/>
        </w:rPr>
        <w:t>Englewood, CO, May 8, 2023—</w:t>
      </w:r>
      <w:r>
        <w:rPr>
          <w:rFonts w:ascii="Arial;sans-serif" w:hAnsi="Arial;sans-serif"/>
          <w:b w:val="false"/>
          <w:color w:val="000000"/>
          <w:sz w:val="20"/>
        </w:rPr>
        <w:t>EchoStar Corporation (Nasdaq: SATS) announced its financial results for the three months ended March 31, 2023.</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Three Months Ended March 31, 2023 Financial Highlights:</w:t>
      </w:r>
    </w:p>
    <w:p>
      <w:pPr>
        <w:pStyle w:val="TextBody"/>
        <w:spacing w:before="0" w:after="0"/>
        <w:jc w:val="both"/>
        <w:rPr/>
      </w:pPr>
      <w:r>
        <w:rPr/>
      </w:r>
    </w:p>
    <w:p>
      <w:pPr>
        <w:pStyle w:val="TextBody"/>
        <w:spacing w:lineRule="auto" w:line="288" w:before="0" w:after="140"/>
        <w:ind w:left="0" w:right="0" w:hanging="360"/>
        <w:jc w:val="both"/>
        <w:rPr/>
      </w:pPr>
      <w:r>
        <w:rPr>
          <w:color w:val="000000"/>
          <w:highlight w:val="white"/>
        </w:rPr>
        <w:t>•</w:t>
      </w:r>
      <w:r>
        <w:rPr>
          <w:rFonts w:ascii="Arial;sans-serif" w:hAnsi="Arial;sans-serif"/>
          <w:b w:val="false"/>
          <w:color w:val="000000"/>
          <w:sz w:val="20"/>
          <w:highlight w:val="white"/>
        </w:rPr>
        <w:t>Consolidated revenue of $439.6 million.</w:t>
      </w:r>
    </w:p>
    <w:p>
      <w:pPr>
        <w:pStyle w:val="TextBody"/>
        <w:spacing w:lineRule="auto" w:line="288" w:before="0" w:after="140"/>
        <w:ind w:left="0" w:right="0" w:hanging="360"/>
        <w:jc w:val="both"/>
        <w:rPr/>
      </w:pPr>
      <w:r>
        <w:rPr>
          <w:color w:val="000000"/>
          <w:highlight w:val="white"/>
        </w:rPr>
        <w:t>•</w:t>
      </w:r>
      <w:r>
        <w:rPr>
          <w:rFonts w:ascii="Arial;sans-serif" w:hAnsi="Arial;sans-serif"/>
          <w:b w:val="false"/>
          <w:color w:val="000000"/>
          <w:sz w:val="20"/>
          <w:highlight w:val="white"/>
        </w:rPr>
        <w:t>Net income of $27.8 million, consolidated net income attributable to EchoStar common stock of $29.0 million, and basic and diluted earnings per share of common stock of $0.35.</w:t>
      </w:r>
    </w:p>
    <w:p>
      <w:pPr>
        <w:pStyle w:val="TextBody"/>
        <w:spacing w:lineRule="auto" w:line="288" w:before="0" w:after="0"/>
        <w:ind w:left="0" w:right="0" w:hanging="360"/>
        <w:jc w:val="both"/>
        <w:rPr/>
      </w:pPr>
      <w:r>
        <w:rPr>
          <w:color w:val="000000"/>
        </w:rPr>
        <w:t>•</w:t>
      </w:r>
      <w:r>
        <w:rPr>
          <w:rFonts w:ascii="Arial;sans-serif" w:hAnsi="Arial;sans-serif"/>
          <w:b w:val="false"/>
          <w:color w:val="000000"/>
          <w:sz w:val="20"/>
        </w:rPr>
        <w:t>Consolidated Adjusted EBITDA of $135.0 million (see discussion and the reconciliation of GAAP to this non-GAAP measure below).</w:t>
      </w:r>
    </w:p>
    <w:p>
      <w:pPr>
        <w:pStyle w:val="TextBody"/>
        <w:spacing w:before="0" w:after="0"/>
        <w:jc w:val="both"/>
        <w:rPr/>
      </w:pPr>
      <w:r>
        <w:rPr/>
      </w:r>
    </w:p>
    <w:p>
      <w:pPr>
        <w:pStyle w:val="TextBody"/>
        <w:spacing w:lineRule="auto" w:line="268" w:before="0" w:after="0"/>
        <w:jc w:val="both"/>
        <w:rPr>
          <w:color w:val="000000"/>
        </w:rPr>
      </w:pPr>
      <w:r>
        <w:rPr>
          <w:color w:val="000000"/>
        </w:rPr>
        <w:t>“</w:t>
      </w:r>
      <w:r>
        <w:rPr>
          <w:rFonts w:ascii="Arial;sans-serif" w:hAnsi="Arial;sans-serif"/>
          <w:b w:val="false"/>
          <w:color w:val="000000"/>
          <w:sz w:val="20"/>
        </w:rPr>
        <w:t>In the first quarter of 2023, the EchoStar team performed as planned, with a focus on optimizing our existing assets and market opportunities efficiently,” said Hamid Akhavan, CEO and President of EchoStar. “The business continues to pursue new avenues of growth, laying the operational foundation to drive increased revenues once our upcoming EchoStar XXIV/JUPITER 3 satellite enters into service and taking tangible steps toward fulfilling our vision of a global 5G network in the S-band.”</w:t>
      </w:r>
    </w:p>
    <w:p>
      <w:pPr>
        <w:pStyle w:val="TextBody"/>
        <w:spacing w:before="0" w:after="0"/>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Three Months Ended March 31, 2023 - Additional Information:</w:t>
      </w:r>
    </w:p>
    <w:p>
      <w:pPr>
        <w:pStyle w:val="TextBody"/>
        <w:spacing w:before="0" w:after="0"/>
        <w:jc w:val="both"/>
        <w:rPr/>
      </w:pPr>
      <w:r>
        <w:rPr/>
      </w:r>
    </w:p>
    <w:p>
      <w:pPr>
        <w:pStyle w:val="TextBody"/>
        <w:spacing w:lineRule="auto" w:line="288" w:before="0" w:after="140"/>
        <w:ind w:left="0" w:right="0" w:hanging="360"/>
        <w:jc w:val="both"/>
        <w:rPr/>
      </w:pPr>
      <w:r>
        <w:rPr>
          <w:color w:val="000000"/>
        </w:rPr>
        <w:t>•</w:t>
      </w:r>
      <w:r>
        <w:rPr>
          <w:rFonts w:ascii="Arial;sans-serif" w:hAnsi="Arial;sans-serif"/>
          <w:b w:val="false"/>
          <w:color w:val="000000"/>
          <w:sz w:val="20"/>
        </w:rPr>
        <w:t>Consolidated revenue decreased 12.3% or $61.9 million year over year. The decrease was driven by lower service revenues of $41.3 million partially due to fewer broadband customers. Equipment sales decreased $20.7 million, primarily due to lower sales to both domestic and international enterprise customers.</w:t>
      </w:r>
    </w:p>
    <w:p>
      <w:pPr>
        <w:pStyle w:val="TextBody"/>
        <w:spacing w:lineRule="auto" w:line="288" w:before="0" w:after="140"/>
        <w:ind w:left="0" w:right="0" w:hanging="360"/>
        <w:jc w:val="both"/>
        <w:rPr/>
      </w:pPr>
      <w:r>
        <w:rPr>
          <w:color w:val="000000"/>
        </w:rPr>
        <w:t>•</w:t>
      </w:r>
      <w:r>
        <w:rPr>
          <w:rFonts w:ascii="Arial;sans-serif" w:hAnsi="Arial;sans-serif"/>
          <w:b w:val="false"/>
          <w:color w:val="000000"/>
          <w:sz w:val="20"/>
        </w:rPr>
        <w:t>Net income decreased $61.1 million year over year. The decrease was due to lower operating income of $16.8 million and an unfavorable change in investments of $87.8 million due to $80.7 million of gains that occurred in 2022. These items were partially offset by a favorable change in interest income of $22.2 million and lower net income tax expense of $21.3 million.</w:t>
      </w:r>
    </w:p>
    <w:p>
      <w:pPr>
        <w:pStyle w:val="TextBody"/>
        <w:spacing w:lineRule="auto" w:line="288" w:before="0" w:after="140"/>
        <w:ind w:left="0" w:right="0" w:hanging="360"/>
        <w:jc w:val="both"/>
        <w:rPr/>
      </w:pPr>
      <w:r>
        <w:rPr>
          <w:color w:val="000000"/>
        </w:rPr>
        <w:t>•</w:t>
      </w:r>
      <w:r>
        <w:rPr>
          <w:rFonts w:ascii="Arial;sans-serif" w:hAnsi="Arial;sans-serif"/>
          <w:b w:val="false"/>
          <w:color w:val="000000"/>
          <w:sz w:val="20"/>
        </w:rPr>
        <w:t>Adjusted EBITDA decreased 18.6% or $30.9 million year over year.</w:t>
      </w:r>
    </w:p>
    <w:p>
      <w:pPr>
        <w:pStyle w:val="TextBody"/>
        <w:spacing w:lineRule="auto" w:line="288" w:before="0" w:after="140"/>
        <w:ind w:left="0" w:right="0" w:hanging="360"/>
        <w:jc w:val="both"/>
        <w:rPr/>
      </w:pPr>
      <w:r>
        <w:rPr>
          <w:color w:val="000000"/>
          <w:highlight w:val="white"/>
        </w:rPr>
        <w:t>◦</w:t>
      </w:r>
      <w:r>
        <w:rPr>
          <w:rFonts w:ascii="Arial;sans-serif" w:hAnsi="Arial;sans-serif"/>
          <w:b w:val="false"/>
          <w:color w:val="000000"/>
          <w:sz w:val="20"/>
          <w:highlight w:val="white"/>
        </w:rPr>
        <w:t>Hughes segment Adjusted EBITDA decreased $30.1 million year over year. The decrease was driven primarily by lower service and equipment revenue, partially offset by lower sales and marketing expense for our broadband consumer business.</w:t>
      </w:r>
    </w:p>
    <w:p>
      <w:pPr>
        <w:pStyle w:val="TextBody"/>
        <w:spacing w:lineRule="auto" w:line="288" w:before="0" w:after="140"/>
        <w:ind w:left="0" w:right="0" w:hanging="360"/>
        <w:jc w:val="both"/>
        <w:rPr/>
      </w:pPr>
      <w:r>
        <w:rPr>
          <w:color w:val="000000"/>
        </w:rPr>
        <w:t>◦</w:t>
      </w:r>
      <w:r>
        <w:rPr>
          <w:rFonts w:ascii="Arial;sans-serif" w:hAnsi="Arial;sans-serif"/>
          <w:b w:val="false"/>
          <w:color w:val="000000"/>
          <w:sz w:val="20"/>
        </w:rPr>
        <w:t>ESS segment Adjusted EBITDA increased $2.0 million year over year primarily due to higher revenue.</w:t>
      </w:r>
    </w:p>
    <w:p>
      <w:pPr>
        <w:pStyle w:val="TextBody"/>
        <w:spacing w:lineRule="auto" w:line="288" w:before="0" w:after="140"/>
        <w:ind w:left="0" w:right="0" w:hanging="360"/>
        <w:jc w:val="both"/>
        <w:rPr/>
      </w:pPr>
      <w:r>
        <w:rPr>
          <w:color w:val="000000"/>
        </w:rPr>
        <w:t>◦</w:t>
      </w:r>
      <w:r>
        <w:rPr>
          <w:rFonts w:ascii="Arial;sans-serif" w:hAnsi="Arial;sans-serif"/>
          <w:b w:val="false"/>
          <w:color w:val="000000"/>
          <w:sz w:val="20"/>
        </w:rPr>
        <w:t>Corporate and Other segment Adjusted EBITDA decreased $2.7 million year over year. The decrease was primarily due to higher corporate expenses, partially offset by higher earnings of unconsolidated affiliates, net, of $0.4 million.</w:t>
      </w:r>
    </w:p>
    <w:p>
      <w:pPr>
        <w:pStyle w:val="TextBody"/>
        <w:spacing w:lineRule="auto" w:line="288" w:before="0" w:after="140"/>
        <w:ind w:left="0" w:right="0" w:hanging="360"/>
        <w:jc w:val="both"/>
        <w:rPr/>
      </w:pPr>
      <w:r>
        <w:rPr>
          <w:color w:val="000000"/>
        </w:rPr>
        <w:t>•</w:t>
      </w:r>
      <w:r>
        <w:rPr>
          <w:rFonts w:ascii="Arial;sans-serif" w:hAnsi="Arial;sans-serif"/>
          <w:b w:val="false"/>
          <w:color w:val="000000"/>
          <w:sz w:val="20"/>
        </w:rPr>
        <w:t>Hughes broadband subscribers totaled approximately 1,177,000, declining 51,000 from December 31, 2022. Our current capacity limitations, increasing bandwidth usage by approximately 15% year on year on average by our existing U.S subscribers, and competitive pressures are impacting our consumer subscriber levels. In Latin America, subscriber levels were tempered by our focus on more profitable consumer segments and by our allocation of capacity to enterprise opportunities.</w:t>
      </w:r>
    </w:p>
    <w:p>
      <w:pPr>
        <w:pStyle w:val="TextBody"/>
        <w:spacing w:lineRule="auto" w:line="288" w:before="0" w:after="0"/>
        <w:ind w:left="0" w:right="0" w:hanging="360"/>
        <w:rPr/>
      </w:pPr>
      <w:r>
        <w:rPr>
          <w:color w:val="000000"/>
        </w:rPr>
        <w:t>•</w:t>
      </w:r>
      <w:r>
        <w:rPr>
          <w:rFonts w:ascii="Arial;sans-serif" w:hAnsi="Arial;sans-serif"/>
          <w:b w:val="false"/>
          <w:color w:val="000000"/>
          <w:sz w:val="20"/>
        </w:rPr>
        <w:t>For the three months ended March 31, 2023, approximately 37% of Hughes segment revenue was attributable to our enterprise customers, increasing from 36% in the same period last year.</w:t>
      </w:r>
    </w:p>
    <w:p>
      <w:pPr>
        <w:pStyle w:val="TextBody"/>
        <w:spacing w:before="0" w:after="0"/>
        <w:rPr/>
      </w:pPr>
      <w:r>
        <w:rPr/>
      </w:r>
    </w:p>
    <w:p>
      <w:pPr>
        <w:pStyle w:val="TextBody"/>
        <w:spacing w:lineRule="auto" w:line="288" w:before="0" w:after="140"/>
        <w:ind w:left="0" w:right="0" w:hanging="360"/>
        <w:jc w:val="both"/>
        <w:rPr/>
      </w:pPr>
      <w:r>
        <w:rPr>
          <w:color w:val="000000"/>
        </w:rPr>
        <w:t>•</w:t>
      </w:r>
      <w:r>
        <w:rPr>
          <w:rFonts w:ascii="Arial;sans-serif" w:hAnsi="Arial;sans-serif"/>
          <w:b w:val="false"/>
          <w:color w:val="000000"/>
          <w:sz w:val="20"/>
        </w:rPr>
        <w:t>Cash, cash equivalents and current marketable investment securities were $1.7 billion as of March 31, 2023.</w:t>
      </w:r>
    </w:p>
    <w:p>
      <w:pPr>
        <w:pStyle w:val="TextBody"/>
        <w:spacing w:lineRule="auto" w:line="288" w:before="0" w:after="140"/>
        <w:ind w:left="0" w:right="0" w:hanging="360"/>
        <w:jc w:val="both"/>
        <w:rPr/>
      </w:pPr>
      <w:r>
        <w:rPr>
          <w:color w:val="000000"/>
        </w:rPr>
        <w:t>•</w:t>
      </w:r>
      <w:r>
        <w:rPr>
          <w:rFonts w:ascii="Arial;sans-serif" w:hAnsi="Arial;sans-serif"/>
          <w:b w:val="false"/>
          <w:color w:val="000000"/>
          <w:sz w:val="20"/>
        </w:rPr>
        <w:t>The JUPITER 3/EchoStar XXIV satellite is currently expected to be shipped to the launch site in June and subsequently launched at the first window that SpaceX can allocate to it, which is subject to preemption by certain higher-priority government launches.</w:t>
      </w:r>
      <w:r>
        <w:br w:type="page"/>
      </w: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40"/>
        <w:jc w:val="both"/>
        <w:rPr>
          <w:rFonts w:ascii="Arial;sans-serif" w:hAnsi="Arial;sans-serif"/>
          <w:b w:val="false"/>
          <w:color w:val="000000"/>
          <w:sz w:val="20"/>
        </w:rPr>
      </w:pPr>
      <w:r>
        <w:rPr>
          <w:rFonts w:ascii="Arial;sans-serif" w:hAnsi="Arial;sans-serif"/>
          <w:b w:val="false"/>
          <w:color w:val="000000"/>
          <w:sz w:val="20"/>
        </w:rPr>
        <w:t>Set forth below is a table highlighting certain of EchoStar’s segment results for the three months ended March 31, 2023 and 2022 (amounts in thousands) (all US GAAP amounts reference results from operations):</w:t>
      </w:r>
    </w:p>
    <w:tbl>
      <w:tblPr>
        <w:tblW w:w="10205" w:type="dxa"/>
        <w:jc w:val="left"/>
        <w:tblInd w:w="0" w:type="dxa"/>
        <w:tblCellMar>
          <w:top w:w="28" w:type="dxa"/>
          <w:left w:w="28" w:type="dxa"/>
          <w:bottom w:w="28" w:type="dxa"/>
          <w:right w:w="28" w:type="dxa"/>
        </w:tblCellMar>
      </w:tblPr>
      <w:tblGrid>
        <w:gridCol w:w="2326"/>
        <w:gridCol w:w="1985"/>
        <w:gridCol w:w="2012"/>
        <w:gridCol w:w="109"/>
        <w:gridCol w:w="109"/>
        <w:gridCol w:w="109"/>
        <w:gridCol w:w="274"/>
        <w:gridCol w:w="1117"/>
        <w:gridCol w:w="141"/>
        <w:gridCol w:w="141"/>
        <w:gridCol w:w="141"/>
        <w:gridCol w:w="141"/>
        <w:gridCol w:w="274"/>
        <w:gridCol w:w="1117"/>
        <w:gridCol w:w="209"/>
      </w:tblGrid>
      <w:tr>
        <w:trPr/>
        <w:tc>
          <w:tcPr>
            <w:tcW w:w="2326" w:type="dxa"/>
            <w:tcBorders/>
            <w:shd w:fill="auto" w:val="clear"/>
            <w:vAlign w:val="center"/>
          </w:tcPr>
          <w:p>
            <w:pPr>
              <w:pStyle w:val="TableContents"/>
              <w:spacing w:before="0" w:after="283"/>
              <w:rPr>
                <w:sz w:val="4"/>
                <w:szCs w:val="4"/>
              </w:rPr>
            </w:pPr>
            <w:r>
              <w:rPr>
                <w:sz w:val="4"/>
                <w:szCs w:val="4"/>
              </w:rPr>
            </w:r>
          </w:p>
        </w:tc>
        <w:tc>
          <w:tcPr>
            <w:tcW w:w="1985" w:type="dxa"/>
            <w:tcBorders/>
            <w:shd w:fill="auto" w:val="clear"/>
            <w:vAlign w:val="center"/>
          </w:tcPr>
          <w:p>
            <w:pPr>
              <w:pStyle w:val="TableContents"/>
              <w:spacing w:before="0" w:after="283"/>
              <w:rPr>
                <w:sz w:val="4"/>
                <w:szCs w:val="4"/>
              </w:rPr>
            </w:pPr>
            <w:r>
              <w:rPr>
                <w:sz w:val="4"/>
                <w:szCs w:val="4"/>
              </w:rPr>
            </w:r>
          </w:p>
        </w:tc>
        <w:tc>
          <w:tcPr>
            <w:tcW w:w="2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431,195 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494,106 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EchoStar Satellite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5,997 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4,474 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Corporate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439,597 </w:t>
            </w:r>
          </w:p>
        </w:tc>
        <w:tc>
          <w:tcPr>
            <w:tcW w:w="1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501,534 </w:t>
            </w:r>
          </w:p>
        </w:tc>
        <w:tc>
          <w:tcPr>
            <w:tcW w:w="2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27,820 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88,945 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Hughes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154,164 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184,287 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EchoStar Satellite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4,655 </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Corporate &amp;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(23,832)</w:t>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(21,089)</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Total Adjusted EBITDA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134,987 </w:t>
            </w:r>
          </w:p>
        </w:tc>
        <w:tc>
          <w:tcPr>
            <w:tcW w:w="1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165,889 </w:t>
            </w:r>
          </w:p>
        </w:tc>
        <w:tc>
          <w:tcPr>
            <w:tcW w:w="2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23"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color w:val="000000"/>
                <w:sz w:val="20"/>
              </w:rPr>
            </w:pPr>
            <w:r>
              <w:rPr>
                <w:rFonts w:ascii="Arial;sans-serif" w:hAnsi="Arial;sans-serif"/>
                <w:b/>
                <w:color w:val="000000"/>
                <w:sz w:val="20"/>
              </w:rPr>
              <w:t>Expenditures for property and equipment, net of refunds and other receipts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44,071 </w:t>
            </w:r>
          </w:p>
        </w:tc>
        <w:tc>
          <w:tcPr>
            <w:tcW w:w="141"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112,138 </w:t>
            </w:r>
          </w:p>
        </w:tc>
        <w:tc>
          <w:tcPr>
            <w:tcW w:w="209"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Reconciliation of GAAP to Non-GAAP Measurement (amounts in thousands):</w:t>
      </w:r>
    </w:p>
    <w:tbl>
      <w:tblPr>
        <w:tblW w:w="9175" w:type="dxa"/>
        <w:jc w:val="center"/>
        <w:tblInd w:w="0" w:type="dxa"/>
        <w:tblCellMar>
          <w:top w:w="28" w:type="dxa"/>
          <w:left w:w="28" w:type="dxa"/>
          <w:bottom w:w="28" w:type="dxa"/>
          <w:right w:w="28" w:type="dxa"/>
        </w:tblCellMar>
      </w:tblPr>
      <w:tblGrid>
        <w:gridCol w:w="1868"/>
        <w:gridCol w:w="1643"/>
        <w:gridCol w:w="1649"/>
        <w:gridCol w:w="109"/>
        <w:gridCol w:w="109"/>
        <w:gridCol w:w="109"/>
        <w:gridCol w:w="309"/>
        <w:gridCol w:w="1102"/>
        <w:gridCol w:w="160"/>
        <w:gridCol w:w="160"/>
        <w:gridCol w:w="160"/>
        <w:gridCol w:w="160"/>
        <w:gridCol w:w="309"/>
        <w:gridCol w:w="1102"/>
        <w:gridCol w:w="226"/>
      </w:tblGrid>
      <w:tr>
        <w:trPr/>
        <w:tc>
          <w:tcPr>
            <w:tcW w:w="1868"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16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27,820 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88,945 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(28,596)</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(6,422)</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amounts capitalized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13,286 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14,973 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11,460 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32,782 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102,858 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120,436 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attributable to 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EBITDA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128,049 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253,202 </w:t>
            </w:r>
          </w:p>
        </w:tc>
        <w:tc>
          <w:tcPr>
            <w:tcW w:w="2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(Gains) losses on investments,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7,109 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(80,686)</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long-lived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3,142 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License fee dispute - India, net of 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Foreign currency transaction (gains) losses,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(3,313)</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(6,394)</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134,987 </w:t>
            </w:r>
          </w:p>
        </w:tc>
        <w:tc>
          <w:tcPr>
            <w:tcW w:w="160"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165,889 </w:t>
            </w:r>
          </w:p>
        </w:tc>
        <w:tc>
          <w:tcPr>
            <w:tcW w:w="22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Note on Use of Non-GAAP Financial Measures</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EBITDA is defined as “Net income (loss)” excluding “Interest income, net,” “Interest expense, net of amounts capitalized,” “Income tax benefit (provision), net,” “Depreciation and amortization,” and “Net income (loss) attributable to non-controlling interests.”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EBITDA is defined as EBITDA excluding Gains and losses on investments, net, Foreign currency transaction gains (losses), net, and other non-recurring or non-operational items.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consolidated financial statements of EchoStar for the periods ended March 31, 2023 and 2022 are attached to this press release. Detailed financial data and other information are available in EchoStar’s Quarterly Report on Form 10-Q for the period ended March 31, 2023 filed today with the Securities and Exchange Commission.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EchoStar will host a conference call to discuss its earnings on Tuesday, May 9, 2023 at 8:30 a.m. Eastern Time. The conference call will be broadcast live in listen-only mode on EchoStar’s investor relations website at ir.echostar.com. To participate via telephone and ask a question, participants must register using an online form found at: https://register.vevent.com/register/BI60954a97734841e7aa2eaffe6e4ad436.</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About EchoStar Corporation</w:t>
      </w:r>
    </w:p>
    <w:p>
      <w:pPr>
        <w:pStyle w:val="TextBody"/>
        <w:spacing w:before="0" w:after="0"/>
        <w:jc w:val="both"/>
        <w:rPr/>
      </w:pPr>
      <w:r>
        <w:rPr/>
      </w:r>
    </w:p>
    <w:p>
      <w:pPr>
        <w:pStyle w:val="TextBody"/>
        <w:spacing w:lineRule="auto" w:line="288"/>
        <w:jc w:val="both"/>
        <w:rPr>
          <w:rFonts w:ascii="Arial;sans-serif" w:hAnsi="Arial;sans-serif"/>
          <w:b w:val="false"/>
          <w:color w:val="000000"/>
          <w:sz w:val="20"/>
        </w:rPr>
      </w:pPr>
      <w:r>
        <w:rPr>
          <w:rFonts w:ascii="Arial;sans-serif" w:hAnsi="Arial;sans-serif"/>
          <w:b w:val="false"/>
          <w:color w:val="000000"/>
          <w:sz w:val="20"/>
        </w:rPr>
        <w:t xml:space="preserve">EchoStar Corporation (Nasdaq: SATS) is a premier global provider of satellite communications solutions. Headquartered in Englewood, Colo., and conducting business around the globe, EchoStar is a pioneer in </w:t>
      </w:r>
      <w:r>
        <w:br w:type="page"/>
      </w: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secure communications technologies through its Hughes Network Systems and EchoStar Satellite Services business segments.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Safe Harbor Statement under the US Private Securities Litigation Reform Act of 1995</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“goal,” “seek,” “estimate,” “expect,” “intend,” “project,” “continue,” “future,” “will,” “would,” “can,” “may,” “plans,” and similar expressions and the use of future dates are intended to identify forward</w:t>
        <w:noBreakHyphen/>
        <w:t>looking statements. Although management believes that the expectations reflected in these forward</w:t>
        <w:noBreakHyphen/>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2022 as filed with the Securities and Exchange Commission and in the other documents EchoStar files with the Securities and Exchange Commission from time to time.</w:t>
      </w:r>
    </w:p>
    <w:p>
      <w:pPr>
        <w:pStyle w:val="TextBody"/>
        <w:spacing w:before="0" w:after="0"/>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p>
      <w:pPr>
        <w:pStyle w:val="TextBody"/>
        <w:spacing w:before="0" w:after="0"/>
        <w:jc w:val="center"/>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Contact Information</w:t>
      </w:r>
    </w:p>
    <w:tbl>
      <w:tblPr>
        <w:tblW w:w="6359" w:type="dxa"/>
        <w:jc w:val="left"/>
        <w:tblInd w:w="0" w:type="dxa"/>
        <w:tblCellMar>
          <w:top w:w="28" w:type="dxa"/>
          <w:left w:w="28" w:type="dxa"/>
          <w:bottom w:w="28" w:type="dxa"/>
          <w:right w:w="28" w:type="dxa"/>
        </w:tblCellMar>
      </w:tblPr>
      <w:tblGrid>
        <w:gridCol w:w="983"/>
        <w:gridCol w:w="863"/>
        <w:gridCol w:w="868"/>
        <w:gridCol w:w="1068"/>
        <w:gridCol w:w="1068"/>
        <w:gridCol w:w="1509"/>
      </w:tblGrid>
      <w:tr>
        <w:trPr/>
        <w:tc>
          <w:tcPr>
            <w:tcW w:w="98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color w:val="000000"/>
                <w:sz w:val="20"/>
              </w:rPr>
            </w:pPr>
            <w:r>
              <w:rPr>
                <w:rFonts w:ascii="Arial;sans-serif" w:hAnsi="Arial;sans-serif"/>
                <w:b/>
                <w:color w:val="000000"/>
                <w:sz w:val="20"/>
              </w:rPr>
              <w:t>EchoStar Investor Relations</w:t>
            </w:r>
          </w:p>
        </w:tc>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rFonts w:ascii="Arial;sans-serif" w:hAnsi="Arial;sans-serif"/>
                <w:b/>
                <w:color w:val="000000"/>
                <w:sz w:val="20"/>
              </w:rPr>
            </w:pPr>
            <w:r>
              <w:rPr>
                <w:rFonts w:ascii="Arial;sans-serif" w:hAnsi="Arial;sans-serif"/>
                <w:b/>
                <w:color w:val="000000"/>
                <w:sz w:val="20"/>
              </w:rPr>
              <w:t>EchoStar Media Relations</w:t>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40" w:after="283"/>
              <w:jc w:val="left"/>
              <w:rPr>
                <w:rFonts w:ascii="Arial;sans-serif" w:hAnsi="Arial;sans-serif"/>
                <w:b w:val="false"/>
                <w:color w:val="000000"/>
                <w:sz w:val="20"/>
              </w:rPr>
            </w:pPr>
            <w:r>
              <w:rPr>
                <w:rFonts w:ascii="Arial;sans-serif" w:hAnsi="Arial;sans-serif"/>
                <w:b w:val="false"/>
                <w:color w:val="000000"/>
                <w:sz w:val="20"/>
              </w:rPr>
              <w:t>Samantha Whirley</w:t>
            </w:r>
          </w:p>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Phone: +1 301-601-6451</w:t>
            </w:r>
          </w:p>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Email: ir@echostar.com</w:t>
            </w:r>
          </w:p>
        </w:tc>
        <w:tc>
          <w:tcPr>
            <w:tcW w:w="3645" w:type="dxa"/>
            <w:gridSpan w:val="3"/>
            <w:tcBorders/>
            <w:shd w:fill="auto" w:val="clear"/>
            <w:tcMar>
              <w:top w:w="0" w:type="dxa"/>
              <w:left w:w="0" w:type="dxa"/>
              <w:bottom w:w="0" w:type="dxa"/>
              <w:right w:w="0" w:type="dxa"/>
            </w:tcMar>
            <w:vAlign w:val="center"/>
          </w:tcPr>
          <w:p>
            <w:pPr>
              <w:pStyle w:val="TableContents"/>
              <w:spacing w:lineRule="auto" w:line="240" w:before="40" w:after="283"/>
              <w:jc w:val="left"/>
              <w:rPr>
                <w:rFonts w:ascii="Arial;sans-serif" w:hAnsi="Arial;sans-serif"/>
                <w:b w:val="false"/>
                <w:color w:val="000000"/>
                <w:sz w:val="20"/>
              </w:rPr>
            </w:pPr>
            <w:r>
              <w:rPr>
                <w:rFonts w:ascii="Arial;sans-serif" w:hAnsi="Arial;sans-serif"/>
                <w:b w:val="false"/>
                <w:color w:val="000000"/>
                <w:sz w:val="20"/>
              </w:rPr>
              <w:t>Sharyn Nerenberg</w:t>
            </w:r>
          </w:p>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Phone: +1 301-428-7124</w:t>
            </w:r>
          </w:p>
          <w:p>
            <w:pPr>
              <w:pStyle w:val="TableContents"/>
              <w:spacing w:lineRule="auto" w:line="240" w:before="0" w:after="40"/>
              <w:jc w:val="left"/>
              <w:rPr>
                <w:rFonts w:ascii="Arial;sans-serif" w:hAnsi="Arial;sans-serif"/>
                <w:b w:val="false"/>
                <w:color w:val="000000"/>
                <w:sz w:val="20"/>
              </w:rPr>
            </w:pPr>
            <w:r>
              <w:rPr>
                <w:rFonts w:ascii="Arial;sans-serif" w:hAnsi="Arial;sans-serif"/>
                <w:b w:val="false"/>
                <w:color w:val="000000"/>
                <w:sz w:val="20"/>
              </w:rPr>
              <w:t>Email: sharyn.nerenberg@echostar.com</w:t>
            </w:r>
          </w:p>
        </w:tc>
      </w:tr>
    </w:tbl>
    <w:p>
      <w:pPr>
        <w:pStyle w:val="TextBody"/>
        <w:spacing w:before="0" w:after="0"/>
        <w:rPr/>
      </w:pPr>
      <w:r>
        <w:br w:type="page"/>
      </w: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(Amounts in thousands, except share and per share amounts)</w:t>
      </w:r>
    </w:p>
    <w:tbl>
      <w:tblPr>
        <w:tblW w:w="8122" w:type="dxa"/>
        <w:jc w:val="center"/>
        <w:tblInd w:w="0" w:type="dxa"/>
        <w:tblCellMar>
          <w:top w:w="28" w:type="dxa"/>
          <w:left w:w="28" w:type="dxa"/>
          <w:bottom w:w="28" w:type="dxa"/>
          <w:right w:w="28" w:type="dxa"/>
        </w:tblCellMar>
      </w:tblPr>
      <w:tblGrid>
        <w:gridCol w:w="1534"/>
        <w:gridCol w:w="1348"/>
        <w:gridCol w:w="1363"/>
        <w:gridCol w:w="109"/>
        <w:gridCol w:w="109"/>
        <w:gridCol w:w="109"/>
        <w:gridCol w:w="229"/>
        <w:gridCol w:w="1062"/>
        <w:gridCol w:w="118"/>
        <w:gridCol w:w="109"/>
        <w:gridCol w:w="109"/>
        <w:gridCol w:w="109"/>
        <w:gridCol w:w="285"/>
        <w:gridCol w:w="1321"/>
        <w:gridCol w:w="208"/>
      </w:tblGrid>
      <w:tr>
        <w:trPr/>
        <w:tc>
          <w:tcPr>
            <w:tcW w:w="1534"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 of</w:t>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920,105 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704,541 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investment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755,169 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973,915 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and contract assets,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251,871 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236,479 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252,596 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210,446 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2,179,741 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2,125,381 </w:t>
            </w:r>
          </w:p>
        </w:tc>
        <w:tc>
          <w:tcPr>
            <w:tcW w:w="20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Non-current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2,175,861 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2,237,617 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147,707 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151,518 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532,858 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532,491 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authorizations,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461,556 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462,531 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15,151 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15,698 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364,954 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356,705 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315,960 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317,062 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4,014,047 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4,073,622 </w:t>
            </w:r>
          </w:p>
        </w:tc>
        <w:tc>
          <w:tcPr>
            <w:tcW w:w="20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6,193,788 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6,199,003 </w:t>
            </w:r>
          </w:p>
        </w:tc>
        <w:tc>
          <w:tcPr>
            <w:tcW w:w="20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payable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85,772 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101,239 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129,292 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121,739 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163,109 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199,853 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378,173 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422,831 </w:t>
            </w:r>
          </w:p>
        </w:tc>
        <w:tc>
          <w:tcPr>
            <w:tcW w:w="20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Non-current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1,496,981 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1,496,777 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430,957 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424,621 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131,881 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135,932 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112,534 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119,787 </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2,172,353 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2,177,117 </w:t>
            </w:r>
          </w:p>
        </w:tc>
        <w:tc>
          <w:tcPr>
            <w:tcW w:w="20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2,550,526 </w:t>
            </w:r>
          </w:p>
        </w:tc>
        <w:tc>
          <w:tcPr>
            <w:tcW w:w="1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2,599,948 </w:t>
            </w:r>
          </w:p>
        </w:tc>
        <w:tc>
          <w:tcPr>
            <w:tcW w:w="20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5</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(Amounts in thousands, except share and per share amounts)</w:t>
      </w:r>
    </w:p>
    <w:p>
      <w:pPr>
        <w:pStyle w:val="TextBody"/>
        <w:spacing w:before="0" w:after="0"/>
        <w:jc w:val="center"/>
        <w:rPr/>
      </w:pPr>
      <w:r>
        <w:rPr/>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538"/>
        <w:gridCol w:w="2184"/>
        <w:gridCol w:w="2191"/>
        <w:gridCol w:w="109"/>
        <w:gridCol w:w="109"/>
        <w:gridCol w:w="109"/>
        <w:gridCol w:w="211"/>
        <w:gridCol w:w="976"/>
        <w:gridCol w:w="109"/>
        <w:gridCol w:w="109"/>
        <w:gridCol w:w="109"/>
        <w:gridCol w:w="109"/>
        <w:gridCol w:w="211"/>
        <w:gridCol w:w="976"/>
        <w:gridCol w:w="155"/>
      </w:tblGrid>
      <w:tr>
        <w:trPr/>
        <w:tc>
          <w:tcPr>
            <w:tcW w:w="2538" w:type="dxa"/>
            <w:tcBorders/>
            <w:shd w:fill="auto" w:val="clear"/>
            <w:vAlign w:val="center"/>
          </w:tcPr>
          <w:p>
            <w:pPr>
              <w:pStyle w:val="TableContents"/>
              <w:spacing w:before="0" w:after="283"/>
              <w:rPr>
                <w:sz w:val="4"/>
                <w:szCs w:val="4"/>
              </w:rPr>
            </w:pPr>
            <w:r>
              <w:rPr>
                <w:sz w:val="4"/>
                <w:szCs w:val="4"/>
              </w:rPr>
            </w:r>
          </w:p>
        </w:tc>
        <w:tc>
          <w:tcPr>
            <w:tcW w:w="2184"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$0.001 par value, 20,000,000 shares authorized, none issued and outstanding at both March 31, 2023 and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18"/>
              </w:rPr>
            </w:pPr>
            <w:r>
              <w:rPr>
                <w:rFonts w:ascii="Arial;sans-serif" w:hAnsi="Arial;sans-serif"/>
                <w:b/>
                <w:color w:val="000000"/>
                <w:sz w:val="18"/>
              </w:rPr>
              <w:t>Common stock, $0.001 par value, 4,000,000,000 shares authorized: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A common stock, $0.001 par value, 1,600,000,000 shares authorized, 59,303,237 shares issued and 35,989,926 shares outstanding at March 31, 2023 and 58,604,927 shares issued and 35,291,616 shares outstanding at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B convertible common stock, $0.001 par value, 800,000,000 shares authorized, 47,687,039 shares issued and outstanding at both March 31, 2023 and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C convertible common stock, $0.001 par value, 800,000,000 shares authorized, none issued and outstanding at both March 31, 2023 and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D common stock, $0.001 par value, 800,000,000 shares authorized, none issued and outstanding at both March 31, 2023 and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3,376,169 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3,367,058 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(166,931)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(172,239)</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earnings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862,558 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833,517 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shares, at cost, 23,313,311 at both March 31, 2023 and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(525,824)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(525,824)</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EchoStar Corporation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3,546,079 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3,502,619 </w:t>
            </w:r>
          </w:p>
        </w:tc>
        <w:tc>
          <w:tcPr>
            <w:tcW w:w="1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96,436 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3,643,262 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3,599,055 </w:t>
            </w:r>
          </w:p>
        </w:tc>
        <w:tc>
          <w:tcPr>
            <w:tcW w:w="1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6,193,788 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6,199,003 </w:t>
            </w:r>
          </w:p>
        </w:tc>
        <w:tc>
          <w:tcPr>
            <w:tcW w:w="1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(Amounts in thousands, except per share amounts)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213"/>
        <w:gridCol w:w="1916"/>
        <w:gridCol w:w="1920"/>
        <w:gridCol w:w="109"/>
        <w:gridCol w:w="109"/>
        <w:gridCol w:w="109"/>
        <w:gridCol w:w="287"/>
        <w:gridCol w:w="1125"/>
        <w:gridCol w:w="147"/>
        <w:gridCol w:w="147"/>
        <w:gridCol w:w="147"/>
        <w:gridCol w:w="147"/>
        <w:gridCol w:w="287"/>
        <w:gridCol w:w="1125"/>
        <w:gridCol w:w="147"/>
        <w:gridCol w:w="109"/>
        <w:gridCol w:w="161"/>
      </w:tblGrid>
      <w:tr>
        <w:trPr/>
        <w:tc>
          <w:tcPr>
            <w:tcW w:w="2213" w:type="dxa"/>
            <w:tcBorders/>
            <w:shd w:fill="auto" w:val="clear"/>
            <w:vAlign w:val="center"/>
          </w:tcPr>
          <w:p>
            <w:pPr>
              <w:pStyle w:val="TableContents"/>
              <w:spacing w:before="0" w:after="283"/>
              <w:rPr>
                <w:sz w:val="4"/>
                <w:szCs w:val="4"/>
              </w:rPr>
            </w:pPr>
            <w:r>
              <w:rPr>
                <w:sz w:val="4"/>
                <w:szCs w:val="4"/>
              </w:rPr>
            </w:r>
          </w:p>
        </w:tc>
        <w:tc>
          <w:tcPr>
            <w:tcW w:w="1916" w:type="dxa"/>
            <w:tcBorders/>
            <w:shd w:fill="auto" w:val="clear"/>
            <w:vAlign w:val="center"/>
          </w:tcPr>
          <w:p>
            <w:pPr>
              <w:pStyle w:val="TableContents"/>
              <w:spacing w:before="0" w:after="283"/>
              <w:rPr>
                <w:sz w:val="4"/>
                <w:szCs w:val="4"/>
              </w:rPr>
            </w:pPr>
            <w:r>
              <w:rPr>
                <w:sz w:val="4"/>
                <w:szCs w:val="4"/>
              </w:rPr>
            </w:r>
          </w:p>
        </w:tc>
        <w:tc>
          <w:tcPr>
            <w:tcW w:w="19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Services and other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377,527 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418,811 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62,070 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82,723 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439,597 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501,534 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 - services and other (exclusive of 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135,372 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141,129 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 - equipment (exclusive of 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51,662 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69,114 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110,061 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118,170 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8,255 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7,617 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102,858 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120,436 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long-lived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411,350 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456,466 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28,247 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45,068 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Other income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28,596 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6,422 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 of amounts capitalized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(13,286)</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(14,973)</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investments,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(7,109)</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80,686 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earnings (losses) of unconsolidated affiliates,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transaction gains (losses),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3,313 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6,394 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11,033 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76,659 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39,280 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121,727 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(provision),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(11,460)</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(32,782)</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27,820 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88,945 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loss (income) attributable to 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EchoStar Corporation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29,041 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91,433 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(losses)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0.35 </w:t>
            </w:r>
          </w:p>
        </w:tc>
        <w:tc>
          <w:tcPr>
            <w:tcW w:w="147"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47"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ECHOSTAR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(Amounts in thousands)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450"/>
        <w:gridCol w:w="2040"/>
        <w:gridCol w:w="2053"/>
        <w:gridCol w:w="109"/>
        <w:gridCol w:w="109"/>
        <w:gridCol w:w="109"/>
        <w:gridCol w:w="286"/>
        <w:gridCol w:w="980"/>
        <w:gridCol w:w="147"/>
        <w:gridCol w:w="147"/>
        <w:gridCol w:w="147"/>
        <w:gridCol w:w="147"/>
        <w:gridCol w:w="286"/>
        <w:gridCol w:w="980"/>
        <w:gridCol w:w="215"/>
      </w:tblGrid>
      <w:tr>
        <w:trPr/>
        <w:tc>
          <w:tcPr>
            <w:tcW w:w="2450"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sz w:val="4"/>
                <w:szCs w:val="4"/>
              </w:rPr>
            </w:pPr>
            <w:r>
              <w:rPr>
                <w:sz w:val="4"/>
                <w:szCs w:val="4"/>
              </w:rPr>
            </w:r>
          </w:p>
        </w:tc>
        <w:tc>
          <w:tcPr>
            <w:tcW w:w="20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March 31,</w:t>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6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27,820 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88,945 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Adjustments to reconcile net income (loss) to cash flows provided by (used for) operating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102,858 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120,436 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long-lived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(gains) on investments,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7,109 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(80,686)</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losses (earnings) of unconsolidated affiliates,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1,714 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transaction losses (gains),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(3,313)</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(6,394)</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provision (benefit),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6,521 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25,538 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2,592 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1,860 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(24,078)</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(2,528)</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Changes in assets and liabilities,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and contract assets,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(14,041)</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(8,480)</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(27,153)</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(3,340)</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payable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(13,797)</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7,046 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7,553 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(28,257)</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(27,033)</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assets and non-current liabilities,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(9,774)</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operating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46,425 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104,353 </w:t>
            </w:r>
          </w:p>
        </w:tc>
        <w:tc>
          <w:tcPr>
            <w:tcW w:w="2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marketable investment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(238,585)</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(88,578)</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maturities of marketable investment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457,776 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492,812 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property and equipment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(59,071)</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(112,138)</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Refunds and other receipts related to capital expenditures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externally marketed software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(6,962)</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(5,093)</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 JV formation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(7,892)</w:t>
            </w:r>
          </w:p>
        </w:tc>
        <w:tc>
          <w:tcPr>
            <w:tcW w:w="2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r>
      <w:tr>
        <w:trPr/>
        <w:tc>
          <w:tcPr>
            <w:tcW w:w="65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r>
      <w:tr>
        <w:trPr/>
        <w:tc>
          <w:tcPr>
            <w:tcW w:w="65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r>
      <w:tr>
        <w:trPr/>
        <w:tc>
          <w:tcPr>
            <w:tcW w:w="65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3"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investing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168,158 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279,111 </w:t>
            </w:r>
          </w:p>
        </w:tc>
        <w:tc>
          <w:tcPr>
            <w:tcW w:w="2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2610"/>
        <w:gridCol w:w="2298"/>
        <w:gridCol w:w="2306"/>
        <w:gridCol w:w="109"/>
        <w:gridCol w:w="109"/>
        <w:gridCol w:w="109"/>
        <w:gridCol w:w="211"/>
        <w:gridCol w:w="826"/>
        <w:gridCol w:w="109"/>
        <w:gridCol w:w="109"/>
        <w:gridCol w:w="109"/>
        <w:gridCol w:w="109"/>
        <w:gridCol w:w="211"/>
        <w:gridCol w:w="826"/>
        <w:gridCol w:w="154"/>
      </w:tblGrid>
      <w:tr>
        <w:trPr/>
        <w:tc>
          <w:tcPr>
            <w:tcW w:w="2610" w:type="dxa"/>
            <w:tcBorders/>
            <w:shd w:fill="auto" w:val="clear"/>
            <w:vAlign w:val="center"/>
          </w:tcPr>
          <w:p>
            <w:pPr>
              <w:pStyle w:val="TableContents"/>
              <w:spacing w:before="0" w:after="283"/>
              <w:rPr>
                <w:sz w:val="4"/>
                <w:szCs w:val="4"/>
              </w:rPr>
            </w:pPr>
            <w:r>
              <w:rPr>
                <w:sz w:val="4"/>
                <w:szCs w:val="4"/>
              </w:rPr>
            </w:r>
          </w:p>
        </w:tc>
        <w:tc>
          <w:tcPr>
            <w:tcW w:w="2298" w:type="dxa"/>
            <w:tcBorders/>
            <w:shd w:fill="auto" w:val="clear"/>
            <w:vAlign w:val="center"/>
          </w:tcPr>
          <w:p>
            <w:pPr>
              <w:pStyle w:val="TableContents"/>
              <w:spacing w:before="0" w:after="283"/>
              <w:rPr>
                <w:sz w:val="4"/>
                <w:szCs w:val="4"/>
              </w:rPr>
            </w:pPr>
            <w:r>
              <w:rPr>
                <w:sz w:val="4"/>
                <w:szCs w:val="4"/>
              </w:rPr>
            </w:r>
          </w:p>
        </w:tc>
        <w:tc>
          <w:tcPr>
            <w:tcW w:w="2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finance lease obligations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in-orbit incentive obligations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Class A common stock issued under the Employee Stock Purchase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Treasury share repurchase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(33,307)</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7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for) financing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(32,469)</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rates on cash and cash equivalents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215,506 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354,475 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including restricted amounts, beginning of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705,883 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536,874 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including restricted amounts, end of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921,389 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891,349 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45" w:before="0" w:after="0"/>
                        <w:rPr>
                          <w:color w:val="000000"/>
                        </w:rPr>
                      </w:pPr>
                      <w:r>
                        <w:rPr>
                          <w:color w:val="000000"/>
                        </w:rPr>
                        <w:t>    </w:t>
                      </w:r>
                      <w:r>
                        <w:rPr>
                          <w:rFonts w:ascii="Times New Roman;sans-serif" w:hAnsi="Times New Roman;sans-serif"/>
                          <w:b w:val="false"/>
                          <w:color w:val="000000"/>
                          <w:sz w:val="20"/>
                        </w:rPr>
                        <w:t>8</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Pages>
  <Words>25937</Words>
  <CharactersWithSpaces>174204</CharactersWithSpaces>
  <Paragraphs>4378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