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ddbs-20250630x10q.htm"/>
        <w:bookmarkStart w:id="1" w:name="ksddbs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40" w:after="283"/>
        <w:ind w:left="0" w:right="0" w:hanging="0"/>
        <w:jc w:val="both"/>
        <w:rPr>
          <w:color w:val="000000"/>
        </w:rPr>
      </w:pPr>
      <w:bookmarkStart w:id="2" w:name="_2811bba2_eefe_41ca_989e_c7a3f053abec"/>
      <w:bookmarkEnd w:id="2"/>
      <w:r>
        <w:rPr>
          <w:color w:val="000000"/>
        </w:rPr>
        <w:t>​</w:t>
      </w:r>
    </w:p>
    <w:p>
      <w:pPr>
        <w:pStyle w:val="TextBody"/>
        <w:pBdr>
          <w:top w:val="single" w:sz="18" w:space="1" w:color="000000"/>
          <w:bottom w:val="single" w:sz="2" w:space="1" w:color="000000"/>
        </w:pBdr>
        <w:bidi w:val="0"/>
        <w:spacing w:lineRule="atLeast" w:line="142"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UNITED STATES</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SECURITIES AND EXCHANGE COMMISSION</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Form 10-Q</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18"/>
        </w:rPr>
      </w:pPr>
      <w:r>
        <w:rPr>
          <w:rFonts w:ascii="Arial;Helvetica;sans-serif" w:hAnsi="Arial;Helvetica;sans-serif"/>
          <w:b/>
          <w:sz w:val="18"/>
        </w:rPr>
        <w:t>(Mark One)</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 w:name="Tc_anvX9Q06CEi5VLdu0JGkig_1_1"/>
      <w:bookmarkStart w:id="4" w:name="_5da4ef95_7f79_4335_a407_99032e1d941c"/>
      <w:bookmarkStart w:id="5" w:name="Tc_anvX9Q06CEi5VLdu0JGkig_1_1"/>
      <w:bookmarkStart w:id="6" w:name="_5da4ef95_7f79_4335_a407_99032e1d941c"/>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QUARTERLY REPORT PURSUANT TO SECTION 13 OR 15(d) OF THE SECURITIES EXCHANGE ACT OF 1934 FOR THE QUARTERLY PERIOD ENDED JUNE 30, 2025.</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OR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7" w:name="Tc_CCQb2nC_G0KG0dL12XqX6g_1_1"/>
      <w:bookmarkStart w:id="8" w:name="_30b36ba3_9c0e_46bb_9546_88260abe3386"/>
      <w:bookmarkStart w:id="9" w:name="Tc_CCQb2nC_G0KG0dL12XqX6g_1_1"/>
      <w:bookmarkStart w:id="10" w:name="_30b36ba3_9c0e_46bb_9546_88260abe3386"/>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TRANSITION REPORT PURSUANT TO SECTION 13 OR 15(d) OF THE SECURITIES EXCHANGE ACT OF 1934 FOR THE TRANSITION PERIOD FROM ______ TO______.</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Commission File Number: 333-31929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DISH DBS Corporation</w:t>
      </w:r>
    </w:p>
    <w:p>
      <w:pPr>
        <w:pStyle w:val="TextBody"/>
        <w:bidi w:val="0"/>
        <w:spacing w:before="0" w:after="0"/>
        <w:ind w:left="0" w:right="0" w:hanging="0"/>
        <w:jc w:val="center"/>
        <w:rPr>
          <w:rFonts w:ascii="Arial;Helvetica;sans-serif" w:hAnsi="Arial;Helvetica;sans-serif"/>
          <w:sz w:val="18"/>
        </w:rPr>
      </w:pPr>
      <w:r>
        <w:rPr>
          <w:rFonts w:ascii="Arial;Helvetica;sans-serif" w:hAnsi="Arial;Helvetica;sans-serif"/>
          <w:sz w:val="18"/>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Qip6ZZnv-0KTbq1-RmKK5w_6_1"/>
      <w:bookmarkStart w:id="12" w:name="Tc_MG4xjmgtwUStDJUZuLvOqA_6_0"/>
      <w:bookmarkStart w:id="13" w:name="Tc_3BFk4Nf4mkKnN9xgQDoN4A_5_0"/>
      <w:bookmarkStart w:id="14" w:name="Tc_bO6nq9RIMEi6heaPTfB0ig_2_1"/>
      <w:bookmarkStart w:id="15" w:name="Tc_ANcu9Gdbl0GWapxB-jJZGA_2_0"/>
      <w:bookmarkStart w:id="16" w:name="_625ae808_6187_480d_b582_bed852a25460"/>
      <w:bookmarkStart w:id="17" w:name="Tc_Qip6ZZnv-0KTbq1-RmKK5w_6_1"/>
      <w:bookmarkStart w:id="18" w:name="Tc_MG4xjmgtwUStDJUZuLvOqA_6_0"/>
      <w:bookmarkStart w:id="19" w:name="Tc_3BFk4Nf4mkKnN9xgQDoN4A_5_0"/>
      <w:bookmarkStart w:id="20" w:name="Tc_bO6nq9RIMEi6heaPTfB0ig_2_1"/>
      <w:bookmarkStart w:id="21" w:name="Tc_ANcu9Gdbl0GWapxB-jJZGA_2_0"/>
      <w:bookmarkStart w:id="22" w:name="_625ae808_6187_480d_b582_bed852a25460"/>
      <w:bookmarkEnd w:id="17"/>
      <w:bookmarkEnd w:id="18"/>
      <w:bookmarkEnd w:id="19"/>
      <w:bookmarkEnd w:id="20"/>
      <w:bookmarkEnd w:id="21"/>
      <w:bookmarkEnd w:id="22"/>
    </w:p>
    <w:tbl>
      <w:tblPr>
        <w:tblW w:w="7802" w:type="dxa"/>
        <w:jc w:val="left"/>
        <w:tblInd w:w="0" w:type="dxa"/>
        <w:tblLayout w:type="fixed"/>
        <w:tblCellMar>
          <w:top w:w="0" w:type="dxa"/>
          <w:left w:w="0" w:type="dxa"/>
          <w:bottom w:w="0" w:type="dxa"/>
          <w:right w:w="0" w:type="dxa"/>
        </w:tblCellMar>
      </w:tblPr>
      <w:tblGrid>
        <w:gridCol w:w="4861"/>
        <w:gridCol w:w="2941"/>
      </w:tblGrid>
      <w:tr>
        <w:trPr/>
        <w:tc>
          <w:tcPr>
            <w:tcW w:w="4861" w:type="dxa"/>
            <w:tcBorders/>
            <w:vAlign w:val="center"/>
          </w:tcPr>
          <w:p>
            <w:pPr>
              <w:pStyle w:val="TableContents"/>
              <w:bidi w:val="0"/>
              <w:spacing w:lineRule="atLeast" w:line="180" w:before="0" w:after="0"/>
              <w:ind w:left="0" w:right="0" w:hanging="0"/>
              <w:jc w:val="center"/>
              <w:rPr/>
            </w:pPr>
            <w:r>
              <w:rPr/>
              <w:t>​</w:t>
            </w:r>
          </w:p>
        </w:tc>
        <w:tc>
          <w:tcPr>
            <w:tcW w:w="2941" w:type="dxa"/>
            <w:tcBorders/>
            <w:vAlign w:val="center"/>
          </w:tcPr>
          <w:p>
            <w:pPr>
              <w:pStyle w:val="TableContents"/>
              <w:bidi w:val="0"/>
              <w:spacing w:lineRule="atLeast" w:line="180" w:before="0" w:after="0"/>
              <w:ind w:left="0" w:right="0" w:hanging="0"/>
              <w:jc w:val="center"/>
              <w:rPr/>
            </w:pPr>
            <w:r>
              <w:rPr/>
              <w:t>​</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Colorado</w:t>
            </w:r>
          </w:p>
        </w:tc>
        <w:tc>
          <w:tcPr>
            <w:tcW w:w="294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84-1328967</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sz w:val="18"/>
              </w:rPr>
            </w:pPr>
            <w:r>
              <w:rPr>
                <w:rFonts w:ascii="Arial;Helvetica;sans-serif" w:hAnsi="Arial;Helvetica;sans-serif"/>
                <w:sz w:val="18"/>
              </w:rPr>
              <w:t>(State or other jurisdiction of incorporation or organization)</w:t>
            </w:r>
          </w:p>
        </w:tc>
        <w:tc>
          <w:tcPr>
            <w:tcW w:w="2941" w:type="dxa"/>
            <w:tcBorders/>
            <w:vAlign w:val="center"/>
          </w:tcPr>
          <w:p>
            <w:pPr>
              <w:pStyle w:val="TableContents"/>
              <w:bidi w:val="0"/>
              <w:spacing w:lineRule="atLeast" w:line="180" w:before="0" w:after="0"/>
              <w:ind w:left="0" w:right="0" w:hanging="0"/>
              <w:jc w:val="center"/>
              <w:rPr>
                <w:rFonts w:ascii="Arial;Helvetica;sans-serif" w:hAnsi="Arial;Helvetica;sans-serif"/>
                <w:sz w:val="18"/>
              </w:rPr>
            </w:pPr>
            <w:r>
              <w:rPr>
                <w:rFonts w:ascii="Arial;Helvetica;sans-serif" w:hAnsi="Arial;Helvetica;sans-serif"/>
                <w:sz w:val="18"/>
              </w:rPr>
              <w:t>(I.R.S. Employer Identification No.)</w:t>
            </w:r>
          </w:p>
        </w:tc>
      </w:tr>
      <w:tr>
        <w:trPr/>
        <w:tc>
          <w:tcPr>
            <w:tcW w:w="4861" w:type="dxa"/>
            <w:tcBorders/>
            <w:vAlign w:val="center"/>
          </w:tcPr>
          <w:p>
            <w:pPr>
              <w:pStyle w:val="TableContents"/>
              <w:bidi w:val="0"/>
              <w:spacing w:lineRule="atLeast" w:line="180" w:before="0" w:after="0"/>
              <w:ind w:left="0" w:right="0" w:hanging="0"/>
              <w:jc w:val="both"/>
              <w:rPr/>
            </w:pPr>
            <w:r>
              <w:rPr/>
              <w:t>​</w:t>
            </w:r>
          </w:p>
        </w:tc>
        <w:tc>
          <w:tcPr>
            <w:tcW w:w="2941" w:type="dxa"/>
            <w:tcBorders/>
            <w:vAlign w:val="center"/>
          </w:tcPr>
          <w:p>
            <w:pPr>
              <w:pStyle w:val="TableContents"/>
              <w:bidi w:val="0"/>
              <w:spacing w:lineRule="atLeast" w:line="180" w:before="0" w:after="0"/>
              <w:ind w:left="0" w:right="0" w:hanging="0"/>
              <w:jc w:val="both"/>
              <w:rPr/>
            </w:pPr>
            <w:r>
              <w:rPr/>
              <w:t>​</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9601 South Meridian Boulevard</w:t>
            </w:r>
          </w:p>
        </w:tc>
        <w:tc>
          <w:tcPr>
            <w:tcW w:w="2941" w:type="dxa"/>
            <w:tcBorders/>
            <w:vAlign w:val="center"/>
          </w:tcPr>
          <w:p>
            <w:pPr>
              <w:pStyle w:val="TableContents"/>
              <w:bidi w:val="0"/>
              <w:spacing w:lineRule="atLeast" w:line="180" w:before="0" w:after="0"/>
              <w:ind w:left="0" w:right="0" w:hanging="0"/>
              <w:jc w:val="center"/>
              <w:rPr/>
            </w:pPr>
            <w:r>
              <w:rPr/>
              <w:t>​</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Englewood, Colorado</w:t>
            </w:r>
          </w:p>
        </w:tc>
        <w:tc>
          <w:tcPr>
            <w:tcW w:w="2941" w:type="dxa"/>
            <w:tcBorders/>
            <w:vAlign w:val="center"/>
          </w:tcPr>
          <w:p>
            <w:pPr>
              <w:pStyle w:val="TableContents"/>
              <w:bidi w:val="0"/>
              <w:spacing w:lineRule="atLeast" w:line="180" w:before="0" w:after="0"/>
              <w:ind w:left="0" w:right="0" w:hanging="0"/>
              <w:jc w:val="center"/>
              <w:rPr>
                <w:rFonts w:ascii="Arial;Helvetica;sans-serif" w:hAnsi="Arial;Helvetica;sans-serif"/>
                <w:b/>
                <w:sz w:val="18"/>
              </w:rPr>
            </w:pPr>
            <w:r>
              <w:rPr>
                <w:rFonts w:ascii="Arial;Helvetica;sans-serif" w:hAnsi="Arial;Helvetica;sans-serif"/>
                <w:b/>
                <w:sz w:val="18"/>
              </w:rPr>
              <w:t>80112</w:t>
            </w:r>
          </w:p>
        </w:tc>
      </w:tr>
      <w:tr>
        <w:trPr/>
        <w:tc>
          <w:tcPr>
            <w:tcW w:w="4861" w:type="dxa"/>
            <w:tcBorders/>
            <w:vAlign w:val="center"/>
          </w:tcPr>
          <w:p>
            <w:pPr>
              <w:pStyle w:val="TableContents"/>
              <w:bidi w:val="0"/>
              <w:spacing w:lineRule="atLeast" w:line="180" w:before="0" w:after="0"/>
              <w:ind w:left="0" w:right="0" w:hanging="0"/>
              <w:jc w:val="center"/>
              <w:rPr>
                <w:rFonts w:ascii="Arial;Helvetica;sans-serif" w:hAnsi="Arial;Helvetica;sans-serif"/>
                <w:sz w:val="18"/>
              </w:rPr>
            </w:pPr>
            <w:r>
              <w:rPr>
                <w:rFonts w:ascii="Arial;Helvetica;sans-serif" w:hAnsi="Arial;Helvetica;sans-serif"/>
                <w:sz w:val="18"/>
              </w:rPr>
              <w:t>(Address of principal executive offices)</w:t>
            </w:r>
          </w:p>
        </w:tc>
        <w:tc>
          <w:tcPr>
            <w:tcW w:w="2941" w:type="dxa"/>
            <w:tcBorders/>
            <w:vAlign w:val="center"/>
          </w:tcPr>
          <w:p>
            <w:pPr>
              <w:pStyle w:val="TableContents"/>
              <w:bidi w:val="0"/>
              <w:spacing w:lineRule="atLeast" w:line="180" w:before="0" w:after="0"/>
              <w:ind w:left="0" w:right="0" w:hanging="0"/>
              <w:jc w:val="center"/>
              <w:rPr>
                <w:rFonts w:ascii="Arial;Helvetica;sans-serif" w:hAnsi="Arial;Helvetica;sans-serif"/>
                <w:sz w:val="18"/>
              </w:rPr>
            </w:pPr>
            <w:r>
              <w:rPr>
                <w:rFonts w:ascii="Arial;Helvetica;sans-serif" w:hAnsi="Arial;Helvetica;sans-serif"/>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(303) 723-1000</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 Applicable</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Securities registered pursuant to Section 12(b) of the Act: None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of reports under Section 13 or 15(d) of the Securities Exchange Act of 1934.)</w:t>
      </w:r>
      <w:r>
        <w:rPr>
          <w:rFonts w:ascii="Times New Roman;Times;serif" w:hAnsi="Times New Roman;Times;serif"/>
          <w:sz w:val="24"/>
        </w:rPr>
        <w:t xml:space="preserve"> </w:t>
      </w:r>
      <w:r>
        <w:rPr>
          <w:rFonts w:ascii="Arial;Helvetica;sans-serif" w:hAnsi="Arial;Helvetica;sans-serif"/>
          <w:sz w:val="16"/>
        </w:rPr>
        <w:t>Yes</w:t>
      </w:r>
      <w:r>
        <w:rPr>
          <w:rFonts w:ascii="Times New Roman;Times;serif" w:hAnsi="Times New Roman;Times;serif"/>
          <w:sz w:val="24"/>
        </w:rPr>
        <w:t xml:space="preserve"> ⌧ </w:t>
      </w:r>
      <w:r>
        <w:rPr>
          <w:rFonts w:ascii="Arial;Helvetica;sans-serif" w:hAnsi="Arial;Helvetica;sans-serif"/>
          <w:sz w:val="16"/>
        </w:rPr>
        <w:t>No </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4"/>
        </w:rPr>
        <w:t xml:space="preserve"> ⌧ </w:t>
      </w:r>
      <w:r>
        <w:rPr>
          <w:rFonts w:ascii="Arial;Helvetica;sans-serif" w:hAnsi="Arial;Helvetica;sans-serif"/>
          <w:sz w:val="16"/>
        </w:rPr>
        <w:t>No </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spacing w:val="-2"/>
        </w:rPr>
      </w:pPr>
      <w:r>
        <w:rPr>
          <w:spacing w:val="-2"/>
        </w:rPr>
        <w:t>​</w:t>
      </w:r>
    </w:p>
    <w:tbl>
      <w:tblPr>
        <w:tblW w:w="3925" w:type="dxa"/>
        <w:jc w:val="left"/>
        <w:tblInd w:w="0" w:type="dxa"/>
        <w:tblLayout w:type="fixed"/>
        <w:tblCellMar>
          <w:top w:w="0" w:type="dxa"/>
          <w:left w:w="0" w:type="dxa"/>
          <w:bottom w:w="0" w:type="dxa"/>
          <w:right w:w="0" w:type="dxa"/>
        </w:tblCellMar>
      </w:tblPr>
      <w:tblGrid>
        <w:gridCol w:w="1666"/>
        <w:gridCol w:w="109"/>
        <w:gridCol w:w="1996"/>
        <w:gridCol w:w="154"/>
      </w:tblGrid>
      <w:tr>
        <w:trPr/>
        <w:tc>
          <w:tcPr>
            <w:tcW w:w="16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Arial;Helvetica;sans-serif" w:hAnsi="Arial;Helvetica;sans-serif"/>
                <w:sz w:val="14"/>
              </w:rPr>
              <w:t xml:space="preserve">Large accelerated filer </w:t>
            </w:r>
            <w:r>
              <w:rPr>
                <w:rFonts w:ascii="Times New Roman;Times;serif" w:hAnsi="Times New Roman;Times;serif"/>
                <w:sz w:val="14"/>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Arial;Helvetica;sans-serif" w:hAnsi="Arial;Helvetica;sans-serif"/>
                <w:sz w:val="14"/>
              </w:rPr>
              <w:t xml:space="preserve">Accelerated filer </w:t>
            </w:r>
            <w:r>
              <w:rPr>
                <w:rFonts w:ascii="Times New Roman;Times;serif" w:hAnsi="Times New Roman;Times;serif"/>
                <w:sz w:val="14"/>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Arial;Helvetica;sans-serif" w:hAnsi="Arial;Helvetica;sans-serif"/>
                <w:sz w:val="14"/>
              </w:rPr>
              <w:t>Non-accelerated filer</w:t>
            </w:r>
            <w:r>
              <w:rPr>
                <w:rFonts w:ascii="Times New Roman;Times;serif" w:hAnsi="Times New Roman;Times;serif"/>
                <w:sz w:val="24"/>
              </w:rPr>
              <w:t xml:space="preserve"> ⌧</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Arial;Helvetica;sans-serif" w:hAnsi="Arial;Helvetica;sans-serif"/>
                <w:sz w:val="14"/>
              </w:rPr>
              <w:t xml:space="preserve">Smaller reporting company </w:t>
            </w:r>
            <w:r>
              <w:rPr>
                <w:rFonts w:ascii="Times New Roman;Times;serif" w:hAnsi="Times New Roman;Times;serif"/>
                <w:sz w:val="24"/>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9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Arial;Helvetica;sans-serif" w:hAnsi="Arial;Helvetica;sans-serif"/>
                <w:sz w:val="14"/>
              </w:rPr>
              <w:t xml:space="preserve">Emerging growth company </w:t>
            </w:r>
            <w:r>
              <w:rPr>
                <w:rFonts w:ascii="Times New Roman;Times;serif" w:hAnsi="Times New Roman;Times;serif"/>
                <w:sz w:val="24"/>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Arial;Helvetica;sans-serif" w:hAnsi="Arial;Helvetica;san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Arial;Helvetica;sans-serif" w:hAnsi="Arial;Helvetica;sans-serif"/>
          <w:sz w:val="14"/>
        </w:rPr>
        <w:t xml:space="preserve">Indicate by check mark whether the registrant is a shell company (as defined in Rule 12b-2 of the Exchange Act). Yes </w:t>
      </w:r>
      <w:r>
        <w:rPr>
          <w:rFonts w:ascii="Times New Roman;Times;serif" w:hAnsi="Times New Roman;Times;serif"/>
          <w:sz w:val="24"/>
        </w:rPr>
        <w:t>☐ </w:t>
      </w:r>
      <w:r>
        <w:rPr>
          <w:rFonts w:ascii="Arial;Helvetica;sans-serif" w:hAnsi="Arial;Helvetica;sans-serif"/>
          <w:sz w:val="14"/>
        </w:rPr>
        <w:t xml:space="preserve">No </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Arial;Helvetica;sans-serif" w:hAnsi="Arial;Helvetica;sans-serif"/>
          <w:sz w:val="14"/>
        </w:rPr>
        <w:t>As of July 31, 2025, the registrant’s outstanding common stock consisted of 1,015</w:t>
      </w:r>
      <w:r>
        <w:rPr>
          <w:rFonts w:ascii="Times New Roman;Times;serif" w:hAnsi="Times New Roman;Times;serif"/>
          <w:sz w:val="14"/>
        </w:rPr>
        <w:t> </w:t>
      </w:r>
      <w:r>
        <w:rPr>
          <w:rFonts w:ascii="Arial;Helvetica;sans-serif" w:hAnsi="Arial;Helvetica;sans-serif"/>
          <w:sz w:val="14"/>
        </w:rPr>
        <w:t>shares of common stock, $0.01 par value per share.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14"/>
        </w:rPr>
      </w:pPr>
      <w:r>
        <w:rPr>
          <w:rFonts w:ascii="Arial;Helvetica;sans-serif" w:hAnsi="Arial;Helvetica;sans-serif"/>
          <w:sz w:val="14"/>
        </w:rPr>
        <w:t>The registrant meets the conditions set forth in General Instructions (H)(1)(a) and (b) of Form 10-Q and is therefore filing this Form 10-Q with the reduced disclosure format.</w:t>
      </w:r>
    </w:p>
    <w:p>
      <w:pPr>
        <w:pStyle w:val="TextBody"/>
        <w:bidi w:val="0"/>
        <w:spacing w:before="0" w:after="0"/>
        <w:ind w:left="0" w:right="0" w:hanging="0"/>
        <w:jc w:val="both"/>
        <w:rPr/>
      </w:pPr>
      <w:r>
        <w:rPr/>
        <w:t>​</w:t>
      </w:r>
    </w:p>
    <w:p>
      <w:pPr>
        <w:pStyle w:val="TextBody"/>
        <w:pBdr>
          <w:top w:val="single" w:sz="2" w:space="1" w:color="000000"/>
          <w:bottom w:val="single" w:sz="18"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b/>
          <w:sz w:val="20"/>
        </w:rPr>
      </w:pPr>
      <w:bookmarkStart w:id="23" w:name="Toc"/>
      <w:bookmarkStart w:id="24" w:name="_0fafefc3_1c5f_4728_839c_8fe949b91eb6"/>
      <w:bookmarkEnd w:id="23"/>
      <w:bookmarkEnd w:id="24"/>
      <w:r>
        <w:rPr>
          <w:rFonts w:ascii="Arial;Helvetica;sans-serif" w:hAnsi="Arial;Helvetica;sans-serif"/>
          <w:b/>
          <w:sz w:val="20"/>
        </w:rPr>
        <w:t>TABLE OF CONTENTS</w:t>
      </w:r>
    </w:p>
    <w:p>
      <w:pPr>
        <w:pStyle w:val="TextBody"/>
        <w:bidi w:val="0"/>
        <w:spacing w:before="0" w:after="0"/>
        <w:ind w:left="0" w:right="0" w:hanging="0"/>
        <w:jc w:val="center"/>
        <w:rPr/>
      </w:pPr>
      <w:r>
        <w:rPr/>
        <w:t>​</w:t>
      </w:r>
    </w:p>
    <w:tbl>
      <w:tblPr>
        <w:tblW w:w="9292" w:type="dxa"/>
        <w:jc w:val="left"/>
        <w:tblInd w:w="0" w:type="dxa"/>
        <w:tblLayout w:type="fixed"/>
        <w:tblCellMar>
          <w:top w:w="0" w:type="dxa"/>
          <w:left w:w="0" w:type="dxa"/>
          <w:bottom w:w="0" w:type="dxa"/>
          <w:right w:w="0" w:type="dxa"/>
        </w:tblCellMar>
      </w:tblPr>
      <w:tblGrid>
        <w:gridCol w:w="871"/>
        <w:gridCol w:w="7711"/>
        <w:gridCol w:w="109"/>
        <w:gridCol w:w="601"/>
      </w:tblGrid>
      <w:tr>
        <w:trPr/>
        <w:tc>
          <w:tcPr>
            <w:tcW w:w="871" w:type="dxa"/>
            <w:tcBorders/>
            <w:vAlign w:val="center"/>
          </w:tcPr>
          <w:p>
            <w:pPr>
              <w:pStyle w:val="TableContents"/>
              <w:bidi w:val="0"/>
              <w:spacing w:before="0" w:after="0"/>
              <w:ind w:left="0" w:right="0" w:hanging="0"/>
              <w:jc w:val="center"/>
              <w:rPr/>
            </w:pPr>
            <w:r>
              <w:rPr/>
              <w:t>​</w:t>
            </w:r>
          </w:p>
        </w:tc>
        <w:tc>
          <w:tcPr>
            <w:tcW w:w="77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81635" cy="175260"/>
                      <wp:effectExtent l="0" t="0" r="0" b="0"/>
                      <wp:wrapNone/>
                      <wp:docPr id="1" name="Frame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9292" w:type="dxa"/>
            <w:gridSpan w:val="4"/>
            <w:tcBorders/>
            <w:vAlign w:val="center"/>
          </w:tcPr>
          <w:p>
            <w:pPr>
              <w:pStyle w:val="TableContents"/>
              <w:bidi w:val="0"/>
              <w:spacing w:lineRule="auto" w:line="328" w:before="0" w:after="0"/>
              <w:ind w:left="0" w:right="0" w:hanging="0"/>
              <w:jc w:val="center"/>
              <w:rPr/>
            </w:pPr>
            <w:hyperlink w:anchor="PARTIFINANCIALINFORMATION_366237">
              <w:r>
                <w:rPr>
                  <w:rStyle w:val="InternetLink"/>
                  <w:rFonts w:ascii="Arial;Helvetica;sans-serif" w:hAnsi="Arial;Helvetica;sans-serif"/>
                  <w:b/>
                  <w:i w:val="false"/>
                  <w:caps w:val="false"/>
                  <w:smallCaps w:val="false"/>
                  <w:sz w:val="20"/>
                </w:rPr>
                <w:t>PART I — FINANCIAL INFORMATION</w:t>
              </w:r>
            </w:hyperlink>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hyperlink w:anchor="DISCLOSUREREGARDINGFORWARDLOOKINGSTATEME">
              <w:r>
                <w:rPr>
                  <w:rStyle w:val="InternetLink"/>
                  <w:rFonts w:ascii="Arial;Helvetica;sans-serif" w:hAnsi="Arial;Helvetica;sans-serif"/>
                  <w:b w:val="false"/>
                  <w:i w:val="false"/>
                  <w:caps w:val="false"/>
                  <w:smallCaps w:val="false"/>
                  <w:sz w:val="20"/>
                </w:rPr>
                <w:t>Disclosure Regarding Forward-Looking Statements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1FINANCIALSTATEMENTS_261159">
              <w:r>
                <w:rPr>
                  <w:rStyle w:val="InternetLink"/>
                  <w:rFonts w:ascii="Arial;Helvetica;sans-serif" w:hAnsi="Arial;Helvetica;sans-serif"/>
                  <w:b w:val="false"/>
                  <w:i w:val="false"/>
                  <w:caps w:val="false"/>
                  <w:smallCaps w:val="false"/>
                  <w:sz w:val="20"/>
                </w:rPr>
                <w:t>Item 1.</w:t>
              </w:r>
            </w:hyperlink>
          </w:p>
        </w:tc>
        <w:tc>
          <w:tcPr>
            <w:tcW w:w="7711" w:type="dxa"/>
            <w:tcBorders/>
            <w:vAlign w:val="center"/>
          </w:tcPr>
          <w:p>
            <w:pPr>
              <w:pStyle w:val="TableContents"/>
              <w:bidi w:val="0"/>
              <w:spacing w:lineRule="auto" w:line="328" w:before="0" w:after="0"/>
              <w:ind w:left="0" w:right="0" w:hanging="0"/>
              <w:jc w:val="both"/>
              <w:rPr/>
            </w:pPr>
            <w:hyperlink w:anchor="Item1FINANCIALSTATEMENTS_261159">
              <w:r>
                <w:rPr>
                  <w:rStyle w:val="InternetLink"/>
                  <w:rFonts w:ascii="Arial;Helvetica;sans-serif" w:hAnsi="Arial;Helvetica;sans-serif"/>
                  <w:b w:val="false"/>
                  <w:i w:val="false"/>
                  <w:caps w:val="false"/>
                  <w:smallCaps w:val="false"/>
                  <w:sz w:val="20"/>
                </w:rPr>
                <w:t>Financial Statements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hyperlink w:anchor="CONDENSEDCONSOLIDATEDBALANCESHEETS_60502">
              <w:r>
                <w:rPr>
                  <w:rStyle w:val="InternetLink"/>
                  <w:rFonts w:ascii="Arial;Helvetica;sans-serif" w:hAnsi="Arial;Helvetica;sans-serif"/>
                  <w:b w:val="false"/>
                  <w:i w:val="false"/>
                  <w:caps w:val="false"/>
                  <w:smallCaps w:val="false"/>
                  <w:sz w:val="20"/>
                </w:rPr>
                <w:t xml:space="preserve">Condensed Consolidated Balance Sheets </w:t>
              </w:r>
            </w:hyperlink>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1</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r>
              <w:rPr/>
              <w:t>​</w:t>
            </w:r>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hyperlink w:anchor="CONDENSEDCONSOLIDATEDSTATEMENTSOFOPERATI">
              <w:r>
                <w:rPr>
                  <w:rStyle w:val="InternetLink"/>
                  <w:rFonts w:ascii="Arial;Helvetica;sans-serif" w:hAnsi="Arial;Helvetica;sans-serif"/>
                  <w:b w:val="false"/>
                  <w:i w:val="false"/>
                  <w:caps w:val="false"/>
                  <w:smallCaps w:val="false"/>
                  <w:sz w:val="20"/>
                </w:rPr>
                <w:t xml:space="preserve">Condensed Consolidated Statements of Operations and Comprehensive Income (Loss) </w:t>
              </w:r>
            </w:hyperlink>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2</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r>
              <w:rPr/>
              <w:t>​</w:t>
            </w:r>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hyperlink w:anchor="EQUITYSTATEMENT">
              <w:r>
                <w:rPr>
                  <w:rStyle w:val="InternetLink"/>
                  <w:rFonts w:ascii="Arial;Helvetica;sans-serif" w:hAnsi="Arial;Helvetica;sans-serif"/>
                  <w:b w:val="false"/>
                  <w:i w:val="false"/>
                  <w:caps w:val="false"/>
                  <w:smallCaps w:val="false"/>
                  <w:sz w:val="20"/>
                </w:rPr>
                <w:t xml:space="preserve">Condensed Consolidated Statements of Changes in Stockholder’s Equity (Deficit) </w:t>
              </w:r>
            </w:hyperlink>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3</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r>
              <w:rPr/>
              <w:t>​</w:t>
            </w:r>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pBdr/>
              <w:bidi w:val="0"/>
              <w:spacing w:lineRule="auto" w:line="328" w:before="0" w:after="0"/>
              <w:ind w:left="0" w:right="0" w:hanging="0"/>
              <w:jc w:val="both"/>
              <w:rPr/>
            </w:pPr>
            <w:hyperlink w:anchor="CONDENSEDCONSOLIDATEDSTATEMENTSOFCASHFLO">
              <w:r>
                <w:rPr>
                  <w:rStyle w:val="InternetLink"/>
                  <w:rFonts w:ascii="Arial;Helvetica;sans-serif" w:hAnsi="Arial;Helvetica;sans-serif"/>
                  <w:b w:val="false"/>
                  <w:i w:val="false"/>
                  <w:caps w:val="false"/>
                  <w:smallCaps w:val="false"/>
                  <w:sz w:val="20"/>
                </w:rPr>
                <w:t xml:space="preserve">Condensed Consolidated Statements of Cash Flows </w:t>
              </w:r>
            </w:hyperlink>
          </w:p>
        </w:tc>
        <w:tc>
          <w:tcPr>
            <w:tcW w:w="109" w:type="dxa"/>
            <w:tcBorders/>
            <w:vAlign w:val="center"/>
          </w:tcPr>
          <w:p>
            <w:pPr>
              <w:pStyle w:val="TableContents"/>
              <w:pBdr/>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4</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hyperlink w:anchor="a1OrganizationandBusinessActivities_7749">
              <w:r>
                <w:rPr>
                  <w:rStyle w:val="InternetLink"/>
                  <w:rFonts w:ascii="Arial;Helvetica;sans-serif" w:hAnsi="Arial;Helvetica;sans-serif"/>
                  <w:b w:val="false"/>
                  <w:i w:val="false"/>
                  <w:caps w:val="false"/>
                  <w:smallCaps w:val="false"/>
                  <w:sz w:val="20"/>
                </w:rPr>
                <w:t xml:space="preserve">Notes to Condensed Consolidated Financial Statements </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5</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2MANAGEMENTSNARRATIVEANALYSISOFRESUL">
              <w:r>
                <w:rPr>
                  <w:rStyle w:val="InternetLink"/>
                  <w:rFonts w:ascii="Arial;Helvetica;sans-serif" w:hAnsi="Arial;Helvetica;sans-serif"/>
                  <w:b w:val="false"/>
                  <w:i w:val="false"/>
                  <w:caps w:val="false"/>
                  <w:smallCaps w:val="false"/>
                  <w:sz w:val="20"/>
                </w:rPr>
                <w:t>Item 2.</w:t>
              </w:r>
            </w:hyperlink>
          </w:p>
        </w:tc>
        <w:tc>
          <w:tcPr>
            <w:tcW w:w="7711" w:type="dxa"/>
            <w:tcBorders/>
            <w:vAlign w:val="center"/>
          </w:tcPr>
          <w:p>
            <w:pPr>
              <w:pStyle w:val="TableContents"/>
              <w:bidi w:val="0"/>
              <w:spacing w:lineRule="auto" w:line="328" w:before="0" w:after="0"/>
              <w:ind w:left="0" w:right="0" w:hanging="0"/>
              <w:jc w:val="both"/>
              <w:rPr/>
            </w:pPr>
            <w:hyperlink w:anchor="Item2MANAGEMENTSNARRATIVEANALYSISOFRESUL">
              <w:r>
                <w:rPr>
                  <w:rStyle w:val="InternetLink"/>
                  <w:rFonts w:ascii="Arial;Helvetica;sans-serif" w:hAnsi="Arial;Helvetica;sans-serif"/>
                  <w:b w:val="false"/>
                  <w:i w:val="false"/>
                  <w:caps w:val="false"/>
                  <w:smallCaps w:val="false"/>
                  <w:sz w:val="20"/>
                </w:rPr>
                <w:t>Management’s Narrative Analysis of Results of Operations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42</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3.</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Quantitative and Qualitative Disclosures About Market Risk</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4CONTROLSANDPROCEDURES_789267">
              <w:r>
                <w:rPr>
                  <w:rStyle w:val="InternetLink"/>
                  <w:rFonts w:ascii="Arial;Helvetica;sans-serif" w:hAnsi="Arial;Helvetica;sans-serif"/>
                  <w:b w:val="false"/>
                  <w:i w:val="false"/>
                  <w:caps w:val="false"/>
                  <w:smallCaps w:val="false"/>
                  <w:sz w:val="20"/>
                </w:rPr>
                <w:t>Item 4.</w:t>
              </w:r>
            </w:hyperlink>
          </w:p>
        </w:tc>
        <w:tc>
          <w:tcPr>
            <w:tcW w:w="7711" w:type="dxa"/>
            <w:tcBorders/>
            <w:vAlign w:val="center"/>
          </w:tcPr>
          <w:p>
            <w:pPr>
              <w:pStyle w:val="TableContents"/>
              <w:bidi w:val="0"/>
              <w:spacing w:lineRule="auto" w:line="328" w:before="0" w:after="0"/>
              <w:ind w:left="0" w:right="0" w:hanging="0"/>
              <w:jc w:val="both"/>
              <w:rPr/>
            </w:pPr>
            <w:hyperlink w:anchor="Item4CONTROLSANDPROCEDURES_789267">
              <w:r>
                <w:rPr>
                  <w:rStyle w:val="InternetLink"/>
                  <w:rFonts w:ascii="Arial;Helvetica;sans-serif" w:hAnsi="Arial;Helvetica;sans-serif"/>
                  <w:b w:val="false"/>
                  <w:i w:val="false"/>
                  <w:caps w:val="false"/>
                  <w:smallCaps w:val="false"/>
                  <w:sz w:val="20"/>
                </w:rPr>
                <w:t>Controls and Procedures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58</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9292" w:type="dxa"/>
            <w:gridSpan w:val="4"/>
            <w:tcBorders/>
            <w:vAlign w:val="center"/>
          </w:tcPr>
          <w:p>
            <w:pPr>
              <w:pStyle w:val="TableContents"/>
              <w:bidi w:val="0"/>
              <w:spacing w:lineRule="auto" w:line="328" w:before="0" w:after="0"/>
              <w:ind w:left="0" w:right="0" w:hanging="0"/>
              <w:jc w:val="center"/>
              <w:rPr/>
            </w:pPr>
            <w:hyperlink w:anchor="PARTIIOTHERINFORMATION_502540">
              <w:r>
                <w:rPr>
                  <w:rStyle w:val="InternetLink"/>
                  <w:rFonts w:ascii="Arial;Helvetica;sans-serif" w:hAnsi="Arial;Helvetica;sans-serif"/>
                  <w:b/>
                  <w:i w:val="false"/>
                  <w:caps w:val="false"/>
                  <w:smallCaps w:val="false"/>
                  <w:sz w:val="20"/>
                </w:rPr>
                <w:t>PART II — OTHER INFORMATION</w:t>
              </w:r>
            </w:hyperlink>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1LEGALPROCEEDINGS_610706">
              <w:r>
                <w:rPr>
                  <w:rStyle w:val="InternetLink"/>
                  <w:rFonts w:ascii="Arial;Helvetica;sans-serif" w:hAnsi="Arial;Helvetica;sans-serif"/>
                  <w:b w:val="false"/>
                  <w:i w:val="false"/>
                  <w:caps w:val="false"/>
                  <w:smallCaps w:val="false"/>
                  <w:sz w:val="20"/>
                </w:rPr>
                <w:t>Item 1.</w:t>
              </w:r>
            </w:hyperlink>
          </w:p>
        </w:tc>
        <w:tc>
          <w:tcPr>
            <w:tcW w:w="7711" w:type="dxa"/>
            <w:tcBorders/>
            <w:vAlign w:val="center"/>
          </w:tcPr>
          <w:p>
            <w:pPr>
              <w:pStyle w:val="TableContents"/>
              <w:bidi w:val="0"/>
              <w:spacing w:lineRule="auto" w:line="328" w:before="0" w:after="0"/>
              <w:ind w:left="0" w:right="0" w:hanging="0"/>
              <w:jc w:val="both"/>
              <w:rPr/>
            </w:pPr>
            <w:hyperlink w:anchor="Item1LEGALPROCEEDINGS_610706">
              <w:r>
                <w:rPr>
                  <w:rStyle w:val="InternetLink"/>
                  <w:rFonts w:ascii="Arial;Helvetica;sans-serif" w:hAnsi="Arial;Helvetica;sans-serif"/>
                  <w:b w:val="false"/>
                  <w:i w:val="false"/>
                  <w:caps w:val="false"/>
                  <w:smallCaps w:val="false"/>
                  <w:sz w:val="20"/>
                </w:rPr>
                <w:t>Legal Proceedings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58</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1ARISKFACTORS_237900">
              <w:r>
                <w:rPr>
                  <w:rStyle w:val="InternetLink"/>
                  <w:rFonts w:ascii="Arial;Helvetica;sans-serif" w:hAnsi="Arial;Helvetica;sans-serif"/>
                  <w:b w:val="false"/>
                  <w:i w:val="false"/>
                  <w:caps w:val="false"/>
                  <w:smallCaps w:val="false"/>
                  <w:sz w:val="20"/>
                </w:rPr>
                <w:t>Item 1A.</w:t>
              </w:r>
            </w:hyperlink>
          </w:p>
        </w:tc>
        <w:tc>
          <w:tcPr>
            <w:tcW w:w="7711" w:type="dxa"/>
            <w:tcBorders/>
            <w:vAlign w:val="center"/>
          </w:tcPr>
          <w:p>
            <w:pPr>
              <w:pStyle w:val="TableContents"/>
              <w:bidi w:val="0"/>
              <w:spacing w:lineRule="auto" w:line="328" w:before="0" w:after="0"/>
              <w:ind w:left="0" w:right="0" w:hanging="0"/>
              <w:jc w:val="both"/>
              <w:rPr/>
            </w:pPr>
            <w:hyperlink w:anchor="Item1ARISKFACTORS_237900">
              <w:r>
                <w:rPr>
                  <w:rStyle w:val="InternetLink"/>
                  <w:rFonts w:ascii="Arial;Helvetica;sans-serif" w:hAnsi="Arial;Helvetica;sans-serif"/>
                  <w:b w:val="false"/>
                  <w:i w:val="false"/>
                  <w:caps w:val="false"/>
                  <w:smallCaps w:val="false"/>
                  <w:sz w:val="20"/>
                </w:rPr>
                <w:t>Risk Factors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58</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2.</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Unregistered Sales of Equity Securities and Use of Proceeds</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3.</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Defaults Upon Senior Securities</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4.</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Mine Safety Disclosures</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None</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Item 5.</w:t>
            </w:r>
          </w:p>
        </w:tc>
        <w:tc>
          <w:tcPr>
            <w:tcW w:w="77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Other Information</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None</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hyperlink w:anchor="Item6EXHIBITS_631479">
              <w:r>
                <w:rPr>
                  <w:rStyle w:val="InternetLink"/>
                  <w:rFonts w:ascii="Arial;Helvetica;sans-serif" w:hAnsi="Arial;Helvetica;sans-serif"/>
                  <w:b w:val="false"/>
                  <w:i w:val="false"/>
                  <w:caps w:val="false"/>
                  <w:smallCaps w:val="false"/>
                  <w:sz w:val="20"/>
                </w:rPr>
                <w:t>Item 6.</w:t>
              </w:r>
            </w:hyperlink>
          </w:p>
        </w:tc>
        <w:tc>
          <w:tcPr>
            <w:tcW w:w="7711" w:type="dxa"/>
            <w:tcBorders/>
            <w:vAlign w:val="center"/>
          </w:tcPr>
          <w:p>
            <w:pPr>
              <w:pStyle w:val="TableContents"/>
              <w:bidi w:val="0"/>
              <w:spacing w:lineRule="auto" w:line="328" w:before="0" w:after="0"/>
              <w:ind w:left="0" w:right="0" w:hanging="0"/>
              <w:jc w:val="both"/>
              <w:rPr/>
            </w:pPr>
            <w:hyperlink w:anchor="Item6EXHIBITS_631479">
              <w:r>
                <w:rPr>
                  <w:rStyle w:val="InternetLink"/>
                  <w:rFonts w:ascii="Arial;Helvetica;sans-serif" w:hAnsi="Arial;Helvetica;sans-serif"/>
                  <w:b w:val="false"/>
                  <w:i w:val="false"/>
                  <w:caps w:val="false"/>
                  <w:smallCaps w:val="false"/>
                  <w:sz w:val="20"/>
                </w:rPr>
                <w:t>Exhibits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61</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pPr>
            <w:r>
              <w:rPr/>
              <w:t>​</w:t>
            </w:r>
          </w:p>
        </w:tc>
      </w:tr>
      <w:tr>
        <w:trPr/>
        <w:tc>
          <w:tcPr>
            <w:tcW w:w="871" w:type="dxa"/>
            <w:tcBorders/>
            <w:vAlign w:val="center"/>
          </w:tcPr>
          <w:p>
            <w:pPr>
              <w:pStyle w:val="TableContents"/>
              <w:bidi w:val="0"/>
              <w:spacing w:lineRule="auto" w:line="328" w:before="0" w:after="0"/>
              <w:ind w:left="0" w:right="0" w:hanging="0"/>
              <w:jc w:val="both"/>
              <w:rPr/>
            </w:pPr>
            <w:r>
              <w:rPr/>
              <w:t>​</w:t>
            </w:r>
          </w:p>
        </w:tc>
        <w:tc>
          <w:tcPr>
            <w:tcW w:w="7711" w:type="dxa"/>
            <w:tcBorders/>
            <w:vAlign w:val="center"/>
          </w:tcPr>
          <w:p>
            <w:pPr>
              <w:pStyle w:val="TableContents"/>
              <w:bidi w:val="0"/>
              <w:spacing w:lineRule="auto" w:line="328" w:before="0" w:after="0"/>
              <w:ind w:left="0" w:right="0" w:hanging="0"/>
              <w:jc w:val="both"/>
              <w:rPr/>
            </w:pPr>
            <w:hyperlink w:anchor="SIGNATURES_672987">
              <w:r>
                <w:rPr>
                  <w:rStyle w:val="InternetLink"/>
                  <w:rFonts w:ascii="Arial;Helvetica;sans-serif" w:hAnsi="Arial;Helvetica;sans-serif"/>
                  <w:b w:val="false"/>
                  <w:i w:val="false"/>
                  <w:caps w:val="false"/>
                  <w:smallCaps w:val="false"/>
                  <w:sz w:val="20"/>
                </w:rPr>
                <w:t>Signatures</w:t>
              </w:r>
            </w:hyperlink>
          </w:p>
        </w:tc>
        <w:tc>
          <w:tcPr>
            <w:tcW w:w="109" w:type="dxa"/>
            <w:tcBorders/>
            <w:vAlign w:val="center"/>
          </w:tcPr>
          <w:p>
            <w:pPr>
              <w:pStyle w:val="TableContents"/>
              <w:bidi w:val="0"/>
              <w:spacing w:lineRule="auto" w:line="328" w:before="0" w:after="0"/>
              <w:ind w:left="0" w:right="0" w:hanging="0"/>
              <w:jc w:val="both"/>
              <w:rPr/>
            </w:pPr>
            <w:r>
              <w:rPr/>
              <w:t>​</w:t>
            </w:r>
          </w:p>
        </w:tc>
        <w:tc>
          <w:tcPr>
            <w:tcW w:w="60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62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10009"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This item has been omitted pursuant to the reduced disclosure format as set forth in General Instructions (H)(2) of Form 10-Q.</w:t>
            </w:r>
          </w:p>
        </w:tc>
      </w:tr>
    </w:tbl>
    <w:p>
      <w:pPr>
        <w:pStyle w:val="TextBody"/>
        <w:pBdr/>
        <w:bidi w:val="0"/>
        <w:spacing w:before="0" w:after="0"/>
        <w:ind w:left="0" w:right="0" w:hanging="432"/>
        <w:jc w:val="both"/>
        <w:rPr/>
      </w:pPr>
      <w:r>
        <w:rPr/>
        <w:t>​</w:t>
      </w:r>
    </w:p>
    <w:p>
      <w:pPr>
        <w:pStyle w:val="TextBody"/>
        <w:pBdr/>
        <w:bidi w:val="0"/>
        <w:spacing w:before="0" w:after="0"/>
        <w:ind w:left="0" w:right="0" w:hanging="432"/>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5" w:name="PARTIFINANCIALINFORMATION_366237"/>
      <w:bookmarkStart w:id="26" w:name="_2eb54165_69aa_4ee2_94bc_b0527eec8cde"/>
      <w:bookmarkEnd w:id="25"/>
      <w:bookmarkEnd w:id="26"/>
      <w:r>
        <w:rPr>
          <w:rFonts w:ascii="Arial;Helvetica;sans-serif" w:hAnsi="Arial;Helvetica;sans-serif"/>
          <w:b/>
          <w:sz w:val="20"/>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27" w:name="DISCLOSUREREGARDINGFORWARDLOOKINGSTATEME"/>
      <w:bookmarkEnd w:id="27"/>
      <w:r>
        <w:rPr>
          <w:rFonts w:ascii="Arial;Helvetica;sans-serif" w:hAnsi="Arial;Helvetica;sans-serif"/>
          <w:b/>
          <w:sz w:val="20"/>
        </w:rPr>
        <w:t>DISCLOSURE REGARDING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Unless otherwise required by the context, in this report, the words “DISH DBS,” “DDBS,” the “Company,” “we,” “our” and “us” refer to DISH DBS Corporation and its subsidiaries, “DISH Network” refers to DISH Network Corporation, our parent company, and its subsidiaries, including us, and “EchoStar” refers to EchoStar Corporation and its subsidiaries, our ultimate parent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SUMMARY OF 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Relating to the Pending FCC Review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response to the uncertainty created by the FCC inquiries, our ultimate parent, EchoStar may take one or more significant actions in order to protect their interest in their Wireless Licenses and other assets, which actions may also directly impact us and could negatively impact your investment.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FCC’s review of our ultimate parent, EchoStar’s compliance with network build-out requirements could lead to the loss or impairment of certain of their existing spectrum licenses.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Competition and Economic Risks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intense and increasing competition from providers of video, broadband and/or wireless services. Changing consumer behavior and new technologies in our Pay-TV business may reduce our subscriber activations and may cause our subscribers to purchase fewer services from us or to cancel our services altogether, resulting in less revenue to us.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pay-TV competitors may be able to leverage their relationships with programmers to reduce their programming costs and/or offer exclusive content that will place them at a competitive advantage to us.</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8" w:name="_cp_change_51"/>
      <w:bookmarkStart w:id="29" w:name="_cp_change_51"/>
      <w:bookmarkEnd w:id="29"/>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are unable to take advantage of technological developments on a timely basis, or at all, we may experience a decline in demand for our services or face challenges in implementing or evolving our business strategy.</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Operational and Service Delivery Risks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deterioration in our operational performance, subscriber activations and churn rate and subscriber satisfaction could adversely affect our business, financial condition and results of operations.</w:t>
            </w:r>
          </w:p>
        </w:tc>
      </w:tr>
    </w:tbl>
    <w:p>
      <w:pPr>
        <w:pStyle w:val="TextBody"/>
        <w:bidi w:val="0"/>
        <w:spacing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others to provide the programming that we offer to our Pay-TV subscribers and, if we fail to obtain or lose access to certain programming, our Pay-TV subscriber activations and our subscriber churn rate may be negatively impacted.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satellite capacity and any failures or reduced capacity, caused by, among other things, operational and environmental risks, could adversely affect our business, financial condition and results of operations.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currently depend on DISH Network to provide the vast majority of our satellite transponder capacity and other related services to us. Our business would be adversely affected if DISH Network ceases to provide these services to us and we are unable to obtain suitable replacement services from third parties.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rely on a single vendor or a limited number of vendors to provide certain key products or services to us, and the inability of these key vendors to meet our needs could have a material adverse effect on our business.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trade policies, including, but not limited to, tariffs and other restrictions, could increase, among other things, our costs, disrupt our supply chain and negatively affect our business, operations and financial condition.</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independent third parties to solicit orders for our services that represent a meaningful percentage of our total gross new subscriber activations.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Human Capital</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rely on highly skilled personnel for our business, and any inability to hire and retain key personnel or to hire qualified personnel may negatively affect our business, financial condition and results of operations.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growth and customer retention strategies rely in part on the work of technically skilled employees.</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Products and Technology</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business depends on certain intellectual property rights and on not infringing the intellectual property rights of others.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and may become, party to various lawsuits which, if adversely decided, could have a significant adverse impact on our business, particularly lawsuits regarding intellectual property.</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our products contain defects, we could be subject to significant costs to correct such defects and our product and network service contracts could be delayed or cancelled, which could adversely affect our revenue.</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Cybersecurity</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 w:name="_cp_change_158"/>
      <w:bookmarkStart w:id="31" w:name="_cp_change_158"/>
      <w:bookmarkEnd w:id="31"/>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2"/>
                <w:sz w:val="20"/>
              </w:rPr>
            </w:pPr>
            <w:r>
              <w:rPr>
                <w:rFonts w:ascii="Arial;Helvetica;sans-serif" w:hAnsi="Arial;Helvetica;sans-serif"/>
                <w:b w:val="false"/>
                <w:i w:val="false"/>
                <w:caps w:val="false"/>
                <w:smallCaps w:val="false"/>
                <w:spacing w:val="-2"/>
                <w:sz w:val="20"/>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confidentiality, integrity and availability of our services and products depends on the continuing operation of our information technology and other enabling systems.</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Acquisition and Capital Structure Risks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currently do not have the necessary cash on hand, projected future cash flows or committed financing to fund our obligations over the next twelve months, which raises substantial doubt about our ability to continue as a going concern.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substantial debt outstanding and may incur additional debt and covenants in our Indentures could limit our ability to undertake certain types of activities and adversely affect our liquidity.</w:t>
            </w:r>
          </w:p>
        </w:tc>
      </w:tr>
    </w:tbl>
    <w:p>
      <w:pPr>
        <w:pStyle w:val="TextBody"/>
        <w:bidi w:val="0"/>
        <w:spacing w:before="0" w:after="0"/>
        <w:ind w:left="720" w:right="0" w:hanging="0"/>
        <w:jc w:val="left"/>
        <w:rPr/>
      </w:pPr>
      <w:r>
        <w:rPr/>
        <w:t>​</w:t>
      </w:r>
    </w:p>
    <w:p>
      <w:pPr>
        <w:pStyle w:val="Normal"/>
        <w:bidi w:val="0"/>
        <w:spacing w:before="0" w:after="0"/>
        <w:jc w:val="left"/>
        <w:rPr>
          <w:sz w:val="4"/>
          <w:szCs w:val="4"/>
        </w:rPr>
      </w:pPr>
      <w:r>
        <w:rPr>
          <w:sz w:val="4"/>
          <w:szCs w:val="4"/>
        </w:rPr>
      </w:r>
      <w:bookmarkStart w:id="32" w:name="_cp_change_258"/>
      <w:bookmarkStart w:id="33" w:name="_cp_change_255"/>
      <w:bookmarkStart w:id="34" w:name="_cp_change_253"/>
      <w:bookmarkStart w:id="35" w:name="_cp_change_251"/>
      <w:bookmarkStart w:id="36" w:name="_cp_change_258"/>
      <w:bookmarkStart w:id="37" w:name="_cp_change_255"/>
      <w:bookmarkStart w:id="38" w:name="_cp_change_253"/>
      <w:bookmarkStart w:id="39" w:name="_cp_change_251"/>
      <w:bookmarkEnd w:id="36"/>
      <w:bookmarkEnd w:id="37"/>
      <w:bookmarkEnd w:id="38"/>
      <w:bookmarkEnd w:id="39"/>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We may pursue acquisitions, dispositions, capital expenditures, the development, acquisition and launch of new satellites</w:t>
            </w:r>
            <w:r>
              <w:rPr>
                <w:caps w:val="false"/>
                <w:smallCaps w:val="false"/>
              </w:rPr>
              <w:t xml:space="preserve"> </w:t>
            </w:r>
            <w:r>
              <w:rPr>
                <w:rFonts w:ascii="Arial;Helvetica;sans-serif" w:hAnsi="Arial;Helvetica;sans-serif"/>
                <w:b w:val="false"/>
                <w:i w:val="false"/>
                <w:caps w:val="false"/>
                <w:smallCaps w:val="false"/>
                <w:sz w:val="20"/>
              </w:rPr>
              <w:t>and other strategic</w:t>
            </w:r>
            <w:r>
              <w:rPr>
                <w:caps w:val="false"/>
                <w:smallCaps w:val="false"/>
              </w:rPr>
              <w:t xml:space="preserve"> </w:t>
            </w:r>
            <w:r>
              <w:rPr>
                <w:rFonts w:ascii="Arial;Helvetica;sans-serif" w:hAnsi="Arial;Helvetica;sans-serif"/>
                <w:b w:val="false"/>
                <w:i w:val="false"/>
                <w:caps w:val="false"/>
                <w:smallCaps w:val="false"/>
                <w:sz w:val="20"/>
              </w:rPr>
              <w:t>initiatives</w:t>
            </w:r>
            <w:r>
              <w:rPr>
                <w:caps w:val="false"/>
                <w:smallCaps w:val="false"/>
              </w:rPr>
              <w:t xml:space="preserve"> </w:t>
            </w:r>
            <w:r>
              <w:rPr>
                <w:rFonts w:ascii="Arial;Helvetica;sans-serif" w:hAnsi="Arial;Helvetica;sans-serif"/>
                <w:b w:val="false"/>
                <w:i w:val="false"/>
                <w:caps w:val="false"/>
                <w:smallCaps w:val="false"/>
                <w:sz w:val="20"/>
              </w:rPr>
              <w:t>to complement or expand our business, which</w:t>
            </w:r>
            <w:r>
              <w:rPr>
                <w:caps w:val="false"/>
                <w:smallCaps w:val="false"/>
              </w:rPr>
              <w:t xml:space="preserve"> </w:t>
            </w:r>
            <w:r>
              <w:rPr>
                <w:rFonts w:ascii="Arial;Helvetica;sans-serif" w:hAnsi="Arial;Helvetica;sans-serif"/>
                <w:b w:val="false"/>
                <w:i w:val="false"/>
                <w:caps w:val="false"/>
                <w:smallCaps w:val="false"/>
                <w:sz w:val="20"/>
              </w:rPr>
              <w:t>may not be successful and we may lose a portion or all</w:t>
            </w:r>
            <w:r>
              <w:rPr>
                <w:caps w:val="false"/>
                <w:smallCaps w:val="false"/>
              </w:rPr>
              <w:t xml:space="preserve"> </w:t>
            </w:r>
            <w:r>
              <w:rPr>
                <w:rFonts w:ascii="Arial;Helvetica;sans-serif" w:hAnsi="Arial;Helvetica;sans-serif"/>
                <w:b w:val="false"/>
                <w:i w:val="false"/>
                <w:caps w:val="false"/>
                <w:smallCaps w:val="false"/>
                <w:sz w:val="20"/>
              </w:rPr>
              <w:t>of our investment in these acquisitions and transactions.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parent, DISH Network, has made substantial investments to acquire certain wireless spectrum licenses and other related assets, and we have made and may continue to make funds available to DISH Network in the form of cash distributions or loans in connection with the development of DISH Network’s wireless business.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Senior Secured Notes (defined herein) are subordinated to our existing unsecured notes and certain future unsecured notes with respect to certain realizations under the Intercompany Loan (defined herein) and any collateral pledged as security therefor.</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will need additional capital, which may not be available on favorable terms or at all, to fund current obligations, to continue investing in our business and to finance acquisitions and other strategic transactions. </w:t>
            </w:r>
          </w:p>
        </w:tc>
      </w:tr>
    </w:tbl>
    <w:p>
      <w:pPr>
        <w:pStyle w:val="TextBody"/>
        <w:bidi w:val="0"/>
        <w:spacing w:before="0" w:after="0"/>
        <w:ind w:left="720" w:right="0" w:hanging="0"/>
        <w:jc w:val="left"/>
        <w:rPr/>
      </w:pPr>
      <w:r>
        <w:rPr/>
        <w:t>​</w:t>
      </w:r>
    </w:p>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ultimate parent, EchoStar, is controlled by one principal stockholder, who is also our Chairman. </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the Regulation of Our Business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services depend on FCC licenses that can expire or be revoked or modified and applications for FCC licenses that may not be granted.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Securities and Exchange Commission (</w:t>
      </w:r>
      <w:r>
        <w:rPr>
          <w:rFonts w:ascii="Times New Roman;Times;serif" w:hAnsi="Times New Roman;Times;serif"/>
          <w:sz w:val="20"/>
        </w:rPr>
        <w:t>“</w:t>
      </w:r>
      <w:r>
        <w:rPr>
          <w:rFonts w:ascii="Arial;Helvetica;sans-serif" w:hAnsi="Arial;Helvetica;sans-serif"/>
          <w:sz w:val="20"/>
        </w:rPr>
        <w:t>SEC</w:t>
      </w:r>
      <w:r>
        <w:rPr>
          <w:rFonts w:ascii="Times New Roman;Times;serif" w:hAnsi="Times New Roman;Times;serif"/>
          <w:sz w:val="20"/>
        </w:rPr>
        <w:t>”</w:t>
      </w:r>
      <w:r>
        <w:rPr>
          <w:rFonts w:ascii="Arial;Helvetica;sans-serif" w:hAnsi="Arial;Helvetica;sans-serif"/>
          <w:sz w:val="20"/>
        </w:rPr>
        <w:t>), those discussed in “Management’s Narrative Analysis of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40" w:name="Item1FINANCIALSTATEMENTS_261159"/>
      <w:bookmarkStart w:id="41" w:name="_4655ccce_3397_4ddc_823c_7c25389ef31d"/>
      <w:bookmarkEnd w:id="40"/>
      <w:bookmarkEnd w:id="41"/>
      <w:r>
        <w:rPr>
          <w:rFonts w:ascii="Arial;Helvetica;sans-serif" w:hAnsi="Arial;Helvetica;sans-serif"/>
          <w:b/>
          <w:sz w:val="20"/>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bookmarkStart w:id="42" w:name="CONDENSEDCONSOLIDATEDBALANCESHEETS_60502"/>
      <w:bookmarkEnd w:id="42"/>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(Dollars in thousands, except share amounts)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43" w:name="Tc_0oe0VEGzgkubsCdaguYqiA_52_5"/>
      <w:bookmarkStart w:id="44" w:name="Tc_m-X60roL6ECC-Mi7rZPS2g_52_2"/>
      <w:bookmarkStart w:id="45" w:name="Tc_ba0pGQw8k0Kviz2is0Y6vA_52_0"/>
      <w:bookmarkStart w:id="46" w:name="Tc_kD6v7p3-XUaUrFs-v8U1OA_51_0"/>
      <w:bookmarkStart w:id="47" w:name="Tc_-B4cL_HfXUSW6_tjkH04SQ_50_0"/>
      <w:bookmarkStart w:id="48" w:name="Tc_gUXxuR2wME-nYORIrWIffg_49_0"/>
      <w:bookmarkStart w:id="49" w:name="Tc_BkA0gYv390We154MdHUkrw_48_0"/>
      <w:bookmarkStart w:id="50" w:name="Tc_lc9mlz5cFkuwfeKX0uuO6Q_47_6"/>
      <w:bookmarkStart w:id="51" w:name="Tc_o5H7XCjnKUGKOk3AcU7jOg_47_3"/>
      <w:bookmarkStart w:id="52" w:name="_a6fd379e_3b6b_4118_ac19_ba32478a14ae_3"/>
      <w:bookmarkStart w:id="53" w:name="_a6fd379e_3b6b_4118_ac19_ba32478a14ae_2"/>
      <w:bookmarkStart w:id="54" w:name="_a6fd379e_3b6b_4118_ac19_ba32478a14ae"/>
      <w:bookmarkStart w:id="55" w:name="Tc_dFRgZfXUmEWoVqVsTOB28g_47_0"/>
      <w:bookmarkStart w:id="56" w:name="Tc_jOgRnRT5jEes_lP8487pNQ_46_0"/>
      <w:bookmarkStart w:id="57" w:name="Tc_jMsEP_lSSkq2VerRp268ng_44_0"/>
      <w:bookmarkStart w:id="58" w:name="Tc_EhuXZhSDGk2mHtRw_YSWpw_42_0"/>
      <w:bookmarkStart w:id="59" w:name="Tc_d98_SFhQMk-83r6J7XLk5A_41_0"/>
      <w:bookmarkStart w:id="60" w:name="Tc_V_tX7Dzu6U2l9zyezBI_gg_40_0"/>
      <w:bookmarkStart w:id="61" w:name="Tc_2p5ubZF6aEutItDa5nPTUg_39_0"/>
      <w:bookmarkStart w:id="62" w:name="Tc_thLNwWBVrkmWwh8SbSH5nQ_38_0"/>
      <w:bookmarkStart w:id="63" w:name="Tc_A3Zm8OrFVU2jOcPMws-N0Q_37_0"/>
      <w:bookmarkStart w:id="64" w:name="Tc_vDjnr1Mr6Uuo_gT-xDyS2A_36_0"/>
      <w:bookmarkStart w:id="65" w:name="Tc_nEF6VTNY-kupwjOh-lTEAA_34_0"/>
      <w:bookmarkStart w:id="66" w:name="Tc_RD06bb0jGkOF76FqbVNisg_33_0"/>
      <w:bookmarkStart w:id="67" w:name="Tc__7acvNLniE-gH4y4DODT3Q_32_0"/>
      <w:bookmarkStart w:id="68" w:name="Tc_riR858sm3EeOy_HhyyitiA_31_0"/>
      <w:bookmarkStart w:id="69" w:name="Tc_JwF3ggjaFkCsMihCCJFBOA_30_0"/>
      <w:bookmarkStart w:id="70" w:name="Tc_uGvV8bJEpEG5K8UuwAIoeg_29_0"/>
      <w:bookmarkStart w:id="71" w:name="Tc_jcxzNBmPKESMi99Xvd4gMQ_28_5"/>
      <w:bookmarkStart w:id="72" w:name="Tc_KqjSBGAJwkG5TCUZ5OAZXQ_28_2"/>
      <w:bookmarkStart w:id="73" w:name="Tc_Y3pioMIe80yD9BsowBFz3Q_28_0"/>
      <w:bookmarkStart w:id="74" w:name="Tc_q2nqDLmfRkK4-4mwcQfKcg_27_0"/>
      <w:bookmarkStart w:id="75" w:name="Tc_PotsiG6BVEWIVWhErWqzFQ_26_0"/>
      <w:bookmarkStart w:id="76" w:name="Tc_T3NIBI15UEWPmcg3GmV73A_24_5"/>
      <w:bookmarkStart w:id="77" w:name="Tc_68iKJM8bEEyZHbNTgfuI-Q_24_2"/>
      <w:bookmarkStart w:id="78" w:name="Tc_I7fWqn3M7UyZhNPcKuRGPg_24_0"/>
      <w:bookmarkStart w:id="79" w:name="Tc_3dLqBRlz0kSE22l77OwRMg_23_0"/>
      <w:bookmarkStart w:id="80" w:name="Tc_8m6u_QXd-keRbX_3oOtvrQ_22_0"/>
      <w:bookmarkStart w:id="81" w:name="Tc_Ob3ehJc4uUGrs8_SKeXKMA_20_0"/>
      <w:bookmarkStart w:id="82" w:name="Tc_X4cZUcD7nEuGu7edct3OoA_19_0"/>
      <w:bookmarkStart w:id="83" w:name="Tc_tABIZuuja0aYCACMlZYXDg_18_0"/>
      <w:bookmarkStart w:id="84" w:name="Tc_MwSMGbkNxkWSPpdzC1C1KA_17_0"/>
      <w:bookmarkStart w:id="85" w:name="Tc_YCHnQePHlkWfwkyT0hA-Pg_16_0"/>
      <w:bookmarkStart w:id="86" w:name="Tc_y4uxAW_tIkG4xMNjqb8lJw_15_0"/>
      <w:bookmarkStart w:id="87" w:name="Tc_W_kfTLwiyEyh-x_8hMW_FQ_13_0"/>
      <w:bookmarkStart w:id="88" w:name="Tc_xh7jlN9b2UOr-ngEnmTAPA_12_0"/>
      <w:bookmarkStart w:id="89" w:name="Tc_nfClo8Sz7USo3KVJ2-symg_11_0"/>
      <w:bookmarkStart w:id="90" w:name="Tc__2m9AtELvEaA3j-IFnz2Kg_9_0"/>
      <w:bookmarkStart w:id="91" w:name="Tc_LVkOAfCwqkyTM-93bQQj6A_8_0"/>
      <w:bookmarkStart w:id="92" w:name="Tc_s1dHwjean0muKO9ryLqrXA_7_0"/>
      <w:bookmarkStart w:id="93" w:name="Tc_TQeAQom30U2YcxY29VqeOw_6_5"/>
      <w:bookmarkStart w:id="94" w:name="Tc_NNqB8qJtAEacBwss7xKriA_6_2"/>
      <w:bookmarkStart w:id="95" w:name="Tc_WR9Z7bE1G0WtP_KNyOmmmA_6_0"/>
      <w:bookmarkStart w:id="96" w:name="Tc_xWx-Bt99hEawBdQN1tEQxA_5_0"/>
      <w:bookmarkStart w:id="97" w:name="Tc__0qpEBZ0OkG0lbi367dDSg_4_0"/>
      <w:bookmarkStart w:id="98" w:name="Tc_G9xtBZ6pekax0sV4NaMDIg_3_5"/>
      <w:bookmarkStart w:id="99" w:name="Tc_3BPQUm9EyUmdaI6mdA4Cag_3_2"/>
      <w:bookmarkStart w:id="100" w:name="Tc_drEvYUBIHEG4mmEK4SD5Vw_2_5"/>
      <w:bookmarkStart w:id="101" w:name="Tc_i76pXwoD1kSqfDZ5Mx3kHw_2_2"/>
      <w:bookmarkStart w:id="102" w:name="Tc_qElRlLjMBU-S4qJb32covw_1_2"/>
      <w:bookmarkStart w:id="103" w:name="_6e562735_3227_4eb1_bcbe_43f46e6d58fa"/>
      <w:bookmarkStart w:id="104" w:name="Tc_0oe0VEGzgkubsCdaguYqiA_52_5"/>
      <w:bookmarkStart w:id="105" w:name="Tc_m-X60roL6ECC-Mi7rZPS2g_52_2"/>
      <w:bookmarkStart w:id="106" w:name="Tc_ba0pGQw8k0Kviz2is0Y6vA_52_0"/>
      <w:bookmarkStart w:id="107" w:name="Tc_kD6v7p3-XUaUrFs-v8U1OA_51_0"/>
      <w:bookmarkStart w:id="108" w:name="Tc_-B4cL_HfXUSW6_tjkH04SQ_50_0"/>
      <w:bookmarkStart w:id="109" w:name="Tc_gUXxuR2wME-nYORIrWIffg_49_0"/>
      <w:bookmarkStart w:id="110" w:name="Tc_BkA0gYv390We154MdHUkrw_48_0"/>
      <w:bookmarkStart w:id="111" w:name="Tc_lc9mlz5cFkuwfeKX0uuO6Q_47_6"/>
      <w:bookmarkStart w:id="112" w:name="Tc_o5H7XCjnKUGKOk3AcU7jOg_47_3"/>
      <w:bookmarkStart w:id="113" w:name="_a6fd379e_3b6b_4118_ac19_ba32478a14ae_3"/>
      <w:bookmarkStart w:id="114" w:name="_a6fd379e_3b6b_4118_ac19_ba32478a14ae_2"/>
      <w:bookmarkStart w:id="115" w:name="_a6fd379e_3b6b_4118_ac19_ba32478a14ae"/>
      <w:bookmarkStart w:id="116" w:name="Tc_dFRgZfXUmEWoVqVsTOB28g_47_0"/>
      <w:bookmarkStart w:id="117" w:name="Tc_jOgRnRT5jEes_lP8487pNQ_46_0"/>
      <w:bookmarkStart w:id="118" w:name="Tc_jMsEP_lSSkq2VerRp268ng_44_0"/>
      <w:bookmarkStart w:id="119" w:name="Tc_EhuXZhSDGk2mHtRw_YSWpw_42_0"/>
      <w:bookmarkStart w:id="120" w:name="Tc_d98_SFhQMk-83r6J7XLk5A_41_0"/>
      <w:bookmarkStart w:id="121" w:name="Tc_V_tX7Dzu6U2l9zyezBI_gg_40_0"/>
      <w:bookmarkStart w:id="122" w:name="Tc_2p5ubZF6aEutItDa5nPTUg_39_0"/>
      <w:bookmarkStart w:id="123" w:name="Tc_thLNwWBVrkmWwh8SbSH5nQ_38_0"/>
      <w:bookmarkStart w:id="124" w:name="Tc_A3Zm8OrFVU2jOcPMws-N0Q_37_0"/>
      <w:bookmarkStart w:id="125" w:name="Tc_vDjnr1Mr6Uuo_gT-xDyS2A_36_0"/>
      <w:bookmarkStart w:id="126" w:name="Tc_nEF6VTNY-kupwjOh-lTEAA_34_0"/>
      <w:bookmarkStart w:id="127" w:name="Tc_RD06bb0jGkOF76FqbVNisg_33_0"/>
      <w:bookmarkStart w:id="128" w:name="Tc__7acvNLniE-gH4y4DODT3Q_32_0"/>
      <w:bookmarkStart w:id="129" w:name="Tc_riR858sm3EeOy_HhyyitiA_31_0"/>
      <w:bookmarkStart w:id="130" w:name="Tc_JwF3ggjaFkCsMihCCJFBOA_30_0"/>
      <w:bookmarkStart w:id="131" w:name="Tc_uGvV8bJEpEG5K8UuwAIoeg_29_0"/>
      <w:bookmarkStart w:id="132" w:name="Tc_jcxzNBmPKESMi99Xvd4gMQ_28_5"/>
      <w:bookmarkStart w:id="133" w:name="Tc_KqjSBGAJwkG5TCUZ5OAZXQ_28_2"/>
      <w:bookmarkStart w:id="134" w:name="Tc_Y3pioMIe80yD9BsowBFz3Q_28_0"/>
      <w:bookmarkStart w:id="135" w:name="Tc_q2nqDLmfRkK4-4mwcQfKcg_27_0"/>
      <w:bookmarkStart w:id="136" w:name="Tc_PotsiG6BVEWIVWhErWqzFQ_26_0"/>
      <w:bookmarkStart w:id="137" w:name="Tc_T3NIBI15UEWPmcg3GmV73A_24_5"/>
      <w:bookmarkStart w:id="138" w:name="Tc_68iKJM8bEEyZHbNTgfuI-Q_24_2"/>
      <w:bookmarkStart w:id="139" w:name="Tc_I7fWqn3M7UyZhNPcKuRGPg_24_0"/>
      <w:bookmarkStart w:id="140" w:name="Tc_3dLqBRlz0kSE22l77OwRMg_23_0"/>
      <w:bookmarkStart w:id="141" w:name="Tc_8m6u_QXd-keRbX_3oOtvrQ_22_0"/>
      <w:bookmarkStart w:id="142" w:name="Tc_Ob3ehJc4uUGrs8_SKeXKMA_20_0"/>
      <w:bookmarkStart w:id="143" w:name="Tc_X4cZUcD7nEuGu7edct3OoA_19_0"/>
      <w:bookmarkStart w:id="144" w:name="Tc_tABIZuuja0aYCACMlZYXDg_18_0"/>
      <w:bookmarkStart w:id="145" w:name="Tc_MwSMGbkNxkWSPpdzC1C1KA_17_0"/>
      <w:bookmarkStart w:id="146" w:name="Tc_YCHnQePHlkWfwkyT0hA-Pg_16_0"/>
      <w:bookmarkStart w:id="147" w:name="Tc_y4uxAW_tIkG4xMNjqb8lJw_15_0"/>
      <w:bookmarkStart w:id="148" w:name="Tc_W_kfTLwiyEyh-x_8hMW_FQ_13_0"/>
      <w:bookmarkStart w:id="149" w:name="Tc_xh7jlN9b2UOr-ngEnmTAPA_12_0"/>
      <w:bookmarkStart w:id="150" w:name="Tc_nfClo8Sz7USo3KVJ2-symg_11_0"/>
      <w:bookmarkStart w:id="151" w:name="Tc__2m9AtELvEaA3j-IFnz2Kg_9_0"/>
      <w:bookmarkStart w:id="152" w:name="Tc_LVkOAfCwqkyTM-93bQQj6A_8_0"/>
      <w:bookmarkStart w:id="153" w:name="Tc_s1dHwjean0muKO9ryLqrXA_7_0"/>
      <w:bookmarkStart w:id="154" w:name="Tc_TQeAQom30U2YcxY29VqeOw_6_5"/>
      <w:bookmarkStart w:id="155" w:name="Tc_NNqB8qJtAEacBwss7xKriA_6_2"/>
      <w:bookmarkStart w:id="156" w:name="Tc_WR9Z7bE1G0WtP_KNyOmmmA_6_0"/>
      <w:bookmarkStart w:id="157" w:name="Tc_xWx-Bt99hEawBdQN1tEQxA_5_0"/>
      <w:bookmarkStart w:id="158" w:name="Tc__0qpEBZ0OkG0lbi367dDSg_4_0"/>
      <w:bookmarkStart w:id="159" w:name="Tc_G9xtBZ6pekax0sV4NaMDIg_3_5"/>
      <w:bookmarkStart w:id="160" w:name="Tc_3BPQUm9EyUmdaI6mdA4Cag_3_2"/>
      <w:bookmarkStart w:id="161" w:name="Tc_drEvYUBIHEG4mmEK4SD5Vw_2_5"/>
      <w:bookmarkStart w:id="162" w:name="Tc_i76pXwoD1kSqfDZ5Mx3kHw_2_2"/>
      <w:bookmarkStart w:id="163" w:name="Tc_qElRlLjMBU-S4qJb32covw_1_2"/>
      <w:bookmarkStart w:id="164" w:name="_6e562735_3227_4eb1_bcbe_43f46e6d58fa"/>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10205" w:type="dxa"/>
        <w:jc w:val="left"/>
        <w:tblInd w:w="0" w:type="dxa"/>
        <w:tblLayout w:type="fixed"/>
        <w:tblCellMar>
          <w:top w:w="0" w:type="dxa"/>
          <w:left w:w="0" w:type="dxa"/>
          <w:bottom w:w="0" w:type="dxa"/>
          <w:right w:w="0" w:type="dxa"/>
        </w:tblCellMar>
      </w:tblPr>
      <w:tblGrid>
        <w:gridCol w:w="7156"/>
        <w:gridCol w:w="326"/>
        <w:gridCol w:w="196"/>
        <w:gridCol w:w="944"/>
        <w:gridCol w:w="326"/>
        <w:gridCol w:w="207"/>
        <w:gridCol w:w="1050"/>
      </w:tblGrid>
      <w:tr>
        <w:trPr/>
        <w:tc>
          <w:tcPr>
            <w:tcW w:w="7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544060" cy="175260"/>
                      <wp:effectExtent l="0" t="0" r="0" b="0"/>
                      <wp:wrapNone/>
                      <wp:docPr id="2" name="Frame2"/>
                      <a:graphic xmlns:a="http://schemas.openxmlformats.org/drawingml/2006/main">
                        <a:graphicData uri="http://schemas.microsoft.com/office/word/2010/wordprocessingShape">
                          <wps:wsp>
                            <wps:cNvSpPr txBox="1"/>
                            <wps:spPr>
                              <a:xfrm>
                                <a:off x="0" y="0"/>
                                <a:ext cx="454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4" name="Frame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99440" cy="175260"/>
                      <wp:effectExtent l="0" t="0" r="0" b="0"/>
                      <wp:wrapNone/>
                      <wp:docPr id="5" name="Frame5"/>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1445" cy="175260"/>
                      <wp:effectExtent l="0" t="0" r="0" b="0"/>
                      <wp:wrapNone/>
                      <wp:docPr id="7" name="Frame7"/>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6750" cy="175260"/>
                      <wp:effectExtent l="0" t="0" r="0" b="0"/>
                      <wp:wrapNone/>
                      <wp:docPr id="8" name="Frame8"/>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7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June 30, </w:t>
            </w:r>
          </w:p>
        </w:tc>
        <w:tc>
          <w:tcPr>
            <w:tcW w:w="326"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December 31, </w:t>
            </w:r>
          </w:p>
        </w:tc>
      </w:tr>
      <w:tr>
        <w:trPr/>
        <w:tc>
          <w:tcPr>
            <w:tcW w:w="7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center"/>
              <w:rPr/>
            </w:pPr>
            <w:r>
              <w:rPr/>
              <w:t>​</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725,352</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419,087</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Current restricted cash, cash equivalents and marketable investment securities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184,012</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150,898</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Trade accounts receivable, net of allowance for credit losses of $61,318</w:t>
            </w:r>
            <w:r>
              <w:rPr>
                <w:rFonts w:ascii="Times New Roman;Times;serif" w:hAnsi="Times New Roman;Times;serif"/>
                <w:sz w:val="16"/>
              </w:rPr>
              <w:t xml:space="preserve"> </w:t>
            </w:r>
            <w:r>
              <w:rPr>
                <w:rFonts w:ascii="Arial;Helvetica;sans-serif" w:hAnsi="Arial;Helvetica;sans-serif"/>
                <w:sz w:val="16"/>
              </w:rPr>
              <w:t>and $42,270,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500,046</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592,355</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Inventory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141,420</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183,202</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Interest receivable - DISH Network (Note 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14,222</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14,222</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Prepaids and 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116,085</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118,070</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2,503</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1,588</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1,683,640</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1,479,422</w:t>
            </w:r>
          </w:p>
        </w:tc>
      </w:tr>
      <w:tr>
        <w:trPr/>
        <w:tc>
          <w:tcPr>
            <w:tcW w:w="7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Noncurrent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Restricted cash, cash equivalents and marketable investment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59,909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58,676</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Property and equipment,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577,259</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624,769</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Regulatory authorizations,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611,794</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611,794</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investments,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22,216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22,641</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87,551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81,024</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Notes Receivable - DISH Network (Note 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4,985,086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4,913,689</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noncurrent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91,625</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99,908</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noncurrent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6,435,440</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6,412,501</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8,119,080</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7,891,923</w:t>
            </w:r>
          </w:p>
        </w:tc>
      </w:tr>
      <w:tr>
        <w:trPr/>
        <w:tc>
          <w:tcPr>
            <w:tcW w:w="7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Liabilities and 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Trade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183,029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207,531</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revenue and 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393,564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416,156</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Accrued programming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1,251,114</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1,339,072</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Accrued interest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152,048</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153,409</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accrued expenses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376,387</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373,915</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portion of debt, finance lease and other obligations (Note 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867,082</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744,556</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3,223,224</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3,234,639</w:t>
            </w:r>
          </w:p>
        </w:tc>
      </w:tr>
      <w:tr>
        <w:trPr/>
        <w:tc>
          <w:tcPr>
            <w:tcW w:w="7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Long-Term Obligations,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Long-term debt, finance lease and other obligations, net of current portion (Note 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10,985,238</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11,402,894</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tax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176,886</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205,064</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Operating lease liabilities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57,683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52,156</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Long-term deferred revenue and 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213,838</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203,190</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long-term obligations, net of current portion</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11,433,645</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11,863,304</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14,656,869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15,097,943</w:t>
            </w:r>
          </w:p>
        </w:tc>
      </w:tr>
      <w:tr>
        <w:trPr/>
        <w:tc>
          <w:tcPr>
            <w:tcW w:w="7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Commitments and Contingencies (Note 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left"/>
              <w:rPr/>
            </w:pPr>
            <w:r>
              <w:rPr/>
              <w:t>​</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lef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Common stock, $0.01</w:t>
            </w:r>
            <w:r>
              <w:rPr>
                <w:rFonts w:ascii="Times New Roman;Times;serif" w:hAnsi="Times New Roman;Times;serif"/>
                <w:sz w:val="16"/>
              </w:rPr>
              <w:t xml:space="preserve"> </w:t>
            </w:r>
            <w:r>
              <w:rPr>
                <w:rFonts w:ascii="Arial;Helvetica;sans-serif" w:hAnsi="Arial;Helvetica;sans-serif"/>
                <w:sz w:val="16"/>
              </w:rPr>
              <w:t>par value, 1,000,000</w:t>
            </w:r>
            <w:r>
              <w:rPr>
                <w:rFonts w:ascii="Times New Roman;Times;serif" w:hAnsi="Times New Roman;Times;serif"/>
                <w:sz w:val="16"/>
              </w:rPr>
              <w:t xml:space="preserve"> </w:t>
            </w:r>
            <w:r>
              <w:rPr>
                <w:rFonts w:ascii="Arial;Helvetica;sans-serif" w:hAnsi="Arial;Helvetica;sans-serif"/>
                <w:sz w:val="16"/>
              </w:rPr>
              <w:t>shares authorized, 1,015</w:t>
            </w:r>
            <w:r>
              <w:rPr>
                <w:rFonts w:ascii="Times New Roman;Times;serif" w:hAnsi="Times New Roman;Times;serif"/>
                <w:sz w:val="16"/>
              </w:rPr>
              <w:t xml:space="preserve"> </w:t>
            </w:r>
            <w:r>
              <w:rPr>
                <w:rFonts w:ascii="Arial;Helvetica;sans-serif" w:hAnsi="Arial;Helvetica;sans-serif"/>
                <w:sz w:val="16"/>
              </w:rPr>
              <w:t>shares issued and outstanding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1,562,039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1,558,325</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Accumulated other comprehensive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(3,114)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(3,047)</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Accumulated earnings (deficit)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(8,096,714)</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(8,761,298)</w:t>
            </w:r>
          </w:p>
        </w:tc>
      </w:tr>
      <w:tr>
        <w:trPr/>
        <w:tc>
          <w:tcPr>
            <w:tcW w:w="71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stockholder’s equity (deficit)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(6,537,789)</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(7,206,020)</w:t>
            </w:r>
          </w:p>
        </w:tc>
      </w:tr>
      <w:tr>
        <w:trPr/>
        <w:tc>
          <w:tcPr>
            <w:tcW w:w="715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liabilities and 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8,119,080</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7,891,923</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65" w:name="_d689ac99_9859_4f95_acf1_04a9260a180d"/>
      <w:bookmarkEnd w:id="165"/>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bookmarkStart w:id="166" w:name="CONDENSEDCONSOLIDATEDSTATEMENTSOFOPERATI"/>
      <w:bookmarkEnd w:id="166"/>
      <w:r>
        <w:rPr>
          <w:rFonts w:ascii="Arial;Helvetica;sans-serif" w:hAnsi="Arial;Helvetica;sans-serif"/>
          <w:b/>
          <w:sz w:val="20"/>
        </w:rPr>
        <w:t>CONDENSED 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AND COMPREHENSIVE INCOME (LOSS)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167" w:name="Tc_7aFwbMngKEWMbxkzNNEnGg_35_11"/>
      <w:bookmarkStart w:id="168" w:name="Tc_qcq_kN3YGkKvLeZQ444-RQ_35_8"/>
      <w:bookmarkStart w:id="169" w:name="Tc_S-z2-uUa_kWoQ7bFyS-0FA_35_5"/>
      <w:bookmarkStart w:id="170" w:name="Tc_o2GEKpuMY0axl7sl2nbsIA_35_2"/>
      <w:bookmarkStart w:id="171" w:name="Tc_vXi_2PKi60mf3choNXdgmg_35_0"/>
      <w:bookmarkStart w:id="172" w:name="Tc_weRjh--fKka_83msXYq28A_34_0"/>
      <w:bookmarkStart w:id="173" w:name="Tc_C3KhKJQ-ZkCWLi2uVMaASg_33_9"/>
      <w:bookmarkStart w:id="174" w:name="Tc_f5x1HlmzaUKVNywFpfbgnA_33_0"/>
      <w:bookmarkStart w:id="175" w:name="Tc_AU4GpC9IokGlr3kB8wWN1w_32_12"/>
      <w:bookmarkStart w:id="176" w:name="Tc_WD8NjMio6EyUfmI0ua7o1Q_32_6"/>
      <w:bookmarkStart w:id="177" w:name="Tc_KUGbixUxvUqKoSp9KNbz9A_32_0"/>
      <w:bookmarkStart w:id="178" w:name="Tc_V-T21yiI50CzZi8DXKW-4Q_31_0"/>
      <w:bookmarkStart w:id="179" w:name="Tc_Ptyf9kFkD0qR056RAaKSnA_30_0"/>
      <w:bookmarkStart w:id="180" w:name="Tc_Kyr6ewDYqESMYWJ42IngIA_29_11"/>
      <w:bookmarkStart w:id="181" w:name="Tc_wyQEQeLu_E2pw7TUq20ufw_29_8"/>
      <w:bookmarkStart w:id="182" w:name="Tc_bTxAaWir8k6BQSfPjW3mhA_29_5"/>
      <w:bookmarkStart w:id="183" w:name="Tc_mmqvux4Mp0GFtIVpEkN9vw_29_2"/>
      <w:bookmarkStart w:id="184" w:name="Tc_RIUNMYyq8U2EyruSiB-JLQ_29_0"/>
      <w:bookmarkStart w:id="185" w:name="Tc_svBGsajX0kG6RXLLLPgSvA_28_0"/>
      <w:bookmarkStart w:id="186" w:name="Tc_WMs0az6YHE-0fLb3NL_r8Q_26_11"/>
      <w:bookmarkStart w:id="187" w:name="Tc_pDcLB4of30upLCgYuiDHVw_26_8"/>
      <w:bookmarkStart w:id="188" w:name="Tc_PRM--9ZLuUWvjh29xI11gw_26_5"/>
      <w:bookmarkStart w:id="189" w:name="Tc_xw2mRZfj-0iNL8gQESpw9Q_26_2"/>
      <w:bookmarkStart w:id="190" w:name="Tc_Zy2fgZhePUKefyiZ4Ry3JA_26_0"/>
      <w:bookmarkStart w:id="191" w:name="Tc_D3WnDTJcUkKWDlkptSY-nA_25_0"/>
      <w:bookmarkStart w:id="192" w:name="Tc_-_hacFnyRkKdEzOrHwXmQw_24_0"/>
      <w:bookmarkStart w:id="193" w:name="Tc_xsFtdMwPW0-epvz1tdIqLA_22_0"/>
      <w:bookmarkStart w:id="194" w:name="Tc_E0sDzhi8EUWPvmhrXNX6VQ_21_0"/>
      <w:bookmarkStart w:id="195" w:name="Tc_H_p83NKoyEKtDzOK7f3-fQ_20_0"/>
      <w:bookmarkStart w:id="196" w:name="Tc_3t3xvaUf10iYlS68vcQkyA_19_0"/>
      <w:bookmarkStart w:id="197" w:name="Tc_GAaqWxpBwkGc90gyyTXFwQ_18_0"/>
      <w:bookmarkStart w:id="198" w:name="Tc_HBHoMAptAka5RY8MKsNi7w_16_0"/>
      <w:bookmarkStart w:id="199" w:name="Tc_f43cRafT6k2OpW5Aur0ffA_14_0"/>
      <w:bookmarkStart w:id="200" w:name="Tc_8-ylsAcbxUCRzFMdnapSpA_13_0"/>
      <w:bookmarkStart w:id="201" w:name="Tc_4h4ImRcm-0SK_775FiKzQg_12_0"/>
      <w:bookmarkStart w:id="202" w:name="Tc_ZT3pWh7010-zQ1TejAMsKw_11_0"/>
      <w:bookmarkStart w:id="203" w:name="Tc_gFtU0xOMHESV1Q8OQzk5YQ_10_0"/>
      <w:bookmarkStart w:id="204" w:name="Tc_vM77Poi0SU6AX8x0Wni0XQ_9_0"/>
      <w:bookmarkStart w:id="205" w:name="Tc_dcNXWAZgQE2T1DPg3AHOoQ_7_0"/>
      <w:bookmarkStart w:id="206" w:name="Tc_iUxcFlZI7EypeoHZNMnIoA_6_0"/>
      <w:bookmarkStart w:id="207" w:name="Tc_jcy0hVf9Iku895qFlfD6Og_5_11"/>
      <w:bookmarkStart w:id="208" w:name="Tc_mkkCd0vqEk2yCVB5iXQ6_w_5_8"/>
      <w:bookmarkStart w:id="209" w:name="Tc_zOgn6yy7bkm6obnCriF2qQ_5_5"/>
      <w:bookmarkStart w:id="210" w:name="Tc_Te6Kl_L7SU-BQFaOntJjgw_5_2"/>
      <w:bookmarkStart w:id="211" w:name="Tc_ZLpnpySdpE6bgf2olaOIng_5_0"/>
      <w:bookmarkStart w:id="212" w:name="Tc_OfA3duzbdEy_wm7gKccJwA_4_0"/>
      <w:bookmarkStart w:id="213" w:name="Tc_8CKljQ39REGe1SwAOtvArw_3_11"/>
      <w:bookmarkStart w:id="214" w:name="Tc_-Y_X1z4nkkKdF_Ss1fXlow_3_8"/>
      <w:bookmarkStart w:id="215" w:name="Tc_ka-EXyupXUqePFazhI6HCg_3_5"/>
      <w:bookmarkStart w:id="216" w:name="Tc_O_JGPi0Bo0SszuXNxEQ92A_3_2"/>
      <w:bookmarkStart w:id="217" w:name="Tc_dO5g7kDoWUq50EqHpUREug_2_8"/>
      <w:bookmarkStart w:id="218" w:name="Tc_T9chKeKNtEGEjon8TXHoPw_2_2"/>
      <w:bookmarkStart w:id="219" w:name="Tc_RTdIDrSqqEqAJaZcWs_PuA_1_8"/>
      <w:bookmarkStart w:id="220" w:name="Tc_q72YQwRaOU2uvDdOl4fqpg_1_2"/>
      <w:bookmarkStart w:id="221" w:name="_b990ef10_2726_4a0e_b8eb_6d33e1e6b4ea"/>
      <w:bookmarkStart w:id="222" w:name="Tc_7aFwbMngKEWMbxkzNNEnGg_35_11"/>
      <w:bookmarkStart w:id="223" w:name="Tc_qcq_kN3YGkKvLeZQ444-RQ_35_8"/>
      <w:bookmarkStart w:id="224" w:name="Tc_S-z2-uUa_kWoQ7bFyS-0FA_35_5"/>
      <w:bookmarkStart w:id="225" w:name="Tc_o2GEKpuMY0axl7sl2nbsIA_35_2"/>
      <w:bookmarkStart w:id="226" w:name="Tc_vXi_2PKi60mf3choNXdgmg_35_0"/>
      <w:bookmarkStart w:id="227" w:name="Tc_weRjh--fKka_83msXYq28A_34_0"/>
      <w:bookmarkStart w:id="228" w:name="Tc_C3KhKJQ-ZkCWLi2uVMaASg_33_9"/>
      <w:bookmarkStart w:id="229" w:name="Tc_f5x1HlmzaUKVNywFpfbgnA_33_0"/>
      <w:bookmarkStart w:id="230" w:name="Tc_AU4GpC9IokGlr3kB8wWN1w_32_12"/>
      <w:bookmarkStart w:id="231" w:name="Tc_WD8NjMio6EyUfmI0ua7o1Q_32_6"/>
      <w:bookmarkStart w:id="232" w:name="Tc_KUGbixUxvUqKoSp9KNbz9A_32_0"/>
      <w:bookmarkStart w:id="233" w:name="Tc_V-T21yiI50CzZi8DXKW-4Q_31_0"/>
      <w:bookmarkStart w:id="234" w:name="Tc_Ptyf9kFkD0qR056RAaKSnA_30_0"/>
      <w:bookmarkStart w:id="235" w:name="Tc_Kyr6ewDYqESMYWJ42IngIA_29_11"/>
      <w:bookmarkStart w:id="236" w:name="Tc_wyQEQeLu_E2pw7TUq20ufw_29_8"/>
      <w:bookmarkStart w:id="237" w:name="Tc_bTxAaWir8k6BQSfPjW3mhA_29_5"/>
      <w:bookmarkStart w:id="238" w:name="Tc_mmqvux4Mp0GFtIVpEkN9vw_29_2"/>
      <w:bookmarkStart w:id="239" w:name="Tc_RIUNMYyq8U2EyruSiB-JLQ_29_0"/>
      <w:bookmarkStart w:id="240" w:name="Tc_svBGsajX0kG6RXLLLPgSvA_28_0"/>
      <w:bookmarkStart w:id="241" w:name="Tc_WMs0az6YHE-0fLb3NL_r8Q_26_11"/>
      <w:bookmarkStart w:id="242" w:name="Tc_pDcLB4of30upLCgYuiDHVw_26_8"/>
      <w:bookmarkStart w:id="243" w:name="Tc_PRM--9ZLuUWvjh29xI11gw_26_5"/>
      <w:bookmarkStart w:id="244" w:name="Tc_xw2mRZfj-0iNL8gQESpw9Q_26_2"/>
      <w:bookmarkStart w:id="245" w:name="Tc_Zy2fgZhePUKefyiZ4Ry3JA_26_0"/>
      <w:bookmarkStart w:id="246" w:name="Tc_D3WnDTJcUkKWDlkptSY-nA_25_0"/>
      <w:bookmarkStart w:id="247" w:name="Tc_-_hacFnyRkKdEzOrHwXmQw_24_0"/>
      <w:bookmarkStart w:id="248" w:name="Tc_xsFtdMwPW0-epvz1tdIqLA_22_0"/>
      <w:bookmarkStart w:id="249" w:name="Tc_E0sDzhi8EUWPvmhrXNX6VQ_21_0"/>
      <w:bookmarkStart w:id="250" w:name="Tc_H_p83NKoyEKtDzOK7f3-fQ_20_0"/>
      <w:bookmarkStart w:id="251" w:name="Tc_3t3xvaUf10iYlS68vcQkyA_19_0"/>
      <w:bookmarkStart w:id="252" w:name="Tc_GAaqWxpBwkGc90gyyTXFwQ_18_0"/>
      <w:bookmarkStart w:id="253" w:name="Tc_HBHoMAptAka5RY8MKsNi7w_16_0"/>
      <w:bookmarkStart w:id="254" w:name="Tc_f43cRafT6k2OpW5Aur0ffA_14_0"/>
      <w:bookmarkStart w:id="255" w:name="Tc_8-ylsAcbxUCRzFMdnapSpA_13_0"/>
      <w:bookmarkStart w:id="256" w:name="Tc_4h4ImRcm-0SK_775FiKzQg_12_0"/>
      <w:bookmarkStart w:id="257" w:name="Tc_ZT3pWh7010-zQ1TejAMsKw_11_0"/>
      <w:bookmarkStart w:id="258" w:name="Tc_gFtU0xOMHESV1Q8OQzk5YQ_10_0"/>
      <w:bookmarkStart w:id="259" w:name="Tc_vM77Poi0SU6AX8x0Wni0XQ_9_0"/>
      <w:bookmarkStart w:id="260" w:name="Tc_dcNXWAZgQE2T1DPg3AHOoQ_7_0"/>
      <w:bookmarkStart w:id="261" w:name="Tc_iUxcFlZI7EypeoHZNMnIoA_6_0"/>
      <w:bookmarkStart w:id="262" w:name="Tc_jcy0hVf9Iku895qFlfD6Og_5_11"/>
      <w:bookmarkStart w:id="263" w:name="Tc_mkkCd0vqEk2yCVB5iXQ6_w_5_8"/>
      <w:bookmarkStart w:id="264" w:name="Tc_zOgn6yy7bkm6obnCriF2qQ_5_5"/>
      <w:bookmarkStart w:id="265" w:name="Tc_Te6Kl_L7SU-BQFaOntJjgw_5_2"/>
      <w:bookmarkStart w:id="266" w:name="Tc_ZLpnpySdpE6bgf2olaOIng_5_0"/>
      <w:bookmarkStart w:id="267" w:name="Tc_OfA3duzbdEy_wm7gKccJwA_4_0"/>
      <w:bookmarkStart w:id="268" w:name="Tc_8CKljQ39REGe1SwAOtvArw_3_11"/>
      <w:bookmarkStart w:id="269" w:name="Tc_-Y_X1z4nkkKdF_Ss1fXlow_3_8"/>
      <w:bookmarkStart w:id="270" w:name="Tc_ka-EXyupXUqePFazhI6HCg_3_5"/>
      <w:bookmarkStart w:id="271" w:name="Tc_O_JGPi0Bo0SszuXNxEQ92A_3_2"/>
      <w:bookmarkStart w:id="272" w:name="Tc_dO5g7kDoWUq50EqHpUREug_2_8"/>
      <w:bookmarkStart w:id="273" w:name="Tc_T9chKeKNtEGEjon8TXHoPw_2_2"/>
      <w:bookmarkStart w:id="274" w:name="Tc_RTdIDrSqqEqAJaZcWs_PuA_1_8"/>
      <w:bookmarkStart w:id="275" w:name="Tc_q72YQwRaOU2uvDdOl4fqpg_1_2"/>
      <w:bookmarkStart w:id="276" w:name="_b990ef10_2726_4a0e_b8eb_6d33e1e6b4ea"/>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tbl>
      <w:tblPr>
        <w:tblW w:w="10205" w:type="dxa"/>
        <w:jc w:val="left"/>
        <w:tblInd w:w="0" w:type="dxa"/>
        <w:tblLayout w:type="fixed"/>
        <w:tblCellMar>
          <w:top w:w="0" w:type="dxa"/>
          <w:left w:w="0" w:type="dxa"/>
          <w:bottom w:w="0" w:type="dxa"/>
          <w:right w:w="0" w:type="dxa"/>
        </w:tblCellMar>
      </w:tblPr>
      <w:tblGrid>
        <w:gridCol w:w="4742"/>
        <w:gridCol w:w="326"/>
        <w:gridCol w:w="197"/>
        <w:gridCol w:w="835"/>
        <w:gridCol w:w="329"/>
        <w:gridCol w:w="197"/>
        <w:gridCol w:w="835"/>
        <w:gridCol w:w="326"/>
        <w:gridCol w:w="196"/>
        <w:gridCol w:w="826"/>
        <w:gridCol w:w="326"/>
        <w:gridCol w:w="196"/>
        <w:gridCol w:w="874"/>
      </w:tblGrid>
      <w:tr>
        <w:trPr/>
        <w:tc>
          <w:tcPr>
            <w:tcW w:w="4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011170" cy="175260"/>
                      <wp:effectExtent l="0" t="0" r="0" b="0"/>
                      <wp:wrapNone/>
                      <wp:docPr id="9" name="Frame9"/>
                      <a:graphic xmlns:a="http://schemas.openxmlformats.org/drawingml/2006/main">
                        <a:graphicData uri="http://schemas.microsoft.com/office/word/2010/wordprocessingShape">
                          <wps:wsp>
                            <wps:cNvSpPr txBox="1"/>
                            <wps:spPr>
                              <a:xfrm>
                                <a:off x="0" y="0"/>
                                <a:ext cx="301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5095" cy="175260"/>
                      <wp:effectExtent l="0" t="0" r="0" b="0"/>
                      <wp:wrapNone/>
                      <wp:docPr id="11" name="Frame11"/>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30225" cy="175260"/>
                      <wp:effectExtent l="0" t="0" r="0" b="0"/>
                      <wp:wrapNone/>
                      <wp:docPr id="12" name="Frame12"/>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8915" cy="175260"/>
                      <wp:effectExtent l="0" t="0" r="0" b="0"/>
                      <wp:wrapNone/>
                      <wp:docPr id="13" name="Frame1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5095" cy="175260"/>
                      <wp:effectExtent l="0" t="0" r="0" b="0"/>
                      <wp:wrapNone/>
                      <wp:docPr id="14" name="Frame14"/>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30225" cy="175260"/>
                      <wp:effectExtent l="0" t="0" r="0" b="0"/>
                      <wp:wrapNone/>
                      <wp:docPr id="15" name="Frame15"/>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24510" cy="175260"/>
                      <wp:effectExtent l="0" t="0" r="0" b="0"/>
                      <wp:wrapNone/>
                      <wp:docPr id="18" name="Frame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54990" cy="175260"/>
                      <wp:effectExtent l="0" t="0" r="0" b="0"/>
                      <wp:wrapNone/>
                      <wp:docPr id="21" name="Frame21"/>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3"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418"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For the Six Months Ended </w:t>
            </w:r>
          </w:p>
        </w:tc>
      </w:tr>
      <w:tr>
        <w:trPr/>
        <w:tc>
          <w:tcPr>
            <w:tcW w:w="47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241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June 30, </w:t>
            </w:r>
          </w:p>
        </w:tc>
      </w:tr>
      <w:tr>
        <w:trPr/>
        <w:tc>
          <w:tcPr>
            <w:tcW w:w="47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9" w:type="dxa"/>
            <w:tcBorders/>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Service revenue</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2,439,754</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2,645,461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4,954,220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5,332,501</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13,432</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25,465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33,994</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revenue</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2,453,186</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2,659,158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4,979,685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5,366,495</w:t>
            </w:r>
          </w:p>
        </w:tc>
      </w:tr>
      <w:tr>
        <w:trPr/>
        <w:tc>
          <w:tcPr>
            <w:tcW w:w="47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Costs and Expenses (exclusive of depreciation and amortization):</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1,589,767</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1,674,252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3,185,620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3,374,197</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 of sales - equipment and other</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9,349</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16,043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18,753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30,806</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241,072</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262,249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480,069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547,694</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Depreciation and amortization </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53,035</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70,339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112,073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141,019</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1,893,223</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2,022,883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3,796,515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4,093,716</w:t>
            </w:r>
          </w:p>
        </w:tc>
      </w:tr>
      <w:tr>
        <w:trPr/>
        <w:tc>
          <w:tcPr>
            <w:tcW w:w="47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559,963</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636,275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1,183,170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1,272,779</w:t>
            </w:r>
          </w:p>
        </w:tc>
      </w:tr>
      <w:tr>
        <w:trPr/>
        <w:tc>
          <w:tcPr>
            <w:tcW w:w="47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income</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91,130</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72,039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176,111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131,366</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(236,599)</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(184,787)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(479,838)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(369,641)</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 (Note 4)</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(64,296)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(64,865)</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(145,260)</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(177,044)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(304,008)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(303,140)</w:t>
            </w:r>
          </w:p>
        </w:tc>
      </w:tr>
      <w:tr>
        <w:trPr/>
        <w:tc>
          <w:tcPr>
            <w:tcW w:w="47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414,703</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459,231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879,162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969,639</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tax (provision) benefit, net</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(100,657)</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(128,307)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(214,578)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(253,174)</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314,046</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330,924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664,584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716,465</w:t>
            </w:r>
          </w:p>
        </w:tc>
      </w:tr>
      <w:tr>
        <w:trPr/>
        <w:tc>
          <w:tcPr>
            <w:tcW w:w="47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314,046</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330,924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664,584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716,465</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w:t>
            </w:r>
          </w:p>
        </w:tc>
        <w:tc>
          <w:tcPr>
            <w:tcW w:w="32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Unrealized holding gains (losses) on available-for-sale debt securities included in 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income tax (expense) benefit, net</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r>
      <w:tr>
        <w:trPr/>
        <w:tc>
          <w:tcPr>
            <w:tcW w:w="4742"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Total 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w:t>
            </w:r>
          </w:p>
        </w:tc>
        <w:tc>
          <w:tcPr>
            <w:tcW w:w="329"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w:t>
            </w:r>
          </w:p>
        </w:tc>
      </w:tr>
      <w:tr>
        <w:trPr/>
        <w:tc>
          <w:tcPr>
            <w:tcW w:w="474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Comprehensive income (loss)</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313,980</w:t>
            </w:r>
          </w:p>
        </w:tc>
        <w:tc>
          <w:tcPr>
            <w:tcW w:w="329"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330,901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664,517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4"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716,458</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both"/>
        <w:rPr/>
      </w:pPr>
      <w:bookmarkStart w:id="277" w:name="EquityRollforward"/>
      <w:bookmarkEnd w:id="277"/>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78" w:name="_b9159eff_cc81_4458_909c_fd6bab0fcc3d"/>
      <w:bookmarkEnd w:id="278"/>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bookmarkStart w:id="279" w:name="EQUITYSTATEMENT"/>
      <w:bookmarkEnd w:id="279"/>
      <w:r>
        <w:rPr>
          <w:rFonts w:ascii="Arial;Helvetica;sans-serif" w:hAnsi="Arial;Helvetica;sans-serif"/>
          <w:b/>
          <w:sz w:val="20"/>
        </w:rPr>
        <w:t>CONDENSED CONSOLIDATED STATEMENTS OF CHANGES IN STOCKHOLDER’S EQUITY (DEFICIT)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280" w:name="Tc__Iy3N4YP80OsGSS3n-_b-g_14_14"/>
      <w:bookmarkStart w:id="281" w:name="Tc_oWTSl3nCTEuJ2qEBW85b9Q_14_11"/>
      <w:bookmarkStart w:id="282" w:name="Tc_bh_NFbHst0K7ZxFuM4VdQA_14_8"/>
      <w:bookmarkStart w:id="283" w:name="Tc_XUMZItLJC0yugvO1jaMMjg_14_5"/>
      <w:bookmarkStart w:id="284" w:name="Tc_ZyCPRCFwHku0uBz2xGiB7g_14_3"/>
      <w:bookmarkStart w:id="285" w:name="Tc_g26ad3GJ50KxxGZ40rVjUA_14_2"/>
      <w:bookmarkStart w:id="286" w:name="Tc_oKZC1smo50KoLfX8DC3MTQ_14_0"/>
      <w:bookmarkStart w:id="287" w:name="Tc_vZ6MzVOvlkmT0DwZQhrvvw_13_9"/>
      <w:bookmarkStart w:id="288" w:name="Tc_b1VYZmVwtUSyISr7b0CbUw_13_6"/>
      <w:bookmarkStart w:id="289" w:name="Tc_GtDafBVNvkG6tRcWWu-Ljg_13_3"/>
      <w:bookmarkStart w:id="290" w:name="Tc_c-3W98phAE2WsvdHx8cb3A_13_0"/>
      <w:bookmarkStart w:id="291" w:name="Tc_Y3EvtvultUCzaJqqoFF3-w_12_12"/>
      <w:bookmarkStart w:id="292" w:name="Tc_LkOVeAA4e0iTzJcTmyeYoA_12_6"/>
      <w:bookmarkStart w:id="293" w:name="Tc_W0wQyApciE2nI6-g6jwZgQ_12_3"/>
      <w:bookmarkStart w:id="294" w:name="Tc_J_WrqoG-7EaEWSJo23SjLA_12_0"/>
      <w:bookmarkStart w:id="295" w:name="Tc_l3e7ipH0skWJGFXEYgGoQw_11_12"/>
      <w:bookmarkStart w:id="296" w:name="Tc_vSWUiP41FUSL9GTAY-tbdQ_11_9"/>
      <w:bookmarkStart w:id="297" w:name="Tc_OhwhHk6n_EuuqWOeLujfzg_11_3"/>
      <w:bookmarkStart w:id="298" w:name="Tc_LN61rp6ZUUWeHqCVe9uL4w_11_0"/>
      <w:bookmarkStart w:id="299" w:name="Tc_LpbuBjSbD0GRJbsB2ixCcg_10_14"/>
      <w:bookmarkStart w:id="300" w:name="Tc_WjMEpW9CKUGvqdO2AQfy1Q_10_11"/>
      <w:bookmarkStart w:id="301" w:name="Tc_0WHVyuulrkyUo7TZro6-Lw_10_8"/>
      <w:bookmarkStart w:id="302" w:name="Tc_gmy4_h4lDESks5tR6zsS1g_10_5"/>
      <w:bookmarkStart w:id="303" w:name="Tc_PctTDDXmaEiiAzX0LsMcDg_10_3"/>
      <w:bookmarkStart w:id="304" w:name="Tc_sxaCGkGWPkGBgN1chEZ1UA_10_2"/>
      <w:bookmarkStart w:id="305" w:name="Tc_zxaejcczB0W26viNFHXuDw_10_0"/>
      <w:bookmarkStart w:id="306" w:name="Tc_zR_SlujoYkyCyslDGWMDDQ_9_9"/>
      <w:bookmarkStart w:id="307" w:name="Tc_Uh2EAMeTz0SApog0GX6Rbw_9_6"/>
      <w:bookmarkStart w:id="308" w:name="Tc_rWFlo3au6keLCh53oe1L2A_9_3"/>
      <w:bookmarkStart w:id="309" w:name="Tc_1eyIW10Y_E-EFncNoR7DJw_9_0"/>
      <w:bookmarkStart w:id="310" w:name="Tc_4rC2rTvpoEu_X2AfoMPJLA_8_9"/>
      <w:bookmarkStart w:id="311" w:name="Tc_DsFzr0vXxUqsR5cGzrSzTw_8_6"/>
      <w:bookmarkStart w:id="312" w:name="Tc_Gq7XtASAEEK61PfEqThA1Q_8_3"/>
      <w:bookmarkStart w:id="313" w:name="Tc_ZQ1ExtxjQ0GpdzgY-xYD9A_8_0"/>
      <w:bookmarkStart w:id="314" w:name="Tc_EybA94CE3UyhesVm05QC-w_7_12"/>
      <w:bookmarkStart w:id="315" w:name="Tc_F1894zjcu0-TBtQIFjBXNw_7_6"/>
      <w:bookmarkStart w:id="316" w:name="Tc_kWD_Va-TiEK0uwRrdWIpgg_7_3"/>
      <w:bookmarkStart w:id="317" w:name="Tc_MNQPmYvgZUyAryox5WZv7Q_7_0"/>
      <w:bookmarkStart w:id="318" w:name="Tc_CK5IW70k2E-G1jJ1UMwd4Q_6_12"/>
      <w:bookmarkStart w:id="319" w:name="Tc_HaQ4d5dK7Emt-aG3OM77Bg_6_9"/>
      <w:bookmarkStart w:id="320" w:name="Tc_wkBEQmMuyUGPXU1gkthrow_6_3"/>
      <w:bookmarkStart w:id="321" w:name="Tc_jCOnXOHFnE2YRTCJ9RIlng_6_0"/>
      <w:bookmarkStart w:id="322" w:name="Tc_MCgJLLDv-0KNEXl7sKHJzA_5_14"/>
      <w:bookmarkStart w:id="323" w:name="Tc_rB97ZpJmfU2s5GC4CE8I-Q_5_11"/>
      <w:bookmarkStart w:id="324" w:name="Tc_kYjq3hx01EaOPNqIOWrCww_5_8"/>
      <w:bookmarkStart w:id="325" w:name="Tc_HiGVoSgE8Uqq7StZotVUOg_5_5"/>
      <w:bookmarkStart w:id="326" w:name="Tc_kUVd4Ua-KkSfl0nAGdvW0w_5_3"/>
      <w:bookmarkStart w:id="327" w:name="Tc_CiYhzRdEkkyRe8xNDzlwIA_5_2"/>
      <w:bookmarkStart w:id="328" w:name="Tc_N00CTHmLY02-_ITl6q5cSw_5_0"/>
      <w:bookmarkStart w:id="329" w:name="Tc_l9w_9Bi-X0qRuS2iNcAjAQ_4_14"/>
      <w:bookmarkStart w:id="330" w:name="Tc_UxxpMdAuEE6cMuEvlJicDg_4_11"/>
      <w:bookmarkStart w:id="331" w:name="Tc_7qGsxYCrTEWFfywekgsEFA_4_8"/>
      <w:bookmarkStart w:id="332" w:name="Tc_buISCt9gYUi1KYBriszVMA_4_5"/>
      <w:bookmarkStart w:id="333" w:name="Tc_sVURa6zn6EqTiah9lpyVnw_4_2"/>
      <w:bookmarkStart w:id="334" w:name="Tc_zSrFmJgjQUeVvCmVC_XAdg_3_11"/>
      <w:bookmarkStart w:id="335" w:name="Tc_TBQf41s6g0av29jT1JHhBA_3_8"/>
      <w:bookmarkStart w:id="336" w:name="Tc_UheIK7Oe-0GTqHbwlaLl_A_3_5"/>
      <w:bookmarkStart w:id="337" w:name="Tc_qNTrQaNxwUG-pVNb3EhoUA_3_2"/>
      <w:bookmarkStart w:id="338" w:name="Tc_PdrAAxUkiUebIJsU4A3VUw_2_11"/>
      <w:bookmarkStart w:id="339" w:name="Tc_B6TVRs272US2UcVBIt6CFg_2_8"/>
      <w:bookmarkStart w:id="340" w:name="Tc_N_W0Ajty9EmjXm_BF6FFXA_2_5"/>
      <w:bookmarkStart w:id="341" w:name="Tc_YWzUaJUJhE6cvBQrqq95yw_1_8"/>
      <w:bookmarkStart w:id="342" w:name="_61c6a520_cc02_42bd_83b3_b41862427ff6"/>
      <w:bookmarkStart w:id="343" w:name="Tc__Iy3N4YP80OsGSS3n-_b-g_14_14"/>
      <w:bookmarkStart w:id="344" w:name="Tc_oWTSl3nCTEuJ2qEBW85b9Q_14_11"/>
      <w:bookmarkStart w:id="345" w:name="Tc_bh_NFbHst0K7ZxFuM4VdQA_14_8"/>
      <w:bookmarkStart w:id="346" w:name="Tc_XUMZItLJC0yugvO1jaMMjg_14_5"/>
      <w:bookmarkStart w:id="347" w:name="Tc_ZyCPRCFwHku0uBz2xGiB7g_14_3"/>
      <w:bookmarkStart w:id="348" w:name="Tc_g26ad3GJ50KxxGZ40rVjUA_14_2"/>
      <w:bookmarkStart w:id="349" w:name="Tc_oKZC1smo50KoLfX8DC3MTQ_14_0"/>
      <w:bookmarkStart w:id="350" w:name="Tc_vZ6MzVOvlkmT0DwZQhrvvw_13_9"/>
      <w:bookmarkStart w:id="351" w:name="Tc_b1VYZmVwtUSyISr7b0CbUw_13_6"/>
      <w:bookmarkStart w:id="352" w:name="Tc_GtDafBVNvkG6tRcWWu-Ljg_13_3"/>
      <w:bookmarkStart w:id="353" w:name="Tc_c-3W98phAE2WsvdHx8cb3A_13_0"/>
      <w:bookmarkStart w:id="354" w:name="Tc_Y3EvtvultUCzaJqqoFF3-w_12_12"/>
      <w:bookmarkStart w:id="355" w:name="Tc_LkOVeAA4e0iTzJcTmyeYoA_12_6"/>
      <w:bookmarkStart w:id="356" w:name="Tc_W0wQyApciE2nI6-g6jwZgQ_12_3"/>
      <w:bookmarkStart w:id="357" w:name="Tc_J_WrqoG-7EaEWSJo23SjLA_12_0"/>
      <w:bookmarkStart w:id="358" w:name="Tc_l3e7ipH0skWJGFXEYgGoQw_11_12"/>
      <w:bookmarkStart w:id="359" w:name="Tc_vSWUiP41FUSL9GTAY-tbdQ_11_9"/>
      <w:bookmarkStart w:id="360" w:name="Tc_OhwhHk6n_EuuqWOeLujfzg_11_3"/>
      <w:bookmarkStart w:id="361" w:name="Tc_LN61rp6ZUUWeHqCVe9uL4w_11_0"/>
      <w:bookmarkStart w:id="362" w:name="Tc_LpbuBjSbD0GRJbsB2ixCcg_10_14"/>
      <w:bookmarkStart w:id="363" w:name="Tc_WjMEpW9CKUGvqdO2AQfy1Q_10_11"/>
      <w:bookmarkStart w:id="364" w:name="Tc_0WHVyuulrkyUo7TZro6-Lw_10_8"/>
      <w:bookmarkStart w:id="365" w:name="Tc_gmy4_h4lDESks5tR6zsS1g_10_5"/>
      <w:bookmarkStart w:id="366" w:name="Tc_PctTDDXmaEiiAzX0LsMcDg_10_3"/>
      <w:bookmarkStart w:id="367" w:name="Tc_sxaCGkGWPkGBgN1chEZ1UA_10_2"/>
      <w:bookmarkStart w:id="368" w:name="Tc_zxaejcczB0W26viNFHXuDw_10_0"/>
      <w:bookmarkStart w:id="369" w:name="Tc_zR_SlujoYkyCyslDGWMDDQ_9_9"/>
      <w:bookmarkStart w:id="370" w:name="Tc_Uh2EAMeTz0SApog0GX6Rbw_9_6"/>
      <w:bookmarkStart w:id="371" w:name="Tc_rWFlo3au6keLCh53oe1L2A_9_3"/>
      <w:bookmarkStart w:id="372" w:name="Tc_1eyIW10Y_E-EFncNoR7DJw_9_0"/>
      <w:bookmarkStart w:id="373" w:name="Tc_4rC2rTvpoEu_X2AfoMPJLA_8_9"/>
      <w:bookmarkStart w:id="374" w:name="Tc_DsFzr0vXxUqsR5cGzrSzTw_8_6"/>
      <w:bookmarkStart w:id="375" w:name="Tc_Gq7XtASAEEK61PfEqThA1Q_8_3"/>
      <w:bookmarkStart w:id="376" w:name="Tc_ZQ1ExtxjQ0GpdzgY-xYD9A_8_0"/>
      <w:bookmarkStart w:id="377" w:name="Tc_EybA94CE3UyhesVm05QC-w_7_12"/>
      <w:bookmarkStart w:id="378" w:name="Tc_F1894zjcu0-TBtQIFjBXNw_7_6"/>
      <w:bookmarkStart w:id="379" w:name="Tc_kWD_Va-TiEK0uwRrdWIpgg_7_3"/>
      <w:bookmarkStart w:id="380" w:name="Tc_MNQPmYvgZUyAryox5WZv7Q_7_0"/>
      <w:bookmarkStart w:id="381" w:name="Tc_CK5IW70k2E-G1jJ1UMwd4Q_6_12"/>
      <w:bookmarkStart w:id="382" w:name="Tc_HaQ4d5dK7Emt-aG3OM77Bg_6_9"/>
      <w:bookmarkStart w:id="383" w:name="Tc_wkBEQmMuyUGPXU1gkthrow_6_3"/>
      <w:bookmarkStart w:id="384" w:name="Tc_jCOnXOHFnE2YRTCJ9RIlng_6_0"/>
      <w:bookmarkStart w:id="385" w:name="Tc_MCgJLLDv-0KNEXl7sKHJzA_5_14"/>
      <w:bookmarkStart w:id="386" w:name="Tc_rB97ZpJmfU2s5GC4CE8I-Q_5_11"/>
      <w:bookmarkStart w:id="387" w:name="Tc_kYjq3hx01EaOPNqIOWrCww_5_8"/>
      <w:bookmarkStart w:id="388" w:name="Tc_HiGVoSgE8Uqq7StZotVUOg_5_5"/>
      <w:bookmarkStart w:id="389" w:name="Tc_kUVd4Ua-KkSfl0nAGdvW0w_5_3"/>
      <w:bookmarkStart w:id="390" w:name="Tc_CiYhzRdEkkyRe8xNDzlwIA_5_2"/>
      <w:bookmarkStart w:id="391" w:name="Tc_N00CTHmLY02-_ITl6q5cSw_5_0"/>
      <w:bookmarkStart w:id="392" w:name="Tc_l9w_9Bi-X0qRuS2iNcAjAQ_4_14"/>
      <w:bookmarkStart w:id="393" w:name="Tc_UxxpMdAuEE6cMuEvlJicDg_4_11"/>
      <w:bookmarkStart w:id="394" w:name="Tc_7qGsxYCrTEWFfywekgsEFA_4_8"/>
      <w:bookmarkStart w:id="395" w:name="Tc_buISCt9gYUi1KYBriszVMA_4_5"/>
      <w:bookmarkStart w:id="396" w:name="Tc_sVURa6zn6EqTiah9lpyVnw_4_2"/>
      <w:bookmarkStart w:id="397" w:name="Tc_zSrFmJgjQUeVvCmVC_XAdg_3_11"/>
      <w:bookmarkStart w:id="398" w:name="Tc_TBQf41s6g0av29jT1JHhBA_3_8"/>
      <w:bookmarkStart w:id="399" w:name="Tc_UheIK7Oe-0GTqHbwlaLl_A_3_5"/>
      <w:bookmarkStart w:id="400" w:name="Tc_qNTrQaNxwUG-pVNb3EhoUA_3_2"/>
      <w:bookmarkStart w:id="401" w:name="Tc_PdrAAxUkiUebIJsU4A3VUw_2_11"/>
      <w:bookmarkStart w:id="402" w:name="Tc_B6TVRs272US2UcVBIt6CFg_2_8"/>
      <w:bookmarkStart w:id="403" w:name="Tc_N_W0Ajty9EmjXm_BF6FFXA_2_5"/>
      <w:bookmarkStart w:id="404" w:name="Tc_YWzUaJUJhE6cvBQrqq95yw_1_8"/>
      <w:bookmarkStart w:id="405" w:name="_61c6a520_cc02_42bd_83b3_b41862427ff6"/>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tbl>
      <w:tblPr>
        <w:tblW w:w="9881" w:type="dxa"/>
        <w:jc w:val="left"/>
        <w:tblInd w:w="0" w:type="dxa"/>
        <w:tblLayout w:type="fixed"/>
        <w:tblCellMar>
          <w:top w:w="0" w:type="dxa"/>
          <w:left w:w="0" w:type="dxa"/>
          <w:bottom w:w="0" w:type="dxa"/>
          <w:right w:w="0" w:type="dxa"/>
        </w:tblCellMar>
      </w:tblPr>
      <w:tblGrid>
        <w:gridCol w:w="2911"/>
        <w:gridCol w:w="109"/>
        <w:gridCol w:w="304"/>
        <w:gridCol w:w="537"/>
        <w:gridCol w:w="326"/>
        <w:gridCol w:w="196"/>
        <w:gridCol w:w="826"/>
        <w:gridCol w:w="326"/>
        <w:gridCol w:w="344"/>
        <w:gridCol w:w="1007"/>
        <w:gridCol w:w="326"/>
        <w:gridCol w:w="209"/>
        <w:gridCol w:w="947"/>
        <w:gridCol w:w="326"/>
        <w:gridCol w:w="196"/>
        <w:gridCol w:w="9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848485" cy="175260"/>
                      <wp:effectExtent l="0" t="0" r="0" b="0"/>
                      <wp:wrapNone/>
                      <wp:docPr id="22" name="Frame2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93040" cy="175260"/>
                      <wp:effectExtent l="0" t="0" r="0" b="0"/>
                      <wp:wrapNone/>
                      <wp:docPr id="24" name="Frame2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40995" cy="175260"/>
                      <wp:effectExtent l="0" t="0" r="0" b="0"/>
                      <wp:wrapNone/>
                      <wp:docPr id="25" name="Frame25"/>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8" name="Frame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8440" cy="175260"/>
                      <wp:effectExtent l="0" t="0" r="0" b="0"/>
                      <wp:wrapNone/>
                      <wp:docPr id="30" name="Frame3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39445" cy="175260"/>
                      <wp:effectExtent l="0" t="0" r="0" b="0"/>
                      <wp:wrapNone/>
                      <wp:docPr id="31" name="Frame31"/>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2715" cy="175260"/>
                      <wp:effectExtent l="0" t="0" r="0" b="0"/>
                      <wp:wrapNone/>
                      <wp:docPr id="33" name="Frame33"/>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01345" cy="175260"/>
                      <wp:effectExtent l="0" t="0" r="0" b="0"/>
                      <wp:wrapNone/>
                      <wp:docPr id="34" name="Frame34"/>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29285" cy="175260"/>
                      <wp:effectExtent l="0" t="0" r="0" b="0"/>
                      <wp:wrapNone/>
                      <wp:docPr id="37" name="Frame3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Other </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Earnings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Income (Loss)</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1,547,164</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(2,501)</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(5,490,361)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(3,945,698)</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1,987</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1,987</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Intercompany Loan - 2026 Tranche</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(4,718,517)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(4,718,517)</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Net income (loss) </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385,541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385,541</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March 31, 2024</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1,549,151</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(2,485)</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(9,823,337)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(8,276,671)</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4,026</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4,026</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Net income (loss) </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330,924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330,924</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June 30, 2024</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1,553,177</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(2,508)</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(9,492,413)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(7,941,744)</w:t>
            </w:r>
          </w:p>
        </w:tc>
      </w:tr>
    </w:tbl>
    <w:p>
      <w:pPr>
        <w:pStyle w:val="TextBody"/>
        <w:bidi w:val="0"/>
        <w:spacing w:before="0" w:after="0"/>
        <w:ind w:left="0" w:right="0" w:hanging="0"/>
        <w:jc w:val="both"/>
        <w:rPr/>
      </w:pPr>
      <w:r>
        <w:rPr/>
        <w:t>​</w:t>
      </w:r>
    </w:p>
    <w:tbl>
      <w:tblPr>
        <w:tblW w:w="2022"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8740" cy="175260"/>
                      <wp:effectExtent l="0" t="0" r="0" b="0"/>
                      <wp:wrapNone/>
                      <wp:docPr id="38" name="Frame3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7790" cy="175260"/>
                      <wp:effectExtent l="0" t="0" r="0" b="0"/>
                      <wp:wrapNone/>
                      <wp:docPr id="55" name="Frame5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06" w:name="Tc_U0yRBbdbfkqtyNiEBX3qTw_13_14"/>
      <w:bookmarkStart w:id="407" w:name="Tc_k_-_ncZ4DEON5texhpCkLg_13_11"/>
      <w:bookmarkStart w:id="408" w:name="Tc_utmWHkulgUGF2yPRnusciA_13_8"/>
      <w:bookmarkStart w:id="409" w:name="Tc_Wbtify4eNEm7VOPa4J5PrA_13_5"/>
      <w:bookmarkStart w:id="410" w:name="Tc_ps_gbhh3DUWhFEztkmGs0A_13_3"/>
      <w:bookmarkStart w:id="411" w:name="Tc_PWKw82P5REKfCBlk5sJQZA_13_2"/>
      <w:bookmarkStart w:id="412" w:name="Tc_M2mZ821MI06YwIsw7Bn_6g_13_0"/>
      <w:bookmarkStart w:id="413" w:name="Tc_irp_Ki_gxEqVbveOZDDu4w_12_9"/>
      <w:bookmarkStart w:id="414" w:name="Tc_tv5eUM4SFU-t0RRo4GK6RA_12_6"/>
      <w:bookmarkStart w:id="415" w:name="Tc_Xu4_a13g_UGu8zlsZal5zQ_12_3"/>
      <w:bookmarkStart w:id="416" w:name="Tc_2X-hJ1D81kWQsTQtcEJXxw_12_0"/>
      <w:bookmarkStart w:id="417" w:name="Tc_baIPzcRlPkyLaBz1STH64w_11_12"/>
      <w:bookmarkStart w:id="418" w:name="Tc_e99YI8vna0KwCsgTkGlU2Q_11_6"/>
      <w:bookmarkStart w:id="419" w:name="Tc_JKutOG_6Nka0PB5wwwu7Tw_11_3"/>
      <w:bookmarkStart w:id="420" w:name="Tc_C0EVWJ4C1EaPiK1rBqjXsA_11_0"/>
      <w:bookmarkStart w:id="421" w:name="Tc_TrO41hs-QUqVa5_Eg_0uEw_10_12"/>
      <w:bookmarkStart w:id="422" w:name="Tc_EsPgwyk7eUW7DaEuSjOtfg_10_9"/>
      <w:bookmarkStart w:id="423" w:name="Tc_VEcTFeKTnkuD8xyWOkDt2Q_10_3"/>
      <w:bookmarkStart w:id="424" w:name="Tc_4si0VP-edE6VowzRO6jQAg_10_0"/>
      <w:bookmarkStart w:id="425" w:name="Tc_lKkIKdfr8kmxMkl22wid9A_9_14"/>
      <w:bookmarkStart w:id="426" w:name="Tc_Hh5ZzcxLqU249tyCXe6tmw_9_11"/>
      <w:bookmarkStart w:id="427" w:name="Tc_z8E0Bw0jbk-QCStnF_NDGQ_9_8"/>
      <w:bookmarkStart w:id="428" w:name="Tc_aLYWJqg77kmZuWv1f5fyuw_9_5"/>
      <w:bookmarkStart w:id="429" w:name="Tc_FmkuJt9r2kiMnVafBv285g_9_3"/>
      <w:bookmarkStart w:id="430" w:name="Tc_TFw65EvWZk6sgQPWDcpLog_9_2"/>
      <w:bookmarkStart w:id="431" w:name="Tc_NTrkkoy9ZUGJwnsirsBY3Q_9_0"/>
      <w:bookmarkStart w:id="432" w:name="Tc_A-omkvxNgEG1f21n3sw49w_8_9"/>
      <w:bookmarkStart w:id="433" w:name="Tc_tcbSBWCIdkS7xEvhQDATOQ_8_6"/>
      <w:bookmarkStart w:id="434" w:name="Tc_ye7JIIh6REKtobjIWwi_cA_8_3"/>
      <w:bookmarkStart w:id="435" w:name="Tc_W-aTWQ2o2U6PZiHpRGm8KA_8_0"/>
      <w:bookmarkStart w:id="436" w:name="Tc_icw5zX6xKkKjBZ8GTC-bXQ_7_12"/>
      <w:bookmarkStart w:id="437" w:name="Tc_ek9xjIE1J0aYVbRbN9iJ_A_7_6"/>
      <w:bookmarkStart w:id="438" w:name="Tc_moWbeNe35USHJTqwRTr05w_7_3"/>
      <w:bookmarkStart w:id="439" w:name="Tc_5e95jCsiBE6VUkDMEpThXQ_7_0"/>
      <w:bookmarkStart w:id="440" w:name="Tc_0mZ2J23rnEWOF8kZJFB70A_6_12"/>
      <w:bookmarkStart w:id="441" w:name="Tc_LjPQOwsL0kigqOj_tvXyuQ_6_9"/>
      <w:bookmarkStart w:id="442" w:name="Tc_ZFLhlgrJokCUzCsDWgBhhQ_6_3"/>
      <w:bookmarkStart w:id="443" w:name="Tc_BCXhB2uCiESByE5x_SJ3hA_6_0"/>
      <w:bookmarkStart w:id="444" w:name="Tc_QpzgV-UtfkKuMAPb9tBwzw_5_14"/>
      <w:bookmarkStart w:id="445" w:name="Tc_7DhimKEV_06GPs84kKTjmQ_5_11"/>
      <w:bookmarkStart w:id="446" w:name="Tc_YmxawiPo7Ee7jq0fG9qVIw_5_8"/>
      <w:bookmarkStart w:id="447" w:name="Tc_dniZO4UDSE2IakMH4528_w_5_5"/>
      <w:bookmarkStart w:id="448" w:name="Tc_nCB-M0yFNE-AHE5MAKG9Gw_5_3"/>
      <w:bookmarkStart w:id="449" w:name="Tc_0Qu8Cap7JEC6eN13zZ75lQ_5_2"/>
      <w:bookmarkStart w:id="450" w:name="Tc_t0wAsCDfuUqH8oQM8VSGxg_5_0"/>
      <w:bookmarkStart w:id="451" w:name="Tc_2fWO2NdxAkKVjs79ty8NhQ_4_14"/>
      <w:bookmarkStart w:id="452" w:name="Tc_Z-uzqyIyyUKIuz5SRMXnpA_4_11"/>
      <w:bookmarkStart w:id="453" w:name="Tc_wUAexaYci0qwvooY5rld8g_4_8"/>
      <w:bookmarkStart w:id="454" w:name="Tc_x5LotLJ0IUiGOQBYZTlkfA_4_5"/>
      <w:bookmarkStart w:id="455" w:name="Tc_gSoPpKOQyk-sqTXeGyUM8A_4_2"/>
      <w:bookmarkStart w:id="456" w:name="Tc_GhQiGm_61k6FapLFdkEHFQ_3_11"/>
      <w:bookmarkStart w:id="457" w:name="Tc_oIqANioRR0SIcjVMK-oCVA_3_8"/>
      <w:bookmarkStart w:id="458" w:name="Tc_hvGd4AmibUKBaSyYMRCW8Q_3_5"/>
      <w:bookmarkStart w:id="459" w:name="Tc_HP_M6KgCpEa4uuhWrZRV7A_3_2"/>
      <w:bookmarkStart w:id="460" w:name="Tc_9Qhw-nxx60-aK3YbB9nxAA_2_11"/>
      <w:bookmarkStart w:id="461" w:name="Tc_8Xh41ekOXkCbDyAxGEDpfg_2_8"/>
      <w:bookmarkStart w:id="462" w:name="Tc_bBnB7Pzn5EW4_F6ifR01Og_2_5"/>
      <w:bookmarkStart w:id="463" w:name="Tc_OHvCWSAAGE6Prg4rkPCSOw_1_8"/>
      <w:bookmarkStart w:id="464" w:name="_e040e218_3939_4337_af02_d373dc9bc84d"/>
      <w:bookmarkStart w:id="465" w:name="Tc_U0yRBbdbfkqtyNiEBX3qTw_13_14"/>
      <w:bookmarkStart w:id="466" w:name="Tc_k_-_ncZ4DEON5texhpCkLg_13_11"/>
      <w:bookmarkStart w:id="467" w:name="Tc_utmWHkulgUGF2yPRnusciA_13_8"/>
      <w:bookmarkStart w:id="468" w:name="Tc_Wbtify4eNEm7VOPa4J5PrA_13_5"/>
      <w:bookmarkStart w:id="469" w:name="Tc_ps_gbhh3DUWhFEztkmGs0A_13_3"/>
      <w:bookmarkStart w:id="470" w:name="Tc_PWKw82P5REKfCBlk5sJQZA_13_2"/>
      <w:bookmarkStart w:id="471" w:name="Tc_M2mZ821MI06YwIsw7Bn_6g_13_0"/>
      <w:bookmarkStart w:id="472" w:name="Tc_irp_Ki_gxEqVbveOZDDu4w_12_9"/>
      <w:bookmarkStart w:id="473" w:name="Tc_tv5eUM4SFU-t0RRo4GK6RA_12_6"/>
      <w:bookmarkStart w:id="474" w:name="Tc_Xu4_a13g_UGu8zlsZal5zQ_12_3"/>
      <w:bookmarkStart w:id="475" w:name="Tc_2X-hJ1D81kWQsTQtcEJXxw_12_0"/>
      <w:bookmarkStart w:id="476" w:name="Tc_baIPzcRlPkyLaBz1STH64w_11_12"/>
      <w:bookmarkStart w:id="477" w:name="Tc_e99YI8vna0KwCsgTkGlU2Q_11_6"/>
      <w:bookmarkStart w:id="478" w:name="Tc_JKutOG_6Nka0PB5wwwu7Tw_11_3"/>
      <w:bookmarkStart w:id="479" w:name="Tc_C0EVWJ4C1EaPiK1rBqjXsA_11_0"/>
      <w:bookmarkStart w:id="480" w:name="Tc_TrO41hs-QUqVa5_Eg_0uEw_10_12"/>
      <w:bookmarkStart w:id="481" w:name="Tc_EsPgwyk7eUW7DaEuSjOtfg_10_9"/>
      <w:bookmarkStart w:id="482" w:name="Tc_VEcTFeKTnkuD8xyWOkDt2Q_10_3"/>
      <w:bookmarkStart w:id="483" w:name="Tc_4si0VP-edE6VowzRO6jQAg_10_0"/>
      <w:bookmarkStart w:id="484" w:name="Tc_lKkIKdfr8kmxMkl22wid9A_9_14"/>
      <w:bookmarkStart w:id="485" w:name="Tc_Hh5ZzcxLqU249tyCXe6tmw_9_11"/>
      <w:bookmarkStart w:id="486" w:name="Tc_z8E0Bw0jbk-QCStnF_NDGQ_9_8"/>
      <w:bookmarkStart w:id="487" w:name="Tc_aLYWJqg77kmZuWv1f5fyuw_9_5"/>
      <w:bookmarkStart w:id="488" w:name="Tc_FmkuJt9r2kiMnVafBv285g_9_3"/>
      <w:bookmarkStart w:id="489" w:name="Tc_TFw65EvWZk6sgQPWDcpLog_9_2"/>
      <w:bookmarkStart w:id="490" w:name="Tc_NTrkkoy9ZUGJwnsirsBY3Q_9_0"/>
      <w:bookmarkStart w:id="491" w:name="Tc_A-omkvxNgEG1f21n3sw49w_8_9"/>
      <w:bookmarkStart w:id="492" w:name="Tc_tcbSBWCIdkS7xEvhQDATOQ_8_6"/>
      <w:bookmarkStart w:id="493" w:name="Tc_ye7JIIh6REKtobjIWwi_cA_8_3"/>
      <w:bookmarkStart w:id="494" w:name="Tc_W-aTWQ2o2U6PZiHpRGm8KA_8_0"/>
      <w:bookmarkStart w:id="495" w:name="Tc_icw5zX6xKkKjBZ8GTC-bXQ_7_12"/>
      <w:bookmarkStart w:id="496" w:name="Tc_ek9xjIE1J0aYVbRbN9iJ_A_7_6"/>
      <w:bookmarkStart w:id="497" w:name="Tc_moWbeNe35USHJTqwRTr05w_7_3"/>
      <w:bookmarkStart w:id="498" w:name="Tc_5e95jCsiBE6VUkDMEpThXQ_7_0"/>
      <w:bookmarkStart w:id="499" w:name="Tc_0mZ2J23rnEWOF8kZJFB70A_6_12"/>
      <w:bookmarkStart w:id="500" w:name="Tc_LjPQOwsL0kigqOj_tvXyuQ_6_9"/>
      <w:bookmarkStart w:id="501" w:name="Tc_ZFLhlgrJokCUzCsDWgBhhQ_6_3"/>
      <w:bookmarkStart w:id="502" w:name="Tc_BCXhB2uCiESByE5x_SJ3hA_6_0"/>
      <w:bookmarkStart w:id="503" w:name="Tc_QpzgV-UtfkKuMAPb9tBwzw_5_14"/>
      <w:bookmarkStart w:id="504" w:name="Tc_7DhimKEV_06GPs84kKTjmQ_5_11"/>
      <w:bookmarkStart w:id="505" w:name="Tc_YmxawiPo7Ee7jq0fG9qVIw_5_8"/>
      <w:bookmarkStart w:id="506" w:name="Tc_dniZO4UDSE2IakMH4528_w_5_5"/>
      <w:bookmarkStart w:id="507" w:name="Tc_nCB-M0yFNE-AHE5MAKG9Gw_5_3"/>
      <w:bookmarkStart w:id="508" w:name="Tc_0Qu8Cap7JEC6eN13zZ75lQ_5_2"/>
      <w:bookmarkStart w:id="509" w:name="Tc_t0wAsCDfuUqH8oQM8VSGxg_5_0"/>
      <w:bookmarkStart w:id="510" w:name="Tc_2fWO2NdxAkKVjs79ty8NhQ_4_14"/>
      <w:bookmarkStart w:id="511" w:name="Tc_Z-uzqyIyyUKIuz5SRMXnpA_4_11"/>
      <w:bookmarkStart w:id="512" w:name="Tc_wUAexaYci0qwvooY5rld8g_4_8"/>
      <w:bookmarkStart w:id="513" w:name="Tc_x5LotLJ0IUiGOQBYZTlkfA_4_5"/>
      <w:bookmarkStart w:id="514" w:name="Tc_gSoPpKOQyk-sqTXeGyUM8A_4_2"/>
      <w:bookmarkStart w:id="515" w:name="Tc_GhQiGm_61k6FapLFdkEHFQ_3_11"/>
      <w:bookmarkStart w:id="516" w:name="Tc_oIqANioRR0SIcjVMK-oCVA_3_8"/>
      <w:bookmarkStart w:id="517" w:name="Tc_hvGd4AmibUKBaSyYMRCW8Q_3_5"/>
      <w:bookmarkStart w:id="518" w:name="Tc_HP_M6KgCpEa4uuhWrZRV7A_3_2"/>
      <w:bookmarkStart w:id="519" w:name="Tc_9Qhw-nxx60-aK3YbB9nxAA_2_11"/>
      <w:bookmarkStart w:id="520" w:name="Tc_8Xh41ekOXkCbDyAxGEDpfg_2_8"/>
      <w:bookmarkStart w:id="521" w:name="Tc_bBnB7Pzn5EW4_F6ifR01Og_2_5"/>
      <w:bookmarkStart w:id="522" w:name="Tc_OHvCWSAAGE6Prg4rkPCSOw_1_8"/>
      <w:bookmarkStart w:id="523" w:name="_e040e218_3939_4337_af02_d373dc9bc84d"/>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tbl>
      <w:tblPr>
        <w:tblW w:w="9881" w:type="dxa"/>
        <w:jc w:val="left"/>
        <w:tblInd w:w="0" w:type="dxa"/>
        <w:tblLayout w:type="fixed"/>
        <w:tblCellMar>
          <w:top w:w="0" w:type="dxa"/>
          <w:left w:w="0" w:type="dxa"/>
          <w:bottom w:w="0" w:type="dxa"/>
          <w:right w:w="0" w:type="dxa"/>
        </w:tblCellMar>
      </w:tblPr>
      <w:tblGrid>
        <w:gridCol w:w="2911"/>
        <w:gridCol w:w="109"/>
        <w:gridCol w:w="304"/>
        <w:gridCol w:w="537"/>
        <w:gridCol w:w="326"/>
        <w:gridCol w:w="196"/>
        <w:gridCol w:w="826"/>
        <w:gridCol w:w="326"/>
        <w:gridCol w:w="344"/>
        <w:gridCol w:w="1007"/>
        <w:gridCol w:w="326"/>
        <w:gridCol w:w="209"/>
        <w:gridCol w:w="947"/>
        <w:gridCol w:w="326"/>
        <w:gridCol w:w="196"/>
        <w:gridCol w:w="9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848485" cy="175260"/>
                      <wp:effectExtent l="0" t="0" r="0" b="0"/>
                      <wp:wrapNone/>
                      <wp:docPr id="56" name="Frame56"/>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93040" cy="175260"/>
                      <wp:effectExtent l="0" t="0" r="0" b="0"/>
                      <wp:wrapNone/>
                      <wp:docPr id="58" name="Frame5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40995" cy="175260"/>
                      <wp:effectExtent l="0" t="0" r="0" b="0"/>
                      <wp:wrapNone/>
                      <wp:docPr id="59" name="Frame59"/>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24510" cy="175260"/>
                      <wp:effectExtent l="0" t="0" r="0" b="0"/>
                      <wp:wrapNone/>
                      <wp:docPr id="62" name="Frame6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8440" cy="175260"/>
                      <wp:effectExtent l="0" t="0" r="0" b="0"/>
                      <wp:wrapNone/>
                      <wp:docPr id="64" name="Frame64"/>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39445" cy="175260"/>
                      <wp:effectExtent l="0" t="0" r="0" b="0"/>
                      <wp:wrapNone/>
                      <wp:docPr id="65" name="Frame65"/>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2715" cy="175260"/>
                      <wp:effectExtent l="0" t="0" r="0" b="0"/>
                      <wp:wrapNone/>
                      <wp:docPr id="67" name="Frame6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01345" cy="175260"/>
                      <wp:effectExtent l="0" t="0" r="0" b="0"/>
                      <wp:wrapNone/>
                      <wp:docPr id="68" name="Frame68"/>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29285" cy="175260"/>
                      <wp:effectExtent l="0" t="0" r="0" b="0"/>
                      <wp:wrapNone/>
                      <wp:docPr id="71" name="Frame7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Other </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Earnings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Income (Loss)</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1,558,325</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(3,047)</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(8,761,298)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(7,206,020)</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1,426</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1,426</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Net income (loss) </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350,538</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350,538</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1,559,751</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(3,048)</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(8,410,760)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(6,854,057)</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2,288</w:t>
            </w:r>
          </w:p>
        </w:tc>
        <w:tc>
          <w:tcPr>
            <w:tcW w:w="3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2,288</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w:t>
            </w:r>
          </w:p>
        </w:tc>
        <w:tc>
          <w:tcPr>
            <w:tcW w:w="326"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w:t>
            </w:r>
          </w:p>
        </w:tc>
      </w:tr>
      <w:tr>
        <w:trPr/>
        <w:tc>
          <w:tcPr>
            <w:tcW w:w="291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Net income (loss) </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314,046</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314,046</w:t>
            </w:r>
          </w:p>
        </w:tc>
      </w:tr>
      <w:tr>
        <w:trPr/>
        <w:tc>
          <w:tcPr>
            <w:tcW w:w="291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1,562,039</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(3,114)</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(8,096,714)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(6,537,789)</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524" w:name="_5f0b7790_3f18_497f_ac78_0100ebb38848"/>
      <w:bookmarkEnd w:id="524"/>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bookmarkStart w:id="525" w:name="CONDENSEDCONSOLIDATEDSTATEMENTSOFCASHFLO"/>
      <w:bookmarkEnd w:id="525"/>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526" w:name="Tc_-lM9dlcR50aNtPiLYQQ10Q_31_5"/>
      <w:bookmarkStart w:id="527" w:name="Tc_o14bYsn6PUO1_0uDU9jxbg_31_2"/>
      <w:bookmarkStart w:id="528" w:name="Tc_vL89kIri5UKptch5RtfGMw_31_0"/>
      <w:bookmarkStart w:id="529" w:name="Tc_ngdYhbFhCkqk_XTQpTZIGA_30_0"/>
      <w:bookmarkStart w:id="530" w:name="Tc_Acz2SlHjuUGgxsngSjXqDw_29_0"/>
      <w:bookmarkStart w:id="531" w:name="Tc_MYvGhlwIUky82n0VScsgpg_27_0"/>
      <w:bookmarkStart w:id="532" w:name="Tc_A2r4ub7iyUaJ1GMSC4zk3Q_26_6"/>
      <w:bookmarkStart w:id="533" w:name="Tc_r741OivG402TZFuHJRrbfw_26_0"/>
      <w:bookmarkStart w:id="534" w:name="Tc_Ie4FeUyV-kGiWsn9NcmCKg_25_6"/>
      <w:bookmarkStart w:id="535" w:name="Tc_Z6oYsxxfBkucKmEnbHOA3w_25_0"/>
      <w:bookmarkStart w:id="536" w:name="Tc_zaPSbW0nXk2Hjceq7CUcRQ_24_0"/>
      <w:bookmarkStart w:id="537" w:name="Tc_xi5saHchqkGLbrxLoFAKlA_23_0"/>
      <w:bookmarkStart w:id="538" w:name="Tc_IZ3oyAmdQ0Kktqb0JxU05g_21_0"/>
      <w:bookmarkStart w:id="539" w:name="Tc_UQEueHovnkmBkPzPNFgVCQ_20_0"/>
      <w:bookmarkStart w:id="540" w:name="Tc_FeAPoUoD5EGpbb6rkPErAQ_19_3"/>
      <w:bookmarkStart w:id="541" w:name="Tc_B2deXwIofE2kBz3PYRkvWA_19_0"/>
      <w:bookmarkStart w:id="542" w:name="Tc_eRAONRNiBEam6aJ-wZ1xuQ_18_0"/>
      <w:bookmarkStart w:id="543" w:name="Tc_fCGR2wvC2Eq8qEQU_FRQCQ_17_0"/>
      <w:bookmarkStart w:id="544" w:name="Tc_7QMxXzNKnUuFhe7uhdfwmg_16_0"/>
      <w:bookmarkStart w:id="545" w:name="Tc_X11pF94vk02UwMJsVHvtHA_14_0"/>
      <w:bookmarkStart w:id="546" w:name="Tc_eEnT0xwcnUue9AsJk4sI3A_13_0"/>
      <w:bookmarkStart w:id="547" w:name="Tc_xUnk-LTIm02Yxmz_TOG81Q_12_0"/>
      <w:bookmarkStart w:id="548" w:name="Tc_ECCoriqjske12MkYSemBXw_11_0"/>
      <w:bookmarkStart w:id="549" w:name="Tc_yWmuwp_QfUqkbHsXm25MXg_10_0"/>
      <w:bookmarkStart w:id="550" w:name="Tc_VwkYCuu7aUm4UwL2pXogdQ_9_0"/>
      <w:bookmarkStart w:id="551" w:name="Tc_FEjfu8xJTU6QWUxSjb9wNA_8_0"/>
      <w:bookmarkStart w:id="552" w:name="Tc_ZQdCoZ1Qy0av_sO-XoHopA_7_0"/>
      <w:bookmarkStart w:id="553" w:name="Tc_u_siJJGsCEiG_R0dOYsCQw_6_0"/>
      <w:bookmarkStart w:id="554" w:name="Tc_pbXNzw-bU0WYzu0XdrG3PA_5_5"/>
      <w:bookmarkStart w:id="555" w:name="Tc_Dh4BxWat-EWKpT0I64LvxQ_5_2"/>
      <w:bookmarkStart w:id="556" w:name="Tc_4tO0A45M90Cca2DPSTxkqg_5_0"/>
      <w:bookmarkStart w:id="557" w:name="Tc_h_uEG4vvjU-8_T9paprGGg_4_0"/>
      <w:bookmarkStart w:id="558" w:name="Tc_cZk1K9E570qoH9apCQp-7g_3_6"/>
      <w:bookmarkStart w:id="559" w:name="Tc_TvJr6lM5ZEyHBTUOKCmTVA_3_2"/>
      <w:bookmarkStart w:id="560" w:name="Tc_FCA3ZPRTJUe4Sw-Lt7h5kQ_2_2"/>
      <w:bookmarkStart w:id="561" w:name="Tc_2YMV-cx_0U2GxoPAglk-hA_1_2"/>
      <w:bookmarkStart w:id="562" w:name="_28141d41_1b5a_4e80_a3f1_ddd6f9215de1"/>
      <w:bookmarkStart w:id="563" w:name="Tc_-lM9dlcR50aNtPiLYQQ10Q_31_5"/>
      <w:bookmarkStart w:id="564" w:name="Tc_o14bYsn6PUO1_0uDU9jxbg_31_2"/>
      <w:bookmarkStart w:id="565" w:name="Tc_vL89kIri5UKptch5RtfGMw_31_0"/>
      <w:bookmarkStart w:id="566" w:name="Tc_ngdYhbFhCkqk_XTQpTZIGA_30_0"/>
      <w:bookmarkStart w:id="567" w:name="Tc_Acz2SlHjuUGgxsngSjXqDw_29_0"/>
      <w:bookmarkStart w:id="568" w:name="Tc_MYvGhlwIUky82n0VScsgpg_27_0"/>
      <w:bookmarkStart w:id="569" w:name="Tc_A2r4ub7iyUaJ1GMSC4zk3Q_26_6"/>
      <w:bookmarkStart w:id="570" w:name="Tc_r741OivG402TZFuHJRrbfw_26_0"/>
      <w:bookmarkStart w:id="571" w:name="Tc_Ie4FeUyV-kGiWsn9NcmCKg_25_6"/>
      <w:bookmarkStart w:id="572" w:name="Tc_Z6oYsxxfBkucKmEnbHOA3w_25_0"/>
      <w:bookmarkStart w:id="573" w:name="Tc_zaPSbW0nXk2Hjceq7CUcRQ_24_0"/>
      <w:bookmarkStart w:id="574" w:name="Tc_xi5saHchqkGLbrxLoFAKlA_23_0"/>
      <w:bookmarkStart w:id="575" w:name="Tc_IZ3oyAmdQ0Kktqb0JxU05g_21_0"/>
      <w:bookmarkStart w:id="576" w:name="Tc_UQEueHovnkmBkPzPNFgVCQ_20_0"/>
      <w:bookmarkStart w:id="577" w:name="Tc_FeAPoUoD5EGpbb6rkPErAQ_19_3"/>
      <w:bookmarkStart w:id="578" w:name="Tc_B2deXwIofE2kBz3PYRkvWA_19_0"/>
      <w:bookmarkStart w:id="579" w:name="Tc_eRAONRNiBEam6aJ-wZ1xuQ_18_0"/>
      <w:bookmarkStart w:id="580" w:name="Tc_fCGR2wvC2Eq8qEQU_FRQCQ_17_0"/>
      <w:bookmarkStart w:id="581" w:name="Tc_7QMxXzNKnUuFhe7uhdfwmg_16_0"/>
      <w:bookmarkStart w:id="582" w:name="Tc_X11pF94vk02UwMJsVHvtHA_14_0"/>
      <w:bookmarkStart w:id="583" w:name="Tc_eEnT0xwcnUue9AsJk4sI3A_13_0"/>
      <w:bookmarkStart w:id="584" w:name="Tc_xUnk-LTIm02Yxmz_TOG81Q_12_0"/>
      <w:bookmarkStart w:id="585" w:name="Tc_ECCoriqjske12MkYSemBXw_11_0"/>
      <w:bookmarkStart w:id="586" w:name="Tc_yWmuwp_QfUqkbHsXm25MXg_10_0"/>
      <w:bookmarkStart w:id="587" w:name="Tc_VwkYCuu7aUm4UwL2pXogdQ_9_0"/>
      <w:bookmarkStart w:id="588" w:name="Tc_FEjfu8xJTU6QWUxSjb9wNA_8_0"/>
      <w:bookmarkStart w:id="589" w:name="Tc_ZQdCoZ1Qy0av_sO-XoHopA_7_0"/>
      <w:bookmarkStart w:id="590" w:name="Tc_u_siJJGsCEiG_R0dOYsCQw_6_0"/>
      <w:bookmarkStart w:id="591" w:name="Tc_pbXNzw-bU0WYzu0XdrG3PA_5_5"/>
      <w:bookmarkStart w:id="592" w:name="Tc_Dh4BxWat-EWKpT0I64LvxQ_5_2"/>
      <w:bookmarkStart w:id="593" w:name="Tc_4tO0A45M90Cca2DPSTxkqg_5_0"/>
      <w:bookmarkStart w:id="594" w:name="Tc_h_uEG4vvjU-8_T9paprGGg_4_0"/>
      <w:bookmarkStart w:id="595" w:name="Tc_cZk1K9E570qoH9apCQp-7g_3_6"/>
      <w:bookmarkStart w:id="596" w:name="Tc_TvJr6lM5ZEyHBTUOKCmTVA_3_2"/>
      <w:bookmarkStart w:id="597" w:name="Tc_FCA3ZPRTJUe4Sw-Lt7h5kQ_2_2"/>
      <w:bookmarkStart w:id="598" w:name="Tc_2YMV-cx_0U2GxoPAglk-hA_1_2"/>
      <w:bookmarkStart w:id="599" w:name="_28141d41_1b5a_4e80_a3f1_ddd6f9215de1"/>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tbl>
      <w:tblPr>
        <w:tblW w:w="9620" w:type="dxa"/>
        <w:jc w:val="left"/>
        <w:tblInd w:w="0" w:type="dxa"/>
        <w:tblLayout w:type="fixed"/>
        <w:tblCellMar>
          <w:top w:w="0" w:type="dxa"/>
          <w:left w:w="0" w:type="dxa"/>
          <w:bottom w:w="0" w:type="dxa"/>
          <w:right w:w="0" w:type="dxa"/>
        </w:tblCellMar>
      </w:tblPr>
      <w:tblGrid>
        <w:gridCol w:w="6991"/>
        <w:gridCol w:w="109"/>
        <w:gridCol w:w="196"/>
        <w:gridCol w:w="811"/>
        <w:gridCol w:w="326"/>
        <w:gridCol w:w="196"/>
        <w:gridCol w:w="991"/>
      </w:tblGrid>
      <w:tr>
        <w:trPr/>
        <w:tc>
          <w:tcPr>
            <w:tcW w:w="6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439285" cy="175260"/>
                      <wp:effectExtent l="0" t="0" r="0" b="0"/>
                      <wp:wrapNone/>
                      <wp:docPr id="72" name="Frame72"/>
                      <a:graphic xmlns:a="http://schemas.openxmlformats.org/drawingml/2006/main">
                        <a:graphicData uri="http://schemas.microsoft.com/office/word/2010/wordprocessingShape">
                          <wps:wsp>
                            <wps:cNvSpPr txBox="1"/>
                            <wps:spPr>
                              <a:xfrm>
                                <a:off x="0" y="0"/>
                                <a:ext cx="443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14985" cy="175260"/>
                      <wp:effectExtent l="0" t="0" r="0" b="0"/>
                      <wp:wrapNone/>
                      <wp:docPr id="75" name="Frame7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29285" cy="175260"/>
                      <wp:effectExtent l="0" t="0" r="0" b="0"/>
                      <wp:wrapNone/>
                      <wp:docPr id="78" name="Frame7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For the Six Months Ended </w:t>
            </w:r>
          </w:p>
        </w:tc>
      </w:tr>
      <w:tr>
        <w:trPr/>
        <w:tc>
          <w:tcPr>
            <w:tcW w:w="6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June 30, </w:t>
            </w:r>
          </w:p>
        </w:tc>
      </w:tr>
      <w:tr>
        <w:trPr/>
        <w:tc>
          <w:tcPr>
            <w:tcW w:w="6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664,584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716,465</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Adjustments to reconcile net income (loss) to net cash flows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112,073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141,019</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Non-cash, stock-based compensation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6,013</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tax expense (benefit)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(27,479)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(35,471)</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Changes in allowance for credit losses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7,158</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interest income - DISH Network</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(71,397)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(62,564)</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63,114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89,883</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Changes in operating assets and operating liabilities, net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(19,878)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121,436</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Net cash flows from operating activities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743,779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983,939</w:t>
            </w:r>
          </w:p>
        </w:tc>
      </w:tr>
      <w:tr>
        <w:trPr/>
        <w:tc>
          <w:tcPr>
            <w:tcW w:w="6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Sales and maturities of marketable investment securities,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(15,548)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397</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of property and equipment (Note 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(65,628)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(44,586)</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Notes Receivable - DISH Network (Note 11)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(1,081,227)</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8,298</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Net cash flows from investing activities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(79,097)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(1,117,118)</w:t>
            </w:r>
          </w:p>
        </w:tc>
      </w:tr>
      <w:tr>
        <w:trPr/>
        <w:tc>
          <w:tcPr>
            <w:tcW w:w="6991"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both"/>
              <w:rPr>
                <w:rFonts w:ascii="Arial;Helvetica;sans-serif" w:hAnsi="Arial;Helvetica;sans-serif"/>
                <w:b/>
                <w:sz w:val="16"/>
              </w:rPr>
            </w:pPr>
            <w:r>
              <w:rPr>
                <w:rFonts w:ascii="Arial;Helvetica;sans-serif" w:hAnsi="Arial;Helvetica;sans-serif"/>
                <w:b/>
                <w:sz w:val="16"/>
              </w:rPr>
              <w:t>Cash Flows From Financing Activities: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Repayment of long-term debt, finance lease and other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(27,684)</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Redemption and repurchases of term loans and senior notes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(333,333)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Net cash flows from financing activities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(339,616)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(27,684)</w:t>
            </w:r>
          </w:p>
        </w:tc>
      </w:tr>
      <w:tr>
        <w:trPr/>
        <w:tc>
          <w:tcPr>
            <w:tcW w:w="69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increase (decrease) in cash, cash equivalents, restricted cash and cash equivalents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325,066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(160,863)</w:t>
            </w:r>
          </w:p>
        </w:tc>
      </w:tr>
      <w:tr>
        <w:trPr/>
        <w:tc>
          <w:tcPr>
            <w:tcW w:w="6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cash equivalents, restricted cash and cash equivalents, beginning of period (Note 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628,661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428,621</w:t>
            </w:r>
          </w:p>
        </w:tc>
      </w:tr>
      <w:tr>
        <w:trPr/>
        <w:tc>
          <w:tcPr>
            <w:tcW w:w="6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cash equivalents, restricted cash and cash equivalents, end of period (Note 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953,727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267,758</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600" w:name="a1OrganizationandBusinessActivities_7749"/>
      <w:bookmarkStart w:id="601" w:name="a1OrganizationandBusinessActivities_7749"/>
      <w:bookmarkEnd w:id="601"/>
    </w:p>
    <w:tbl>
      <w:tblPr>
        <w:tblW w:w="3872" w:type="dxa"/>
        <w:jc w:val="left"/>
        <w:tblInd w:w="0" w:type="dxa"/>
        <w:tblLayout w:type="fixed"/>
        <w:tblCellMar>
          <w:top w:w="0" w:type="dxa"/>
          <w:left w:w="0" w:type="dxa"/>
          <w:bottom w:w="0" w:type="dxa"/>
          <w:right w:w="0" w:type="dxa"/>
        </w:tblCellMar>
      </w:tblPr>
      <w:tblGrid>
        <w:gridCol w:w="286"/>
        <w:gridCol w:w="3586"/>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1.</w:t>
            </w:r>
          </w:p>
        </w:tc>
        <w:tc>
          <w:tcPr>
            <w:tcW w:w="35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Organization and Business Activities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Principal Business</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Helvetica;sans-serif" w:hAnsi="Helvetica;sans-serif"/>
          <w:sz w:val="20"/>
        </w:rPr>
      </w:pPr>
      <w:r>
        <w:rPr>
          <w:rFonts w:ascii="Arial;Helvetica;sans-serif" w:hAnsi="Arial;Helvetica;sans-serif"/>
          <w:sz w:val="20"/>
        </w:rPr>
        <w:t>DISH DBS Corporation (which together with its subsidiaries is referred to as “DISH DBS,” “DDBS,” the “Company,” “we,” “us” and/or “our,” unless otherwise required by the context) is a holding company and an indirect, wholly-owned subsidiary of DISH Network Corporation (“DISH Network”), our parent company. DISH Network is a wholly-owned subsidiary of EchoStar Corporation (“EchoStar”), our ultimate parent company, a publicly traded company listed on the NASDAQ Global Select Market (“NASDAQ”) under the symbol “SATS.” DISH DBS was formed under Colorado law in January 1996 and its common stock is held by DISH Orbital Corporation (“DOC”), a direct subsidiary of DISH Network. Our subsidiaries operate one</w:t>
      </w:r>
      <w:r>
        <w:rPr>
          <w:rFonts w:ascii="Helvetica;sans-serif" w:hAnsi="Helvetica;sans-serif"/>
          <w:sz w:val="20"/>
        </w:rPr>
        <w:t xml:space="preserve"> </w:t>
      </w:r>
      <w:r>
        <w:rPr>
          <w:rFonts w:ascii="Arial;Helvetica;sans-serif" w:hAnsi="Arial;Helvetica;sans-serif"/>
          <w:sz w:val="20"/>
        </w:rPr>
        <w:t>business segment, 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Recent Developments</w:t>
      </w:r>
    </w:p>
    <w:p>
      <w:pPr>
        <w:pStyle w:val="TextBody"/>
        <w:bidi w:val="0"/>
        <w:spacing w:before="0" w:after="0"/>
        <w:ind w:left="0" w:right="0" w:hanging="0"/>
        <w:jc w:val="left"/>
        <w:rPr/>
      </w:pPr>
      <w:r>
        <w:rPr/>
        <w:t>​</w:t>
      </w:r>
    </w:p>
    <w:p>
      <w:pPr>
        <w:pStyle w:val="TextBody"/>
        <w:bidi w:val="0"/>
        <w:spacing w:lineRule="auto" w:line="300" w:before="0" w:after="0"/>
        <w:ind w:left="0" w:right="139" w:hanging="0"/>
        <w:jc w:val="left"/>
        <w:rPr>
          <w:rFonts w:ascii="Times New Roman;Times;serif" w:hAnsi="Times New Roman;Times;serif"/>
          <w:sz w:val="24"/>
        </w:rPr>
      </w:pPr>
      <w:r>
        <w:rPr>
          <w:rFonts w:ascii="Arial;Helvetica;sans-serif" w:hAnsi="Arial;Helvetica;sans-serif"/>
          <w:sz w:val="20"/>
        </w:rPr>
        <w:t xml:space="preserve">Our ultimate parent, EchoStar </w:t>
      </w:r>
      <w:r>
        <w:rPr>
          <w:rFonts w:ascii="Arial;Helvetica;sans-serif" w:hAnsi="Arial;Helvetica;sans-serif"/>
          <w:color w:val="222222"/>
          <w:sz w:val="20"/>
        </w:rPr>
        <w:t>received a letter from the Federal Communications Commission (the “FCC”) on May 9, 2025, indicating that the FCC was beginning a review of their compliance with certain obligations to provide 5G broadband service and raising certain questions regarding the September 2024 build-out extension granted by the FCC and mobile-satellite service (“MSS”) utilization in the 2 GHz band (the “Letter”).  EchoStar responded to the FCC’s subsequent public notices with filings on May 27, 2025 and June 6, 2025</w:t>
      </w:r>
      <w:r>
        <w:rPr>
          <w:rFonts w:ascii="Arial;Helvetica;sans-serif" w:hAnsi="Arial;Helvetica;sans-serif"/>
          <w:sz w:val="20"/>
        </w:rPr>
        <w:t>. On June 11, 2025, EchoStar’s Chairman met with the FCC; during this meeting EchoStar explained that any reconsideration of the September 2024 grant of their construction deadline extensions, any after-the-fact change to the criteria upon which their build-out is judged, or any decision to upend the 2 GHz band’s sharing rules would threaten the viability of their current operations and future plans. While no resolution has been achieved yet, and it is possible that no such resolution will ultimately be achieved, EchoStar continues to explore an acceptable resolution of the FCC’s stated concerns in a manner that minimizes disruption to their businesses and lifts the regulatory uncertainty created by the inquiries. The FCC review has introduced the possibility of reversing prior FCC grants of authority to EchoStar. This uncertainty over EchoStar’s spectrum rights has effectively frozen their ability to make decisions regarding their 5G network build-out, has materially adversely impacted their ability to implement and adjust their overall business plan and has required them to re-evaluate the deployment of their resources.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w:t>
      </w:r>
      <w:r>
        <w:rPr>
          <w:rFonts w:ascii="Times New Roman;Times;serif" w:hAnsi="Times New Roman;Times;serif"/>
          <w:sz w:val="24"/>
        </w:rPr>
        <w:t xml:space="preserve"> </w:t>
      </w:r>
      <w:r>
        <w:rPr>
          <w:rFonts w:ascii="Arial;Helvetica;sans-serif" w:hAnsi="Arial;Helvetica;sans-serif"/>
          <w:sz w:val="20"/>
        </w:rPr>
        <w:t>grace periods to make such interest payments. See Note 7 for further details. EchoStar remains focused on resolving the FCC’s stated concerns. EchoStar continues to progress wide-ranging efforts to explore alternative or complementary pathways that could, if successfully implemented, resolve the FCC’s stated concerns in a manner acceptable to EchoStar.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Future Capital Requirements</w:t>
      </w:r>
    </w:p>
    <w:p>
      <w:pPr>
        <w:pStyle w:val="TextBody"/>
        <w:bidi w:val="0"/>
        <w:spacing w:before="0" w:after="0"/>
        <w:ind w:left="0" w:right="0" w:hanging="0"/>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Helvetica;sans-serif" w:hAnsi="Helvetica;sans-serif"/>
          <w:sz w:val="20"/>
        </w:rPr>
      </w:pPr>
      <w:r>
        <w:rPr>
          <w:rFonts w:ascii="Arial;Helvetica;sans-serif" w:hAnsi="Arial;Helvetica;sans-serif"/>
          <w:sz w:val="20"/>
        </w:rPr>
        <w:t>Our cash and cash equivalents and marketable investment securities totaled $725</w:t>
      </w:r>
      <w:r>
        <w:rPr>
          <w:rFonts w:ascii="Helvetica;sans-serif" w:hAnsi="Helvetica;sans-serif"/>
          <w:sz w:val="20"/>
        </w:rPr>
        <w:t xml:space="preserve"> </w:t>
      </w:r>
      <w:r>
        <w:rPr>
          <w:rFonts w:ascii="Arial;Helvetica;sans-serif" w:hAnsi="Arial;Helvetica;sans-serif"/>
          <w:sz w:val="20"/>
        </w:rPr>
        <w:t>million as of June 30, 2025 (“Cash on Hand”). As reflected in the condensed consolidated financial statements as of June 30, 2025, we have $2.0</w:t>
      </w:r>
      <w:r>
        <w:rPr>
          <w:rFonts w:ascii="Helvetica;sans-serif" w:hAnsi="Helvetica;sans-serif"/>
          <w:sz w:val="20"/>
        </w:rPr>
        <w:t xml:space="preserve"> </w:t>
      </w:r>
      <w:r>
        <w:rPr>
          <w:rFonts w:ascii="Arial;Helvetica;sans-serif" w:hAnsi="Arial;Helvetica;sans-serif"/>
          <w:sz w:val="20"/>
        </w:rPr>
        <w:t>billion of debt maturing in July 2026.</w:t>
      </w:r>
    </w:p>
    <w:p>
      <w:pPr>
        <w:pStyle w:val="TextBody"/>
        <w:bidi w:val="0"/>
        <w:spacing w:lineRule="auto" w:line="302" w:before="0" w:after="120"/>
        <w:ind w:left="0" w:right="0" w:hanging="9"/>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 xml:space="preserve">Because we do not currently have the necessary Cash on Hand and/or projected future cash flows or committed financing to fund our obligations for at least twelve months from the issuance of these condensed consolidated financial statements, substantial doubt exists about our ability to continue as a going concern. To address our capital needs, we are in active discussions with funding sources to raise additional capital and/or restructure our outstanding debt. We cannot provide assurances that we will be successful in obtaining such new financing and/or restructuring the existing debt obligations necessary for us to have sufficient liquidity. </w:t>
      </w:r>
    </w:p>
    <w:p>
      <w:pPr>
        <w:pStyle w:val="TextBody"/>
        <w:bidi w:val="0"/>
        <w:spacing w:lineRule="auto" w:line="302" w:before="0" w:after="120"/>
        <w:ind w:left="0" w:right="0" w:hanging="9"/>
        <w:jc w:val="left"/>
        <w:rPr/>
      </w:pPr>
      <w:r>
        <w:rPr/>
        <w:t>​</w:t>
      </w:r>
    </w:p>
    <w:p>
      <w:pPr>
        <w:pStyle w:val="TextBody"/>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In addition, our parent, DISH Network, and our ultimate parent, EchoStar, may not be able to provide additional liquidity in the future as substantial doubt exists about their ability to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do not include any adjustments to the amount and classification of assets and liabilities that may be necessary should we not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Pay-TV</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Arial;Helvetica;sans-serif" w:hAnsi="Arial;Helvetica;sans-serif"/>
          <w:sz w:val="20"/>
        </w:rPr>
        <w:t>We offer pay-TV services under the DISH</w:t>
      </w:r>
      <w:r>
        <w:rPr>
          <w:rFonts w:ascii="Arial;Helvetica;sans-serif" w:hAnsi="Arial;Helvetica;sans-serif"/>
          <w:sz w:val="15"/>
        </w:rPr>
        <w:t>®</w:t>
      </w:r>
      <w:r>
        <w:rPr>
          <w:rFonts w:ascii="Times New Roman;Times;serif" w:hAnsi="Times New Roman;Times;serif"/>
          <w:sz w:val="20"/>
        </w:rPr>
        <w:t xml:space="preserve"> </w:t>
      </w:r>
      <w:r>
        <w:rPr>
          <w:rFonts w:ascii="Arial;Helvetica;sans-serif" w:hAnsi="Arial;Helvetica;sans-serif"/>
          <w:sz w:val="20"/>
        </w:rPr>
        <w:t>brand and the SLING</w:t>
      </w:r>
      <w:r>
        <w:rPr>
          <w:rFonts w:ascii="Arial;Helvetica;sans-serif" w:hAnsi="Arial;Helvetica;sans-serif"/>
          <w:sz w:val="15"/>
        </w:rPr>
        <w:t>®</w:t>
      </w:r>
      <w:r>
        <w:rPr>
          <w:rFonts w:ascii="Times New Roman;Times;serif" w:hAnsi="Times New Roman;Times;serif"/>
          <w:sz w:val="20"/>
        </w:rPr>
        <w:t xml:space="preserve"> </w:t>
      </w:r>
      <w:r>
        <w:rPr>
          <w:rFonts w:ascii="Arial;Helvetica;sans-serif" w:hAnsi="Arial;Helvetica;sans-serif"/>
          <w:sz w:val="20"/>
        </w:rPr>
        <w:t>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June 30, 2025, we had 7.108</w:t>
      </w:r>
      <w:r>
        <w:rPr>
          <w:rFonts w:ascii="Times New Roman;Times;serif" w:hAnsi="Times New Roman;Times;serif"/>
          <w:sz w:val="20"/>
        </w:rPr>
        <w:t xml:space="preserve"> </w:t>
      </w:r>
      <w:r>
        <w:rPr>
          <w:rFonts w:ascii="Arial;Helvetica;sans-serif" w:hAnsi="Arial;Helvetica;sans-serif"/>
          <w:sz w:val="20"/>
        </w:rPr>
        <w:t>million Pay-TV subscribers in the United States, including 5.323</w:t>
      </w:r>
      <w:r>
        <w:rPr>
          <w:rFonts w:ascii="Times New Roman;Times;serif" w:hAnsi="Times New Roman;Times;serif"/>
          <w:sz w:val="20"/>
        </w:rPr>
        <w:t xml:space="preserve"> </w:t>
      </w:r>
      <w:r>
        <w:rPr>
          <w:rFonts w:ascii="Arial;Helvetica;sans-serif" w:hAnsi="Arial;Helvetica;sans-serif"/>
          <w:sz w:val="20"/>
        </w:rPr>
        <w:t>million DISH TV subscribers and 1.785</w:t>
      </w:r>
      <w:r>
        <w:rPr>
          <w:rFonts w:ascii="Times New Roman;Times;serif" w:hAnsi="Times New Roman;Times;serif"/>
          <w:sz w:val="20"/>
        </w:rPr>
        <w:t xml:space="preserve"> </w:t>
      </w:r>
      <w:r>
        <w:rPr>
          <w:rFonts w:ascii="Arial;Helvetica;sans-serif" w:hAnsi="Arial;Helvetica;sans-serif"/>
          <w:sz w:val="20"/>
        </w:rPr>
        <w:t>million SLING TV subscribers.</w:t>
      </w:r>
    </w:p>
    <w:p>
      <w:pPr>
        <w:pStyle w:val="TextBody"/>
        <w:bidi w:val="0"/>
        <w:spacing w:before="0" w:after="0"/>
        <w:ind w:left="0" w:right="0" w:hanging="0"/>
        <w:jc w:val="left"/>
        <w:rPr/>
      </w:pPr>
      <w:r>
        <w:rPr/>
        <w:t>​</w:t>
      </w:r>
    </w:p>
    <w:tbl>
      <w:tblPr>
        <w:tblW w:w="4577" w:type="dxa"/>
        <w:jc w:val="left"/>
        <w:tblInd w:w="0" w:type="dxa"/>
        <w:tblLayout w:type="fixed"/>
        <w:tblCellMar>
          <w:top w:w="0" w:type="dxa"/>
          <w:left w:w="0" w:type="dxa"/>
          <w:bottom w:w="0" w:type="dxa"/>
          <w:right w:w="0" w:type="dxa"/>
        </w:tblCellMar>
      </w:tblPr>
      <w:tblGrid>
        <w:gridCol w:w="286"/>
        <w:gridCol w:w="429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2.</w:t>
            </w:r>
          </w:p>
        </w:tc>
        <w:tc>
          <w:tcPr>
            <w:tcW w:w="429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Summary of Significant Accounting Policies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Basis of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further information, refer to the consolidated financial statements and notes thereto included in our Annual Report on Form 10-K for the year ended December 31, 2024. Certain prior period amounts have been reclassified to conform to the current period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Principles of Consolidation</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sz w:val="20"/>
        </w:rPr>
      </w:pPr>
      <w:r>
        <w:rPr>
          <w:rFonts w:ascii="Arial;Helvetica;sans-serif" w:hAnsi="Arial;Helvetica;sans-serif"/>
          <w:sz w:val="20"/>
        </w:rPr>
        <w:t xml:space="preserve">We consolidate all majority owned subsidiaries, investments in entities in which we have controlling influence and variable interest entities (“VIEs”) where we have been determined to be the primary beneficiary. The portion of equity in a subsidiary not attributable, directly or indirectly, to us are recorded as noncontrolling interests or redeemable noncontrolling interests. Non-consolidated investments are accounted for using the equity method when we have the ability to significantly influence the operating decisions of the investee.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sz w:val="20"/>
        </w:rPr>
      </w:pPr>
      <w:r>
        <w:rPr>
          <w:rFonts w:ascii="Arial;Helvetica;sans-serif" w:hAnsi="Arial;Helvetica;sans-serif"/>
          <w:sz w:val="20"/>
        </w:rPr>
        <w:t>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Use of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pacing w:val="-2"/>
          <w:sz w:val="20"/>
        </w:rPr>
        <w:t xml:space="preserve">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self-insurance obligations, deferred taxes and related valuation allowances, uncertain tax positions, loss contingencies, fair value of financial instruments, fair value of options granted under EchoStar’s stock-based compensation plans, fair value of assets and liabilities acquired in business combinations,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w:t>
      </w:r>
      <w:r>
        <w:rPr>
          <w:rFonts w:ascii="Arial;Helvetica;sans-serif" w:hAnsi="Arial;Helvetica;sans-serif"/>
          <w:sz w:val="20"/>
        </w:rPr>
        <w:t xml:space="preserve">estimates of the timing of future cash flows used to pay principal on certain debt obligations, </w:t>
      </w:r>
      <w:r>
        <w:rPr>
          <w:rFonts w:ascii="Arial;Helvetica;sans-serif" w:hAnsi="Arial;Helvetica;sans-serif"/>
          <w:spacing w:val="-2"/>
          <w:sz w:val="20"/>
        </w:rPr>
        <w:t>nonrefundable upfront fees, independent third-party 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pStyle w:val="TextBody"/>
        <w:bidi w:val="0"/>
        <w:spacing w:before="0" w:after="0"/>
        <w:ind w:left="0" w:right="0" w:hanging="0"/>
        <w:jc w:val="left"/>
        <w:rPr/>
      </w:pPr>
      <w:r>
        <w:rPr/>
        <w:t>​</w:t>
      </w:r>
    </w:p>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defined as observable inputs being quoted prices in active markets for identical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defined as unobservable inputs for which little or no market data exists, consistent with reasonably available assumptions made by other participants therefore requiring assumptions based on the best information available.</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June 30, 2025 and December 31, 2024,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 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4 for the fair value of our marketable investment securities.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Fair values for our publicly traded debt securities are based on quoted market prices, when available. The fair values of non-publicly traded debt are based on, among other things, available trade information, valuations performed by a third-party,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7 for the fair value of our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Assets Recognized Related to the Costs to Obtain a Contract with a Customer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Advertising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recognize advertising expense when incurred as a component of “Selling, general and administrative expenses” on our Condensed Consolidated Statements of Operations and Comprehensive Income (Loss). Advertising expenses totaled $44</w:t>
      </w:r>
      <w:r>
        <w:rPr>
          <w:rFonts w:ascii="Times New Roman;Times;serif" w:hAnsi="Times New Roman;Times;serif"/>
          <w:sz w:val="20"/>
        </w:rPr>
        <w:t xml:space="preserve"> </w:t>
      </w:r>
      <w:r>
        <w:rPr>
          <w:rFonts w:ascii="Arial;Helvetica;sans-serif" w:hAnsi="Arial;Helvetica;sans-serif"/>
          <w:sz w:val="20"/>
        </w:rPr>
        <w:t>million and $48</w:t>
      </w:r>
      <w:r>
        <w:rPr>
          <w:rFonts w:ascii="Times New Roman;Times;serif" w:hAnsi="Times New Roman;Times;serif"/>
          <w:sz w:val="20"/>
        </w:rPr>
        <w:t xml:space="preserve"> </w:t>
      </w:r>
      <w:r>
        <w:rPr>
          <w:rFonts w:ascii="Arial;Helvetica;sans-serif" w:hAnsi="Arial;Helvetica;sans-serif"/>
          <w:sz w:val="20"/>
        </w:rPr>
        <w:t>million for the three months ended June 30, 2025 and 2024, respectively. Advertising expenses totaled $87</w:t>
      </w:r>
      <w:r>
        <w:rPr>
          <w:rFonts w:ascii="Times New Roman;Times;serif" w:hAnsi="Times New Roman;Times;serif"/>
          <w:sz w:val="20"/>
        </w:rPr>
        <w:t xml:space="preserve"> </w:t>
      </w:r>
      <w:r>
        <w:rPr>
          <w:rFonts w:ascii="Arial;Helvetica;sans-serif" w:hAnsi="Arial;Helvetica;sans-serif"/>
          <w:sz w:val="20"/>
        </w:rPr>
        <w:t>million and $103</w:t>
      </w:r>
      <w:r>
        <w:rPr>
          <w:rFonts w:ascii="Times New Roman;Times;serif" w:hAnsi="Times New Roman;Times;serif"/>
          <w:sz w:val="20"/>
        </w:rPr>
        <w:t xml:space="preserve"> </w:t>
      </w:r>
      <w:r>
        <w:rPr>
          <w:rFonts w:ascii="Arial;Helvetica;sans-serif" w:hAnsi="Arial;Helvetica;sans-serif"/>
          <w:sz w:val="20"/>
        </w:rPr>
        <w:t>million for the six months ended June 30, 2025 and 2024, respectively.</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Research and Development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 Research and development costs totaled $6</w:t>
      </w:r>
      <w:r>
        <w:rPr>
          <w:rFonts w:ascii="Times New Roman;Times;serif" w:hAnsi="Times New Roman;Times;serif"/>
          <w:sz w:val="20"/>
        </w:rPr>
        <w:t xml:space="preserve"> </w:t>
      </w:r>
      <w:r>
        <w:rPr>
          <w:rFonts w:ascii="Arial;Helvetica;sans-serif" w:hAnsi="Arial;Helvetica;sans-serif"/>
          <w:sz w:val="20"/>
        </w:rPr>
        <w:t>million and $7</w:t>
      </w:r>
      <w:r>
        <w:rPr>
          <w:rFonts w:ascii="Times New Roman;Times;serif" w:hAnsi="Times New Roman;Times;serif"/>
          <w:sz w:val="20"/>
        </w:rPr>
        <w:t xml:space="preserve"> </w:t>
      </w:r>
      <w:r>
        <w:rPr>
          <w:rFonts w:ascii="Arial;Helvetica;sans-serif" w:hAnsi="Arial;Helvetica;sans-serif"/>
          <w:sz w:val="20"/>
        </w:rPr>
        <w:t>million for the three months ended June 30, 2025 and 2024, respectively. Research and development costs totaled $13</w:t>
      </w:r>
      <w:r>
        <w:rPr>
          <w:rFonts w:ascii="Times New Roman;Times;serif" w:hAnsi="Times New Roman;Times;serif"/>
          <w:sz w:val="20"/>
        </w:rPr>
        <w:t xml:space="preserve"> </w:t>
      </w:r>
      <w:r>
        <w:rPr>
          <w:rFonts w:ascii="Arial;Helvetica;sans-serif" w:hAnsi="Arial;Helvetica;sans-serif"/>
          <w:sz w:val="20"/>
        </w:rPr>
        <w:t>million and $14</w:t>
      </w:r>
      <w:r>
        <w:rPr>
          <w:rFonts w:ascii="Times New Roman;Times;serif" w:hAnsi="Times New Roman;Times;serif"/>
          <w:sz w:val="20"/>
        </w:rPr>
        <w:t xml:space="preserve"> </w:t>
      </w:r>
      <w:r>
        <w:rPr>
          <w:rFonts w:ascii="Arial;Helvetica;sans-serif" w:hAnsi="Arial;Helvetica;sans-serif"/>
          <w:sz w:val="20"/>
        </w:rPr>
        <w:t>million for the six months ended June 30, 2025 and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New Accounting Pronouncements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Not Yet Adopted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Income Taxes</w:t>
      </w:r>
      <w:r>
        <w:rPr>
          <w:rFonts w:ascii="Arial;Helvetica;sans-serif" w:hAnsi="Arial;Helvetica;sans-serif"/>
          <w:sz w:val="20"/>
        </w:rPr>
        <w:t xml:space="preserve">. On December 14, 2023, the FASB issued ASU 2023-9, </w:t>
      </w:r>
      <w:r>
        <w:rPr>
          <w:rFonts w:ascii="Arial;Helvetica;sans-serif" w:hAnsi="Arial;Helvetica;sans-serif"/>
          <w:i/>
          <w:sz w:val="20"/>
        </w:rPr>
        <w:t>Income Taxes (Topic 740)</w:t>
      </w:r>
      <w:r>
        <w:rPr>
          <w:rFonts w:ascii="Arial;Helvetica;sans-serif" w:hAnsi="Arial;Helvetica;sans-serif"/>
          <w:sz w:val="20"/>
        </w:rPr>
        <w:t xml:space="preserve">: </w:t>
      </w:r>
      <w:r>
        <w:rPr>
          <w:rFonts w:ascii="Arial;Helvetica;sans-serif" w:hAnsi="Arial;Helvetica;sans-serif"/>
          <w:i/>
          <w:sz w:val="20"/>
        </w:rPr>
        <w:t>Improvements to Income Tax Disclosures</w:t>
      </w:r>
      <w:r>
        <w:rPr>
          <w:rFonts w:ascii="Times New Roman;Times;serif" w:hAnsi="Times New Roman;Times;serif"/>
          <w:sz w:val="20"/>
        </w:rPr>
        <w:t xml:space="preserve"> </w:t>
      </w:r>
      <w:r>
        <w:rPr>
          <w:rFonts w:ascii="Arial;Helvetica;sans-serif" w:hAnsi="Arial;Helvetica;sans-serif"/>
          <w:sz w:val="20"/>
        </w:rPr>
        <w:t>(“ASU 2023-09”), which will enhance income tax disclosures. ASU 2023-09 requires among other items disaggregated information in a reporting entity’s rate reconciliation table, clarification on uncertain tax positions and the related financial statement impact as well as information on income taxes paid on a disaggregated basis. This standard is effective for fiscal years beginning after December 15, 2024. We plan to adopt the standard when it becomes effective for us beginning in our fiscal year 2025 annual financial statements, and the adoption of the standard will impact certain of our income tax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Disaggregation of Income Statement Expenses</w:t>
      </w:r>
      <w:r>
        <w:rPr>
          <w:rFonts w:ascii="Arial;Helvetica;sans-serif" w:hAnsi="Arial;Helvetica;sans-serif"/>
          <w:sz w:val="20"/>
        </w:rPr>
        <w:t xml:space="preserve">. On November 5, 2024, the FASB issued ASU 2024-03, </w:t>
      </w:r>
      <w:r>
        <w:rPr>
          <w:rFonts w:ascii="Arial;Helvetica;sans-serif" w:hAnsi="Arial;Helvetica;sans-serif"/>
          <w:i/>
          <w:sz w:val="20"/>
        </w:rPr>
        <w:t>Income Statement – Reporting Comprehensive Income – Expense Disaggregation Disclosures (Subtopic 220-40)</w:t>
      </w:r>
      <w:r>
        <w:rPr>
          <w:rFonts w:ascii="Times New Roman;Times;serif" w:hAnsi="Times New Roman;Times;serif"/>
          <w:sz w:val="20"/>
        </w:rPr>
        <w:t xml:space="preserve"> </w:t>
      </w:r>
      <w:r>
        <w:rPr>
          <w:rFonts w:ascii="Arial;Helvetica;sans-serif" w:hAnsi="Arial;Helvetica;sans-serif"/>
          <w:sz w:val="20"/>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02" w:name="Tc_PiP1-a1uVkiSXZjWntp_1A_8_3"/>
      <w:bookmarkStart w:id="603" w:name="Tc_tRGdkpBcpEOjZgYbya4iAw_8_0"/>
      <w:bookmarkStart w:id="604" w:name="Tc_iT9rxK7UeUabNtj9oIG-AQ_7_0"/>
      <w:bookmarkStart w:id="605" w:name="Tc_gCPVSH7ehEG2MJMHrroBkg_6_0"/>
      <w:bookmarkStart w:id="606" w:name="Tc_bDQvac0rakCq3Iy--6jylg_5_5"/>
      <w:bookmarkStart w:id="607" w:name="Tc_M2QRJj4avEabMTGA1UhLdg_5_2"/>
      <w:bookmarkStart w:id="608" w:name="Tc_cnkjXXU5CEW5jT79EJVujg_5_0"/>
      <w:bookmarkStart w:id="609" w:name="Tc_YxY6-qNKQkydP-cuVjGFNg_4_2"/>
      <w:bookmarkStart w:id="610" w:name="Tc_NTeu1RlNekm0TGi9BZenKw_3_5"/>
      <w:bookmarkStart w:id="611" w:name="Tc_JQOmqKYoiUWweqQ07Ag8-A_3_2"/>
      <w:bookmarkStart w:id="612" w:name="Tc_7j92maH5wE-EI5q9MmkEpw_2_2"/>
      <w:bookmarkStart w:id="613" w:name="Tc__xNNGRanp0m8dZvsOMnuwA_1_2"/>
      <w:bookmarkStart w:id="614" w:name="Tc_PiP1-a1uVkiSXZjWntp_1A_8_3"/>
      <w:bookmarkStart w:id="615" w:name="Tc_tRGdkpBcpEOjZgYbya4iAw_8_0"/>
      <w:bookmarkStart w:id="616" w:name="Tc_iT9rxK7UeUabNtj9oIG-AQ_7_0"/>
      <w:bookmarkStart w:id="617" w:name="Tc_gCPVSH7ehEG2MJMHrroBkg_6_0"/>
      <w:bookmarkStart w:id="618" w:name="Tc_bDQvac0rakCq3Iy--6jylg_5_5"/>
      <w:bookmarkStart w:id="619" w:name="Tc_M2QRJj4avEabMTGA1UhLdg_5_2"/>
      <w:bookmarkStart w:id="620" w:name="Tc_cnkjXXU5CEW5jT79EJVujg_5_0"/>
      <w:bookmarkStart w:id="621" w:name="Tc_YxY6-qNKQkydP-cuVjGFNg_4_2"/>
      <w:bookmarkStart w:id="622" w:name="Tc_NTeu1RlNekm0TGi9BZenKw_3_5"/>
      <w:bookmarkStart w:id="623" w:name="Tc_JQOmqKYoiUWweqQ07Ag8-A_3_2"/>
      <w:bookmarkStart w:id="624" w:name="Tc_7j92maH5wE-EI5q9MmkEpw_2_2"/>
      <w:bookmarkStart w:id="625" w:name="Tc__xNNGRanp0m8dZvsOMnuwA_1_2"/>
      <w:bookmarkEnd w:id="614"/>
      <w:bookmarkEnd w:id="615"/>
      <w:bookmarkEnd w:id="616"/>
      <w:bookmarkEnd w:id="617"/>
      <w:bookmarkEnd w:id="618"/>
      <w:bookmarkEnd w:id="619"/>
      <w:bookmarkEnd w:id="620"/>
      <w:bookmarkEnd w:id="621"/>
      <w:bookmarkEnd w:id="622"/>
      <w:bookmarkEnd w:id="623"/>
      <w:bookmarkEnd w:id="624"/>
      <w:bookmarkEnd w:id="625"/>
    </w:p>
    <w:tbl>
      <w:tblPr>
        <w:tblW w:w="4787" w:type="dxa"/>
        <w:jc w:val="left"/>
        <w:tblInd w:w="0" w:type="dxa"/>
        <w:tblLayout w:type="fixed"/>
        <w:tblCellMar>
          <w:top w:w="0" w:type="dxa"/>
          <w:left w:w="0" w:type="dxa"/>
          <w:bottom w:w="0" w:type="dxa"/>
          <w:right w:w="0" w:type="dxa"/>
        </w:tblCellMar>
      </w:tblPr>
      <w:tblGrid>
        <w:gridCol w:w="286"/>
        <w:gridCol w:w="450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3.</w:t>
            </w:r>
          </w:p>
        </w:tc>
        <w:tc>
          <w:tcPr>
            <w:tcW w:w="450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Supplemental Data - Statements of Cash Flows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certain supplemental cash flow and other non-cash data:</w:t>
      </w:r>
    </w:p>
    <w:p>
      <w:pPr>
        <w:pStyle w:val="TextBody"/>
        <w:bidi w:val="0"/>
        <w:spacing w:before="0" w:after="0"/>
        <w:ind w:left="0" w:right="0" w:hanging="0"/>
        <w:jc w:val="left"/>
        <w:rPr/>
      </w:pPr>
      <w:r>
        <w:rPr/>
        <w:t>​</w:t>
      </w:r>
    </w:p>
    <w:tbl>
      <w:tblPr>
        <w:tblW w:w="6985" w:type="dxa"/>
        <w:jc w:val="left"/>
        <w:tblInd w:w="0" w:type="dxa"/>
        <w:tblLayout w:type="fixed"/>
        <w:tblCellMar>
          <w:top w:w="0" w:type="dxa"/>
          <w:left w:w="0" w:type="dxa"/>
          <w:bottom w:w="0" w:type="dxa"/>
          <w:right w:w="0" w:type="dxa"/>
        </w:tblCellMar>
      </w:tblPr>
      <w:tblGrid>
        <w:gridCol w:w="4021"/>
        <w:gridCol w:w="326"/>
        <w:gridCol w:w="213"/>
        <w:gridCol w:w="805"/>
        <w:gridCol w:w="329"/>
        <w:gridCol w:w="213"/>
        <w:gridCol w:w="1078"/>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553335" cy="175260"/>
                      <wp:effectExtent l="0" t="0" r="0" b="0"/>
                      <wp:wrapNone/>
                      <wp:docPr id="79" name="Frame79"/>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5255" cy="175260"/>
                      <wp:effectExtent l="0" t="0" r="0" b="0"/>
                      <wp:wrapNone/>
                      <wp:docPr id="81" name="Frame8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11175" cy="175260"/>
                      <wp:effectExtent l="0" t="0" r="0" b="0"/>
                      <wp:wrapNone/>
                      <wp:docPr id="82" name="Frame82"/>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8915" cy="175260"/>
                      <wp:effectExtent l="0" t="0" r="0" b="0"/>
                      <wp:wrapNone/>
                      <wp:docPr id="83" name="Frame8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5255" cy="175260"/>
                      <wp:effectExtent l="0" t="0" r="0" b="0"/>
                      <wp:wrapNone/>
                      <wp:docPr id="84" name="Frame8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84530" cy="175260"/>
                      <wp:effectExtent l="0" t="0" r="0" b="0"/>
                      <wp:wrapNone/>
                      <wp:docPr id="85" name="Frame85"/>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For the Six Months Ended </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June 30, </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29" w:type="dxa"/>
            <w:tcBorders/>
            <w:vAlign w:val="center"/>
          </w:tcPr>
          <w:p>
            <w:pPr>
              <w:pStyle w:val="TableContents"/>
              <w:bidi w:val="0"/>
              <w:spacing w:before="0" w:after="0"/>
              <w:ind w:left="0" w:right="0" w:hanging="0"/>
              <w:jc w:val="center"/>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698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0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429,101</w:t>
            </w:r>
          </w:p>
        </w:tc>
        <w:tc>
          <w:tcPr>
            <w:tcW w:w="32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356,388</w:t>
            </w:r>
          </w:p>
        </w:tc>
      </w:tr>
      <w:tr>
        <w:trPr/>
        <w:tc>
          <w:tcPr>
            <w:tcW w:w="40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income taxes, net of (refunds)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7,538</w:t>
            </w:r>
          </w:p>
        </w:tc>
        <w:tc>
          <w:tcPr>
            <w:tcW w:w="32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5,002</w:t>
            </w:r>
          </w:p>
        </w:tc>
      </w:tr>
      <w:tr>
        <w:trPr/>
        <w:tc>
          <w:tcPr>
            <w:tcW w:w="40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income taxes to DISH Network</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229,513</w:t>
            </w:r>
          </w:p>
        </w:tc>
        <w:tc>
          <w:tcPr>
            <w:tcW w:w="32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275,463</w:t>
            </w:r>
          </w:p>
        </w:tc>
      </w:tr>
      <w:tr>
        <w:trPr/>
        <w:tc>
          <w:tcPr>
            <w:tcW w:w="40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Intercompany Loan - 2026 Tranche</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4,718,517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Beginning in 2024, DISH DBS and its domestic subsidiaries join with our parent, DISH Network, and our ultimate parent, EchoStar, in filing U.S. consolidated federal income tax returns and, in some states, combined or consolidated returns. The federal and state income tax provisions or benefits recorded by DISH DBS are generally those that would have been recorded if DISH DBS and its domestic subsidiaries had filed returns as a consolidated group independent of EchoStar. Cash is due and paid to DISH Network based on amounts that would be payable based on DISH DBS consolidated or combined group filings.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Centralized Cash Management System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Our parent, DISH Network, provides a centralized system for the management of our restricted and unrestricted</w:t>
      </w:r>
      <w:r>
        <w:rPr>
          <w:rFonts w:ascii="Times New Roman;Times;serif" w:hAnsi="Times New Roman;Times;serif"/>
          <w:sz w:val="20"/>
        </w:rPr>
        <w:t xml:space="preserve"> </w:t>
      </w:r>
      <w:r>
        <w:rPr>
          <w:rFonts w:ascii="Arial;Helvetica;sans-serif" w:hAnsi="Arial;Helvetica;sans-serif"/>
          <w:sz w:val="20"/>
        </w:rPr>
        <w:t>cash, cash equivalents, and marketable investment securities as it does for all of its subsidiaries to, among other reasons, maximize yield of the portfolio. As a result, the restricted and unrestricted</w:t>
      </w:r>
      <w:r>
        <w:rPr>
          <w:rFonts w:ascii="Times New Roman;Times;serif" w:hAnsi="Times New Roman;Times;serif"/>
          <w:sz w:val="20"/>
        </w:rPr>
        <w:t xml:space="preserve"> </w:t>
      </w:r>
      <w:r>
        <w:rPr>
          <w:rFonts w:ascii="Arial;Helvetica;sans-serif" w:hAnsi="Arial;Helvetica;sans-serif"/>
          <w:sz w:val="20"/>
        </w:rPr>
        <w:t>cash, cash equivalents, and marketable investment securities included on our Condensed Consolidated Balance Sheets are a component or portion of the overall restricted and unrestricted</w:t>
      </w:r>
      <w:r>
        <w:rPr>
          <w:rFonts w:ascii="Times New Roman;Times;serif" w:hAnsi="Times New Roman;Times;serif"/>
          <w:sz w:val="20"/>
        </w:rPr>
        <w:t xml:space="preserve"> </w:t>
      </w:r>
      <w:r>
        <w:rPr>
          <w:rFonts w:ascii="Arial;Helvetica;sans-serif" w:hAnsi="Arial;Helvetica;sans-serif"/>
          <w:sz w:val="20"/>
        </w:rPr>
        <w:t>cash, cash equivalents, and marketable investment securities portfolio included on DISH Network’s Condensed Consolidated Balance Sheets and are managed by DISH Network. We are reflecting the purchases and sales of marketable investment securities on a net basis for each period presented on our Condensed Consolidated Statements of Cash Flows as we believe the net presentation is more meaningful to our cash flows from investing activities.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26" w:name="Tc_09VxIui5V0GRZD96Hanf8Q_17_5"/>
      <w:bookmarkStart w:id="627" w:name="Tc_cIC9yaX9E0qCgNsmS3BOZA_17_2"/>
      <w:bookmarkStart w:id="628" w:name="Tc_gcQfkf4ZxkOoWOeY48bxMA_17_0"/>
      <w:bookmarkStart w:id="629" w:name="Tc_vR_Y6rO77kKe8BBaDmrzqg_15_0"/>
      <w:bookmarkStart w:id="630" w:name="Tc_b7OdD5BcqECdUjRj_voNcQ_14_0"/>
      <w:bookmarkStart w:id="631" w:name="Tc__iPPKsaetUKsivMR7wNSRg_13_0"/>
      <w:bookmarkStart w:id="632" w:name="Tc_GY4jfDqXR02ziLa3V6FW1Q_12_0"/>
      <w:bookmarkStart w:id="633" w:name="Tc_eOMq3i-SpkO75IIbr-7jGw_10_0"/>
      <w:bookmarkStart w:id="634" w:name="Tc_i6MqV96TIU2kdm0xm_q5yg_8_6"/>
      <w:bookmarkStart w:id="635" w:name="Tc_f1GmYRYrDEGo5bwAsp4vqg_8_0"/>
      <w:bookmarkStart w:id="636" w:name="Tc_qNgVjRI1u0-t-tLV2q7NMQ_7_6"/>
      <w:bookmarkStart w:id="637" w:name="Tc_PcX_qY4wg0OWjn9_AHjEiw_7_0"/>
      <w:bookmarkStart w:id="638" w:name="Tc_l1X8tS9Io0OuN6r7RoKKrg_6_6"/>
      <w:bookmarkStart w:id="639" w:name="Tc_0ZhSrkUWoUeVmwBMr7gE3A_6_5"/>
      <w:bookmarkStart w:id="640" w:name="Tc_ZyBvpwBNoEeWhNl2k9_92g_6_3"/>
      <w:bookmarkStart w:id="641" w:name="Tc_fNc5Whgbx0ypB1Da0kCc4A_6_2"/>
      <w:bookmarkStart w:id="642" w:name="Tc_TBOuyBc8wUCL6vqyNxkrNw_6_0"/>
      <w:bookmarkStart w:id="643" w:name="Tc_uS-fdt4QQE-AFOaAABgatQ_5_0"/>
      <w:bookmarkStart w:id="644" w:name="Tc_ZfC4EpxY90SbPwS27SdXpg_4_2"/>
      <w:bookmarkStart w:id="645" w:name="Tc_ZiUrKDEASkGMqxS7GudBxA_3_5"/>
      <w:bookmarkStart w:id="646" w:name="Tc_AUTmdefYQ02LIPF1CRZezg_3_2"/>
      <w:bookmarkStart w:id="647" w:name="Tc_PrkJ1YIwR0Oy7kZpRTMVTQ_2_5"/>
      <w:bookmarkStart w:id="648" w:name="Tc_AwLY0Lv1mUCzl4_y_a0BFg_2_2"/>
      <w:bookmarkStart w:id="649" w:name="Tc_FkIWGECb-0We7xzYVdYxkA_1_2"/>
      <w:bookmarkStart w:id="650" w:name="_e5d66924_270b_425b_9da9_ca33795573df"/>
      <w:bookmarkStart w:id="651" w:name="Tc_09VxIui5V0GRZD96Hanf8Q_17_5"/>
      <w:bookmarkStart w:id="652" w:name="Tc_cIC9yaX9E0qCgNsmS3BOZA_17_2"/>
      <w:bookmarkStart w:id="653" w:name="Tc_gcQfkf4ZxkOoWOeY48bxMA_17_0"/>
      <w:bookmarkStart w:id="654" w:name="Tc_vR_Y6rO77kKe8BBaDmrzqg_15_0"/>
      <w:bookmarkStart w:id="655" w:name="Tc_b7OdD5BcqECdUjRj_voNcQ_14_0"/>
      <w:bookmarkStart w:id="656" w:name="Tc__iPPKsaetUKsivMR7wNSRg_13_0"/>
      <w:bookmarkStart w:id="657" w:name="Tc_GY4jfDqXR02ziLa3V6FW1Q_12_0"/>
      <w:bookmarkStart w:id="658" w:name="Tc_eOMq3i-SpkO75IIbr-7jGw_10_0"/>
      <w:bookmarkStart w:id="659" w:name="Tc_i6MqV96TIU2kdm0xm_q5yg_8_6"/>
      <w:bookmarkStart w:id="660" w:name="Tc_f1GmYRYrDEGo5bwAsp4vqg_8_0"/>
      <w:bookmarkStart w:id="661" w:name="Tc_qNgVjRI1u0-t-tLV2q7NMQ_7_6"/>
      <w:bookmarkStart w:id="662" w:name="Tc_PcX_qY4wg0OWjn9_AHjEiw_7_0"/>
      <w:bookmarkStart w:id="663" w:name="Tc_l1X8tS9Io0OuN6r7RoKKrg_6_6"/>
      <w:bookmarkStart w:id="664" w:name="Tc_0ZhSrkUWoUeVmwBMr7gE3A_6_5"/>
      <w:bookmarkStart w:id="665" w:name="Tc_ZyBvpwBNoEeWhNl2k9_92g_6_3"/>
      <w:bookmarkStart w:id="666" w:name="Tc_fNc5Whgbx0ypB1Da0kCc4A_6_2"/>
      <w:bookmarkStart w:id="667" w:name="Tc_TBOuyBc8wUCL6vqyNxkrNw_6_0"/>
      <w:bookmarkStart w:id="668" w:name="Tc_uS-fdt4QQE-AFOaAABgatQ_5_0"/>
      <w:bookmarkStart w:id="669" w:name="Tc_ZfC4EpxY90SbPwS27SdXpg_4_2"/>
      <w:bookmarkStart w:id="670" w:name="Tc_ZiUrKDEASkGMqxS7GudBxA_3_5"/>
      <w:bookmarkStart w:id="671" w:name="Tc_AUTmdefYQ02LIPF1CRZezg_3_2"/>
      <w:bookmarkStart w:id="672" w:name="Tc_PrkJ1YIwR0Oy7kZpRTMVTQ_2_5"/>
      <w:bookmarkStart w:id="673" w:name="Tc_AwLY0Lv1mUCzl4_y_a0BFg_2_2"/>
      <w:bookmarkStart w:id="674" w:name="Tc_FkIWGECb-0We7xzYVdYxkA_1_2"/>
      <w:bookmarkStart w:id="675" w:name="_e5d66924_270b_425b_9da9_ca33795573df"/>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tbl>
      <w:tblPr>
        <w:tblW w:w="9392" w:type="dxa"/>
        <w:jc w:val="left"/>
        <w:tblInd w:w="0" w:type="dxa"/>
        <w:tblLayout w:type="fixed"/>
        <w:tblCellMar>
          <w:top w:w="0" w:type="dxa"/>
          <w:left w:w="0" w:type="dxa"/>
          <w:bottom w:w="0" w:type="dxa"/>
          <w:right w:w="0" w:type="dxa"/>
        </w:tblCellMar>
      </w:tblPr>
      <w:tblGrid>
        <w:gridCol w:w="286"/>
        <w:gridCol w:w="9106"/>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4.</w:t>
            </w:r>
          </w:p>
        </w:tc>
        <w:tc>
          <w:tcPr>
            <w:tcW w:w="910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Marketable Investment Securities, Restricted Cash and Cash Equivalents, and Other Investments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marketable investment securities, restricted cash and cash equivalents, and other investments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86"/>
        <w:gridCol w:w="326"/>
        <w:gridCol w:w="211"/>
        <w:gridCol w:w="796"/>
        <w:gridCol w:w="326"/>
        <w:gridCol w:w="258"/>
        <w:gridCol w:w="1102"/>
      </w:tblGrid>
      <w:tr>
        <w:trPr/>
        <w:tc>
          <w:tcPr>
            <w:tcW w:w="7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563110" cy="175260"/>
                      <wp:effectExtent l="0" t="0" r="0" b="0"/>
                      <wp:wrapNone/>
                      <wp:docPr id="86" name="Frame86"/>
                      <a:graphic xmlns:a="http://schemas.openxmlformats.org/drawingml/2006/main">
                        <a:graphicData uri="http://schemas.microsoft.com/office/word/2010/wordprocessingShape">
                          <wps:wsp>
                            <wps:cNvSpPr txBox="1"/>
                            <wps:spPr>
                              <a:xfrm>
                                <a:off x="0" y="0"/>
                                <a:ext cx="456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05460" cy="175260"/>
                      <wp:effectExtent l="0" t="0" r="0" b="0"/>
                      <wp:wrapNone/>
                      <wp:docPr id="89" name="Frame8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63830" cy="175260"/>
                      <wp:effectExtent l="0" t="0" r="0" b="0"/>
                      <wp:wrapNone/>
                      <wp:docPr id="91" name="Frame9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9770" cy="175260"/>
                      <wp:effectExtent l="0" t="0" r="0" b="0"/>
                      <wp:wrapNone/>
                      <wp:docPr id="92" name="Frame92"/>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 </w:t>
            </w:r>
          </w:p>
        </w:tc>
      </w:tr>
      <w:tr>
        <w:trPr/>
        <w:tc>
          <w:tcPr>
            <w:tcW w:w="7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June 30, </w:t>
            </w:r>
          </w:p>
        </w:tc>
        <w:tc>
          <w:tcPr>
            <w:tcW w:w="326" w:type="dxa"/>
            <w:tcBorders/>
            <w:vAlign w:val="center"/>
          </w:tcPr>
          <w:p>
            <w:pPr>
              <w:pStyle w:val="TableContents"/>
              <w:bidi w:val="0"/>
              <w:spacing w:before="0" w:after="0"/>
              <w:ind w:left="0" w:right="0" w:hanging="0"/>
              <w:jc w:val="left"/>
              <w:rPr/>
            </w:pPr>
            <w:r>
              <w:rPr/>
              <w:t>    </w:t>
            </w:r>
          </w:p>
        </w:tc>
        <w:tc>
          <w:tcPr>
            <w:tcW w:w="136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December 31, </w:t>
            </w:r>
          </w:p>
        </w:tc>
      </w:tr>
      <w:tr>
        <w:trPr/>
        <w:tc>
          <w:tcPr>
            <w:tcW w:w="7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3" w:type="dxa"/>
            <w:gridSpan w:val="5"/>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71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Marketable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left"/>
              <w:rPr/>
            </w:pPr>
            <w:r>
              <w:rPr/>
              <w:t>​</w:t>
            </w:r>
          </w:p>
        </w:tc>
      </w:tr>
      <w:tr>
        <w:trPr/>
        <w:tc>
          <w:tcPr>
            <w:tcW w:w="71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marketable investment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2" w:type="dxa"/>
            <w:tcBorders/>
            <w:vAlign w:val="center"/>
          </w:tcPr>
          <w:p>
            <w:pPr>
              <w:pStyle w:val="TableContents"/>
              <w:bidi w:val="0"/>
              <w:spacing w:before="0" w:after="0"/>
              <w:ind w:left="0" w:right="0" w:hanging="0"/>
              <w:jc w:val="right"/>
              <w:rPr/>
            </w:pPr>
            <w:r>
              <w:rPr/>
              <w:t>—</w:t>
            </w:r>
          </w:p>
        </w:tc>
      </w:tr>
      <w:tr>
        <w:trPr/>
        <w:tc>
          <w:tcPr>
            <w:tcW w:w="71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marketable investment securities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15,546</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1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marketable investment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15,546</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left"/>
              <w:rPr/>
            </w:pPr>
            <w:r>
              <w:rPr/>
              <w:t>​</w:t>
            </w:r>
          </w:p>
        </w:tc>
      </w:tr>
      <w:tr>
        <w:trPr/>
        <w:tc>
          <w:tcPr>
            <w:tcW w:w="71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Restricted cash and cash equivalents (1)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228,375</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209,574</w:t>
            </w:r>
          </w:p>
        </w:tc>
      </w:tr>
      <w:tr>
        <w:trPr/>
        <w:tc>
          <w:tcPr>
            <w:tcW w:w="71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left"/>
              <w:rPr/>
            </w:pPr>
            <w:r>
              <w:rPr/>
              <w:t>​</w:t>
            </w:r>
          </w:p>
        </w:tc>
      </w:tr>
      <w:tr>
        <w:trPr/>
        <w:tc>
          <w:tcPr>
            <w:tcW w:w="718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Other investments,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left"/>
              <w:rPr/>
            </w:pPr>
            <w:r>
              <w:rPr/>
              <w:t>​</w:t>
            </w:r>
          </w:p>
        </w:tc>
      </w:tr>
      <w:tr>
        <w:trPr/>
        <w:tc>
          <w:tcPr>
            <w:tcW w:w="71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20,015</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20,440</w:t>
            </w:r>
          </w:p>
        </w:tc>
      </w:tr>
      <w:tr>
        <w:trPr/>
        <w:tc>
          <w:tcPr>
            <w:tcW w:w="71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2,201</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2,201</w:t>
            </w:r>
          </w:p>
        </w:tc>
      </w:tr>
      <w:tr>
        <w:trPr/>
        <w:tc>
          <w:tcPr>
            <w:tcW w:w="71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other investments,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22,216</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22,641</w:t>
            </w:r>
          </w:p>
        </w:tc>
      </w:tr>
      <w:tr>
        <w:trPr/>
        <w:tc>
          <w:tcPr>
            <w:tcW w:w="7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left"/>
              <w:rPr/>
            </w:pPr>
            <w:r>
              <w:rPr/>
              <w:t>​</w:t>
            </w:r>
          </w:p>
        </w:tc>
      </w:tr>
      <w:tr>
        <w:trPr/>
        <w:tc>
          <w:tcPr>
            <w:tcW w:w="71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marketable investment securities, restricted cash and cash equivalents, and other investments,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266,137</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232,215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Restricted marketable investment securities and restricted cash and cash equivalents are included in “Current restricted cash, cash equivalents and marketable investment securities” and “Restricted cash, cash equivalents and marketable investment securities” on our Condensed Consolidated Balance Sheets and discussed below.</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Current 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current marketable investment securities portfolio can include investments in various debt instruments including, among others, commercial paper, corporate securities and United States treasury and/or agency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Restricted Cash, Cash Equivalents and Marketable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2025 and December 31, 2024, our restricted marketable investment securities, together with our restricted cash and cash equivalents, included amounts required as collateral for our letters of credit, surety bonds and trusts.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Current restricted cash, cash equivalents and marketable investment securities.</w:t>
      </w:r>
      <w:r>
        <w:rPr>
          <w:rFonts w:ascii="Times New Roman;Times;serif" w:hAnsi="Times New Roman;Times;serif"/>
          <w:sz w:val="20"/>
        </w:rPr>
        <w:t xml:space="preserve"> </w:t>
      </w:r>
      <w:r>
        <w:rPr>
          <w:rFonts w:ascii="Arial;Helvetica;sans-serif" w:hAnsi="Arial;Helvetica;sans-serif"/>
          <w:sz w:val="20"/>
        </w:rPr>
        <w:t>As of June 30, 2025 and December 31, 2024, we had $184</w:t>
      </w:r>
      <w:r>
        <w:rPr>
          <w:rFonts w:ascii="Times New Roman;Times;serif" w:hAnsi="Times New Roman;Times;serif"/>
          <w:sz w:val="20"/>
        </w:rPr>
        <w:t xml:space="preserve"> </w:t>
      </w:r>
      <w:r>
        <w:rPr>
          <w:rFonts w:ascii="Arial;Helvetica;sans-serif" w:hAnsi="Arial;Helvetica;sans-serif"/>
          <w:sz w:val="20"/>
        </w:rPr>
        <w:t>million and $151</w:t>
      </w:r>
      <w:r>
        <w:rPr>
          <w:rFonts w:ascii="Times New Roman;Times;serif" w:hAnsi="Times New Roman;Times;serif"/>
          <w:sz w:val="20"/>
        </w:rPr>
        <w:t xml:space="preserve"> </w:t>
      </w:r>
      <w:r>
        <w:rPr>
          <w:rFonts w:ascii="Arial;Helvetica;sans-serif" w:hAnsi="Arial;Helvetica;sans-serif"/>
          <w:sz w:val="20"/>
        </w:rPr>
        <w:t xml:space="preserve">million, respectively, included in </w:t>
      </w:r>
      <w:r>
        <w:rPr>
          <w:rFonts w:ascii="Times New Roman;Times;serif" w:hAnsi="Times New Roman;Times;serif"/>
          <w:sz w:val="20"/>
        </w:rPr>
        <w:t>“</w:t>
      </w:r>
      <w:r>
        <w:rPr>
          <w:rFonts w:ascii="Arial;Helvetica;sans-serif" w:hAnsi="Arial;Helvetica;sans-serif"/>
          <w:sz w:val="20"/>
        </w:rPr>
        <w:t>Current restricted cash, cash equivalents and marketable investment securities</w:t>
      </w:r>
      <w:r>
        <w:rPr>
          <w:rFonts w:ascii="Times New Roman;Times;serif" w:hAnsi="Times New Roman;Times;serif"/>
          <w:sz w:val="20"/>
        </w:rPr>
        <w:t xml:space="preserve">” </w:t>
      </w:r>
      <w:r>
        <w:rPr>
          <w:rFonts w:ascii="Arial;Helvetica;sans-serif" w:hAnsi="Arial;Helvetica;sans-serif"/>
          <w:sz w:val="20"/>
        </w:rPr>
        <w:t>on our Condensed Consolidated Balance Sheets</w:t>
      </w:r>
      <w:r>
        <w:rPr>
          <w:rFonts w:ascii="Times New Roman;Times;serif" w:hAnsi="Times New Roman;Times;serif"/>
          <w:sz w:val="20"/>
        </w:rPr>
        <w:t xml:space="preserve"> </w:t>
      </w:r>
      <w:r>
        <w:rPr>
          <w:rFonts w:ascii="Arial;Helvetica;sans-serif" w:hAnsi="Arial;Helvetica;sans-serif"/>
          <w:sz w:val="20"/>
        </w:rPr>
        <w:t>that primarily consists of funds received by our subsidiary, DISH DBS Issuer LLC (“DBS SubscriberCo”), from subscriber payments and certain other revenue, which are required to be restricted per the terms of the debt issued by DBS SubscriberCo. DBS SubscriberCo</w:t>
      </w:r>
      <w:r>
        <w:rPr>
          <w:rFonts w:ascii="Times New Roman;Times;serif" w:hAnsi="Times New Roman;Times;serif"/>
          <w:sz w:val="20"/>
          <w:shd w:fill="FFFFFF" w:val="clear"/>
        </w:rPr>
        <w:t xml:space="preserve"> </w:t>
      </w:r>
      <w:r>
        <w:rPr>
          <w:rFonts w:ascii="Arial;Helvetica;sans-serif" w:hAnsi="Arial;Helvetica;sans-serif"/>
          <w:sz w:val="20"/>
          <w:shd w:fill="FFFFFF" w:val="clear"/>
        </w:rPr>
        <w:t>holds certain DISH TV subscribers</w:t>
      </w:r>
      <w:r>
        <w:rPr>
          <w:rFonts w:ascii="Times New Roman;Times;serif" w:hAnsi="Times New Roman;Times;serif"/>
          <w:sz w:val="20"/>
        </w:rPr>
        <w:t xml:space="preserve"> </w:t>
      </w:r>
      <w:r>
        <w:rPr>
          <w:rFonts w:ascii="Arial;Helvetica;sans-serif" w:hAnsi="Arial;Helvetica;sans-serif"/>
          <w:sz w:val="20"/>
        </w:rPr>
        <w:t>and their related subscription and equipment agreements which collateralizes certain debt obligations</w:t>
      </w:r>
      <w:r>
        <w:rPr>
          <w:rFonts w:ascii="Arial;Helvetica;sans-serif" w:hAnsi="Arial;Helvetica;san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Other Investments,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676" w:name="Tc_kmsDZNKZLky61FuX61uF1w_15_24"/>
      <w:bookmarkStart w:id="677" w:name="Tc_8ftO8-QUakq3FlMj7VV8kg_15_23"/>
      <w:bookmarkStart w:id="678" w:name="Tc_uLR0ONkb1EiGxmCUtSWx2w_15_21"/>
      <w:bookmarkStart w:id="679" w:name="Tc_aW1nhcv0B0q7q4BzROjbJg_15_20"/>
      <w:bookmarkStart w:id="680" w:name="Tc_D0bf6Fy_eEaipkrrjRS3wg_15_18"/>
      <w:bookmarkStart w:id="681" w:name="Tc_jP5drtBxfEW76dcVT0jmhQ_15_17"/>
      <w:bookmarkStart w:id="682" w:name="Tc_xUgAoWDZ-EeDZNcNiZjwTg_15_15"/>
      <w:bookmarkStart w:id="683" w:name="Tc_SA3a_EZNGUe4Gw-LjVOjuA_15_14"/>
      <w:bookmarkStart w:id="684" w:name="Tc_fEbcqGe_WkuyC6EjNWDDTA_15_11"/>
      <w:bookmarkStart w:id="685" w:name="Tc_szzcF-xR-USYtaMxKlWwzg_15_9"/>
      <w:bookmarkStart w:id="686" w:name="Tc_XbH-Go6nrUioMYpxKYjhFA_15_8"/>
      <w:bookmarkStart w:id="687" w:name="Tc_1siS5noxKUGxU-TALtJUcA_15_5"/>
      <w:bookmarkStart w:id="688" w:name="Tc_yxdTlrpGjEmhGLtbLZILaQ_15_2"/>
      <w:bookmarkStart w:id="689" w:name="Tc_gxqqC3UfaUiCxP6wmAlJeQ_15_0"/>
      <w:bookmarkStart w:id="690" w:name="Tc_nF7PxTTB1kKzh1EPB5aqvA_14_24"/>
      <w:bookmarkStart w:id="691" w:name="Tc_KbgBFPElA0qUgTF0qRT6_Q_14_21"/>
      <w:bookmarkStart w:id="692" w:name="Tc_Qzkihhgf7E6Nm4OZYh1iuA_14_18"/>
      <w:bookmarkStart w:id="693" w:name="Tc_AgkG_z-CzECcqhcRSv9MoQ_14_15"/>
      <w:bookmarkStart w:id="694" w:name="Tc_ztfbTi9-yUanmKBKs5h5Fg_14_9"/>
      <w:bookmarkStart w:id="695" w:name="Tc_e-J3mrGluU-FCXJqN0jNxA_14_3"/>
      <w:bookmarkStart w:id="696" w:name="Tc_AUtGf1b6gUSwxa0xkAnaQg_14_0"/>
      <w:bookmarkStart w:id="697" w:name="Tc_my0nUrKqvkGP-QMtpORW-g_13_24"/>
      <w:bookmarkStart w:id="698" w:name="Tc_WxYrC3DjgkqsJ31AF1fU0Q_13_21"/>
      <w:bookmarkStart w:id="699" w:name="Tc_W_8LqbEtAUaSL4mH_kSk6Q_13_18"/>
      <w:bookmarkStart w:id="700" w:name="Tc_5fqZG2qjT0GwmkpwU157HA_13_15"/>
      <w:bookmarkStart w:id="701" w:name="Tc_cQpGA_wDNEG2YiaWWzD3iw_13_12"/>
      <w:bookmarkStart w:id="702" w:name="Tc_phlNz7bAtUSHcmVKZB_J9g_13_9"/>
      <w:bookmarkStart w:id="703" w:name="Tc_wmef8b0l0k6WeRVYJKgtOw_13_6"/>
      <w:bookmarkStart w:id="704" w:name="Tc_V2vbdtl2SEuRSdcUjqj-oQ_13_3"/>
      <w:bookmarkStart w:id="705" w:name="Tc_Ha78NxGW7kuvaKio5uNEkg_13_0"/>
      <w:bookmarkStart w:id="706" w:name="Tc_h77R72sREUiKY28d3wpgVQ_12_24"/>
      <w:bookmarkStart w:id="707" w:name="Tc_DUi6DaafjEGwfGsr259f8w_12_21"/>
      <w:bookmarkStart w:id="708" w:name="Tc_vLhTCLb7-U6l6Kwfb_s3ug_12_18"/>
      <w:bookmarkStart w:id="709" w:name="Tc_4uKWI1T_OE2SB93SqK27Cw_12_15"/>
      <w:bookmarkStart w:id="710" w:name="Tc_G6csQO84pEWPDmvjnFyYiA_12_9"/>
      <w:bookmarkStart w:id="711" w:name="Tc_ivUzyiAcrESOzdPzCF6DuA_12_3"/>
      <w:bookmarkStart w:id="712" w:name="Tc_psOMDriH3UqFup6beyJzZw_12_0"/>
      <w:bookmarkStart w:id="713" w:name="Tc_GM0AwzgAsE6BEqn9LS8fqg_11_24"/>
      <w:bookmarkStart w:id="714" w:name="Tc_VaoVqZMVwEWNSuxR6FtiiQ_11_23"/>
      <w:bookmarkStart w:id="715" w:name="Tc_HIwIxsdbgUOyCHdG7Wo4eQ_11_21"/>
      <w:bookmarkStart w:id="716" w:name="Tc_2tmEuJtmiU2ujLffiz7-9w_11_20"/>
      <w:bookmarkStart w:id="717" w:name="Tc_2-0ubBtqRkG47jXj0KB_KA_11_18"/>
      <w:bookmarkStart w:id="718" w:name="Tc_ZcuhUs7MFU6zd0N7NBhSdQ_11_17"/>
      <w:bookmarkStart w:id="719" w:name="Tc_XKGeo4VeUE2iuzHlstoMbg_11_15"/>
      <w:bookmarkStart w:id="720" w:name="Tc_RrE8B2X_k0mHglVSOnhO7w_11_14"/>
      <w:bookmarkStart w:id="721" w:name="Tc_HSynRvCUO0a3hok66WR1Zw_11_11"/>
      <w:bookmarkStart w:id="722" w:name="Tc_Jzeg_NYu6kaw2mnHyNEDBA_11_9"/>
      <w:bookmarkStart w:id="723" w:name="Tc_ItvTsvDwqESRwxC5RNYagg_11_8"/>
      <w:bookmarkStart w:id="724" w:name="Tc_sNiu2DcooECY0Jxx0qVqMQ_11_6"/>
      <w:bookmarkStart w:id="725" w:name="Tc_GVMNd0nnF0-g0qK6ZIOjmQ_11_5"/>
      <w:bookmarkStart w:id="726" w:name="Tc_-VpXFBNRLEui5d8qWaxelw_11_2"/>
      <w:bookmarkStart w:id="727" w:name="Tc_IrocHgNGhkawQKntkcHQCg_11_0"/>
      <w:bookmarkStart w:id="728" w:name="Tc_qV7JVgP2zEaWVz8C0PwKYw_10_0"/>
      <w:bookmarkStart w:id="729" w:name="Tc_Ocr7Fy9cxU2fW-wmeJbdRg_8_23"/>
      <w:bookmarkStart w:id="730" w:name="Tc_ybcHAj-LvkW91AyNwRArBQ_8_21"/>
      <w:bookmarkStart w:id="731" w:name="Tc_x9n2t2lLckKHx7mLfdSafg_8_20"/>
      <w:bookmarkStart w:id="732" w:name="Tc_A_ntkV79j0KcNcSaXrjyvQ_8_17"/>
      <w:bookmarkStart w:id="733" w:name="Tc_UcDTCa7UP0e8bqSNyI15Cg_8_14"/>
      <w:bookmarkStart w:id="734" w:name="Tc_hdRGJ-IXY0CAj07ScETTEw_8_11"/>
      <w:bookmarkStart w:id="735" w:name="Tc_swAbTWYoIEqCYSEy5w1Ocw_8_9"/>
      <w:bookmarkStart w:id="736" w:name="Tc_FRFg4QTYIUWSN8fSfB1H7A_8_8"/>
      <w:bookmarkStart w:id="737" w:name="Tc_U3ZvX9Zzk0KkEbztGc4iMA_8_5"/>
      <w:bookmarkStart w:id="738" w:name="Tc_WrDhZ3lvX06HByko2r5smw_8_2"/>
      <w:bookmarkStart w:id="739" w:name="Tc_Wvw2fOTZH0CAGzB41x4nmg_8_0"/>
      <w:bookmarkStart w:id="740" w:name="Tc_6x6gv7fzAEm_jABh3I94AA_7_21"/>
      <w:bookmarkStart w:id="741" w:name="Tc_dFGeup3hW0uPD3EOJDeHaQ_7_9"/>
      <w:bookmarkStart w:id="742" w:name="Tc_YXWlxH1Aok-aKprOs7CSlg_7_0"/>
      <w:bookmarkStart w:id="743" w:name="Tc_qZsfSpQ7Zkidb1L_4L5M1w_6_23"/>
      <w:bookmarkStart w:id="744" w:name="Tc_FpjD5dg3dkq12TLVTakmbA_6_21"/>
      <w:bookmarkStart w:id="745" w:name="Tc_CyytCKM-tU2FS3ZIRj2lnw_6_20"/>
      <w:bookmarkStart w:id="746" w:name="Tc_hLVWuxeR9E6m6LArqBu2_Q_6_18"/>
      <w:bookmarkStart w:id="747" w:name="Tc_K-l56CHUoEOn_wzgF1Tm3w_6_17"/>
      <w:bookmarkStart w:id="748" w:name="Tc_KqPcjBBD4EayGfHyWiS26A_6_14"/>
      <w:bookmarkStart w:id="749" w:name="Tc_btYDtX8NFUy-E8wbPfvBdg_6_11"/>
      <w:bookmarkStart w:id="750" w:name="Tc_u0tvVuzMIk-Zz-aIvVm3xg_6_9"/>
      <w:bookmarkStart w:id="751" w:name="Tc_3lyzTUHkwEqUVmwlxuCjXQ_6_8"/>
      <w:bookmarkStart w:id="752" w:name="Tc_z3GcKkI31UiVbJwtK08MvQ_6_6"/>
      <w:bookmarkStart w:id="753" w:name="Tc_sL_o6goVUkS-qpVhoUHVBw_6_5"/>
      <w:bookmarkStart w:id="754" w:name="Tc_Qn2QqTl740mCt9kxIX2eWg_6_2"/>
      <w:bookmarkStart w:id="755" w:name="Tc_UGGv95bXSES2-7pB0BqISQ_6_0"/>
      <w:bookmarkStart w:id="756" w:name="Tc_oLBe6O8wF0aVwmOEnUh5KQ_5_0"/>
      <w:bookmarkStart w:id="757" w:name="Tc_Qi2r9iajvUKYkIhwAfWQaw_4_2"/>
      <w:bookmarkStart w:id="758" w:name="Tc_qd3RG9BaikO69C2BfwR4FQ_3_23"/>
      <w:bookmarkStart w:id="759" w:name="Tc_HFGxLTJx4EuII47DtJr3-A_3_20"/>
      <w:bookmarkStart w:id="760" w:name="Tc_7UaGaeHjv0uUqdSwRwLi7g_3_17"/>
      <w:bookmarkStart w:id="761" w:name="Tc_-j-EpHc5kkKK6vUfd6TEfw_3_14"/>
      <w:bookmarkStart w:id="762" w:name="Tc_tOll9Ny-lkirlPGhZ5mznw_3_11"/>
      <w:bookmarkStart w:id="763" w:name="Tc_6E0NyJpKNkK1I3ARTOle0w_3_8"/>
      <w:bookmarkStart w:id="764" w:name="Tc_fHcHiSu7Xk-SnU-XG_x35A_3_5"/>
      <w:bookmarkStart w:id="765" w:name="Tc_DRM4l_5ihEakIcvjdyr51Q_3_2"/>
      <w:bookmarkStart w:id="766" w:name="Tc_r8h0j45nR0eeaasZJyzYZw_2_14"/>
      <w:bookmarkStart w:id="767" w:name="Tc_Via-2VbFdU6-gr3w35TvDw_2_2"/>
      <w:bookmarkStart w:id="768" w:name="Tc_WRLAjCCbDkKNxvo_q3yvsg_1_2"/>
      <w:bookmarkStart w:id="769" w:name="_71dc334f_492e_433b_8770_a6089224ff49"/>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t>​</w:t>
      </w:r>
    </w:p>
    <w:p>
      <w:pPr>
        <w:pStyle w:val="TextBody"/>
        <w:bidi w:val="0"/>
        <w:spacing w:lineRule="auto" w:line="302" w:before="0" w:after="0"/>
        <w:ind w:left="0" w:right="0" w:hanging="0"/>
        <w:jc w:val="left"/>
        <w:rPr>
          <w:rFonts w:ascii="Helvetica;sans-serif" w:hAnsi="Helvetica;sans-serif"/>
          <w:sz w:val="20"/>
        </w:rPr>
      </w:pPr>
      <w:r>
        <w:rPr>
          <w:rFonts w:ascii="Arial;Helvetica;sans-serif" w:hAnsi="Arial;Helvetica;sans-serif"/>
          <w:i/>
          <w:sz w:val="20"/>
        </w:rPr>
        <w:t>NagraStar L.L.C.</w:t>
      </w:r>
      <w:r>
        <w:rPr>
          <w:rFonts w:ascii="Helvetica;sans-serif" w:hAnsi="Helvetica;sans-serif"/>
          <w:sz w:val="20"/>
        </w:rPr>
        <w:t xml:space="preserve"> </w:t>
      </w:r>
      <w:r>
        <w:rPr>
          <w:rFonts w:ascii="Arial;Helvetica;sans-serif" w:hAnsi="Arial;Helvetica;sans-serif"/>
          <w:sz w:val="20"/>
        </w:rPr>
        <w:t>We own a 50%</w:t>
      </w:r>
      <w:r>
        <w:rPr>
          <w:rFonts w:ascii="Helvetica;sans-serif" w:hAnsi="Helvetica;sans-serif"/>
          <w:sz w:val="20"/>
        </w:rPr>
        <w:t xml:space="preserve"> </w:t>
      </w:r>
      <w:r>
        <w:rPr>
          <w:rFonts w:ascii="Arial;Helvetica;sans-serif" w:hAnsi="Arial;Helvetica;sans-serif"/>
          <w:sz w:val="20"/>
        </w:rPr>
        <w:t>interest in NagraStar L.L.C. (“NagraStar”), a joint venture that is our primary provider of encryption and related security systems intended to assure that only authorized customers have access to our programming. The three</w:t>
      </w:r>
      <w:r>
        <w:rPr>
          <w:rFonts w:ascii="Helvetica;sans-serif" w:hAnsi="Helvetica;sans-serif"/>
          <w:sz w:val="20"/>
        </w:rPr>
        <w:t xml:space="preserve"> </w:t>
      </w:r>
      <w:r>
        <w:rPr>
          <w:rFonts w:ascii="Arial;Helvetica;sans-serif" w:hAnsi="Arial;Helvetica;sans-serif"/>
          <w:sz w:val="20"/>
        </w:rPr>
        <w:t>main technologies NagraStar provides to its customers are microchips, set-top box software and uplink computer systems. NagraStar also provides end-to-end platform security testing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Invidi Technologies Corporation</w:t>
      </w:r>
      <w:r>
        <w:rPr>
          <w:rFonts w:ascii="Arial;Helvetica;sans-serif" w:hAnsi="Arial;Helvetica;sans-serif"/>
          <w:sz w:val="20"/>
        </w:rPr>
        <w:t>. We own a 35%</w:t>
      </w:r>
      <w:r>
        <w:rPr>
          <w:rFonts w:ascii="Times New Roman;Times;serif" w:hAnsi="Times New Roman;Times;serif"/>
          <w:sz w:val="20"/>
        </w:rPr>
        <w:t xml:space="preserve"> </w:t>
      </w:r>
      <w:r>
        <w:rPr>
          <w:rFonts w:ascii="Arial;Helvetica;sans-serif" w:hAnsi="Arial;Helvetica;sans-serif"/>
          <w:sz w:val="20"/>
        </w:rPr>
        <w:t>interest in Invidi Technologies Corporation (“Invidi”), an entity 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pStyle w:val="TextBody"/>
        <w:bidi w:val="0"/>
        <w:spacing w:before="0" w:after="0"/>
        <w:ind w:left="0" w:right="0" w:hanging="0"/>
        <w:jc w:val="left"/>
        <w:rPr/>
      </w:pPr>
      <w:r>
        <w:rPr/>
        <w:t>​</w:t>
      </w:r>
    </w:p>
    <w:p>
      <w:pPr>
        <w:pStyle w:val="TextBody"/>
        <w:pBdr/>
        <w:bidi w:val="0"/>
        <w:spacing w:lineRule="auto" w:line="285" w:before="0" w:after="0"/>
        <w:ind w:left="0" w:right="0" w:hanging="14"/>
        <w:jc w:val="left"/>
        <w:rPr>
          <w:rFonts w:ascii="Arial;Helvetica;sans-serif" w:hAnsi="Arial;Helvetica;sans-serif"/>
          <w:sz w:val="20"/>
        </w:rPr>
      </w:pPr>
      <w:r>
        <w:rPr>
          <w:rFonts w:ascii="Arial;Helvetica;sans-serif" w:hAnsi="Arial;Helvetica;sans-serif"/>
          <w:sz w:val="20"/>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investments measured at fair value on a recurring basis were as follows:</w:t>
      </w:r>
    </w:p>
    <w:p>
      <w:pPr>
        <w:pStyle w:val="TextBody"/>
        <w:bidi w:val="0"/>
        <w:spacing w:before="0" w:after="0"/>
        <w:ind w:left="0" w:right="0" w:hanging="0"/>
        <w:jc w:val="left"/>
        <w:rPr/>
      </w:pPr>
      <w:r>
        <w:rPr/>
        <w:t>​</w:t>
      </w:r>
    </w:p>
    <w:tbl>
      <w:tblPr>
        <w:tblW w:w="10243" w:type="dxa"/>
        <w:jc w:val="left"/>
        <w:tblInd w:w="0" w:type="dxa"/>
        <w:tblLayout w:type="fixed"/>
        <w:tblCellMar>
          <w:top w:w="0" w:type="dxa"/>
          <w:left w:w="0" w:type="dxa"/>
          <w:bottom w:w="0" w:type="dxa"/>
          <w:right w:w="0" w:type="dxa"/>
        </w:tblCellMar>
      </w:tblPr>
      <w:tblGrid>
        <w:gridCol w:w="1036"/>
        <w:gridCol w:w="326"/>
        <w:gridCol w:w="196"/>
        <w:gridCol w:w="691"/>
        <w:gridCol w:w="326"/>
        <w:gridCol w:w="196"/>
        <w:gridCol w:w="691"/>
        <w:gridCol w:w="326"/>
        <w:gridCol w:w="239"/>
        <w:gridCol w:w="422"/>
        <w:gridCol w:w="326"/>
        <w:gridCol w:w="196"/>
        <w:gridCol w:w="691"/>
        <w:gridCol w:w="326"/>
        <w:gridCol w:w="196"/>
        <w:gridCol w:w="691"/>
        <w:gridCol w:w="326"/>
        <w:gridCol w:w="196"/>
        <w:gridCol w:w="601"/>
        <w:gridCol w:w="326"/>
        <w:gridCol w:w="239"/>
        <w:gridCol w:w="422"/>
        <w:gridCol w:w="326"/>
        <w:gridCol w:w="196"/>
        <w:gridCol w:w="736"/>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38785" cy="175260"/>
                      <wp:effectExtent l="0" t="0" r="0" b="0"/>
                      <wp:wrapNone/>
                      <wp:docPr id="96" name="Frame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4460" cy="175260"/>
                      <wp:effectExtent l="0" t="0" r="0" b="0"/>
                      <wp:wrapNone/>
                      <wp:docPr id="98" name="Frame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38785" cy="175260"/>
                      <wp:effectExtent l="0" t="0" r="0" b="0"/>
                      <wp:wrapNone/>
                      <wp:docPr id="99" name="Frame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1765" cy="175260"/>
                      <wp:effectExtent l="0" t="0" r="0" b="0"/>
                      <wp:wrapNone/>
                      <wp:docPr id="101" name="Frame10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67970" cy="175260"/>
                      <wp:effectExtent l="0" t="0" r="0" b="0"/>
                      <wp:wrapNone/>
                      <wp:docPr id="102" name="Frame102"/>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4" name="Frame1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38785" cy="175260"/>
                      <wp:effectExtent l="0" t="0" r="0" b="0"/>
                      <wp:wrapNone/>
                      <wp:docPr id="105" name="Frame1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7" name="Frame1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8785" cy="175260"/>
                      <wp:effectExtent l="0" t="0" r="0" b="0"/>
                      <wp:wrapNone/>
                      <wp:docPr id="108" name="Frame1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10"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81635" cy="175260"/>
                      <wp:effectExtent l="0" t="0" r="0" b="0"/>
                      <wp:wrapNone/>
                      <wp:docPr id="111" name="Frame11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1765" cy="175260"/>
                      <wp:effectExtent l="0" t="0" r="0" b="0"/>
                      <wp:wrapNone/>
                      <wp:docPr id="113" name="Frame11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67970" cy="175260"/>
                      <wp:effectExtent l="0" t="0" r="0" b="0"/>
                      <wp:wrapNone/>
                      <wp:docPr id="114" name="Frame11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24460" cy="175260"/>
                      <wp:effectExtent l="0" t="0" r="0" b="0"/>
                      <wp:wrapNone/>
                      <wp:docPr id="116" name="Frame1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67360" cy="175260"/>
                      <wp:effectExtent l="0" t="0" r="0" b="0"/>
                      <wp:wrapNone/>
                      <wp:docPr id="117" name="Frame11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81" w:type="dxa"/>
            <w:gridSpan w:val="23"/>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As of</w:t>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30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June 30, 2025</w:t>
            </w:r>
          </w:p>
        </w:tc>
        <w:tc>
          <w:tcPr>
            <w:tcW w:w="326" w:type="dxa"/>
            <w:tcBorders/>
            <w:vAlign w:val="center"/>
          </w:tcPr>
          <w:p>
            <w:pPr>
              <w:pStyle w:val="TableContents"/>
              <w:bidi w:val="0"/>
              <w:spacing w:before="0" w:after="1"/>
              <w:ind w:left="0" w:right="0" w:hanging="0"/>
              <w:jc w:val="center"/>
              <w:rPr/>
            </w:pPr>
            <w:r>
              <w:rPr/>
              <w:t>​</w:t>
            </w:r>
          </w:p>
        </w:tc>
        <w:tc>
          <w:tcPr>
            <w:tcW w:w="425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December 31, 2024</w:t>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1</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2</w:t>
            </w:r>
          </w:p>
        </w:tc>
        <w:tc>
          <w:tcPr>
            <w:tcW w:w="326" w:type="dxa"/>
            <w:tcBorders/>
            <w:vAlign w:val="center"/>
          </w:tcPr>
          <w:p>
            <w:pPr>
              <w:pStyle w:val="TableContents"/>
              <w:bidi w:val="0"/>
              <w:spacing w:before="0" w:after="1"/>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3</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Total</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1</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2</w:t>
            </w:r>
          </w:p>
        </w:tc>
        <w:tc>
          <w:tcPr>
            <w:tcW w:w="326" w:type="dxa"/>
            <w:tcBorders/>
            <w:vAlign w:val="center"/>
          </w:tcPr>
          <w:p>
            <w:pPr>
              <w:pStyle w:val="TableContents"/>
              <w:bidi w:val="0"/>
              <w:spacing w:before="0" w:after="1"/>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Level 3</w:t>
            </w:r>
          </w:p>
        </w:tc>
        <w:tc>
          <w:tcPr>
            <w:tcW w:w="326" w:type="dxa"/>
            <w:tcBorders/>
            <w:vAlign w:val="center"/>
          </w:tcPr>
          <w:p>
            <w:pPr>
              <w:pStyle w:val="TableContents"/>
              <w:bidi w:val="0"/>
              <w:spacing w:before="0" w:after="1"/>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7"/>
              </w:rPr>
            </w:pPr>
            <w:r>
              <w:rPr>
                <w:rFonts w:ascii="Arial;Helvetica;sans-serif" w:hAnsi="Arial;Helvetica;sans-serif"/>
                <w:b/>
                <w:sz w:val="17"/>
              </w:rPr>
              <w:t>Total</w:t>
            </w:r>
          </w:p>
        </w:tc>
      </w:tr>
      <w:tr>
        <w:trPr/>
        <w:tc>
          <w:tcPr>
            <w:tcW w:w="10243"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881" w:type="dxa"/>
            <w:gridSpan w:val="23"/>
            <w:tcBorders/>
            <w:vAlign w:val="center"/>
          </w:tcPr>
          <w:p>
            <w:pPr>
              <w:pStyle w:val="TableContents"/>
              <w:bidi w:val="0"/>
              <w:spacing w:before="0" w:after="1"/>
              <w:ind w:left="0" w:right="0" w:hanging="0"/>
              <w:jc w:val="center"/>
              <w:rPr>
                <w:rFonts w:ascii="Arial;Helvetica;sans-serif" w:hAnsi="Arial;Helvetica;sans-serif"/>
                <w:sz w:val="17"/>
              </w:rPr>
            </w:pPr>
            <w:r>
              <w:rPr>
                <w:rFonts w:ascii="Arial;Helvetica;sans-serif" w:hAnsi="Arial;Helvetica;sans-serif"/>
                <w:sz w:val="17"/>
              </w:rPr>
              <w:t>(In thousands)</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b/>
                <w:sz w:val="17"/>
              </w:rPr>
            </w:pPr>
            <w:r>
              <w:rPr>
                <w:rFonts w:ascii="Arial;Helvetica;sans-serif" w:hAnsi="Arial;Helvetica;sans-serif"/>
                <w:b/>
                <w:sz w:val="17"/>
              </w:rPr>
              <w:t>Cash and cash equivalents (including restricted):</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42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42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 xml:space="preserve">Cash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82,969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82,969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124,360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124,360</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462,757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408,001</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870,758</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463,394</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40,907</w:t>
            </w:r>
          </w:p>
        </w:tc>
        <w:tc>
          <w:tcPr>
            <w:tcW w:w="326" w:type="dxa"/>
            <w:tcBorders/>
            <w:vAlign w:val="center"/>
          </w:tcPr>
          <w:p>
            <w:pPr>
              <w:pStyle w:val="TableContents"/>
              <w:bidi w:val="0"/>
              <w:spacing w:before="0" w:after="1"/>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504,301</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b/>
                <w:sz w:val="17"/>
              </w:rPr>
            </w:pPr>
            <w:r>
              <w:rPr>
                <w:rFonts w:ascii="Arial;Helvetica;sans-serif" w:hAnsi="Arial;Helvetica;sans-serif"/>
                <w:b/>
                <w:sz w:val="17"/>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545,726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408,001</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953,727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587,754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40,907</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628,661</w:t>
            </w:r>
          </w:p>
        </w:tc>
      </w:tr>
      <w:tr>
        <w:trPr/>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b/>
                <w:sz w:val="17"/>
              </w:rPr>
            </w:pPr>
            <w:r>
              <w:rPr>
                <w:rFonts w:ascii="Arial;Helvetica;sans-serif" w:hAnsi="Arial;Helvetica;sans-serif"/>
                <w:b/>
                <w:sz w:val="17"/>
              </w:rPr>
              <w:t>Debt securities (including restricted):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U.S. Treasury and agency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5,471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5,471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736" w:type="dxa"/>
            <w:tcBorders/>
            <w:vAlign w:val="center"/>
          </w:tcPr>
          <w:p>
            <w:pPr>
              <w:pStyle w:val="TableContents"/>
              <w:bidi w:val="0"/>
              <w:spacing w:before="0" w:after="1"/>
              <w:ind w:left="0" w:right="0" w:hanging="0"/>
              <w:jc w:val="right"/>
              <w:rPr/>
            </w:pPr>
            <w:r>
              <w:rPr/>
              <w:t>—</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Commercial paper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10,069</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10,069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Corporate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b/>
                <w:sz w:val="17"/>
              </w:rPr>
            </w:pPr>
            <w:r>
              <w:rPr>
                <w:rFonts w:ascii="Arial;Helvetica;sans-serif" w:hAnsi="Arial;Helvetica;sans-serif"/>
                <w:b/>
                <w:sz w:val="17"/>
              </w:rPr>
              <w:t>Total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5,471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10,075</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7"/>
              </w:rPr>
            </w:pPr>
            <w:r>
              <w:rPr>
                <w:rFonts w:ascii="Arial;Helvetica;sans-serif" w:hAnsi="Arial;Helvetica;sans-serif"/>
                <w:sz w:val="17"/>
              </w:rPr>
              <w:t>15,546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7"/>
              </w:rPr>
            </w:pPr>
            <w:r>
              <w:rPr>
                <w:rFonts w:ascii="Arial;Helvetica;sans-serif" w:hAnsi="Arial;Helvetica;sans-serif"/>
                <w:sz w:val="17"/>
              </w:rPr>
              <w:t>$</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0"/>
        </w:rPr>
      </w:pPr>
      <w:r>
        <w:rPr>
          <w:rFonts w:ascii="Arial;Helvetica;sans-serif" w:hAnsi="Arial;Helvetica;sans-serif"/>
          <w:sz w:val="20"/>
        </w:rPr>
        <w:t>As of June 30, 2025, restricted and non-restricted marketable investment securities included debt securities of $16</w:t>
      </w:r>
      <w:r>
        <w:rPr>
          <w:rFonts w:ascii="Helvetica;sans-serif" w:hAnsi="Helvetica;sans-serif"/>
          <w:sz w:val="20"/>
        </w:rPr>
        <w:t xml:space="preserve"> </w:t>
      </w:r>
      <w:r>
        <w:rPr>
          <w:rFonts w:ascii="Arial;Helvetica;sans-serif" w:hAnsi="Arial;Helvetica;sans-serif"/>
          <w:sz w:val="20"/>
        </w:rPr>
        <w:t>million with contractual maturities within one year. Actual maturities may differ from contractual maturities as a result of our ability to sell these securities prior to maturity.</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770" w:name="Tc_iBduNkGo8U2AuQ-I0ZUkVQ_7_11"/>
      <w:bookmarkStart w:id="771" w:name="Tc_PSmSluepIEOK3gWYJ6fCEg_7_8"/>
      <w:bookmarkStart w:id="772" w:name="Tc_ytSbR7485kSVeC3cn3MMRw_7_5"/>
      <w:bookmarkStart w:id="773" w:name="Tc_XgHnu5WKQU-LNmcbQ1n1OA_7_2"/>
      <w:bookmarkStart w:id="774" w:name="Tc_ejXinG_V10OHUPAZRdoaBA_7_0"/>
      <w:bookmarkStart w:id="775" w:name="Tc_2g-WmzveM0S7Hmw-mvsqwA_6_0"/>
      <w:bookmarkStart w:id="776" w:name="Tc_CdXqvolmz0q7myEQBghF8g_5_11"/>
      <w:bookmarkStart w:id="777" w:name="Tc_M8vhEk5yE0eGsdkMrpz0JQ_5_8"/>
      <w:bookmarkStart w:id="778" w:name="Tc_9B4-YRz7pUOMIwzi6C0xew_5_5"/>
      <w:bookmarkStart w:id="779" w:name="Tc_T20LyXV0ckqdwfrVAWQjJg_5_2"/>
      <w:bookmarkStart w:id="780" w:name="Tc_Ye7Yc_VGOkOg-L-CeeBQWA_5_0"/>
      <w:bookmarkStart w:id="781" w:name="Tc_J3KCH-rzcUWa8sJm26WmFw_4_2"/>
      <w:bookmarkStart w:id="782" w:name="Tc_jEBzYX2Gf06u4ZA7LMRhGg_3_11"/>
      <w:bookmarkStart w:id="783" w:name="Tc_tdPTTLWhIUGqCBB9WQI-zQ_3_8"/>
      <w:bookmarkStart w:id="784" w:name="Tc_CZKMx_WPSkuw3iHCbrtHXg_3_5"/>
      <w:bookmarkStart w:id="785" w:name="Tc_gQXYzbAg4U6Gq6Rhb6Ozyw_3_2"/>
      <w:bookmarkStart w:id="786" w:name="Tc_ST8Cr1_Q8Ea5b8dj07eDrA_3_0"/>
      <w:bookmarkStart w:id="787" w:name="Tc_4RXBiiSJqEm92qFhUe9kFw_2_8"/>
      <w:bookmarkStart w:id="788" w:name="Tc_YE5c2h95O0uJE3p1GSjxlA_2_2"/>
      <w:bookmarkStart w:id="789" w:name="Tc_Qx1gWdG9qUm7YhUMtaGWfg_1_8"/>
      <w:bookmarkStart w:id="790" w:name="Tc_bCyUJnU5o0-LCBo6lO3v_Q_1_2"/>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Gains and Losses on Sales and Changes in Carrying Amounts of Investments and Other</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r>
        <w:rPr>
          <w:rFonts w:ascii="Arial;Helvetica;sans-serif" w:hAnsi="Arial;Helvetica;sans-serif"/>
          <w:sz w:val="20"/>
        </w:rPr>
        <w:t>Other, net” within “Other Income (Expense)” included on our Condensed Consolidated Statements of Operations and Comprehensive Income (Loss) is as follows:</w:t>
      </w:r>
    </w:p>
    <w:p>
      <w:pPr>
        <w:pStyle w:val="TextBody"/>
        <w:bidi w:val="0"/>
        <w:spacing w:before="0" w:after="0"/>
        <w:ind w:left="0" w:right="0" w:hanging="0"/>
        <w:jc w:val="left"/>
        <w:rPr/>
      </w:pPr>
      <w:r>
        <w:rPr/>
        <w:t>​</w:t>
      </w:r>
    </w:p>
    <w:tbl>
      <w:tblPr>
        <w:tblW w:w="8547" w:type="dxa"/>
        <w:jc w:val="left"/>
        <w:tblInd w:w="0" w:type="dxa"/>
        <w:tblLayout w:type="fixed"/>
        <w:tblCellMar>
          <w:top w:w="0" w:type="dxa"/>
          <w:left w:w="0" w:type="dxa"/>
          <w:bottom w:w="0" w:type="dxa"/>
          <w:right w:w="0" w:type="dxa"/>
        </w:tblCellMar>
      </w:tblPr>
      <w:tblGrid>
        <w:gridCol w:w="3196"/>
        <w:gridCol w:w="326"/>
        <w:gridCol w:w="273"/>
        <w:gridCol w:w="546"/>
        <w:gridCol w:w="423"/>
        <w:gridCol w:w="273"/>
        <w:gridCol w:w="1033"/>
        <w:gridCol w:w="109"/>
        <w:gridCol w:w="234"/>
        <w:gridCol w:w="602"/>
        <w:gridCol w:w="362"/>
        <w:gridCol w:w="234"/>
        <w:gridCol w:w="93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29460" cy="175260"/>
                      <wp:effectExtent l="0" t="0" r="0" b="0"/>
                      <wp:wrapNone/>
                      <wp:docPr id="118" name="Frame118"/>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73355" cy="175260"/>
                      <wp:effectExtent l="0" t="0" r="0" b="0"/>
                      <wp:wrapNone/>
                      <wp:docPr id="120" name="Frame12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46710" cy="175260"/>
                      <wp:effectExtent l="0" t="0" r="0" b="0"/>
                      <wp:wrapNone/>
                      <wp:docPr id="121" name="Frame121"/>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68605" cy="175260"/>
                      <wp:effectExtent l="0" t="0" r="0" b="0"/>
                      <wp:wrapNone/>
                      <wp:docPr id="122" name="Frame122"/>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3355" cy="175260"/>
                      <wp:effectExtent l="0" t="0" r="0" b="0"/>
                      <wp:wrapNone/>
                      <wp:docPr id="123" name="Frame123"/>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55955" cy="175260"/>
                      <wp:effectExtent l="0" t="0" r="0" b="0"/>
                      <wp:wrapNone/>
                      <wp:docPr id="124" name="Frame124"/>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8590" cy="175260"/>
                      <wp:effectExtent l="0" t="0" r="0" b="0"/>
                      <wp:wrapNone/>
                      <wp:docPr id="126" name="Frame126"/>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82270" cy="175260"/>
                      <wp:effectExtent l="0" t="0" r="0" b="0"/>
                      <wp:wrapNone/>
                      <wp:docPr id="127" name="Frame127"/>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29870" cy="175260"/>
                      <wp:effectExtent l="0" t="0" r="0" b="0"/>
                      <wp:wrapNone/>
                      <wp:docPr id="128" name="Frame128"/>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8590" cy="175260"/>
                      <wp:effectExtent l="0" t="0" r="0" b="0"/>
                      <wp:wrapNone/>
                      <wp:docPr id="129" name="Frame129"/>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94360" cy="175260"/>
                      <wp:effectExtent l="0" t="0" r="0" b="0"/>
                      <wp:wrapNone/>
                      <wp:docPr id="130" name="Frame130"/>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36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09" w:type="dxa"/>
            <w:tcBorders/>
            <w:vAlign w:val="center"/>
          </w:tcPr>
          <w:p>
            <w:pPr>
              <w:pStyle w:val="TableContents"/>
              <w:bidi w:val="0"/>
              <w:spacing w:before="0" w:after="0"/>
              <w:ind w:left="0" w:right="0" w:hanging="0"/>
              <w:jc w:val="left"/>
              <w:rPr/>
            </w:pPr>
            <w:r>
              <w:rPr/>
              <w:t>​</w:t>
            </w:r>
          </w:p>
        </w:tc>
        <w:tc>
          <w:tcPr>
            <w:tcW w:w="236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net:</w:t>
            </w:r>
          </w:p>
        </w:tc>
        <w:tc>
          <w:tcPr>
            <w:tcW w:w="326" w:type="dxa"/>
            <w:tcBorders/>
            <w:vAlign w:val="center"/>
          </w:tcPr>
          <w:p>
            <w:pPr>
              <w:pStyle w:val="TableContents"/>
              <w:bidi w:val="0"/>
              <w:spacing w:before="0" w:after="0"/>
              <w:ind w:left="0" w:right="0" w:hanging="0"/>
              <w:jc w:val="left"/>
              <w:rPr/>
            </w:pPr>
            <w:r>
              <w:rPr/>
              <w:t>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423"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2"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854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5025"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Equity in earnings (losses) of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w:t>
            </w:r>
          </w:p>
        </w:tc>
        <w:tc>
          <w:tcPr>
            <w:tcW w:w="423"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(64,204)</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(374)</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(64,912)</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w:t>
            </w:r>
          </w:p>
        </w:tc>
        <w:tc>
          <w:tcPr>
            <w:tcW w:w="423"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w:t>
            </w:r>
          </w:p>
        </w:tc>
        <w:tc>
          <w:tcPr>
            <w:tcW w:w="109"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w:t>
            </w:r>
          </w:p>
        </w:tc>
        <w:tc>
          <w:tcPr>
            <w:tcW w:w="362"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w:t>
            </w:r>
          </w:p>
        </w:tc>
        <w:tc>
          <w:tcPr>
            <w:tcW w:w="423"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(64,296)</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(64,865)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bookmarkStart w:id="791" w:name="Tc_SAwGqMlrOE6Sl3roNgEehQ_8_5"/>
      <w:bookmarkStart w:id="792" w:name="Tc_rs_DYF_KtkKxql08g_Nm0w_8_2"/>
      <w:bookmarkStart w:id="793" w:name="Tc_EpS6t-3vGEOgkuFaDgOf8w_8_0"/>
      <w:bookmarkStart w:id="794" w:name="Tc_Xk3lA7joOUipkLkhIgwJ3w_7_0"/>
      <w:bookmarkStart w:id="795" w:name="Tc_gu7t4Ya6xUiQbFidv0-AFA_6_0"/>
      <w:bookmarkStart w:id="796" w:name="Tc_jmHOPNpeVUKZL0_xB100dg_5_5"/>
      <w:bookmarkStart w:id="797" w:name="Tc_sdWMvWcEXkeK-NTc7uYqsQ_5_2"/>
      <w:bookmarkStart w:id="798" w:name="Tc_YNMHEZBvME-da10txAmzwg_5_0"/>
      <w:bookmarkStart w:id="799" w:name="Tc_b9JXikH8bkyqiQ5oUx8kjA_4_2"/>
      <w:bookmarkStart w:id="800" w:name="Tc_-_3jjq9IZ02ev5Nn88SLcg_3_5"/>
      <w:bookmarkStart w:id="801" w:name="Tc_aYp_dOpOa0yaPKeg6L_psg_3_2"/>
      <w:bookmarkStart w:id="802" w:name="Tc_3FgOEeUO7ESNwqk8Irye3Q_2_5"/>
      <w:bookmarkStart w:id="803" w:name="Tc_EF_WGrHgRkqbrEXIB1evTA_2_2"/>
      <w:bookmarkStart w:id="804" w:name="Tc_TN7uCeNGcUCXEBLh96W2eQ_1_2"/>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5.</w:t>
      </w:r>
      <w:r>
        <w:rPr>
          <w:rFonts w:ascii="Arial;Helvetica;sans-serif" w:hAnsi="Arial;Helvetica;sans-serif"/>
          <w:b/>
          <w:sz w:val="20"/>
        </w:rPr>
        <w:t>Inventory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Inventory consisted of the following:</w:t>
      </w:r>
    </w:p>
    <w:p>
      <w:pPr>
        <w:pStyle w:val="TextBody"/>
        <w:bidi w:val="0"/>
        <w:spacing w:before="0" w:after="0"/>
        <w:ind w:left="0" w:right="0" w:hanging="0"/>
        <w:jc w:val="left"/>
        <w:rPr/>
      </w:pPr>
      <w:r>
        <w:rPr/>
        <w:t>​</w:t>
      </w:r>
    </w:p>
    <w:tbl>
      <w:tblPr>
        <w:tblW w:w="6100" w:type="dxa"/>
        <w:jc w:val="left"/>
        <w:tblInd w:w="0" w:type="dxa"/>
        <w:tblLayout w:type="fixed"/>
        <w:tblCellMar>
          <w:top w:w="0" w:type="dxa"/>
          <w:left w:w="0" w:type="dxa"/>
          <w:bottom w:w="0" w:type="dxa"/>
          <w:right w:w="0" w:type="dxa"/>
        </w:tblCellMar>
      </w:tblPr>
      <w:tblGrid>
        <w:gridCol w:w="3061"/>
        <w:gridCol w:w="326"/>
        <w:gridCol w:w="211"/>
        <w:gridCol w:w="781"/>
        <w:gridCol w:w="326"/>
        <w:gridCol w:w="268"/>
        <w:gridCol w:w="1127"/>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43735" cy="175260"/>
                      <wp:effectExtent l="0" t="0" r="0" b="0"/>
                      <wp:wrapNone/>
                      <wp:docPr id="131" name="Frame131"/>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5935" cy="175260"/>
                      <wp:effectExtent l="0" t="0" r="0" b="0"/>
                      <wp:wrapNone/>
                      <wp:docPr id="134"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0180" cy="175260"/>
                      <wp:effectExtent l="0" t="0" r="0" b="0"/>
                      <wp:wrapNone/>
                      <wp:docPr id="136" name="Frame13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15645" cy="175260"/>
                      <wp:effectExtent l="0" t="0" r="0" b="0"/>
                      <wp:wrapNone/>
                      <wp:docPr id="137" name="Frame137"/>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 </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26" w:type="dxa"/>
            <w:tcBorders/>
            <w:vAlign w:val="center"/>
          </w:tcPr>
          <w:p>
            <w:pPr>
              <w:pStyle w:val="TableContents"/>
              <w:bidi w:val="0"/>
              <w:spacing w:before="0" w:after="0"/>
              <w:ind w:left="0" w:right="0" w:hanging="0"/>
              <w:jc w:val="center"/>
              <w:rPr/>
            </w:pPr>
            <w:r>
              <w:rPr/>
              <w:t>    </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center"/>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1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3"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Finished goods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111,295</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149,172</w:t>
            </w:r>
          </w:p>
        </w:tc>
      </w:tr>
      <w:tr>
        <w:trPr/>
        <w:tc>
          <w:tcPr>
            <w:tcW w:w="30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Work-in-process and service repairs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24,296</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27,415</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5,829</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6,615</w:t>
            </w:r>
          </w:p>
        </w:tc>
      </w:tr>
      <w:tr>
        <w:trPr/>
        <w:tc>
          <w:tcPr>
            <w:tcW w:w="306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inventory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141,420</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183,202</w:t>
            </w:r>
          </w:p>
        </w:tc>
      </w:tr>
    </w:tbl>
    <w:p>
      <w:pPr>
        <w:pStyle w:val="TextBody"/>
        <w:bidi w:val="0"/>
        <w:spacing w:lineRule="auto" w:line="300"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pBdr/>
        <w:bidi w:val="0"/>
        <w:spacing w:before="0" w:after="0"/>
        <w:ind w:left="0" w:right="0" w:hanging="360"/>
        <w:jc w:val="left"/>
        <w:rPr/>
      </w:pPr>
      <w:bookmarkStart w:id="805" w:name="Tc_F8Tcvaqf90iHXj0swpEPqQ_9_11"/>
      <w:bookmarkStart w:id="806" w:name="Tc_X8_NNLnSukSuy57g6oHNdA_9_8"/>
      <w:bookmarkStart w:id="807" w:name="Tc_iJgMfVJCCUaNuFzX9RLNEg_9_5"/>
      <w:bookmarkStart w:id="808" w:name="Tc_Z-JEJgsTf0SZgoIHYxPDtQ_9_2"/>
      <w:bookmarkStart w:id="809" w:name="Tc_ug9mJLuuJUuTb4LMZD9eMw_9_0"/>
      <w:bookmarkStart w:id="810" w:name="Tc_XVgB9S2tcka_0EHHUz0SbA_8_0"/>
      <w:bookmarkStart w:id="811" w:name="Tc_l6bpG0pwWkWOlPLnXNTW6g_7_0"/>
      <w:bookmarkStart w:id="812" w:name="Tc_M7L45AasR0ilotBw1wRnNg_6_0"/>
      <w:bookmarkStart w:id="813" w:name="Tc_ert_dMLIeEG9wzGDjNKv4A_5_11"/>
      <w:bookmarkStart w:id="814" w:name="Tc_XrB-YRY1YEWT7in2zWQKsw_5_8"/>
      <w:bookmarkStart w:id="815" w:name="Tc_D2UhfdLt2Eq47Mp7H98LiA_5_5"/>
      <w:bookmarkStart w:id="816" w:name="Tc_Wum3_GNYFEyLROnQfD-Iaw_5_2"/>
      <w:bookmarkStart w:id="817" w:name="Tc_90MECWYRwUu8typmqzozYQ_5_0"/>
      <w:bookmarkStart w:id="818" w:name="Tc_j_HMPR7PSUWNGi3F81_HtQ_4_2"/>
      <w:bookmarkStart w:id="819" w:name="Tc_Q7KN_l58mUirkQ3dnMGOvA_3_11"/>
      <w:bookmarkStart w:id="820" w:name="Tc_Yjjpi__Nc0qkPfb1bxp_Yw_3_8"/>
      <w:bookmarkStart w:id="821" w:name="Tc_-GV9p7R0gkCYpXoibCFfoQ_3_5"/>
      <w:bookmarkStart w:id="822" w:name="Tc_j1YG9-KfH0KFK89bNXU40Q_3_2"/>
      <w:bookmarkStart w:id="823" w:name="Tc_WuCShQUYRU-OlSJm2ghIJA_2_8"/>
      <w:bookmarkStart w:id="824" w:name="Tc_1-Z-Nax2JU2u5h8-nIsBLA_2_2"/>
      <w:bookmarkStart w:id="825" w:name="Tc_jo8KcsWk70KpgHRVQvHwsQ_1_8"/>
      <w:bookmarkStart w:id="826" w:name="Tc_AWEh-wsYIUyDf54eAYVK4w_1_2"/>
      <w:bookmarkStart w:id="827" w:name="_19d0e551_0b44_4cfd_ad18_c3c7ee01aff8"/>
      <w:bookmarkStart w:id="828" w:name="Tc_187NY3cH1EqqErdOdLdL4w_15_9"/>
      <w:bookmarkStart w:id="829" w:name="Tc_XSPjH40UaUm2qFQxUpDeiw_15_6"/>
      <w:bookmarkStart w:id="830" w:name="Tc_zsU_If8VGUq8pgJ17m_4Cg_15_0"/>
      <w:bookmarkStart w:id="831" w:name="Tc_vjtOfQvU-U-2Yo6zZwrAgQ_14_0"/>
      <w:bookmarkStart w:id="832" w:name="Tc_Dnlu5iXMgU6Jc3FUX1YE1w_13_0"/>
      <w:bookmarkStart w:id="833" w:name="Tc_TNWiBS8F0kmWIhQzLzsXLg_12_3"/>
      <w:bookmarkStart w:id="834" w:name="Tc_b0VsjOPrBkaIb_LUUUQaog_12_0"/>
      <w:bookmarkStart w:id="835" w:name="Tc_KOhp7CEDs0m-TSVR-68GQQ_11_3"/>
      <w:bookmarkStart w:id="836" w:name="Tc_qnd8Co-TD0S9SRJ5pvsfGw_11_0"/>
      <w:bookmarkStart w:id="837" w:name="Tc_8aLCSJRDkUuA09koJ2mi-w_10_3"/>
      <w:bookmarkStart w:id="838" w:name="Tc_chm8eUNO5UWypKQDCx-C-A_10_0"/>
      <w:bookmarkStart w:id="839" w:name="Tc_xlFEYM6pC0Kq9PW4sZnVyQ_9_3"/>
      <w:bookmarkStart w:id="840" w:name="Tc_2FRII8IsWEuo7qD76yjMtA_9_0"/>
      <w:bookmarkStart w:id="841" w:name="Tc_JGaYCvEA8kiTJhSWkKuidQ_8_3"/>
      <w:bookmarkStart w:id="842" w:name="Tc_WLz2lMIalEaYE0cdsuRSWA_8_0"/>
      <w:bookmarkStart w:id="843" w:name="Tc_SRD4LLFX2EK55nAovd5VeA_7_0"/>
      <w:bookmarkStart w:id="844" w:name="Tc_p_wRbqBNxk-2IhHebp0vHQ_6_0"/>
      <w:bookmarkStart w:id="845" w:name="Tc_XQqoi9bUe0Ohz6wQid5e4A_5_9"/>
      <w:bookmarkStart w:id="846" w:name="Tc_Ojo8hfmRJEC46ygZzw6O_A_5_6"/>
      <w:bookmarkStart w:id="847" w:name="Tc__E17dUzYJkqr8qkxviR1wQ_5_3"/>
      <w:bookmarkStart w:id="848" w:name="Tc_OQEggl4g_EOti3o0ImTk-w_5_0"/>
      <w:bookmarkStart w:id="849" w:name="Tc_6vCDBbDGU0W8wTHvwvIo4g_4_6"/>
      <w:bookmarkStart w:id="850" w:name="Tc_qZcLXwZHJ0WEUrd6cKt_Qw_3_9"/>
      <w:bookmarkStart w:id="851" w:name="Tc_91YV-LarHEWyZhVqFGBjFw_3_6"/>
      <w:bookmarkStart w:id="852" w:name="Tc_hm989MKC1Embp-ZBcJukYw_3_2"/>
      <w:bookmarkStart w:id="853" w:name="Tc_pnAW2r4xp0-QSuk046n2Ag_2_9"/>
      <w:bookmarkStart w:id="854" w:name="Tc_Zz4Cbojf4E6Ejr3r6fXByg_2_6"/>
      <w:bookmarkStart w:id="855" w:name="Tc_0Hi4VD-yD0SsvKX_nPaozg_2_2"/>
      <w:bookmarkStart w:id="856" w:name="Tc_LPFRmNmiuUSqkjewFZXA3w_1_6"/>
      <w:bookmarkStart w:id="857" w:name="Tc_3uCyPYz77EyU15FXK9NpEQ_1_2"/>
      <w:bookmarkStart w:id="858" w:name="_82be9fc0_196a_4116_9bc5_5790eed93992"/>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t>​</w:t>
      </w:r>
    </w:p>
    <w:tbl>
      <w:tblPr>
        <w:tblW w:w="2717" w:type="dxa"/>
        <w:jc w:val="left"/>
        <w:tblInd w:w="0" w:type="dxa"/>
        <w:tblLayout w:type="fixed"/>
        <w:tblCellMar>
          <w:top w:w="0" w:type="dxa"/>
          <w:left w:w="0" w:type="dxa"/>
          <w:bottom w:w="0" w:type="dxa"/>
          <w:right w:w="0" w:type="dxa"/>
        </w:tblCellMar>
      </w:tblPr>
      <w:tblGrid>
        <w:gridCol w:w="286"/>
        <w:gridCol w:w="243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6.</w:t>
            </w:r>
          </w:p>
        </w:tc>
        <w:tc>
          <w:tcPr>
            <w:tcW w:w="243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Property and Equipment</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Property and equipment consisted of the following:</w:t>
      </w:r>
    </w:p>
    <w:p>
      <w:pPr>
        <w:pStyle w:val="TextBody"/>
        <w:bidi w:val="0"/>
        <w:spacing w:before="0" w:after="0"/>
        <w:ind w:left="0" w:right="0" w:hanging="0"/>
        <w:jc w:val="left"/>
        <w:rPr/>
      </w:pPr>
      <w:r>
        <w:rPr/>
        <w:t>​</w:t>
      </w:r>
    </w:p>
    <w:tbl>
      <w:tblPr>
        <w:tblW w:w="7703" w:type="dxa"/>
        <w:jc w:val="left"/>
        <w:tblInd w:w="0" w:type="dxa"/>
        <w:tblLayout w:type="fixed"/>
        <w:tblCellMar>
          <w:top w:w="0" w:type="dxa"/>
          <w:left w:w="0" w:type="dxa"/>
          <w:bottom w:w="0" w:type="dxa"/>
          <w:right w:w="0" w:type="dxa"/>
        </w:tblCellMar>
      </w:tblPr>
      <w:tblGrid>
        <w:gridCol w:w="3361"/>
        <w:gridCol w:w="326"/>
        <w:gridCol w:w="285"/>
        <w:gridCol w:w="427"/>
        <w:gridCol w:w="429"/>
        <w:gridCol w:w="109"/>
        <w:gridCol w:w="211"/>
        <w:gridCol w:w="1051"/>
        <w:gridCol w:w="109"/>
        <w:gridCol w:w="225"/>
        <w:gridCol w:w="1170"/>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34235" cy="175260"/>
                      <wp:effectExtent l="0" t="0" r="0" b="0"/>
                      <wp:wrapNone/>
                      <wp:docPr id="138" name="Frame138"/>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80975" cy="175260"/>
                      <wp:effectExtent l="0" t="0" r="0" b="0"/>
                      <wp:wrapNone/>
                      <wp:docPr id="140" name="Frame14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71145" cy="175260"/>
                      <wp:effectExtent l="0" t="0" r="0" b="0"/>
                      <wp:wrapNone/>
                      <wp:docPr id="141" name="Frame141"/>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72415" cy="175260"/>
                      <wp:effectExtent l="0" t="0" r="0" b="0"/>
                      <wp:wrapNone/>
                      <wp:docPr id="142" name="Frame142"/>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67385" cy="175260"/>
                      <wp:effectExtent l="0" t="0" r="0" b="0"/>
                      <wp:wrapNone/>
                      <wp:docPr id="145" name="Frame14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2875" cy="175260"/>
                      <wp:effectExtent l="0" t="0" r="0" b="0"/>
                      <wp:wrapNone/>
                      <wp:docPr id="147" name="Frame14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42950" cy="175260"/>
                      <wp:effectExtent l="0" t="0" r="0" b="0"/>
                      <wp:wrapNone/>
                      <wp:docPr id="148" name="Frame148"/>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Depreciable</w:t>
            </w:r>
          </w:p>
        </w:tc>
        <w:tc>
          <w:tcPr>
            <w:tcW w:w="109" w:type="dxa"/>
            <w:tcBorders/>
            <w:vAlign w:val="center"/>
          </w:tcPr>
          <w:p>
            <w:pPr>
              <w:pStyle w:val="TableContents"/>
              <w:bidi w:val="0"/>
              <w:spacing w:before="0" w:after="0"/>
              <w:ind w:left="0" w:right="0" w:hanging="0"/>
              <w:jc w:val="center"/>
              <w:rPr/>
            </w:pPr>
            <w:r>
              <w:rPr/>
              <w:t>​</w:t>
            </w:r>
          </w:p>
        </w:tc>
        <w:tc>
          <w:tcPr>
            <w:tcW w:w="276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As of </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Life</w:t>
            </w:r>
          </w:p>
        </w:tc>
        <w:tc>
          <w:tcPr>
            <w:tcW w:w="109" w:type="dxa"/>
            <w:tcBorders/>
            <w:vAlign w:val="center"/>
          </w:tcPr>
          <w:p>
            <w:pPr>
              <w:pStyle w:val="TableContents"/>
              <w:bidi w:val="0"/>
              <w:spacing w:before="0" w:after="0"/>
              <w:ind w:left="0" w:right="0" w:hanging="0"/>
              <w:jc w:val="center"/>
              <w:rPr/>
            </w:pPr>
            <w:r>
              <w:rPr/>
              <w:t>​</w:t>
            </w:r>
          </w:p>
        </w:tc>
        <w:tc>
          <w:tcPr>
            <w:tcW w:w="126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(In Years)</w:t>
            </w:r>
          </w:p>
        </w:tc>
        <w:tc>
          <w:tcPr>
            <w:tcW w:w="109"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7703"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pPr>
            <w:r>
              <w:rPr/>
              <w:t>​</w:t>
            </w:r>
          </w:p>
        </w:tc>
        <w:tc>
          <w:tcPr>
            <w:tcW w:w="427" w:type="dxa"/>
            <w:tcBorders/>
            <w:vAlign w:val="center"/>
          </w:tcPr>
          <w:p>
            <w:pPr>
              <w:pStyle w:val="TableContents"/>
              <w:bidi w:val="0"/>
              <w:spacing w:before="0" w:after="0"/>
              <w:ind w:left="0" w:right="0" w:hanging="0"/>
              <w:jc w:val="center"/>
              <w:rPr/>
            </w:pPr>
            <w:r>
              <w:rPr/>
              <w:t>​</w:t>
            </w:r>
          </w:p>
        </w:tc>
        <w:tc>
          <w:tcPr>
            <w:tcW w:w="4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766"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leased to customers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w:t>
            </w:r>
          </w:p>
        </w:tc>
        <w:tc>
          <w:tcPr>
            <w:tcW w:w="42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938,753</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1,002,518</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XV</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pPr>
            <w:r>
              <w:rPr/>
              <w:t>​</w:t>
            </w:r>
          </w:p>
        </w:tc>
        <w:tc>
          <w:tcPr>
            <w:tcW w:w="42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15</w:t>
            </w:r>
          </w:p>
        </w:tc>
        <w:tc>
          <w:tcPr>
            <w:tcW w:w="4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277,658</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277,658</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XVIII</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42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15</w:t>
            </w:r>
          </w:p>
        </w:tc>
        <w:tc>
          <w:tcPr>
            <w:tcW w:w="42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411,255</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411,255</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Furniture, fixtures, equipment and other </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w:t>
            </w:r>
          </w:p>
        </w:tc>
        <w:tc>
          <w:tcPr>
            <w:tcW w:w="42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749,946</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746,585</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Software and computer equipment </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w:t>
            </w:r>
          </w:p>
        </w:tc>
        <w:tc>
          <w:tcPr>
            <w:tcW w:w="42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694,413</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670,503</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Buildings and improvements </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5</w:t>
            </w:r>
          </w:p>
        </w:tc>
        <w:tc>
          <w:tcPr>
            <w:tcW w:w="42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40</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290,190</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288,573</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Land </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42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12,007</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12,007</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Construction in progress </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pPr>
            <w:r>
              <w:rPr/>
              <w:t>​</w:t>
            </w:r>
          </w:p>
        </w:tc>
        <w:tc>
          <w:tcPr>
            <w:tcW w:w="42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4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40,475</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34,232</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Total property and equipment </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42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3,414,697</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3,443,331</w:t>
            </w:r>
          </w:p>
        </w:tc>
      </w:tr>
      <w:tr>
        <w:trPr/>
        <w:tc>
          <w:tcPr>
            <w:tcW w:w="3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Accumulated depreciation</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(2,837,438)</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(2,818,562)</w:t>
            </w:r>
          </w:p>
        </w:tc>
      </w:tr>
      <w:tr>
        <w:trPr/>
        <w:tc>
          <w:tcPr>
            <w:tcW w:w="3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Property and equipment, net (1)</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427" w:type="dxa"/>
            <w:tcBorders/>
            <w:shd w:fill="CCEEFF" w:val="clear"/>
            <w:vAlign w:val="center"/>
          </w:tcPr>
          <w:p>
            <w:pPr>
              <w:pStyle w:val="TableContents"/>
              <w:bidi w:val="0"/>
              <w:spacing w:before="0" w:after="0"/>
              <w:ind w:left="0" w:right="0" w:hanging="0"/>
              <w:jc w:val="center"/>
              <w:rPr/>
            </w:pPr>
            <w:r>
              <w:rPr/>
              <w:t>​</w:t>
            </w:r>
          </w:p>
        </w:tc>
        <w:tc>
          <w:tcPr>
            <w:tcW w:w="42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577,259</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624,769</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As of June 30, 2025 and December 31, 2024, there were no</w:t>
            </w:r>
            <w:r>
              <w:rPr>
                <w:caps w:val="false"/>
                <w:smallCaps w:val="false"/>
              </w:rPr>
              <w:t xml:space="preserve"> </w:t>
            </w:r>
            <w:r>
              <w:rPr>
                <w:rFonts w:ascii="Arial;Helvetica;sans-serif" w:hAnsi="Arial;Helvetica;sans-serif"/>
                <w:b w:val="false"/>
                <w:i w:val="false"/>
                <w:caps w:val="false"/>
                <w:smallCaps w:val="false"/>
                <w:sz w:val="20"/>
              </w:rPr>
              <w:t>refunds and other receipts of purchases of property and equipment.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 expense consisted of the following:</w:t>
      </w:r>
    </w:p>
    <w:p>
      <w:pPr>
        <w:pStyle w:val="TextBody"/>
        <w:bidi w:val="0"/>
        <w:spacing w:before="0" w:after="0"/>
        <w:ind w:left="0" w:right="0" w:hanging="0"/>
        <w:jc w:val="left"/>
        <w:rPr/>
      </w:pPr>
      <w:r>
        <w:rPr/>
        <w:t>​</w:t>
      </w:r>
    </w:p>
    <w:tbl>
      <w:tblPr>
        <w:tblW w:w="9728" w:type="dxa"/>
        <w:jc w:val="left"/>
        <w:tblInd w:w="0" w:type="dxa"/>
        <w:tblLayout w:type="fixed"/>
        <w:tblCellMar>
          <w:top w:w="0" w:type="dxa"/>
          <w:left w:w="0" w:type="dxa"/>
          <w:bottom w:w="0" w:type="dxa"/>
          <w:right w:w="0" w:type="dxa"/>
        </w:tblCellMar>
      </w:tblPr>
      <w:tblGrid>
        <w:gridCol w:w="4111"/>
        <w:gridCol w:w="326"/>
        <w:gridCol w:w="256"/>
        <w:gridCol w:w="821"/>
        <w:gridCol w:w="396"/>
        <w:gridCol w:w="256"/>
        <w:gridCol w:w="821"/>
        <w:gridCol w:w="326"/>
        <w:gridCol w:w="211"/>
        <w:gridCol w:w="781"/>
        <w:gridCol w:w="326"/>
        <w:gridCol w:w="211"/>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610485" cy="175260"/>
                      <wp:effectExtent l="0" t="0" r="0" b="0"/>
                      <wp:wrapNone/>
                      <wp:docPr id="149" name="Frame149"/>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2560" cy="175260"/>
                      <wp:effectExtent l="0" t="0" r="0" b="0"/>
                      <wp:wrapNone/>
                      <wp:docPr id="151" name="Frame15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21335" cy="175260"/>
                      <wp:effectExtent l="0" t="0" r="0" b="0"/>
                      <wp:wrapNone/>
                      <wp:docPr id="152" name="Frame152"/>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51460" cy="175260"/>
                      <wp:effectExtent l="0" t="0" r="0" b="0"/>
                      <wp:wrapNone/>
                      <wp:docPr id="153" name="Frame153"/>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2560" cy="175260"/>
                      <wp:effectExtent l="0" t="0" r="0" b="0"/>
                      <wp:wrapNone/>
                      <wp:docPr id="154" name="Frame15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21335" cy="175260"/>
                      <wp:effectExtent l="0" t="0" r="0" b="0"/>
                      <wp:wrapNone/>
                      <wp:docPr id="155" name="Frame155"/>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95935" cy="175260"/>
                      <wp:effectExtent l="0" t="0" r="0" b="0"/>
                      <wp:wrapNone/>
                      <wp:docPr id="158" name="Frame1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62610" cy="175260"/>
                      <wp:effectExtent l="0" t="0" r="0" b="0"/>
                      <wp:wrapNone/>
                      <wp:docPr id="161" name="Frame1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26" w:type="dxa"/>
            <w:tcBorders/>
            <w:vAlign w:val="center"/>
          </w:tcPr>
          <w:p>
            <w:pPr>
              <w:pStyle w:val="TableContents"/>
              <w:bidi w:val="0"/>
              <w:spacing w:before="0" w:after="0"/>
              <w:ind w:left="0" w:right="0" w:hanging="0"/>
              <w:jc w:val="center"/>
              <w:rPr/>
            </w:pPr>
            <w:r>
              <w:rPr/>
              <w:t>​</w:t>
            </w:r>
          </w:p>
        </w:tc>
        <w:tc>
          <w:tcPr>
            <w:tcW w:w="24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96" w:type="dxa"/>
            <w:tcBorders/>
            <w:vAlign w:val="center"/>
          </w:tcPr>
          <w:p>
            <w:pPr>
              <w:pStyle w:val="TableContents"/>
              <w:bidi w:val="0"/>
              <w:spacing w:before="0" w:after="0"/>
              <w:ind w:left="0" w:right="0" w:hanging="0"/>
              <w:jc w:val="center"/>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72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91"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1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leased to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27,204</w:t>
            </w:r>
          </w:p>
        </w:tc>
        <w:tc>
          <w:tcPr>
            <w:tcW w:w="39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34,705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59,929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71,573</w:t>
            </w:r>
          </w:p>
        </w:tc>
      </w:tr>
      <w:tr>
        <w:trPr/>
        <w:tc>
          <w:tcPr>
            <w:tcW w:w="41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Satellites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11,482</w:t>
            </w:r>
          </w:p>
        </w:tc>
        <w:tc>
          <w:tcPr>
            <w:tcW w:w="39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22,964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40,146</w:t>
            </w:r>
          </w:p>
        </w:tc>
      </w:tr>
      <w:tr>
        <w:trPr/>
        <w:tc>
          <w:tcPr>
            <w:tcW w:w="41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Buildings, furniture, fixtures, equipment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4,964</w:t>
            </w:r>
          </w:p>
        </w:tc>
        <w:tc>
          <w:tcPr>
            <w:tcW w:w="39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9,461</w:t>
            </w:r>
          </w:p>
        </w:tc>
      </w:tr>
      <w:tr>
        <w:trPr/>
        <w:tc>
          <w:tcPr>
            <w:tcW w:w="41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Software and computer equipment</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9,385</w:t>
            </w:r>
          </w:p>
        </w:tc>
        <w:tc>
          <w:tcPr>
            <w:tcW w:w="39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19,839</w:t>
            </w:r>
          </w:p>
        </w:tc>
      </w:tr>
      <w:tr>
        <w:trPr/>
        <w:tc>
          <w:tcPr>
            <w:tcW w:w="411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53,035</w:t>
            </w:r>
          </w:p>
        </w:tc>
        <w:tc>
          <w:tcPr>
            <w:tcW w:w="39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112,073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141,019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 and operating expense categories included in our accompanying Condensed Consolidated Statements of Operations and Comprehensive Income (Loss) do not include depreciation and amortization expense related to satellites, equipment leased to customers or software.</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Satellites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currently utilize eight</w:t>
      </w:r>
      <w:r>
        <w:rPr>
          <w:rFonts w:ascii="Times New Roman;Times;serif" w:hAnsi="Times New Roman;Times;serif"/>
          <w:sz w:val="20"/>
        </w:rPr>
        <w:t xml:space="preserve"> </w:t>
      </w:r>
      <w:r>
        <w:rPr>
          <w:rFonts w:ascii="Arial;Helvetica;sans-serif" w:hAnsi="Arial;Helvetica;sans-serif"/>
          <w:sz w:val="20"/>
        </w:rPr>
        <w:t>satellites in geosynchronous orbit approximately 22,300</w:t>
      </w:r>
      <w:r>
        <w:rPr>
          <w:rFonts w:ascii="Times New Roman;Times;serif" w:hAnsi="Times New Roman;Times;serif"/>
          <w:sz w:val="20"/>
        </w:rPr>
        <w:t xml:space="preserve"> </w:t>
      </w:r>
      <w:r>
        <w:rPr>
          <w:rFonts w:ascii="Arial;Helvetica;sans-serif" w:hAnsi="Arial;Helvetica;sans-serif"/>
          <w:sz w:val="20"/>
        </w:rPr>
        <w:t>miles above the equator, two</w:t>
      </w:r>
      <w:r>
        <w:rPr>
          <w:rFonts w:ascii="Times New Roman;Times;serif" w:hAnsi="Times New Roman;Times;serif"/>
          <w:sz w:val="20"/>
        </w:rPr>
        <w:t xml:space="preserve"> </w:t>
      </w:r>
      <w:r>
        <w:rPr>
          <w:rFonts w:ascii="Arial;Helvetica;sans-serif" w:hAnsi="Arial;Helvetica;sans-serif"/>
          <w:sz w:val="20"/>
        </w:rPr>
        <w:t>of which we own and depreciate over their estimated useful life. We currently utilize certain capacity on six</w:t>
      </w:r>
      <w:r>
        <w:rPr>
          <w:rFonts w:ascii="Times New Roman;Times;serif" w:hAnsi="Times New Roman;Times;serif"/>
          <w:sz w:val="20"/>
        </w:rPr>
        <w:t xml:space="preserve"> </w:t>
      </w:r>
      <w:r>
        <w:rPr>
          <w:rFonts w:ascii="Arial;Helvetica;sans-serif" w:hAnsi="Arial;Helvetica;sans-serif"/>
          <w:sz w:val="20"/>
        </w:rPr>
        <w:t xml:space="preserve">satellites that we lease from DISH Network, which are accounted for as operating leases.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2025, our Pay-TV satellite fleet consisted of the following:</w:t>
      </w:r>
    </w:p>
    <w:p>
      <w:pPr>
        <w:pStyle w:val="TextBody"/>
        <w:bidi w:val="0"/>
        <w:spacing w:before="0" w:after="0"/>
        <w:ind w:left="0" w:right="0" w:hanging="0"/>
        <w:jc w:val="left"/>
        <w:rPr/>
      </w:pPr>
      <w:r>
        <w:rPr/>
        <w:t>​</w:t>
      </w:r>
    </w:p>
    <w:tbl>
      <w:tblPr>
        <w:tblW w:w="8122" w:type="dxa"/>
        <w:jc w:val="left"/>
        <w:tblInd w:w="0" w:type="dxa"/>
        <w:tblLayout w:type="fixed"/>
        <w:tblCellMar>
          <w:top w:w="0" w:type="dxa"/>
          <w:left w:w="0" w:type="dxa"/>
          <w:bottom w:w="0" w:type="dxa"/>
          <w:right w:w="0" w:type="dxa"/>
        </w:tblCellMar>
      </w:tblPr>
      <w:tblGrid>
        <w:gridCol w:w="2956"/>
        <w:gridCol w:w="326"/>
        <w:gridCol w:w="1531"/>
        <w:gridCol w:w="326"/>
        <w:gridCol w:w="916"/>
        <w:gridCol w:w="326"/>
        <w:gridCol w:w="174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77060" cy="175260"/>
                      <wp:effectExtent l="0" t="0" r="0" b="0"/>
                      <wp:wrapNone/>
                      <wp:docPr id="162" name="Frame162"/>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72185" cy="175260"/>
                      <wp:effectExtent l="0" t="0" r="0" b="0"/>
                      <wp:wrapNone/>
                      <wp:docPr id="164" name="Frame164"/>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81660" cy="175260"/>
                      <wp:effectExtent l="0" t="0" r="0" b="0"/>
                      <wp:wrapNone/>
                      <wp:docPr id="166" name="Frame16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105535" cy="175260"/>
                      <wp:effectExtent l="0" t="0" r="0" b="0"/>
                      <wp:wrapNone/>
                      <wp:docPr id="168" name="Frame168"/>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Degree</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Launch</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Orbital</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Lease</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Satellites</w:t>
            </w:r>
          </w:p>
        </w:tc>
        <w:tc>
          <w:tcPr>
            <w:tcW w:w="326" w:type="dxa"/>
            <w:tcBorders/>
            <w:vAlign w:val="center"/>
          </w:tcPr>
          <w:p>
            <w:pPr>
              <w:pStyle w:val="TableContents"/>
              <w:bidi w:val="0"/>
              <w:spacing w:before="0" w:after="0"/>
              <w:ind w:left="0" w:right="0" w:hanging="0"/>
              <w:jc w:val="center"/>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Date</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Location</w:t>
            </w:r>
          </w:p>
        </w:tc>
        <w:tc>
          <w:tcPr>
            <w:tcW w:w="326" w:type="dxa"/>
            <w:tcBorders/>
            <w:vAlign w:val="center"/>
          </w:tcPr>
          <w:p>
            <w:pPr>
              <w:pStyle w:val="TableContents"/>
              <w:bidi w:val="0"/>
              <w:spacing w:before="0" w:after="0"/>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Termination Date</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Owned:</w:t>
            </w:r>
          </w:p>
        </w:tc>
        <w:tc>
          <w:tcPr>
            <w:tcW w:w="326" w:type="dxa"/>
            <w:tcBorders/>
            <w:shd w:fill="CCEEFF" w:val="clear"/>
            <w:vAlign w:val="center"/>
          </w:tcPr>
          <w:p>
            <w:pPr>
              <w:pStyle w:val="TableContents"/>
              <w:bidi w:val="0"/>
              <w:spacing w:before="0" w:after="0"/>
              <w:ind w:left="0" w:right="0" w:hanging="0"/>
              <w:jc w:val="center"/>
              <w:rPr/>
            </w:pPr>
            <w:r>
              <w:rPr/>
              <w:t>​</w:t>
            </w:r>
          </w:p>
        </w:tc>
        <w:tc>
          <w:tcPr>
            <w:tcW w:w="15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XV (1)</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July 2010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XVIII</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June 2016</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61.5</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pPr>
            <w:r>
              <w:rPr/>
              <w:t>​</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Under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XXV</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2026</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XXVI</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N/A</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pPr>
            <w:r>
              <w:rPr/>
              <w:t>​</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Leased from DISH Network (2):</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pPr>
            <w:r>
              <w:rPr/>
              <w:t>​</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 </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2006</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2026</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XI </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July 2008</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2026</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XIV </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March 2010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2026</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XVI </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November 2012</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61.5</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January 2026</w:t>
            </w:r>
          </w:p>
        </w:tc>
      </w:tr>
      <w:tr>
        <w:trPr/>
        <w:tc>
          <w:tcPr>
            <w:tcW w:w="29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EchoStar XXIII </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March 2017</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Month to Month</w:t>
            </w:r>
          </w:p>
        </w:tc>
      </w:tr>
      <w:tr>
        <w:trPr/>
        <w:tc>
          <w:tcPr>
            <w:tcW w:w="29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Nimiq 5 </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September 2009</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72.7</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Month to Month</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During April 2025, the EchoStar XV satellite began the process of relocating from the 61.5 degree orbital location to the 119 degree orbital location. The relocation process was completed in July 2025. </w:t>
            </w:r>
          </w:p>
        </w:tc>
      </w:tr>
    </w:tbl>
    <w:tbl>
      <w:tblPr>
        <w:tblW w:w="8282" w:type="dxa"/>
        <w:jc w:val="left"/>
        <w:tblInd w:w="0" w:type="dxa"/>
        <w:tblLayout w:type="fixed"/>
        <w:tblCellMar>
          <w:top w:w="0" w:type="dxa"/>
          <w:left w:w="0" w:type="dxa"/>
          <w:bottom w:w="0" w:type="dxa"/>
          <w:right w:w="0" w:type="dxa"/>
        </w:tblCellMar>
      </w:tblPr>
      <w:tblGrid>
        <w:gridCol w:w="346"/>
        <w:gridCol w:w="793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793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11 for further information on our Related Party Transactions with DISH Network.</w:t>
            </w:r>
          </w:p>
        </w:tc>
      </w:tr>
    </w:tbl>
    <w:p>
      <w:pPr>
        <w:pStyle w:val="TextBody"/>
        <w:bidi w:val="0"/>
        <w:spacing w:before="40" w:after="0"/>
        <w:ind w:left="0" w:right="0" w:hanging="0"/>
        <w:jc w:val="left"/>
        <w:rPr>
          <w:color w:val="000000"/>
        </w:rPr>
      </w:pPr>
      <w:r>
        <w:rPr>
          <w:color w:val="000000"/>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April 2025, we no longer lease the Anik F3 satellite, which was accounted for as an operating lease.</w:t>
      </w:r>
    </w:p>
    <w:p>
      <w:pPr>
        <w:pStyle w:val="TextBody"/>
        <w:bidi w:val="0"/>
        <w:spacing w:before="0" w:after="0"/>
        <w:ind w:left="0" w:right="0" w:hanging="0"/>
        <w:jc w:val="left"/>
        <w:rPr/>
      </w:pPr>
      <w:r>
        <w:rPr/>
        <w:t>​</w:t>
      </w:r>
    </w:p>
    <w:p>
      <w:pPr>
        <w:pStyle w:val="TextBody"/>
        <w:bidi w:val="0"/>
        <w:spacing w:before="40" w:after="0"/>
        <w:ind w:left="0" w:right="0" w:hanging="0"/>
        <w:jc w:val="left"/>
        <w:rPr>
          <w:rFonts w:ascii="Arial;Helvetica;sans-serif" w:hAnsi="Arial;Helvetica;sans-serif"/>
          <w:i/>
          <w:color w:val="000000"/>
          <w:sz w:val="20"/>
        </w:rPr>
      </w:pPr>
      <w:r>
        <w:rPr>
          <w:rFonts w:ascii="Arial;Helvetica;sans-serif" w:hAnsi="Arial;Helvetica;sans-serif"/>
          <w:i/>
          <w:color w:val="000000"/>
          <w:sz w:val="20"/>
        </w:rPr>
        <w:t>Satellites Under Construction</w:t>
      </w:r>
    </w:p>
    <w:p>
      <w:pPr>
        <w:pStyle w:val="TextBody"/>
        <w:bidi w:val="0"/>
        <w:spacing w:lineRule="auto" w:line="302"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EchoStar XXV.</w:t>
      </w:r>
      <w:r>
        <w:rPr>
          <w:rFonts w:ascii="Times New Roman;Times;serif" w:hAnsi="Times New Roman;Times;serif"/>
          <w:sz w:val="20"/>
        </w:rPr>
        <w:t xml:space="preserve"> </w:t>
      </w:r>
      <w:r>
        <w:rPr>
          <w:rFonts w:ascii="Arial;Helvetica;sans-serif" w:hAnsi="Arial;Helvetica;sans-serif"/>
          <w:sz w:val="20"/>
        </w:rPr>
        <w:t>On March 20, 2023, DISH Network entered into a contract with Maxar Space LLC for the construction of EchoStar XXV, a DBS satellite that is capable of providing service to the continental United States (“CONUS”) and is intended to be used at the 110 degree orbital location. During the fourth quarter of 2023, DISH Network entered into an agreement with Space Exploration Technologies Corp (“SpaceX”) for launch services for this satellite, which is expected to be launched during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EchoStar XXVI.</w:t>
      </w:r>
      <w:r>
        <w:rPr>
          <w:rFonts w:ascii="Times New Roman;Times;serif" w:hAnsi="Times New Roman;Times;serif"/>
          <w:sz w:val="20"/>
        </w:rPr>
        <w:t xml:space="preserve"> </w:t>
      </w:r>
      <w:r>
        <w:rPr>
          <w:rFonts w:ascii="Arial;Helvetica;sans-serif" w:hAnsi="Arial;Helvetica;sans-serif"/>
          <w:sz w:val="20"/>
        </w:rPr>
        <w:t>On May 15, 2025, DISH Network entered into a contract with Maxar Space LLC for the construction of EchoStar XXVI, a DBS satellite that is capable of providing service to the CONUS and is intended to be used at the 119 degree orbital location. EchoStar XXVI is expected to be launched during 2028.</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pBdr/>
        <w:bidi w:val="0"/>
        <w:spacing w:before="0" w:after="0"/>
        <w:ind w:left="0" w:right="0" w:hanging="360"/>
        <w:jc w:val="left"/>
        <w:rPr/>
      </w:pPr>
      <w:bookmarkStart w:id="859" w:name="Tc_1uGud_r1QUq8xzMrYP0RVA_18_9"/>
      <w:bookmarkStart w:id="860" w:name="Tc_kM2TQlaIsE-pnItWIEoIug_18_3"/>
      <w:bookmarkStart w:id="861" w:name="Tc__hhDFHUzoUyLYHiCRllOKA_18_0"/>
      <w:bookmarkStart w:id="862" w:name="Tc_3o6OFJA5wEuOSaJsIdlNtQ_17_0"/>
      <w:bookmarkStart w:id="863" w:name="Tc_bIIgfkRvO0qGuL8YMw34FQ_16_0"/>
      <w:bookmarkStart w:id="864" w:name="Tc_k2T1QkMZv0-VNID_rkLObw_15_0"/>
      <w:bookmarkStart w:id="865" w:name="Tc_n9iuXUcgm0CYc66lrWpZ3Q_14_12"/>
      <w:bookmarkStart w:id="866" w:name="Tc_2NJp85fg8UCeHmDexaAz4A_14_6"/>
      <w:bookmarkStart w:id="867" w:name="Tc_Bm8La0Q9j0mYc9RGDdWV0Q_14_0"/>
      <w:bookmarkStart w:id="868" w:name="Tc_6PMTVS1Fzk2VAfuJiL7Kog_13_0"/>
      <w:bookmarkStart w:id="869" w:name="Tc_43R0mESeLEGt8avRtquQIg_12_1"/>
      <w:bookmarkStart w:id="870" w:name="Tc_XKSxqFn730-2HprqR7nIuw_12_0"/>
      <w:bookmarkStart w:id="871" w:name="Tc_iRmJIAmNgE-19v2bz4f_8g_11_1"/>
      <w:bookmarkStart w:id="872" w:name="Tc_JDvqsI0RKUOXb4G7tN32sQ_11_0"/>
      <w:bookmarkStart w:id="873" w:name="Tc_5kE4fnGcZ0mmZwc3WlgVHA_10_1"/>
      <w:bookmarkStart w:id="874" w:name="Tc_LOogccXqe0CO-UCeR6uvLg_10_0"/>
      <w:bookmarkStart w:id="875" w:name="Tc_iOu5jNe620qHKjCGuSoaYg_9_1"/>
      <w:bookmarkStart w:id="876" w:name="Tc_9zAqKWTCUk-KcKrJEIUB2w_9_0"/>
      <w:bookmarkStart w:id="877" w:name="Tc_OGTnlyeWtEeu-LlM-Z7ZZQ_8_1"/>
      <w:bookmarkStart w:id="878" w:name="Tc_ud3Zfw3-rE2yuwLjXkcAqw_8_0"/>
      <w:bookmarkStart w:id="879" w:name="Tc_9MnVZ6yk-UaYnQFcG4KyUQ_7_1"/>
      <w:bookmarkStart w:id="880" w:name="Tc_irs7w4Csmk-lsWWZ9ZFSGw_7_0"/>
      <w:bookmarkStart w:id="881" w:name="Tc_bRn32u256UeVpdpgXLMZ6A_6_1"/>
      <w:bookmarkStart w:id="882" w:name="Tc_xKcqcHVxME2qYzk480UtQw_6_0"/>
      <w:bookmarkStart w:id="883" w:name="Tc_OgFS3lE9WEy4RP5_0lcaUw_5_12"/>
      <w:bookmarkStart w:id="884" w:name="Tc_zHZTi7R38ki3ilJ6szFkFQ_5_9"/>
      <w:bookmarkStart w:id="885" w:name="Tc_GHwmlGeAEkuz6iK17rXwDQ_5_6"/>
      <w:bookmarkStart w:id="886" w:name="Tc_09OG92BcbkqmuYM523zheQ_5_3"/>
      <w:bookmarkStart w:id="887" w:name="Tc_9c4aS4AnZ0GCdYC67rb9CQ_5_1"/>
      <w:bookmarkStart w:id="888" w:name="Tc_toRMJKRTXkmeFgnNdB0bdA_5_0"/>
      <w:bookmarkStart w:id="889" w:name="Tc_Vrg-U9kVBk-_TcPlm3RVbA_4_3"/>
      <w:bookmarkStart w:id="890" w:name="Tc_MLa6P30ha0q_EiWzxpXCFA_3_12"/>
      <w:bookmarkStart w:id="891" w:name="Tc_9es6RP-i60S5a_TPnNGeIA_3_9"/>
      <w:bookmarkStart w:id="892" w:name="Tc_m7PujxwuqUesxFBY6J7LFA_3_6"/>
      <w:bookmarkStart w:id="893" w:name="Tc_kPJ3SBm9h0qruT-q3gRh9g_3_3"/>
      <w:bookmarkStart w:id="894" w:name="Tc_Nh66kY6BskWqo-yOM27mmA_3_1"/>
      <w:bookmarkStart w:id="895" w:name="Tc_1BKsbLVAaE-EJsS5kAHJVw_2_9"/>
      <w:bookmarkStart w:id="896" w:name="Tc_HtS4r1AX0kaJ9Nvl4Il21Q_2_3"/>
      <w:bookmarkStart w:id="897" w:name="Tc_69ZN8xdVu0GE5DLYPmJlVA_1_3"/>
      <w:bookmarkStart w:id="898" w:name="_c4c1a44a_8dc0_4d0a_9dc5_243d1da30f8c"/>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r>
        <w:rPr/>
        <w:t>​</w:t>
      </w:r>
    </w:p>
    <w:tbl>
      <w:tblPr>
        <w:tblW w:w="3797" w:type="dxa"/>
        <w:jc w:val="left"/>
        <w:tblInd w:w="0" w:type="dxa"/>
        <w:tblLayout w:type="fixed"/>
        <w:tblCellMar>
          <w:top w:w="0" w:type="dxa"/>
          <w:left w:w="0" w:type="dxa"/>
          <w:bottom w:w="0" w:type="dxa"/>
          <w:right w:w="0" w:type="dxa"/>
        </w:tblCellMar>
      </w:tblPr>
      <w:tblGrid>
        <w:gridCol w:w="286"/>
        <w:gridCol w:w="351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7.</w:t>
            </w:r>
          </w:p>
        </w:tc>
        <w:tc>
          <w:tcPr>
            <w:tcW w:w="351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Debt and Finance Lease Obligations</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of our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carrying amount and fair value of our debt facilities as of June 30, 2025 and December 31,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26"/>
        <w:gridCol w:w="1281"/>
        <w:gridCol w:w="326"/>
        <w:gridCol w:w="196"/>
        <w:gridCol w:w="916"/>
        <w:gridCol w:w="326"/>
        <w:gridCol w:w="196"/>
        <w:gridCol w:w="916"/>
        <w:gridCol w:w="326"/>
        <w:gridCol w:w="196"/>
        <w:gridCol w:w="916"/>
        <w:gridCol w:w="326"/>
        <w:gridCol w:w="196"/>
        <w:gridCol w:w="962"/>
      </w:tblGrid>
      <w:tr>
        <w:trPr/>
        <w:tc>
          <w:tcPr>
            <w:tcW w:w="3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85010" cy="175260"/>
                      <wp:effectExtent l="0" t="0" r="0" b="0"/>
                      <wp:wrapNone/>
                      <wp:docPr id="169" name="Frame169"/>
                      <a:graphic xmlns:a="http://schemas.openxmlformats.org/drawingml/2006/main">
                        <a:graphicData uri="http://schemas.microsoft.com/office/word/2010/wordprocessingShape">
                          <wps:wsp>
                            <wps:cNvSpPr txBox="1"/>
                            <wps:spPr>
                              <a:xfrm>
                                <a:off x="0" y="0"/>
                                <a:ext cx="198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13435" cy="175260"/>
                      <wp:effectExtent l="0" t="0" r="0" b="0"/>
                      <wp:wrapNone/>
                      <wp:docPr id="170" name="Frame170"/>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4460" cy="175260"/>
                      <wp:effectExtent l="0" t="0" r="0" b="0"/>
                      <wp:wrapNone/>
                      <wp:docPr id="172"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81660" cy="175260"/>
                      <wp:effectExtent l="0" t="0" r="0" b="0"/>
                      <wp:wrapNone/>
                      <wp:docPr id="173" name="Frame17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75"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81660" cy="175260"/>
                      <wp:effectExtent l="0" t="0" r="0" b="0"/>
                      <wp:wrapNone/>
                      <wp:docPr id="176" name="Frame17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81660" cy="175260"/>
                      <wp:effectExtent l="0" t="0" r="0" b="0"/>
                      <wp:wrapNone/>
                      <wp:docPr id="179" name="Frame17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4460" cy="175260"/>
                      <wp:effectExtent l="0" t="0" r="0" b="0"/>
                      <wp:wrapNone/>
                      <wp:docPr id="181" name="Frame1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10870" cy="175260"/>
                      <wp:effectExtent l="0" t="0" r="0" b="0"/>
                      <wp:wrapNone/>
                      <wp:docPr id="182" name="Frame182"/>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6" w:type="dxa"/>
            <w:tcBorders/>
            <w:vAlign w:val="center"/>
          </w:tcPr>
          <w:p>
            <w:pPr>
              <w:pStyle w:val="TableContents"/>
              <w:bidi w:val="0"/>
              <w:spacing w:before="0" w:after="0"/>
              <w:ind w:left="0" w:right="0" w:hanging="0"/>
              <w:jc w:val="left"/>
              <w:rPr/>
            </w:pPr>
            <w:r>
              <w:rPr/>
              <w:t>​</w:t>
            </w:r>
          </w:p>
        </w:tc>
        <w:tc>
          <w:tcPr>
            <w:tcW w:w="1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72"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 </w:t>
            </w:r>
          </w:p>
        </w:tc>
      </w:tr>
      <w:tr>
        <w:trPr/>
        <w:tc>
          <w:tcPr>
            <w:tcW w:w="3126" w:type="dxa"/>
            <w:tcBorders/>
            <w:vAlign w:val="center"/>
          </w:tcPr>
          <w:p>
            <w:pPr>
              <w:pStyle w:val="TableContents"/>
              <w:bidi w:val="0"/>
              <w:spacing w:before="0" w:after="0"/>
              <w:ind w:left="0" w:right="0" w:hanging="0"/>
              <w:jc w:val="left"/>
              <w:rPr/>
            </w:pPr>
            <w:r>
              <w:rPr/>
              <w:t>​</w:t>
            </w:r>
          </w:p>
        </w:tc>
        <w:tc>
          <w:tcPr>
            <w:tcW w:w="1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2025</w:t>
            </w:r>
          </w:p>
        </w:tc>
        <w:tc>
          <w:tcPr>
            <w:tcW w:w="326" w:type="dxa"/>
            <w:tcBorders/>
            <w:vAlign w:val="center"/>
          </w:tcPr>
          <w:p>
            <w:pPr>
              <w:pStyle w:val="TableContents"/>
              <w:bidi w:val="0"/>
              <w:spacing w:before="0" w:after="0"/>
              <w:ind w:left="0" w:right="0" w:hanging="0"/>
              <w:jc w:val="left"/>
              <w:rPr/>
            </w:pPr>
            <w:r>
              <w:rPr/>
              <w:t>​</w:t>
            </w:r>
          </w:p>
        </w:tc>
        <w:tc>
          <w:tcPr>
            <w:tcW w:w="25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2024</w:t>
            </w:r>
          </w:p>
        </w:tc>
      </w:tr>
      <w:tr>
        <w:trPr/>
        <w:tc>
          <w:tcPr>
            <w:tcW w:w="3126" w:type="dxa"/>
            <w:tcBorders/>
            <w:vAlign w:val="center"/>
          </w:tcPr>
          <w:p>
            <w:pPr>
              <w:pStyle w:val="TableContents"/>
              <w:bidi w:val="0"/>
              <w:spacing w:before="0" w:after="0"/>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Issuer</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w:t>
              <w:br/>
              <w:t>Amount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w:t>
              <w:br/>
              <w:t>Amount</w:t>
            </w:r>
          </w:p>
        </w:tc>
        <w:tc>
          <w:tcPr>
            <w:tcW w:w="326" w:type="dxa"/>
            <w:tcBorders/>
            <w:vAlign w:val="center"/>
          </w:tcPr>
          <w:p>
            <w:pPr>
              <w:pStyle w:val="TableContents"/>
              <w:bidi w:val="0"/>
              <w:spacing w:before="0" w:after="0"/>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126" w:type="dxa"/>
            <w:tcBorders/>
            <w:vAlign w:val="center"/>
          </w:tcPr>
          <w:p>
            <w:pPr>
              <w:pStyle w:val="TableContents"/>
              <w:bidi w:val="0"/>
              <w:spacing w:before="0" w:after="0"/>
              <w:ind w:left="0" w:right="0" w:hanging="0"/>
              <w:jc w:val="left"/>
              <w:rPr/>
            </w:pPr>
            <w:r>
              <w:rPr/>
              <w:t>​</w:t>
            </w:r>
          </w:p>
        </w:tc>
        <w:tc>
          <w:tcPr>
            <w:tcW w:w="12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472" w:type="dxa"/>
            <w:gridSpan w:val="11"/>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12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Term Loan due 2025 (1)</w:t>
            </w:r>
          </w:p>
        </w:tc>
        <w:tc>
          <w:tcPr>
            <w:tcW w:w="1281"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DBS SubscriberCo</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166,667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166,667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500,000</w:t>
            </w:r>
          </w:p>
        </w:tc>
      </w:tr>
      <w:tr>
        <w:trPr/>
        <w:tc>
          <w:tcPr>
            <w:tcW w:w="31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Arial;Helvetica;sans-serif" w:hAnsi="Arial;Helvetica;sans-serif"/>
                <w:b w:val="false"/>
                <w:i w:val="false"/>
                <w:caps w:val="false"/>
                <w:smallCaps w:val="false"/>
                <w:sz w:val="16"/>
              </w:rPr>
              <w:t>7 3/4%</w:t>
            </w:r>
            <w:r>
              <w:rPr>
                <w:rFonts w:ascii="Times New Roman;Times;serif" w:hAnsi="Times New Roman;Times;serif"/>
                <w:sz w:val="24"/>
              </w:rPr>
              <w:t xml:space="preserve"> </w:t>
            </w:r>
            <w:r>
              <w:rPr>
                <w:rFonts w:ascii="Arial;Helvetica;sans-serif" w:hAnsi="Arial;Helvetica;sans-serif"/>
                <w:sz w:val="16"/>
              </w:rPr>
              <w:t>Senior Notes due 2026</w:t>
            </w:r>
          </w:p>
        </w:tc>
        <w:tc>
          <w:tcPr>
            <w:tcW w:w="128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1,779,660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1,678,640</w:t>
            </w:r>
          </w:p>
        </w:tc>
      </w:tr>
      <w:tr>
        <w:trPr/>
        <w:tc>
          <w:tcPr>
            <w:tcW w:w="3126"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Arial;Helvetica;sans-serif" w:hAnsi="Arial;Helvetica;sans-serif"/>
                <w:b w:val="false"/>
                <w:i w:val="false"/>
                <w:caps w:val="false"/>
                <w:smallCaps w:val="false"/>
                <w:sz w:val="16"/>
              </w:rPr>
              <w:t>5 1/4%</w:t>
            </w:r>
            <w:r>
              <w:rPr>
                <w:rFonts w:ascii="Times New Roman;Times;serif" w:hAnsi="Times New Roman;Times;serif"/>
                <w:sz w:val="24"/>
              </w:rPr>
              <w:t xml:space="preserve"> </w:t>
            </w:r>
            <w:r>
              <w:rPr>
                <w:rFonts w:ascii="Arial;Helvetica;sans-serif" w:hAnsi="Arial;Helvetica;sans-serif"/>
                <w:sz w:val="16"/>
              </w:rPr>
              <w:t>Senior Secured Notes due 2026</w:t>
            </w:r>
          </w:p>
        </w:tc>
        <w:tc>
          <w:tcPr>
            <w:tcW w:w="1281"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2,502,500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2,507,780</w:t>
            </w:r>
          </w:p>
        </w:tc>
      </w:tr>
      <w:tr>
        <w:trPr/>
        <w:tc>
          <w:tcPr>
            <w:tcW w:w="31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Arial;Helvetica;sans-serif" w:hAnsi="Arial;Helvetica;sans-serif"/>
                <w:b w:val="false"/>
                <w:i w:val="false"/>
                <w:caps w:val="false"/>
                <w:smallCaps w:val="false"/>
                <w:sz w:val="16"/>
              </w:rPr>
              <w:t>7 3/8%</w:t>
            </w:r>
            <w:r>
              <w:rPr>
                <w:rFonts w:ascii="Times New Roman;Times;serif" w:hAnsi="Times New Roman;Times;serif"/>
                <w:sz w:val="24"/>
              </w:rPr>
              <w:t xml:space="preserve"> </w:t>
            </w:r>
            <w:r>
              <w:rPr>
                <w:rFonts w:ascii="Arial;Helvetica;sans-serif" w:hAnsi="Arial;Helvetica;sans-serif"/>
                <w:sz w:val="16"/>
              </w:rPr>
              <w:t>Senior Notes due 2028</w:t>
            </w:r>
          </w:p>
        </w:tc>
        <w:tc>
          <w:tcPr>
            <w:tcW w:w="128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722,500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715,680</w:t>
            </w:r>
          </w:p>
        </w:tc>
      </w:tr>
      <w:tr>
        <w:trPr/>
        <w:tc>
          <w:tcPr>
            <w:tcW w:w="3126"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Arial;Helvetica;sans-serif" w:hAnsi="Arial;Helvetica;sans-serif"/>
                <w:b w:val="false"/>
                <w:i w:val="false"/>
                <w:caps w:val="false"/>
                <w:smallCaps w:val="false"/>
                <w:sz w:val="16"/>
              </w:rPr>
              <w:t>5 3/4%</w:t>
            </w:r>
            <w:r>
              <w:rPr>
                <w:rFonts w:ascii="Times New Roman;Times;serif" w:hAnsi="Times New Roman;Times;serif"/>
                <w:sz w:val="24"/>
              </w:rPr>
              <w:t xml:space="preserve"> </w:t>
            </w:r>
            <w:r>
              <w:rPr>
                <w:rFonts w:ascii="Arial;Helvetica;sans-serif" w:hAnsi="Arial;Helvetica;sans-serif"/>
                <w:sz w:val="16"/>
              </w:rPr>
              <w:t xml:space="preserve">Senior Secured Notes due 2028 </w:t>
            </w:r>
          </w:p>
        </w:tc>
        <w:tc>
          <w:tcPr>
            <w:tcW w:w="1281"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2,175,000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2,143,350</w:t>
            </w:r>
          </w:p>
        </w:tc>
      </w:tr>
      <w:tr>
        <w:trPr/>
        <w:tc>
          <w:tcPr>
            <w:tcW w:w="31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Arial;Helvetica;sans-serif" w:hAnsi="Arial;Helvetica;sans-serif"/>
                <w:b w:val="false"/>
                <w:i w:val="false"/>
                <w:caps w:val="false"/>
                <w:smallCaps w:val="false"/>
                <w:sz w:val="16"/>
              </w:rPr>
              <w:t>5 1/8%</w:t>
            </w:r>
            <w:r>
              <w:rPr>
                <w:rFonts w:ascii="Times New Roman;Times;serif" w:hAnsi="Times New Roman;Times;serif"/>
                <w:sz w:val="24"/>
              </w:rPr>
              <w:t xml:space="preserve"> </w:t>
            </w:r>
            <w:r>
              <w:rPr>
                <w:rFonts w:ascii="Arial;Helvetica;sans-serif" w:hAnsi="Arial;Helvetica;sans-serif"/>
                <w:sz w:val="16"/>
              </w:rPr>
              <w:t>Senior Notes due 2029</w:t>
            </w:r>
          </w:p>
        </w:tc>
        <w:tc>
          <w:tcPr>
            <w:tcW w:w="128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DDBS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987,480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959,610</w:t>
            </w:r>
          </w:p>
        </w:tc>
      </w:tr>
      <w:tr>
        <w:trPr/>
        <w:tc>
          <w:tcPr>
            <w:tcW w:w="312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Term Loan due 2029 (2)</w:t>
            </w:r>
          </w:p>
        </w:tc>
        <w:tc>
          <w:tcPr>
            <w:tcW w:w="1281"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DBS SubscriberCo</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1,761,313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1,800,000</w:t>
            </w:r>
          </w:p>
        </w:tc>
      </w:tr>
      <w:tr>
        <w:trPr/>
        <w:tc>
          <w:tcPr>
            <w:tcW w:w="312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Mandatorily Redeemable Preferred Shares due 2029 (2)(3)</w:t>
            </w:r>
          </w:p>
        </w:tc>
        <w:tc>
          <w:tcPr>
            <w:tcW w:w="128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DBS SubscriberCo</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193,519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w:t>
            </w:r>
          </w:p>
        </w:tc>
      </w:tr>
      <w:tr>
        <w:trPr/>
        <w:tc>
          <w:tcPr>
            <w:tcW w:w="312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notes payable</w:t>
            </w:r>
          </w:p>
        </w:tc>
        <w:tc>
          <w:tcPr>
            <w:tcW w:w="12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26,040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32,350</w:t>
            </w:r>
          </w:p>
        </w:tc>
      </w:tr>
      <w:tr>
        <w:trPr/>
        <w:tc>
          <w:tcPr>
            <w:tcW w:w="312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Subtotal</w:t>
            </w:r>
          </w:p>
        </w:tc>
        <w:tc>
          <w:tcPr>
            <w:tcW w:w="1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11,942,707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10,314,679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12,282,350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10,537,410</w:t>
            </w:r>
          </w:p>
        </w:tc>
      </w:tr>
      <w:tr>
        <w:trPr/>
        <w:tc>
          <w:tcPr>
            <w:tcW w:w="312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Unamortized deferred financing costs and other debt discounts, net</w:t>
            </w:r>
          </w:p>
        </w:tc>
        <w:tc>
          <w:tcPr>
            <w:tcW w:w="1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(90,387)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(134,900)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left"/>
              <w:rPr/>
            </w:pPr>
            <w:r>
              <w:rPr/>
              <w:t>​</w:t>
            </w:r>
          </w:p>
        </w:tc>
      </w:tr>
      <w:tr>
        <w:trPr/>
        <w:tc>
          <w:tcPr>
            <w:tcW w:w="312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Total </w:t>
            </w:r>
          </w:p>
        </w:tc>
        <w:tc>
          <w:tcPr>
            <w:tcW w:w="1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11,852,320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12,147,450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r>
      <w:tr>
        <w:trPr/>
        <w:tc>
          <w:tcPr>
            <w:tcW w:w="312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Less: current portion (2)</w:t>
            </w:r>
          </w:p>
        </w:tc>
        <w:tc>
          <w:tcPr>
            <w:tcW w:w="1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(867,082)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(744,556)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left"/>
              <w:rPr/>
            </w:pPr>
            <w:r>
              <w:rPr/>
              <w:t>​</w:t>
            </w:r>
          </w:p>
        </w:tc>
      </w:tr>
      <w:tr>
        <w:trPr/>
        <w:tc>
          <w:tcPr>
            <w:tcW w:w="312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 debt, finance lease and other obligations, net of current portion</w:t>
            </w:r>
          </w:p>
        </w:tc>
        <w:tc>
          <w:tcPr>
            <w:tcW w:w="1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10,985,238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11,402,894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During the three and six months ended June 30, 2025, we redeemed approximately $166</w:t>
            </w:r>
            <w:r>
              <w:rPr>
                <w:caps w:val="false"/>
                <w:smallCaps w:val="false"/>
              </w:rPr>
              <w:t xml:space="preserve"> </w:t>
            </w:r>
            <w:r>
              <w:rPr>
                <w:rFonts w:ascii="Arial;Helvetica;sans-serif" w:hAnsi="Arial;Helvetica;sans-serif"/>
                <w:b w:val="false"/>
                <w:i w:val="false"/>
                <w:caps w:val="false"/>
                <w:smallCaps w:val="false"/>
                <w:sz w:val="20"/>
              </w:rPr>
              <w:t>million and $333</w:t>
            </w:r>
            <w:r>
              <w:rPr>
                <w:caps w:val="false"/>
                <w:smallCaps w:val="false"/>
              </w:rPr>
              <w:t xml:space="preserve"> </w:t>
            </w:r>
            <w:r>
              <w:rPr>
                <w:rFonts w:ascii="Arial;Helvetica;sans-serif" w:hAnsi="Arial;Helvetica;sans-serif"/>
                <w:b w:val="false"/>
                <w:i w:val="false"/>
                <w:caps w:val="false"/>
                <w:smallCaps w:val="false"/>
                <w:sz w:val="20"/>
              </w:rPr>
              <w:t>million, respectively, of our Term Loan due 2025. The remaining balance of approximately $167</w:t>
            </w:r>
            <w:r>
              <w:rPr>
                <w:caps w:val="false"/>
                <w:smallCaps w:val="false"/>
              </w:rPr>
              <w:t xml:space="preserve"> </w:t>
            </w:r>
            <w:r>
              <w:rPr>
                <w:rFonts w:ascii="Arial;Helvetica;sans-serif" w:hAnsi="Arial;Helvetica;sans-serif"/>
                <w:b w:val="false"/>
                <w:i w:val="false"/>
                <w:caps w:val="false"/>
                <w:smallCaps w:val="false"/>
                <w:sz w:val="20"/>
              </w:rPr>
              <w:t>million is paid monthly and the final payment is due September 30, 2025.</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A portion of the principal balance of these instruments is classified as </w:t>
            </w:r>
            <w:r>
              <w:rPr>
                <w:caps w:val="false"/>
                <w:smallCaps w:val="false"/>
              </w:rPr>
              <w:t>“</w:t>
            </w:r>
            <w:r>
              <w:rPr>
                <w:rFonts w:ascii="Arial;Helvetica;sans-serif" w:hAnsi="Arial;Helvetica;sans-serif"/>
                <w:b w:val="false"/>
                <w:i w:val="false"/>
                <w:caps w:val="false"/>
                <w:smallCaps w:val="false"/>
                <w:sz w:val="20"/>
              </w:rPr>
              <w:t xml:space="preserve">Current portion of debt, finance lease and other obligations” due to payment terms upon which </w:t>
            </w:r>
            <w:r>
              <w:rPr>
                <w:rFonts w:ascii="Arial;Helvetica;sans-serif" w:hAnsi="Arial;Helvetica;sans-serif"/>
                <w:b w:val="false"/>
                <w:i w:val="false"/>
                <w:caps w:val="false"/>
                <w:smallCaps w:val="false"/>
                <w:color w:val="222222"/>
                <w:sz w:val="20"/>
                <w:shd w:fill="FFFFFF" w:val="clear"/>
              </w:rPr>
              <w:t xml:space="preserve">we will pay a portion of </w:t>
            </w:r>
            <w:r>
              <w:rPr>
                <w:rFonts w:ascii="Arial;Helvetica;sans-serif" w:hAnsi="Arial;Helvetica;sans-serif"/>
                <w:b w:val="false"/>
                <w:i w:val="false"/>
                <w:caps w:val="false"/>
                <w:smallCaps w:val="false"/>
                <w:sz w:val="20"/>
              </w:rPr>
              <w:t>principal balance</w:t>
            </w:r>
            <w:r>
              <w:rPr>
                <w:caps w:val="false"/>
                <w:smallCaps w:val="false"/>
                <w:color w:val="222222"/>
                <w:shd w:fill="FFFFFF" w:val="clear"/>
              </w:rPr>
              <w:t xml:space="preserve"> </w:t>
            </w:r>
            <w:r>
              <w:rPr>
                <w:rFonts w:ascii="Arial;Helvetica;sans-serif" w:hAnsi="Arial;Helvetica;sans-serif"/>
                <w:b w:val="false"/>
                <w:i w:val="false"/>
                <w:caps w:val="false"/>
                <w:smallCaps w:val="false"/>
                <w:sz w:val="20"/>
              </w:rPr>
              <w:t xml:space="preserve">based on the </w:t>
            </w:r>
            <w:r>
              <w:rPr>
                <w:rFonts w:ascii="Arial;Helvetica;sans-serif" w:hAnsi="Arial;Helvetica;sans-serif"/>
                <w:b w:val="false"/>
                <w:i w:val="false"/>
                <w:caps w:val="false"/>
                <w:smallCaps w:val="false"/>
                <w:color w:val="222222"/>
                <w:sz w:val="20"/>
                <w:shd w:fill="FFFFFF" w:val="clear"/>
              </w:rPr>
              <w:t>variable cash flows for certain Pay-TV business metrics which are an estimate and could change significantly based on actual performance.</w:t>
            </w:r>
          </w:p>
        </w:tc>
      </w:tr>
    </w:tbl>
    <w:tbl>
      <w:tblPr>
        <w:tblW w:w="9992" w:type="dxa"/>
        <w:jc w:val="left"/>
        <w:tblInd w:w="0" w:type="dxa"/>
        <w:tblLayout w:type="fixed"/>
        <w:tblCellMar>
          <w:top w:w="0" w:type="dxa"/>
          <w:left w:w="0" w:type="dxa"/>
          <w:bottom w:w="0" w:type="dxa"/>
          <w:right w:w="0" w:type="dxa"/>
        </w:tblCellMar>
      </w:tblPr>
      <w:tblGrid>
        <w:gridCol w:w="346"/>
        <w:gridCol w:w="964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6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Due to the June 30, 2029 mandatory redemption feature of this instrument, it is considered a debt instrument.</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estimated the fair value of our publicly traded long-term debt using market prices in less active markets (Level 2). We estimated the fair value of our non-publicly traded debt based on, among other things, available trade information and/or valuations performed by a third-party (Level 3).</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Senior Notes</w:t>
      </w:r>
    </w:p>
    <w:p>
      <w:pPr>
        <w:pStyle w:val="TextBody"/>
        <w:bidi w:val="0"/>
        <w:spacing w:before="40" w:after="0"/>
        <w:ind w:left="0" w:right="0" w:hanging="0"/>
        <w:jc w:val="left"/>
        <w:rPr>
          <w:color w:val="000000"/>
        </w:rPr>
      </w:pPr>
      <w:r>
        <w:rPr>
          <w:color w:val="000000"/>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below summaries are not complete and are qualified in entirety by reference to the full and complete text of the applicable indentures.</w:t>
      </w:r>
    </w:p>
    <w:p>
      <w:pPr>
        <w:pStyle w:val="TextBody"/>
        <w:bidi w:val="0"/>
        <w:spacing w:before="0" w:after="0"/>
        <w:ind w:left="0" w:right="0" w:hanging="0"/>
        <w:jc w:val="left"/>
        <w:rPr/>
      </w:pPr>
      <w:r>
        <w:rPr/>
        <w:t>​</w:t>
      </w:r>
    </w:p>
    <w:p>
      <w:pPr>
        <w:pStyle w:val="TextBody"/>
        <w:bidi w:val="0"/>
        <w:spacing w:before="4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Unsecured Senior Notes</w:t>
      </w:r>
    </w:p>
    <w:p>
      <w:pPr>
        <w:pStyle w:val="TextBody"/>
        <w:bidi w:val="0"/>
        <w:spacing w:before="0" w:after="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7 3/4%</w:t>
      </w:r>
      <w:r>
        <w:rPr>
          <w:rFonts w:ascii="Calibri Light" w:hAnsi="Calibri Light"/>
          <w:color w:val="000000"/>
          <w:sz w:val="24"/>
        </w:rPr>
        <w:t xml:space="preserve"> </w:t>
      </w:r>
      <w:r>
        <w:rPr>
          <w:rFonts w:ascii="Arial;Helvetica;sans-serif" w:hAnsi="Arial;Helvetica;sans-serif"/>
          <w:i/>
          <w:color w:val="000000"/>
          <w:sz w:val="20"/>
        </w:rPr>
        <w:t>Senior Notes due 2026</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June 13, 2016, we issued $2.0</w:t>
      </w:r>
      <w:r>
        <w:rPr>
          <w:rFonts w:ascii="Helvetica;sans-serif" w:hAnsi="Helvetica;sans-serif"/>
          <w:sz w:val="22"/>
        </w:rPr>
        <w:t xml:space="preserve"> </w:t>
      </w:r>
      <w:r>
        <w:rPr>
          <w:rFonts w:ascii="Arial;Helvetica;sans-serif" w:hAnsi="Arial;Helvetica;sans-serif"/>
          <w:sz w:val="20"/>
        </w:rPr>
        <w:t>billion aggregate principal amount of our ten-year</w:t>
      </w:r>
      <w:r>
        <w:rPr>
          <w:rFonts w:ascii="Helvetica;sans-serif" w:hAnsi="Helvetica;sans-serif"/>
          <w:sz w:val="22"/>
        </w:rPr>
        <w:t xml:space="preserve">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sz w:val="20"/>
        </w:rPr>
        <w:t xml:space="preserve">Senior Notes due July 1, 2026. Interest accrues at an annual rate of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sz w:val="20"/>
        </w:rPr>
        <w:t xml:space="preserve">and is payable semi-annually in cash, in arrears on January 1 and July 1 of each year. </w:t>
      </w:r>
      <w:r>
        <w:rPr>
          <w:rFonts w:ascii="Arial;Helvetica;sans-serif" w:hAnsi="Arial;Helvetica;sans-serif"/>
          <w:color w:val="222222"/>
          <w:sz w:val="20"/>
          <w:shd w:fill="FFFFFF" w:val="clear"/>
        </w:rPr>
        <w:t>We elected not to make the approximately $78</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million cash interest payment due on July 1, 2025 (the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color w:val="222222"/>
          <w:sz w:val="20"/>
          <w:shd w:fill="FFFFFF" w:val="clear"/>
        </w:rPr>
        <w:t>Interest Payment”). Under the related indenture, such non-payment is a default and we had a 30-day</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 xml:space="preserve">grace period to make the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color w:val="222222"/>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July 30, 2025, we made the scheduled </w:t>
      </w:r>
      <w:r>
        <w:rPr>
          <w:rFonts w:ascii="Arial;Helvetica;sans-serif" w:hAnsi="Arial;Helvetica;sans-serif"/>
          <w:b w:val="false"/>
          <w:i w:val="false"/>
          <w:caps w:val="false"/>
          <w:smallCaps w:val="false"/>
          <w:sz w:val="20"/>
        </w:rPr>
        <w:t>7 3/4%</w:t>
      </w:r>
      <w:r>
        <w:rPr>
          <w:rFonts w:ascii="Helvetica;sans-serif" w:hAnsi="Helvetica;sans-serif"/>
          <w:sz w:val="22"/>
        </w:rPr>
        <w:t xml:space="preserve"> </w:t>
      </w:r>
      <w:r>
        <w:rPr>
          <w:rFonts w:ascii="Arial;Helvetica;sans-serif" w:hAnsi="Arial;Helvetica;sans-serif"/>
          <w:sz w:val="20"/>
        </w:rPr>
        <w:t>Interest Payment originally due July 1,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lineRule="auto" w:line="302" w:before="0" w:after="12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7 3/8%</w:t>
      </w:r>
      <w:r>
        <w:rPr>
          <w:rFonts w:ascii="Calibri Light" w:hAnsi="Calibri Light"/>
          <w:color w:val="000000"/>
          <w:sz w:val="24"/>
        </w:rPr>
        <w:t xml:space="preserve"> </w:t>
      </w:r>
      <w:r>
        <w:rPr>
          <w:rFonts w:ascii="Arial;Helvetica;sans-serif" w:hAnsi="Arial;Helvetica;sans-serif"/>
          <w:i/>
          <w:color w:val="000000"/>
          <w:sz w:val="20"/>
        </w:rPr>
        <w:t>Senior Notes due 2028</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July 1, 2020, we issued $1.0</w:t>
      </w:r>
      <w:r>
        <w:rPr>
          <w:rFonts w:ascii="Helvetica;sans-serif" w:hAnsi="Helvetica;sans-serif"/>
          <w:sz w:val="22"/>
        </w:rPr>
        <w:t xml:space="preserve"> </w:t>
      </w:r>
      <w:r>
        <w:rPr>
          <w:rFonts w:ascii="Arial;Helvetica;sans-serif" w:hAnsi="Arial;Helvetica;sans-serif"/>
          <w:sz w:val="20"/>
        </w:rPr>
        <w:t xml:space="preserve">billion aggregate principal amount of our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rPr>
        <w:t xml:space="preserve">Senior Notes due July 1, 2028. Interest accrues at an annual rate of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rPr>
        <w:t xml:space="preserve">and is payable semi-annually in cash, in arrears on January 1 and July 1 of each year. </w:t>
      </w:r>
      <w:r>
        <w:rPr>
          <w:rFonts w:ascii="Arial;Helvetica;sans-serif" w:hAnsi="Arial;Helvetica;sans-serif"/>
          <w:sz w:val="20"/>
          <w:shd w:fill="FFFFFF" w:val="clear"/>
        </w:rPr>
        <w:t>We elected not to make the approximately $37</w:t>
      </w:r>
      <w:r>
        <w:rPr>
          <w:rFonts w:ascii="Helvetica;sans-serif" w:hAnsi="Helvetica;sans-serif"/>
          <w:sz w:val="22"/>
          <w:shd w:fill="FFFFFF" w:val="clear"/>
        </w:rPr>
        <w:t xml:space="preserve"> </w:t>
      </w:r>
      <w:r>
        <w:rPr>
          <w:rFonts w:ascii="Arial;Helvetica;sans-serif" w:hAnsi="Arial;Helvetica;sans-serif"/>
          <w:sz w:val="20"/>
          <w:shd w:fill="FFFFFF" w:val="clear"/>
        </w:rPr>
        <w:t>million cash interest payment due on July 1, 2025 (the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shd w:fill="FFFFFF" w:val="clear"/>
        </w:rPr>
        <w:t>Interest Payment”). Under the related indenture, such non-payment is a default and we had a 30-day</w:t>
      </w:r>
      <w:r>
        <w:rPr>
          <w:rFonts w:ascii="Helvetica;sans-serif" w:hAnsi="Helvetica;sans-serif"/>
          <w:sz w:val="22"/>
          <w:shd w:fill="FFFFFF" w:val="clear"/>
        </w:rPr>
        <w:t xml:space="preserve"> </w:t>
      </w:r>
      <w:r>
        <w:rPr>
          <w:rFonts w:ascii="Arial;Helvetica;sans-serif" w:hAnsi="Arial;Helvetica;sans-serif"/>
          <w:sz w:val="20"/>
          <w:shd w:fill="FFFFFF" w:val="clear"/>
        </w:rPr>
        <w:t xml:space="preserve">grace period to make the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July 30, 2025, we made the scheduled </w:t>
      </w:r>
      <w:r>
        <w:rPr>
          <w:rFonts w:ascii="Arial;Helvetica;sans-serif" w:hAnsi="Arial;Helvetica;sans-serif"/>
          <w:b w:val="false"/>
          <w:i w:val="false"/>
          <w:caps w:val="false"/>
          <w:smallCaps w:val="false"/>
          <w:sz w:val="20"/>
        </w:rPr>
        <w:t>7 3/8%</w:t>
      </w:r>
      <w:r>
        <w:rPr>
          <w:rFonts w:ascii="Helvetica;sans-serif" w:hAnsi="Helvetica;sans-serif"/>
          <w:sz w:val="22"/>
        </w:rPr>
        <w:t xml:space="preserve"> </w:t>
      </w:r>
      <w:r>
        <w:rPr>
          <w:rFonts w:ascii="Arial;Helvetica;sans-serif" w:hAnsi="Arial;Helvetica;sans-serif"/>
          <w:sz w:val="20"/>
        </w:rPr>
        <w:t>Interest Payment originally due July 1,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before="0" w:after="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5 1/8%</w:t>
      </w:r>
      <w:r>
        <w:rPr>
          <w:rFonts w:ascii="Calibri Light" w:hAnsi="Calibri Light"/>
          <w:color w:val="000000"/>
          <w:sz w:val="24"/>
        </w:rPr>
        <w:t xml:space="preserve"> </w:t>
      </w:r>
      <w:r>
        <w:rPr>
          <w:rFonts w:ascii="Arial;Helvetica;sans-serif" w:hAnsi="Arial;Helvetica;sans-serif"/>
          <w:i/>
          <w:color w:val="000000"/>
          <w:sz w:val="20"/>
        </w:rPr>
        <w:t>Senior Notes due 2029</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May 24, 2021, we issued $1.5</w:t>
      </w:r>
      <w:r>
        <w:rPr>
          <w:rFonts w:ascii="Helvetica;sans-serif" w:hAnsi="Helvetica;sans-serif"/>
          <w:sz w:val="22"/>
        </w:rPr>
        <w:t xml:space="preserve"> </w:t>
      </w:r>
      <w:r>
        <w:rPr>
          <w:rFonts w:ascii="Arial;Helvetica;sans-serif" w:hAnsi="Arial;Helvetica;sans-serif"/>
          <w:sz w:val="20"/>
        </w:rPr>
        <w:t xml:space="preserve">billion aggregate principal amount of our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sz w:val="20"/>
        </w:rPr>
        <w:t xml:space="preserve">Senior Notes due June 1, 2029. Interest accrues at an annual rate of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sz w:val="20"/>
        </w:rPr>
        <w:t xml:space="preserve">and is payable semi-annually in cash, in arrears on June 1 and December 1 of each year. </w:t>
      </w:r>
      <w:r>
        <w:rPr>
          <w:rFonts w:ascii="Arial;Helvetica;sans-serif" w:hAnsi="Arial;Helvetica;sans-serif"/>
          <w:sz w:val="20"/>
          <w:shd w:fill="FFFFFF" w:val="clear"/>
        </w:rPr>
        <w:t>We elected not to make the approximately $38</w:t>
      </w:r>
      <w:r>
        <w:rPr>
          <w:rFonts w:ascii="Helvetica;sans-serif" w:hAnsi="Helvetica;sans-serif"/>
          <w:sz w:val="22"/>
          <w:shd w:fill="FFFFFF" w:val="clear"/>
        </w:rPr>
        <w:t xml:space="preserve"> </w:t>
      </w:r>
      <w:r>
        <w:rPr>
          <w:rFonts w:ascii="Arial;Helvetica;sans-serif" w:hAnsi="Arial;Helvetica;sans-serif"/>
          <w:sz w:val="20"/>
          <w:shd w:fill="FFFFFF" w:val="clear"/>
        </w:rPr>
        <w:t>million cash interest payment due on June 2, 2025 (the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sz w:val="20"/>
          <w:shd w:fill="FFFFFF" w:val="clear"/>
        </w:rPr>
        <w:t>Interest Payment”). Under the related indenture, such non-payment is a default and we had a 30-day</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 xml:space="preserve">grace period to make the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color w:val="222222"/>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June 27, 2025, we made the scheduled </w:t>
      </w:r>
      <w:r>
        <w:rPr>
          <w:rFonts w:ascii="Arial;Helvetica;sans-serif" w:hAnsi="Arial;Helvetica;sans-serif"/>
          <w:b w:val="false"/>
          <w:i w:val="false"/>
          <w:caps w:val="false"/>
          <w:smallCaps w:val="false"/>
          <w:sz w:val="20"/>
        </w:rPr>
        <w:t>5 1/8%</w:t>
      </w:r>
      <w:r>
        <w:rPr>
          <w:rFonts w:ascii="Helvetica;sans-serif" w:hAnsi="Helvetica;sans-serif"/>
          <w:sz w:val="22"/>
        </w:rPr>
        <w:t xml:space="preserve"> </w:t>
      </w:r>
      <w:r>
        <w:rPr>
          <w:rFonts w:ascii="Arial;Helvetica;sans-serif" w:hAnsi="Arial;Helvetica;sans-serif"/>
          <w:sz w:val="20"/>
        </w:rPr>
        <w:t>Interest Payment originally due June 2,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before="0" w:after="0"/>
        <w:ind w:left="0" w:right="0" w:hanging="0"/>
        <w:jc w:val="left"/>
        <w:rPr>
          <w:color w:val="222222"/>
          <w:shd w:fill="FFFF00" w:val="clear"/>
        </w:rPr>
      </w:pPr>
      <w:r>
        <w:rPr>
          <w:color w:val="222222"/>
          <w:shd w:fill="FFFF00" w:val="clea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lineRule="auto" w:line="302" w:before="0" w:after="120"/>
        <w:ind w:left="0" w:right="0" w:hanging="0"/>
        <w:jc w:val="left"/>
        <w:rPr>
          <w:color w:val="222222"/>
          <w:shd w:fill="FFFF00" w:val="clear"/>
        </w:rPr>
      </w:pPr>
      <w:r>
        <w:rPr>
          <w:color w:val="222222"/>
          <w:shd w:fill="FFFF00" w:val="clear"/>
        </w:rPr>
        <w:t>​</w:t>
      </w:r>
    </w:p>
    <w:p>
      <w:pPr>
        <w:pStyle w:val="TextBody"/>
        <w:bidi w:val="0"/>
        <w:spacing w:before="4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Senior Secured Notes</w:t>
      </w:r>
    </w:p>
    <w:p>
      <w:pPr>
        <w:pStyle w:val="TextBody"/>
        <w:bidi w:val="0"/>
        <w:spacing w:before="0" w:after="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5 1/4%</w:t>
      </w:r>
      <w:r>
        <w:rPr>
          <w:rFonts w:ascii="Calibri Light" w:hAnsi="Calibri Light"/>
          <w:color w:val="000000"/>
          <w:sz w:val="24"/>
        </w:rPr>
        <w:t xml:space="preserve"> </w:t>
      </w:r>
      <w:r>
        <w:rPr>
          <w:rFonts w:ascii="Arial;Helvetica;sans-serif" w:hAnsi="Arial;Helvetica;sans-serif"/>
          <w:i/>
          <w:color w:val="000000"/>
          <w:sz w:val="20"/>
        </w:rPr>
        <w:t>Senior Secured Notes due 2026</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November 26, 2021, we issued $2.750</w:t>
      </w:r>
      <w:r>
        <w:rPr>
          <w:rFonts w:ascii="Helvetica;sans-serif" w:hAnsi="Helvetica;sans-serif"/>
          <w:sz w:val="22"/>
        </w:rPr>
        <w:t xml:space="preserve"> </w:t>
      </w:r>
      <w:r>
        <w:rPr>
          <w:rFonts w:ascii="Arial;Helvetica;sans-serif" w:hAnsi="Arial;Helvetica;sans-serif"/>
          <w:sz w:val="20"/>
        </w:rPr>
        <w:t xml:space="preserve">billion aggregate principal amount of our </w:t>
      </w:r>
      <w:r>
        <w:rPr>
          <w:rFonts w:ascii="Arial;Helvetica;sans-serif" w:hAnsi="Arial;Helvetica;sans-serif"/>
          <w:b w:val="false"/>
          <w:i w:val="false"/>
          <w:caps w:val="false"/>
          <w:smallCaps w:val="false"/>
          <w:sz w:val="20"/>
        </w:rPr>
        <w:t>5 1/4</w:t>
      </w:r>
      <w:r>
        <w:rPr>
          <w:rFonts w:ascii="Arial;Helvetica;sans-serif" w:hAnsi="Arial;Helvetica;sans-serif"/>
          <w:sz w:val="20"/>
        </w:rPr>
        <w:t xml:space="preserve">% Senior Secured Notes due December 1, 2026. Interest accrues at an annual rate of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and is payable semi-annually in cash, in arrears on June 1 and December 1 of each year. We </w:t>
      </w:r>
      <w:r>
        <w:rPr>
          <w:rFonts w:ascii="Arial;Helvetica;sans-serif" w:hAnsi="Arial;Helvetica;sans-serif"/>
          <w:color w:val="222222"/>
          <w:sz w:val="20"/>
          <w:shd w:fill="FFFFFF" w:val="clear"/>
        </w:rPr>
        <w:t>elected not to make the approximately $72</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million cash interest payment due on June 2, 2025 (the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color w:val="222222"/>
          <w:sz w:val="20"/>
          <w:shd w:fill="FFFFFF" w:val="clear"/>
        </w:rPr>
        <w:t>Interest Payment”). Under the related indenture, such non-payment is a default and we had a 30-day</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 xml:space="preserve">grace period to make 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color w:val="222222"/>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June 27, 2025, we made the scheduled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Interest Payment originally due June 2,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before="0" w:after="0"/>
        <w:ind w:left="0" w:right="0" w:hanging="0"/>
        <w:jc w:val="left"/>
        <w:rPr/>
      </w:pPr>
      <w:r>
        <w:rPr/>
        <w:t>​</w:t>
      </w:r>
    </w:p>
    <w:p>
      <w:pPr>
        <w:pStyle w:val="TextBody"/>
        <w:bidi w:val="0"/>
        <w:spacing w:before="40" w:after="0"/>
        <w:ind w:left="0" w:right="0" w:hanging="0"/>
        <w:jc w:val="left"/>
        <w:rPr>
          <w:rFonts w:ascii="Calibri Light" w:hAnsi="Calibri Light"/>
          <w:color w:val="1F4E79"/>
          <w:sz w:val="24"/>
        </w:rPr>
      </w:pPr>
      <w:r>
        <w:rPr>
          <w:rFonts w:ascii="Arial;Helvetica;sans-serif" w:hAnsi="Arial;Helvetica;sans-serif"/>
          <w:b w:val="false"/>
          <w:i/>
          <w:color w:val="000000"/>
          <w:sz w:val="20"/>
        </w:rPr>
        <w:t>5 3/4%</w:t>
      </w:r>
      <w:r>
        <w:rPr>
          <w:rFonts w:ascii="Calibri Light" w:hAnsi="Calibri Light"/>
          <w:color w:val="000000"/>
          <w:sz w:val="24"/>
        </w:rPr>
        <w:t xml:space="preserve"> </w:t>
      </w:r>
      <w:r>
        <w:rPr>
          <w:rFonts w:ascii="Arial;Helvetica;sans-serif" w:hAnsi="Arial;Helvetica;sans-serif"/>
          <w:i/>
          <w:color w:val="000000"/>
          <w:sz w:val="20"/>
        </w:rPr>
        <w:t>Senior Secured Notes due 2028</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On November 26, 2021, we issued $2.5</w:t>
      </w:r>
      <w:r>
        <w:rPr>
          <w:rFonts w:ascii="Helvetica;sans-serif" w:hAnsi="Helvetica;sans-serif"/>
          <w:sz w:val="22"/>
        </w:rPr>
        <w:t xml:space="preserve"> </w:t>
      </w:r>
      <w:r>
        <w:rPr>
          <w:rFonts w:ascii="Arial;Helvetica;sans-serif" w:hAnsi="Arial;Helvetica;sans-serif"/>
          <w:sz w:val="20"/>
        </w:rPr>
        <w:t xml:space="preserve">billion aggregate principal amount of our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 xml:space="preserve">Senior Secured Notes due December 1, 2028. Interest accrues at an annual rate of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and is payable semi-annually in cash, in arrears on June 1 and December 1 of each year. We</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elected not to make the approximately $72</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million cash interest payment due on June 2, 2025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color w:val="222222"/>
          <w:sz w:val="20"/>
          <w:shd w:fill="FFFFFF" w:val="clear"/>
        </w:rPr>
        <w:t>Interest Payment”). Under the related indenture, such non-payment is a default and we had a 30-day</w:t>
      </w:r>
      <w:r>
        <w:rPr>
          <w:rFonts w:ascii="Helvetica;sans-serif" w:hAnsi="Helvetica;sans-serif"/>
          <w:color w:val="222222"/>
          <w:sz w:val="22"/>
          <w:shd w:fill="FFFFFF" w:val="clear"/>
        </w:rPr>
        <w:t xml:space="preserve"> </w:t>
      </w:r>
      <w:r>
        <w:rPr>
          <w:rFonts w:ascii="Arial;Helvetica;sans-serif" w:hAnsi="Arial;Helvetica;sans-serif"/>
          <w:color w:val="222222"/>
          <w:sz w:val="20"/>
          <w:shd w:fill="FFFFFF" w:val="clear"/>
        </w:rPr>
        <w:t xml:space="preserve">grace period to make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color w:val="222222"/>
          <w:sz w:val="20"/>
          <w:shd w:fill="FFFFFF" w:val="clear"/>
        </w:rPr>
        <w:t>Interest Payment before such non-payment would have been an Event of Default</w:t>
      </w:r>
      <w:r>
        <w:rPr>
          <w:rFonts w:ascii="Arial;Helvetica;sans-serif" w:hAnsi="Arial;Helvetica;sans-serif"/>
          <w:sz w:val="20"/>
        </w:rPr>
        <w:t xml:space="preserve">, as defined in the related indenture. On June 27, 2025, we made the scheduled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Interest Payment originally due June 2, 2025, including interest on the defaulted interest, within the applicable 30-day</w:t>
      </w:r>
      <w:r>
        <w:rPr>
          <w:rFonts w:ascii="Helvetica;sans-serif" w:hAnsi="Helvetica;sans-serif"/>
          <w:sz w:val="22"/>
        </w:rPr>
        <w:t xml:space="preserve"> </w:t>
      </w:r>
      <w:r>
        <w:rPr>
          <w:rFonts w:ascii="Arial;Helvetica;sans-serif" w:hAnsi="Arial;Helvetica;sans-serif"/>
          <w:sz w:val="20"/>
        </w:rPr>
        <w:t>grace period to make such interest payment.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pBdr/>
        <w:bidi w:val="0"/>
        <w:spacing w:before="0" w:after="0"/>
        <w:ind w:left="0" w:right="0" w:hanging="360"/>
        <w:jc w:val="left"/>
        <w:rPr/>
      </w:pPr>
      <w:bookmarkStart w:id="899" w:name="_DV_C110"/>
      <w:bookmarkEnd w:id="899"/>
      <w:r>
        <w:rPr/>
        <w:t>​</w:t>
      </w:r>
    </w:p>
    <w:tbl>
      <w:tblPr>
        <w:tblW w:w="3602" w:type="dxa"/>
        <w:jc w:val="left"/>
        <w:tblInd w:w="0" w:type="dxa"/>
        <w:tblLayout w:type="fixed"/>
        <w:tblCellMar>
          <w:top w:w="0" w:type="dxa"/>
          <w:left w:w="0" w:type="dxa"/>
          <w:bottom w:w="0" w:type="dxa"/>
          <w:right w:w="0" w:type="dxa"/>
        </w:tblCellMar>
      </w:tblPr>
      <w:tblGrid>
        <w:gridCol w:w="286"/>
        <w:gridCol w:w="3316"/>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8.</w:t>
            </w:r>
          </w:p>
        </w:tc>
        <w:tc>
          <w:tcPr>
            <w:tcW w:w="331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 xml:space="preserve">Commitments and Contingencies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Commitments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commitments include certain obligations incurred by us on behalf of DISH Network’s Wireless segment. These obligations will be either paid directly by DISH Network or settled monthly as part of our centralized cash management system with our parent, DISH Network. See Note 3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5G Network Deployment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DISH Network initially invested a total of over $30</w:t>
      </w:r>
      <w:r>
        <w:rPr>
          <w:rFonts w:ascii="Times New Roman;Times;serif" w:hAnsi="Times New Roman;Times;serif"/>
          <w:sz w:val="20"/>
        </w:rPr>
        <w:t xml:space="preserve"> </w:t>
      </w:r>
      <w:r>
        <w:rPr>
          <w:rFonts w:ascii="Arial;Helvetica;sans-serif" w:hAnsi="Arial;Helvetica;sans-serif"/>
          <w:sz w:val="20"/>
        </w:rPr>
        <w:t>billion in wireless spectrum licenses. DISH Network’s wireless spectrum licenses are subject to certain interim and final build-out requirements, as well as certain renewal requirements. DISH Network continues to commercialize its wireless spectrum licenses through the completion of the nation’s first cloud-native, Open Radio Access Network (“O-RAN”) based 5G VoNR and broadband network (the “5G Network”). DISH Network currently expects capital expenditures, excluding capitalized interest</w:t>
      </w:r>
      <w:r>
        <w:rPr>
          <w:rFonts w:ascii="Arial;Helvetica;sans-serif" w:hAnsi="Arial;Helvetica;sans-serif"/>
          <w:sz w:val="20"/>
          <w:shd w:fill="FFFFFF" w:val="clear"/>
        </w:rPr>
        <w:t>,</w:t>
      </w:r>
      <w:r>
        <w:rPr>
          <w:rFonts w:ascii="Times New Roman;Times;serif" w:hAnsi="Times New Roman;Times;serif"/>
          <w:sz w:val="20"/>
        </w:rPr>
        <w:t xml:space="preserve"> </w:t>
      </w:r>
      <w:r>
        <w:rPr>
          <w:rFonts w:ascii="Arial;Helvetica;sans-serif" w:hAnsi="Arial;Helvetica;sans-serif"/>
          <w:sz w:val="20"/>
        </w:rPr>
        <w:t>for its 5G Network to be approximately $10</w:t>
      </w:r>
      <w:r>
        <w:rPr>
          <w:rFonts w:ascii="Times New Roman;Times;serif" w:hAnsi="Times New Roman;Times;serif"/>
          <w:sz w:val="20"/>
        </w:rPr>
        <w:t xml:space="preserve"> </w:t>
      </w:r>
      <w:r>
        <w:rPr>
          <w:rFonts w:ascii="Arial;Helvetica;sans-serif" w:hAnsi="Arial;Helvetica;sans-serif"/>
          <w:sz w:val="20"/>
        </w:rPr>
        <w:t>billion, including amounts incurred to date since 2021.</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DISH Network will need to make significant additional investments or partner with others to, among other things, continue its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DISH Network continues its 5G Network deployment, DISH Network has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DISH Network will need to raise additional capital, which may not be available on favorable terms or at all. DISH Network may also determine that additional wireless spectrum licenses may be required for its 5G Network deployment, which will enhance its ability to compete effectively with other wireless service providers.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connection with the development of DISH Network’s wireless business, including, without limitation, the efforts described above, we have made cash distributions and intercompany loans to partially finance these efforts to date and may make additional cash distributions or loans to finance, in whole or in part, DISH Network’s future efforts, including, among other things, any potential Northstar re-auction payment and SNR re-auction payment. There can be no assurance that DISH Network will be able to complete all build-out requirements or profitably deploy these wireless spectrum licenses.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See Note 10 </w:t>
      </w:r>
      <w:r>
        <w:rPr>
          <w:rFonts w:ascii="Times New Roman;Times;serif" w:hAnsi="Times New Roman;Times;serif"/>
          <w:sz w:val="20"/>
        </w:rPr>
        <w:t>“</w:t>
      </w:r>
      <w:r>
        <w:rPr>
          <w:rFonts w:ascii="Arial;Helvetica;sans-serif" w:hAnsi="Arial;Helvetica;sans-serif"/>
          <w:i/>
          <w:sz w:val="20"/>
        </w:rPr>
        <w:t>Commitments and Contingencies – Commitments – 5G Network”</w:t>
      </w:r>
      <w:r>
        <w:rPr>
          <w:rFonts w:ascii="Times New Roman;Times;serif" w:hAnsi="Times New Roman;Times;serif"/>
          <w:sz w:val="20"/>
        </w:rPr>
        <w:t xml:space="preserve"> </w:t>
      </w:r>
      <w:r>
        <w:rPr>
          <w:rFonts w:ascii="Arial;Helvetica;sans-serif" w:hAnsi="Arial;Helvetica;sans-serif"/>
          <w:sz w:val="20"/>
        </w:rPr>
        <w:t>in the Notes to</w:t>
      </w:r>
      <w:r>
        <w:rPr>
          <w:rFonts w:ascii="Times New Roman;Times;serif" w:hAnsi="Times New Roman;Times;serif"/>
          <w:sz w:val="20"/>
        </w:rPr>
        <w:t xml:space="preserve"> </w:t>
      </w:r>
      <w:r>
        <w:rPr>
          <w:rFonts w:ascii="Arial;Helvetica;sans-serif" w:hAnsi="Arial;Helvetica;sans-serif"/>
          <w:sz w:val="20"/>
        </w:rPr>
        <w:t>EchoStar’s Quarterly Report on Form 10-Q for the quarter ended June 30, 2025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900" w:name="_DV_C2966"/>
      <w:bookmarkEnd w:id="900"/>
      <w:r>
        <w:rPr>
          <w:rFonts w:ascii="Arial;Helvetica;sans-serif" w:hAnsi="Arial;Helvetica;sans-serif"/>
          <w:b/>
          <w:sz w:val="20"/>
        </w:rPr>
        <w:t>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ClearPlay, Inc.</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Arial;Helvetica;sans-serif" w:hAnsi="Arial;Helvetica;sans-serif"/>
          <w:sz w:val="20"/>
        </w:rPr>
        <w:t>On March 13, 2014, ClearPlay, Inc. (“ClearPlay”) filed a complaint against EchoStar and its wholly-owned subsidiaries DISH Network, DISH Network L.L.C., and EchoStar’s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w:t>
      </w:r>
      <w:r>
        <w:rPr>
          <w:rFonts w:ascii="Times New Roman;Times;serif" w:hAnsi="Times New Roman;Times;serif"/>
          <w:sz w:val="20"/>
        </w:rPr>
        <w:t xml:space="preserve">™ </w:t>
      </w:r>
      <w:r>
        <w:rPr>
          <w:rFonts w:ascii="Arial;Helvetica;sans-serif" w:hAnsi="Arial;Helvetica;sans-serif"/>
          <w:sz w:val="20"/>
        </w:rPr>
        <w:t>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EchoStar and DISH Network as defendants, leaving DISH Network L.L.C. and DISH Technologies L.L.C. as the sole defendants.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w:t>
      </w:r>
      <w:r>
        <w:rPr>
          <w:rFonts w:ascii="Times New Roman;Times;serif" w:hAnsi="Times New Roman;Times;serif"/>
          <w:sz w:val="20"/>
        </w:rPr>
        <w:t xml:space="preserve"> </w:t>
      </w:r>
      <w:r>
        <w:rPr>
          <w:rFonts w:ascii="Arial;Helvetica;sans-serif" w:hAnsi="Arial;Helvetica;sans-serif"/>
          <w:sz w:val="20"/>
        </w:rPr>
        <w:t>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was completed on November 27,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Data Breach Class 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May 9, 2023, Susan Owen-Brooks, an alleged customer, filed a putative class action complaint against DISH Network, our parent,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w:t>
      </w:r>
      <w:r>
        <w:rPr>
          <w:rFonts w:ascii="Times New Roman;Times;serif" w:hAnsi="Times New Roman;Times;serif"/>
          <w:sz w:val="20"/>
        </w:rPr>
        <w:t xml:space="preserve"> </w:t>
      </w:r>
      <w:r>
        <w:rPr>
          <w:rFonts w:ascii="Arial;Helvetica;sans-serif" w:hAnsi="Arial;Helvetica;sans-serif"/>
          <w:sz w:val="20"/>
        </w:rPr>
        <w:t>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DISH Network’s motion to dismiss the First Amended Consolidated Class Action Complaint as to eight</w:t>
      </w:r>
      <w:r>
        <w:rPr>
          <w:rFonts w:ascii="Times New Roman;Times;serif" w:hAnsi="Times New Roman;Times;serif"/>
          <w:sz w:val="20"/>
        </w:rPr>
        <w:t xml:space="preserve"> </w:t>
      </w:r>
      <w:r>
        <w:rPr>
          <w:rFonts w:ascii="Arial;Helvetica;sans-serif" w:hAnsi="Arial;Helvetica;sans-serif"/>
          <w:sz w:val="20"/>
        </w:rPr>
        <w:t>of the eleven</w:t>
      </w:r>
      <w:r>
        <w:rPr>
          <w:rFonts w:ascii="Times New Roman;Times;serif" w:hAnsi="Times New Roman;Times;serif"/>
          <w:sz w:val="20"/>
        </w:rPr>
        <w:t xml:space="preserve"> </w:t>
      </w:r>
      <w:r>
        <w:rPr>
          <w:rFonts w:ascii="Arial;Helvetica;sans-serif" w:hAnsi="Arial;Helvetica;sans-serif"/>
          <w:sz w:val="20"/>
        </w:rPr>
        <w:t>named plaintiffs and as to certain causes of action. On October 29, 2024, the Plaintiffs filed the operative Second Amended Consolidated Class Action Complaint, which deletes the allegations as to the dismissed plaintiffs and causes of action, leaving three</w:t>
      </w:r>
      <w:r>
        <w:rPr>
          <w:rFonts w:ascii="Times New Roman;Times;serif" w:hAnsi="Times New Roman;Times;serif"/>
          <w:sz w:val="20"/>
        </w:rPr>
        <w:t xml:space="preserve"> </w:t>
      </w:r>
      <w:r>
        <w:rPr>
          <w:rFonts w:ascii="Arial;Helvetica;sans-serif" w:hAnsi="Arial;Helvetica;sans-serif"/>
          <w:sz w:val="20"/>
        </w:rPr>
        <w:t>named plaintiffs and causes of action for negligence, negligence per se, breach of implied contract, and declaratory judgment.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DISH Network intends to vigorously defend this case. DISH Network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Digital Broadcasting Solutions, LLC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In May 2023, DISH Network L.L.C. and DISH Technologies L.L.C. filed petitions with the United States Patent and Trademark Office challenging the validity of all claims of the 710 patent and the 122 patent and, on December 9, 2024, the United States Patent and Trademark Office issued final written decisions invalidating 38 of the 39 challenged claims. On January 13, 2025, Digital Broadcasting Solutions filed a notice of appeal of those final written decisions, and on February 7, 2025, DISH Network L.L.C. and DISH Technologies L.L.C. cross-appealed as to the single patent claim that wasn’t invalidated. Briefing is underway. </w:t>
      </w:r>
      <w:r>
        <w:rPr>
          <w:rFonts w:ascii="Arial;Helvetica;sans-serif" w:hAnsi="Arial;Helvetica;sans-serif"/>
          <w:color w:val="222222"/>
          <w:sz w:val="20"/>
        </w:rPr>
        <w:t>The underlying case has been stayed since May 9, 2024,</w:t>
      </w:r>
      <w:r>
        <w:rPr>
          <w:rFonts w:ascii="Times New Roman;Times;serif" w:hAnsi="Times New Roman;Times;serif"/>
          <w:sz w:val="20"/>
        </w:rPr>
        <w:t xml:space="preserve"> </w:t>
      </w:r>
      <w:r>
        <w:rPr>
          <w:rFonts w:ascii="Arial;Helvetica;sans-serif" w:hAnsi="Arial;Helvetica;sans-serif"/>
          <w:sz w:val="20"/>
        </w:rPr>
        <w:t>pending resolution of the petitions before the United States Patent and Trademark Office and any related appeals.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i/>
          <w:sz w:val="20"/>
        </w:rPr>
      </w:pPr>
      <w:r>
        <w:rPr>
          <w:rFonts w:ascii="Arial;Helvetica;sans-serif" w:hAnsi="Arial;Helvetica;sans-serif"/>
          <w:i/>
          <w:sz w:val="20"/>
        </w:rPr>
        <w:t>Entropic Communications, LLC (first action)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On March 9, 2022, Entropic Communications, LLC (“Entropic”) filed a complaint against DISH Network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The plaintiff is an entity that seeks to license a patent portfolio without itself practicing any of the claims recited therein.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24, 2022, this case was ordered to be transferred to the United States District Court for the Central District of California. A companion case against DirecTV was also ordered transferred to the United States District Court for the Central District of California. In January and February of 2023, DISH Network L.L.C. and Dish Network Service L.L.C. filed petitions with the 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 but on May 20, 2025, it affirmed the patent’s validity.</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i/>
          <w:sz w:val="20"/>
        </w:rPr>
      </w:pPr>
      <w:r>
        <w:rPr>
          <w:rFonts w:ascii="Arial;Helvetica;sans-serif" w:hAnsi="Arial;Helvetica;sans-serif"/>
          <w:i/>
          <w:sz w:val="20"/>
        </w:rPr>
        <w:t>Entropic Communications, LLC (second action)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On February 10, 2023, Entropic filed a second lawsuit against DISH Network and our wholly-owned subsidiaries 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On February 24, 2025, the Court granted other defendants’ motions to dismiss the claims arising from the 213 patent, the 422 patent, the 681 patent and the 802 patent on the grounds that they claimed in eligible subject matter. In a claim construction order issued on April 18, 2025, the Court found that the asserted claim of the 539 patent is invalid as indefinite.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On July 22, 2025, the United States Patent and Trademark Office issued final written decisions invalidating the asserted claims of the 249 patent and the 518 patent.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Jones 401(k)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On December 20, 2021, four former employees filed a class action complaint in the United States District Court for the District of Colorado against DISH Network, DISH Network’s Board of Directors, and DISH Network’s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Helvetica;sans-serif" w:hAnsi="Arial;Helvetica;sans-serif"/>
          <w:sz w:val="20"/>
          <w:shd w:fill="FFFFFF" w:val="clear"/>
        </w:rPr>
        <w:t>On 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 On April 30, 2024, pursuant to the parties’ stipulation, the Court certified the proposed plaintiff class. Pursuant to the parties’ stipulation, the case was stayed from October 30, 2024 through May 29, 2025 to facilitate a mediation, but the parties did not reach a settlement.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DISH Network intends to vigorously defend this case. DISH Network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Lingam Securities Class Action (formerly Jaramillo)</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23, 2023, a securities fraud class action complaint was filed against DISH Network and Messrs. Ergen, Carlson and Orban in the United States District Court for the District of Colorado. The complaint was brought on behalf of a putative class of purchasers of DISH Network’s securities during the February 22, 2021 to February 27, 2023 class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general, the complaint alleged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August 2023, the Court appointed a new lead plaintiff and lead plaintiff’s counsel, and on October 20, 2023, they filed a First Amended Complaint that abandoned the original allegations. In their First Amended Complaint, plaintiffs alleged that, during the class period, the defendants concealed problems concerning the 5G network build-out that prevented scaling and commercializing the network to obtain enterprise customers.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amended complaint added as individual defendants James S. Allen, DISH Network’s Senior Vice President and Chief Accounting Officer; John Swieringa, DISH Network’s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After the defendants filed a motion to dismiss the First Amended Complaint, the plaintiffs filed a Second Amended Complaint, asserting the same theory, on February 23, 2024. The new complaint drops Erik Carlson, John Swieringa, Paul Orban and James Allen as individual defendants. The defendants filed a motion to dismiss the Second Amended Complaint, and on March 20, 2025, the Court granted the motion without granting plaintiffs permission to further amend. On April 18, 2025, the plaintiffs filed a notice of appeal and briefing is underway.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DISH Network intends to vigorously defend this case. DISH Network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Realtime Data LLC and Realtime Adaptive Streaming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6, 2017, Realtime Data LLC d/b/a IXO (“Realtime”) filed an amended complaint in the United States District Court for the Eastern District of Texas (the “Original Texas Action”) against EchoStar, DISH Network; our wholly-owned subsidiaries DISH Network L.L.C., DISH Technologies L.L.C. (then known as EchoStar Technologies L.L.C.), Sling TV L.L.C., Sling Media L.L.C. and EchoStar’s wholly-owned subsidiary Hughes Network Systems, L.L.C. (“HNS”); and Arris Group, Inc. Realtime’s initial complaint in the Original Texas Action, filed on February 14, 2017, had named only EchoStar and HNS as defendants.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Realtime alleges that DISH Network’s,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901" w:name="_DV_C2621"/>
      <w:bookmarkEnd w:id="901"/>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w:t>
      </w:r>
      <w:r>
        <w:rPr>
          <w:rFonts w:ascii="Times New Roman;Times;serif" w:hAnsi="Times New Roman;Times;serif"/>
          <w:sz w:val="20"/>
        </w:rPr>
        <w:t xml:space="preserve"> </w:t>
      </w:r>
      <w:r>
        <w:rPr>
          <w:rFonts w:ascii="Arial;Helvetica;sans-serif" w:hAnsi="Arial;Helvetica;sans-serif"/>
          <w:sz w:val="20"/>
        </w:rPr>
        <w:t>EchoStar and HNS were dismissed from the Original Texas Action in February 2019, and Arris Group, Inc. was dismissed from the Colorado Action in March 2021.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DISH Network’s petitions, and it held trial on the petitions on December 5, 2019. On January 17, 2020, the United States Patent and Trademark Office terminated the petitions as time-barred, but issued a final written decision invalidating the 535 patent to third parties that had timely joined in DISH Network’s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w:t>
      </w:r>
      <w:r>
        <w:rPr>
          <w:rFonts w:ascii="Arial;Helvetica;sans-serif" w:hAnsi="Arial;Helvetica;sans-serif"/>
          <w:spacing w:val="-2"/>
          <w:sz w:val="20"/>
        </w:rPr>
        <w:t xml:space="preserve">On March 16, 2021, the Court of Appeals dismissed the appeal for lack of jurisdiction. </w:t>
      </w:r>
      <w:r>
        <w:rPr>
          <w:rFonts w:ascii="Arial;Helvetica;sans-serif" w:hAnsi="Arial;Helvetica;sans-serif"/>
          <w:sz w:val="20"/>
        </w:rPr>
        <w:t>On April 29, 2021, Sling TV L.L.C., Sling Media L.L.C., DISH Network L.L.C., and DISH Technologies L.L.C. filed a petition for rehearing, which was denied on June 28, 2021.</w:t>
      </w:r>
      <w:r>
        <w:rPr>
          <w:rFonts w:ascii="Times New Roman;Times;serif" w:hAnsi="Times New Roman;Times;serif"/>
          <w:sz w:val="20"/>
        </w:rPr>
        <w:t xml:space="preserve"> </w:t>
      </w:r>
      <w:r>
        <w:rPr>
          <w:rFonts w:ascii="Arial;Helvetica;sans-serif" w:hAnsi="Arial;Helvetica;sans-serif"/>
          <w:spacing w:val="-2"/>
          <w:sz w:val="20"/>
        </w:rPr>
        <w:t>On January 12, 2021, Realtime Adaptive Streaming filed a notice of dismissal of its claims on the 535 patent.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July 30, 2021, the District Court granted summary judgment in favor of DISH Network L.L.C., DISH Technologies L.L.C., Sling TV L.L.C. and Sling Media L.L.C., holding that the remaining asserted patent, the 610 patent, is invalid because it claims patent-ineligible abstract subject matter.</w:t>
      </w:r>
      <w:r>
        <w:rPr>
          <w:rFonts w:ascii="Times New Roman;Times;serif" w:hAnsi="Times New Roman;Times;serif"/>
          <w:spacing w:val="-2"/>
          <w:sz w:val="20"/>
        </w:rPr>
        <w:t xml:space="preserve"> </w:t>
      </w:r>
      <w:r>
        <w:rPr>
          <w:rFonts w:ascii="Arial;Helvetica;sans-serif" w:hAnsi="Arial;Helvetica;sans-serif"/>
          <w:spacing w:val="-2"/>
          <w:sz w:val="20"/>
        </w:rPr>
        <w:t>Realtime Adaptive Streaming appealed that ruling to the United States Court of Appeals for the Federal Circuit</w:t>
      </w:r>
      <w:r>
        <w:rPr>
          <w:rFonts w:ascii="Arial;Helvetica;sans-serif" w:hAnsi="Arial;Helvetica;sans-serif"/>
          <w:sz w:val="20"/>
        </w:rPr>
        <w:t xml:space="preserve">, and on May 11, 2023, that Court affirmed the District Court’s summary judgment order. </w:t>
      </w:r>
      <w:r>
        <w:rPr>
          <w:rFonts w:ascii="Arial;Helvetica;sans-serif" w:hAnsi="Arial;Helvetica;sans-serif"/>
          <w:spacing w:val="-2"/>
          <w:sz w:val="20"/>
        </w:rPr>
        <w:t xml:space="preserve">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w:t>
      </w:r>
      <w:r>
        <w:rPr>
          <w:rFonts w:ascii="Arial;Helvetica;sans-serif" w:hAnsi="Arial;Helvetica;sans-serif"/>
          <w:sz w:val="20"/>
        </w:rPr>
        <w:t>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pStyle w:val="TextBody"/>
        <w:bidi w:val="0"/>
        <w:spacing w:before="0" w:after="0"/>
        <w:ind w:left="0" w:right="0" w:hanging="0"/>
        <w:jc w:val="left"/>
        <w:rPr>
          <w:spacing w:val="-2"/>
        </w:rPr>
      </w:pPr>
      <w:r>
        <w:rPr>
          <w:spacing w:val="-2"/>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pacing w:val="-2"/>
          <w:sz w:val="20"/>
        </w:rPr>
        <w:t xml:space="preserve">On January 21, 2022, the District Court granted the motion </w:t>
      </w:r>
      <w:r>
        <w:rPr>
          <w:rFonts w:ascii="Arial;Helvetica;sans-serif" w:hAnsi="Arial;Helvetica;sans-serif"/>
          <w:sz w:val="20"/>
        </w:rPr>
        <w:t>by DISH Network L.L.C., DISH Technologies L.L.C., Sling TV L.L.C. and Sling Media L.L.C.</w:t>
      </w:r>
      <w:r>
        <w:rPr>
          <w:rFonts w:ascii="Times New Roman;Times;serif" w:hAnsi="Times New Roman;Times;serif"/>
          <w:spacing w:val="-2"/>
          <w:sz w:val="20"/>
        </w:rPr>
        <w:t xml:space="preserve"> </w:t>
      </w:r>
      <w:r>
        <w:rPr>
          <w:rFonts w:ascii="Arial;Helvetica;sans-serif" w:hAnsi="Arial;Helvetica;sans-serif"/>
          <w:spacing w:val="-2"/>
          <w:sz w:val="20"/>
        </w:rPr>
        <w:t>to have the case declared “exceptional,” and on September 20, 2022, awarded them $3.9</w:t>
      </w:r>
      <w:r>
        <w:rPr>
          <w:rFonts w:ascii="Times New Roman;Times;serif" w:hAnsi="Times New Roman;Times;serif"/>
          <w:spacing w:val="-2"/>
          <w:sz w:val="20"/>
        </w:rPr>
        <w:t xml:space="preserve"> </w:t>
      </w:r>
      <w:r>
        <w:rPr>
          <w:rFonts w:ascii="Arial;Helvetica;sans-serif" w:hAnsi="Arial;Helvetica;sans-serif"/>
          <w:spacing w:val="-2"/>
          <w:sz w:val="20"/>
        </w:rPr>
        <w:t xml:space="preserve">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November 26, 2024, the United States Court of Appeals for the Federal Circuit denied DISH Network L.L.C., DISH Technologies L.L.C., Sling TV L.L.C. and Sling Media L.L.C.’s petition seeking rehearing en banc. </w:t>
      </w:r>
      <w:r>
        <w:rPr>
          <w:rFonts w:ascii="Arial;Helvetica;sans-serif" w:hAnsi="Arial;Helvetica;sans-serif"/>
          <w:sz w:val="20"/>
        </w:rPr>
        <w:t>On February 5, 2025, on remand, the District Court denied the motion to declare the case exceptional. On March 6, 2025, DISH Network L.L.C., DISH Technologies L.L.C., Sling TV L.L.C. and Sling Media L.L.C. filed a notice of appeal of that order, but dismissed the appeal on July 3, 2025. This matter is now concluded.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SafeCast Limited</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27, 2022, SafeCast Limited filed a complaint against DISH Network in the United States District Court for the Western District of Texas. The complaint alleges that DISH Network infringes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DISH Network transferred to the United States District Court for the District of Colorado.</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December 1, 2022, SafeCast filed an amended complaint naming our wholly-owned subsidiaries DISH Network L.L.C. and DISH Technologies L.L.C. as defendants and withdrawing the allegations as to DISH Network. The plaintiff is an entity that seeks to license a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third-party’s petition citing different prior art, the United States Patent and Trademark Office invalidated all claims asserted against DISH Network L.L.C. and DISH Technologies L.L.C. Because SafeCast Limited did not appeal that decision, on January 27, 2025, the United States Patent and Trademark Office issued a certificate canceling the challenged claims. As a result, DISH Network L.L.C. and DISH Technologies L.L.C. filed a motion to terminate their petition before the United States Patent and Trademark Office, which was granted on June 5, 2025. On July 28, 2025, the District Court dismissed the litigation. This matter is now concluded.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bookmarkStart w:id="902" w:name="_DV_M1612"/>
      <w:bookmarkStart w:id="903" w:name="_DV_C2193"/>
      <w:bookmarkEnd w:id="902"/>
      <w:bookmarkEnd w:id="903"/>
      <w:r>
        <w:rPr>
          <w:rFonts w:ascii="Arial;Helvetica;sans-serif" w:hAnsi="Arial;Helvetica;sans-serif"/>
          <w:i/>
          <w:sz w:val="20"/>
        </w:rPr>
        <w:t>Sound View Innovations,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 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Federal Circuit heard oral argument on the 796 patent appeal on October 3, 2023, and affirmed the United States Patent and Trademark Office’s adverse final written decision on October 5,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w:t>
      </w:r>
      <w:r>
        <w:rPr>
          <w:rFonts w:ascii="Times New Roman;Times;serif" w:hAnsi="Times New Roman;Times;serif"/>
          <w:sz w:val="20"/>
        </w:rPr>
        <w:t xml:space="preserve"> </w:t>
      </w:r>
      <w:r>
        <w:rPr>
          <w:rFonts w:ascii="Arial;Helvetica;sans-serif" w:hAnsi="Arial;Helvetica;sans-serif"/>
          <w:sz w:val="20"/>
        </w:rPr>
        <w:t>On January 18, 2023, DISH Network L.L.C., DISH Technologies L.L.C. and Sling TV L.L.C. filed a second petition requesting ex parte reexamination of the validity of the four other asserted claims of the 213 patent, reexamination was ordered on April 17, 2023 and it remains pending. On October 17, 2024, the Court ordered that the stay of the case, which had been entered for the pendency of the original petitions before the United States Patent and Trademark Office, would remain in place pending the outcome of Sound View’s appeal in a parallel action against Hulu.</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TQ Delta,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17, 2015, TQ Delta, LLC (“TQ Delta”) filed a complaint against us, DISH Network and our wholly-owned subsidiary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 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their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w:t>
      </w:r>
      <w:r>
        <w:rPr>
          <w:rFonts w:ascii="Times New Roman;Times;serif" w:hAnsi="Times New Roman;Times;serif"/>
          <w:sz w:val="20"/>
        </w:rPr>
        <w:t xml:space="preserve"> </w:t>
      </w:r>
      <w:r>
        <w:rPr>
          <w:rFonts w:ascii="Arial;Helvetica;sans-serif" w:hAnsi="Arial;Helvetica;sans-serif"/>
          <w:sz w:val="20"/>
        </w:rPr>
        <w:t>million in damages. The Court has set a trial date of November 8, 2027.</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Uniloc 2017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color w:val="000000"/>
          <w:sz w:val="20"/>
        </w:rPr>
      </w:pPr>
      <w:bookmarkStart w:id="904" w:name="_DV_X19"/>
      <w:bookmarkEnd w:id="904"/>
      <w:r>
        <w:rPr>
          <w:rFonts w:ascii="Arial;Helvetica;sans-serif" w:hAnsi="Arial;Helvetica;sans-serif"/>
          <w:i/>
          <w:color w:val="000000"/>
          <w:sz w:val="20"/>
        </w:rPr>
        <w:t>U.S. Bank Trust Company</w:t>
      </w:r>
    </w:p>
    <w:p>
      <w:pPr>
        <w:pStyle w:val="TextBody"/>
        <w:pBdr/>
        <w:bidi w:val="0"/>
        <w:spacing w:lineRule="auto" w:line="302" w:before="0" w:after="120"/>
        <w:ind w:left="0" w:right="0" w:hanging="9"/>
        <w:jc w:val="left"/>
        <w:rPr/>
      </w:pPr>
      <w:r>
        <w:rPr/>
        <w:t>​</w:t>
      </w:r>
    </w:p>
    <w:p>
      <w:pPr>
        <w:pStyle w:val="TextBody"/>
        <w:pBdr/>
        <w:bidi w:val="0"/>
        <w:spacing w:lineRule="auto" w:line="302" w:before="0" w:after="0"/>
        <w:ind w:left="0" w:right="0" w:hanging="9"/>
        <w:jc w:val="left"/>
        <w:rPr>
          <w:rFonts w:ascii="Helvetica;sans-serif" w:hAnsi="Helvetica;sans-serif"/>
          <w:sz w:val="20"/>
        </w:rPr>
      </w:pPr>
      <w:r>
        <w:rPr>
          <w:rFonts w:ascii="Arial;Helvetica;sans-serif" w:hAnsi="Arial;Helvetica;sans-serif"/>
          <w:sz w:val="20"/>
        </w:rPr>
        <w:t>On April 26, 2024, U.S. Bank Trust Company, in its capacity as Trustee under the Indentures for DISH DBS Corporation’s 5.75%</w:t>
      </w:r>
      <w:r>
        <w:rPr>
          <w:rFonts w:ascii="Helvetica;sans-serif" w:hAnsi="Helvetica;sans-serif"/>
          <w:sz w:val="20"/>
        </w:rPr>
        <w:t xml:space="preserve"> </w:t>
      </w:r>
      <w:r>
        <w:rPr>
          <w:rFonts w:ascii="Arial;Helvetica;sans-serif" w:hAnsi="Arial;Helvetica;sans-serif"/>
          <w:sz w:val="20"/>
        </w:rPr>
        <w:t>Senior Secured Notes due 2028 and 7.75%</w:t>
      </w:r>
      <w:r>
        <w:rPr>
          <w:rFonts w:ascii="Helvetica;sans-serif" w:hAnsi="Helvetica;sans-serif"/>
          <w:sz w:val="20"/>
        </w:rPr>
        <w:t xml:space="preserve"> </w:t>
      </w:r>
      <w:r>
        <w:rPr>
          <w:rFonts w:ascii="Arial;Helvetica;sans-serif" w:hAnsi="Arial;Helvetica;sans-serif"/>
          <w:sz w:val="20"/>
        </w:rPr>
        <w:t>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w:t>
      </w:r>
    </w:p>
    <w:p>
      <w:pPr>
        <w:pStyle w:val="TextBody"/>
        <w:pBdr/>
        <w:bidi w:val="0"/>
        <w:spacing w:lineRule="auto" w:line="302" w:before="0" w:after="120"/>
        <w:ind w:left="0" w:right="0" w:hanging="9"/>
        <w:jc w:val="left"/>
        <w:rPr/>
      </w:pPr>
      <w:r>
        <w:rPr/>
        <w:t>​</w:t>
      </w:r>
    </w:p>
    <w:p>
      <w:pPr>
        <w:pStyle w:val="TextBody"/>
        <w:pBdr/>
        <w:bidi w:val="0"/>
        <w:spacing w:lineRule="auto" w:line="302" w:before="0" w:after="0"/>
        <w:ind w:left="0" w:right="0" w:hanging="9"/>
        <w:jc w:val="left"/>
        <w:rPr>
          <w:rFonts w:ascii="Arial;Helvetica;sans-serif" w:hAnsi="Arial;Helvetica;sans-serif"/>
          <w:sz w:val="20"/>
        </w:rPr>
      </w:pPr>
      <w:r>
        <w:rPr>
          <w:rFonts w:ascii="Arial;Helvetica;sans-serif" w:hAnsi="Arial;Helvetica;sans-serif"/>
          <w:sz w:val="20"/>
        </w:rPr>
        <w:t>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the debt issued by DBS SubscriberCo, a related intercompany loan, and the DIRECTV transaction.</w:t>
      </w:r>
    </w:p>
    <w:p>
      <w:pPr>
        <w:pStyle w:val="TextBody"/>
        <w:pBdr/>
        <w:bidi w:val="0"/>
        <w:spacing w:lineRule="auto" w:line="302" w:before="0" w:after="12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Vermont National Telephone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September 23, 2016, the United States District Court for the District of Columbia unsealed a qui tam complaint that, on May 13, 2015, Vermont National Telephone Company (“Vermont National”) filed against DISH Network; DISH Network’s wholly-owned subsidiaries, American AWS-3 Wireless I L.L.C., American II, American III, and DISH Wireless Holding L.L.C.; Charles W. Ergen (DISH Network’s Chairman) and Cantey M. Ergen (a member of DISH Network’s Board of Directors, at that time); Northstar Wireless; Northstar Spectrum; Northstar Manager, LLC; SNR Wireless; SNR HoldCo; SNR Wireless Management, LLC; and certain other parties. The complaint alleges violations of the federal civil False Claims Act (the “FCA”) based on, among other things, allegations that Northstar Wireless and SNR Wireless falsely claimed bidding credits of 25%</w:t>
      </w:r>
      <w:r>
        <w:rPr>
          <w:rFonts w:ascii="Times New Roman;Times;serif" w:hAnsi="Times New Roman;Times;serif"/>
          <w:sz w:val="20"/>
        </w:rPr>
        <w:t xml:space="preserve"> </w:t>
      </w:r>
      <w:r>
        <w:rPr>
          <w:rFonts w:ascii="Arial;Helvetica;sans-serif" w:hAnsi="Arial;Helvetica;sans-serif"/>
          <w:sz w:val="20"/>
        </w:rPr>
        <w:t xml:space="preserve">in the AWS-3 Auction when they were allegedly under the de facto control of DISH Network and, therefore, were not entitled to the bidding credits as designated entities under applicable FCC rules. </w:t>
      </w:r>
      <w:r>
        <w:rPr>
          <w:rFonts w:ascii="Arial;Helvetica;sans-serif" w:hAnsi="Arial;Helvetica;sans-serif"/>
          <w:spacing w:val="-2"/>
          <w:sz w:val="20"/>
        </w:rPr>
        <w:t>Vermont National</w:t>
      </w:r>
      <w:r>
        <w:rPr>
          <w:rFonts w:ascii="Times New Roman;Times;serif" w:hAnsi="Times New Roman;Times;serif"/>
          <w:spacing w:val="-2"/>
          <w:sz w:val="20"/>
        </w:rPr>
        <w:t xml:space="preserve"> </w:t>
      </w:r>
      <w:r>
        <w:rPr>
          <w:rFonts w:ascii="Arial;Helvetica;sans-serif" w:hAnsi="Arial;Helvetica;sans-serif"/>
          <w:spacing w:val="-2"/>
          <w:sz w:val="20"/>
        </w:rPr>
        <w:t xml:space="preserve">participated in the AWS-3 Auction through its wholly-owned subsidiary, VTel Wireless. The complaint was unsealed after the United States Department of Justice notified the District Court that it had declined to intervene in the action. </w:t>
      </w:r>
      <w:r>
        <w:rPr>
          <w:rFonts w:ascii="Arial;Helvetica;sans-serif" w:hAnsi="Arial;Helvetica;sans-serif"/>
          <w:sz w:val="20"/>
        </w:rPr>
        <w:t>Vermont National seeks to recover on behalf of the United States government approximately $10</w:t>
      </w:r>
      <w:r>
        <w:rPr>
          <w:rFonts w:ascii="Times New Roman;Times;serif" w:hAnsi="Times New Roman;Times;serif"/>
          <w:sz w:val="20"/>
        </w:rPr>
        <w:t xml:space="preserve"> </w:t>
      </w:r>
      <w:r>
        <w:rPr>
          <w:rFonts w:ascii="Arial;Helvetica;sans-serif" w:hAnsi="Arial;Helvetica;sans-serif"/>
          <w:sz w:val="20"/>
        </w:rPr>
        <w:t>billion, which reflects the $3.3</w:t>
      </w:r>
      <w:r>
        <w:rPr>
          <w:rFonts w:ascii="Times New Roman;Times;serif" w:hAnsi="Times New Roman;Times;serif"/>
          <w:sz w:val="20"/>
        </w:rPr>
        <w:t xml:space="preserve"> </w:t>
      </w:r>
      <w:r>
        <w:rPr>
          <w:rFonts w:ascii="Arial;Helvetica;sans-serif" w:hAnsi="Arial;Helvetica;sans-serif"/>
          <w:sz w:val="20"/>
        </w:rPr>
        <w:t>billion in bidding credits that Northstar Wireless and SNR Wireless claimed in the AWS-3 Auction, trebled under the FCA. Vermont National also seeks civil penalties of not less than $5,500</w:t>
      </w:r>
      <w:r>
        <w:rPr>
          <w:rFonts w:ascii="Times New Roman;Times;serif" w:hAnsi="Times New Roman;Times;serif"/>
          <w:sz w:val="20"/>
        </w:rPr>
        <w:t xml:space="preserve"> </w:t>
      </w:r>
      <w:r>
        <w:rPr>
          <w:rFonts w:ascii="Arial;Helvetica;sans-serif" w:hAnsi="Arial;Helvetica;sans-serif"/>
          <w:sz w:val="20"/>
        </w:rPr>
        <w:t>and not more than $11,000</w:t>
      </w:r>
      <w:r>
        <w:rPr>
          <w:rFonts w:ascii="Times New Roman;Times;serif" w:hAnsi="Times New Roman;Times;serif"/>
          <w:sz w:val="20"/>
        </w:rPr>
        <w:t xml:space="preserve"> </w:t>
      </w:r>
      <w:r>
        <w:rPr>
          <w:rFonts w:ascii="Arial;Helvetica;sans-serif" w:hAnsi="Arial;Helvetica;sans-serif"/>
          <w:sz w:val="20"/>
        </w:rPr>
        <w:t xml:space="preserve">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Helvetica;sans-serif" w:hAnsi="Arial;Helvetica;sans-serif"/>
          <w:i/>
          <w:sz w:val="20"/>
        </w:rPr>
        <w:t xml:space="preserve">SNR Wireless LicenseCo, LLC, et al. v. F.C.C. </w:t>
      </w:r>
      <w:r>
        <w:rPr>
          <w:rFonts w:ascii="Arial;Helvetica;sans-serif" w:hAnsi="Arial;Helvetica;sans-serif"/>
          <w:sz w:val="20"/>
        </w:rPr>
        <w:t>The D.C. Circuit issued its opinion on August 29, 2017 and remanded the matter to the FCC for further proceedings.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In a report and recommendation issued on April 7, 2025, a magistrate judge recommended that the government’s motion be granted. Vermont National’s objections to that recommendation have been fully briefed to the Court.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DISH Network intends to vigorously defend this case. DISH Network cannot predict with any degree of certainty the outcome of this proceeding or determine the extent of any potential liability or damages.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Other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pStyle w:val="TextBody"/>
        <w:bidi w:val="0"/>
        <w:spacing w:before="0" w:after="0"/>
        <w:ind w:left="0" w:right="0" w:hanging="0"/>
        <w:jc w:val="left"/>
        <w:rPr/>
      </w:pPr>
      <w:r>
        <w:rPr/>
        <w:t>​</w:t>
      </w:r>
    </w:p>
    <w:tbl>
      <w:tblPr>
        <w:tblW w:w="2237" w:type="dxa"/>
        <w:jc w:val="left"/>
        <w:tblInd w:w="0" w:type="dxa"/>
        <w:tblLayout w:type="fixed"/>
        <w:tblCellMar>
          <w:top w:w="0" w:type="dxa"/>
          <w:left w:w="0" w:type="dxa"/>
          <w:bottom w:w="0" w:type="dxa"/>
          <w:right w:w="0" w:type="dxa"/>
        </w:tblCellMar>
      </w:tblPr>
      <w:tblGrid>
        <w:gridCol w:w="286"/>
        <w:gridCol w:w="1951"/>
      </w:tblGrid>
      <w:tr>
        <w:trPr/>
        <w:tc>
          <w:tcPr>
            <w:tcW w:w="286"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9.</w:t>
            </w:r>
          </w:p>
        </w:tc>
        <w:tc>
          <w:tcPr>
            <w:tcW w:w="195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Segment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currently operate one</w:t>
      </w:r>
      <w:r>
        <w:rPr>
          <w:rFonts w:ascii="Times New Roman;Times;serif" w:hAnsi="Times New Roman;Times;serif"/>
          <w:sz w:val="20"/>
        </w:rPr>
        <w:t xml:space="preserve"> </w:t>
      </w:r>
      <w:r>
        <w:rPr>
          <w:rFonts w:ascii="Arial;Helvetica;sans-serif" w:hAnsi="Arial;Helvetica;sans-serif"/>
          <w:sz w:val="20"/>
        </w:rPr>
        <w:t>primary business segment, Pay-TV. See Note 1 for further information. Our chief operating decision maker (“CODM”) is our President and Chief Executive Officer.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 The CODM is not regularly provided assets on a segment basis; therefore, such information is not presented.</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905" w:name="Tc_9wsdBftwzkeDZcDXG5__3w_38_11"/>
      <w:bookmarkStart w:id="906" w:name="Tc_uVPjJ0z7QEiNIi07ZHJZfQ_38_8"/>
      <w:bookmarkStart w:id="907" w:name="Tc_PKF2aTQKT0m8NWf3Bxrfvw_38_5"/>
      <w:bookmarkStart w:id="908" w:name="Tc_nltKotjovkCZpQ_XL-uF3w_38_2"/>
      <w:bookmarkStart w:id="909" w:name="Tc_-ZbP_qfxcEiQRpOP-4xWUw_38_0"/>
      <w:bookmarkStart w:id="910" w:name="Tc_1KAQVulQwUyxancvQAP3Jg_36_11"/>
      <w:bookmarkStart w:id="911" w:name="Tc_husRs9t8QUCx7xZ8TiL7UA_36_8"/>
      <w:bookmarkStart w:id="912" w:name="Tc_gFjn3-9-xkKbwDSOdkoxXA_36_5"/>
      <w:bookmarkStart w:id="913" w:name="Tc_gJIMv5y9B0yqA10DlZQvvQ_36_2"/>
      <w:bookmarkStart w:id="914" w:name="Tc_pmPl1cfZ40u-OfA1G2Pyxw_36_0"/>
      <w:bookmarkStart w:id="915" w:name="Tc_l-FD-WkDQkSn9q_enqoirw_35_0"/>
      <w:bookmarkStart w:id="916" w:name="Tc__wmdVa8ob02REQZaza6xwg_34_0"/>
      <w:bookmarkStart w:id="917" w:name="Tc_1FVv2cfwFU2vKFfEz-WYGQ_32_0"/>
      <w:bookmarkStart w:id="918" w:name="Tc_gQcS1z8O2USEqVkFzs7Tag_31_0"/>
      <w:bookmarkStart w:id="919" w:name="Tc_UjRXXQ4430KGGe_3JUAV8A_30_0"/>
      <w:bookmarkStart w:id="920" w:name="Tc_u4AyHydQE0msjGyZpONFWg_29_0"/>
      <w:bookmarkStart w:id="921" w:name="Tc_P0Vui1T__EyN6pbdGsMk5Q_27_11"/>
      <w:bookmarkStart w:id="922" w:name="Tc_jw9gegpMWEOzqhbUiBCPvg_27_8"/>
      <w:bookmarkStart w:id="923" w:name="Tc__uEuvOtSdUOR60FtY6sIMA_27_5"/>
      <w:bookmarkStart w:id="924" w:name="Tc__6L9dfTdK0GTfaaFGiyPUw_27_2"/>
      <w:bookmarkStart w:id="925" w:name="Tc_nqWPj-IjwE2RkSirScYnuQ_27_0"/>
      <w:bookmarkStart w:id="926" w:name="Tc_tHB6PsffJkqk2FxQ8DW_yA_25_0"/>
      <w:bookmarkStart w:id="927" w:name="Tc_ggOmvTm5t0yBu38VITHIoQ_24_0"/>
      <w:bookmarkStart w:id="928" w:name="Tc_vml0tZNbIEa2uLttQQ_LRA_22_0"/>
      <w:bookmarkStart w:id="929" w:name="Tc_32oDx4WkqUGCQ25-UbqnDg_20_0"/>
      <w:bookmarkStart w:id="930" w:name="Tc_wNJ-E_c4NEGil6N3WAd2vQ_19_0"/>
      <w:bookmarkStart w:id="931" w:name="Tc_LEM4vmGs2Uyw8hJ9Q0hE9w_18_0"/>
      <w:bookmarkStart w:id="932" w:name="Tc_SM-foCPBXUGpfXm1V-uy-w_17_0"/>
      <w:bookmarkStart w:id="933" w:name="Tc_iBua7G-cbk2t4ANT_xtmdw_16_0"/>
      <w:bookmarkStart w:id="934" w:name="Tc_UsrI2COZlkS_3azkqEkrJA_15_0"/>
      <w:bookmarkStart w:id="935" w:name="Tc_LgydN_zM_kyiE1fmE9MtKg_14_0"/>
      <w:bookmarkStart w:id="936" w:name="Tc_2DB4XmpaU0WIVVZ8AxX9Qw_13_0"/>
      <w:bookmarkStart w:id="937" w:name="Tc_ir5abSmZqk6pvIckPoUV3Q_12_0"/>
      <w:bookmarkStart w:id="938" w:name="Tc_gaA83MobbUuhoJlFz1el0g_11_0"/>
      <w:bookmarkStart w:id="939" w:name="Tc_AgLfpETQRk2a0oZ9UCFqow_10_0"/>
      <w:bookmarkStart w:id="940" w:name="Tc_MMP4LTS5jkmgPyWkMe3nnA_8_0"/>
      <w:bookmarkStart w:id="941" w:name="Tc_OGmFDMNIs0G6hVwcH0wu7A_7_0"/>
      <w:bookmarkStart w:id="942" w:name="Tc_ZMr7yUw1iUyP8PId7moirQ_6_11"/>
      <w:bookmarkStart w:id="943" w:name="Tc_4vCF7n60JECZi-77yAk6KA_6_8"/>
      <w:bookmarkStart w:id="944" w:name="Tc_1IbVKjXcc0OwPHXc-SfrLw_6_5"/>
      <w:bookmarkStart w:id="945" w:name="Tc_xQvpNCKzfkisyiy5eAsc2Q_6_2"/>
      <w:bookmarkStart w:id="946" w:name="Tc_9r3TWjdsBUG4fypAN8lekQ_6_0"/>
      <w:bookmarkStart w:id="947" w:name="Tc_XcLutY6K00yPN-apoJbQ6A_5_0"/>
      <w:bookmarkStart w:id="948" w:name="Tc_Qh5GOb_Y-kmZq2CX0HTXJA_4_2"/>
      <w:bookmarkStart w:id="949" w:name="Tc_GLf0gP-h3kCHQdqw9E0B6A_3_11"/>
      <w:bookmarkStart w:id="950" w:name="Tc_IPVvz2z4QUeW1HYQJayLPw_3_8"/>
      <w:bookmarkStart w:id="951" w:name="Tc_TLHpt2evDEa0f7zj40yOeA_3_5"/>
      <w:bookmarkStart w:id="952" w:name="Tc_SvNz1GPM_USwylTV4KGlnQ_3_2"/>
      <w:bookmarkStart w:id="953" w:name="Tc_bUXphIRE_0-GXvvy3kf08A_3_0"/>
      <w:bookmarkStart w:id="954" w:name="Tc_V_xr8fADJEmSpOwVBCeXpQ_2_8"/>
      <w:bookmarkStart w:id="955" w:name="Tc_24CFDJTnXkWDNdfChrt45A_2_2"/>
      <w:bookmarkStart w:id="956" w:name="Tc_BehxQe63806_dH6ylFWxcw_1_8"/>
      <w:bookmarkStart w:id="957" w:name="Tc_UZxlwspYg0uRtj0S5rDjWw_1_2"/>
      <w:bookmarkStart w:id="958" w:name="_f8c8432d_b043_47bb_b97f_ae075d2d7e3b"/>
      <w:bookmarkStart w:id="959" w:name="Tc_9wsdBftwzkeDZcDXG5__3w_38_11"/>
      <w:bookmarkStart w:id="960" w:name="Tc_uVPjJ0z7QEiNIi07ZHJZfQ_38_8"/>
      <w:bookmarkStart w:id="961" w:name="Tc_PKF2aTQKT0m8NWf3Bxrfvw_38_5"/>
      <w:bookmarkStart w:id="962" w:name="Tc_nltKotjovkCZpQ_XL-uF3w_38_2"/>
      <w:bookmarkStart w:id="963" w:name="Tc_-ZbP_qfxcEiQRpOP-4xWUw_38_0"/>
      <w:bookmarkStart w:id="964" w:name="Tc_1KAQVulQwUyxancvQAP3Jg_36_11"/>
      <w:bookmarkStart w:id="965" w:name="Tc_husRs9t8QUCx7xZ8TiL7UA_36_8"/>
      <w:bookmarkStart w:id="966" w:name="Tc_gFjn3-9-xkKbwDSOdkoxXA_36_5"/>
      <w:bookmarkStart w:id="967" w:name="Tc_gJIMv5y9B0yqA10DlZQvvQ_36_2"/>
      <w:bookmarkStart w:id="968" w:name="Tc_pmPl1cfZ40u-OfA1G2Pyxw_36_0"/>
      <w:bookmarkStart w:id="969" w:name="Tc_l-FD-WkDQkSn9q_enqoirw_35_0"/>
      <w:bookmarkStart w:id="970" w:name="Tc__wmdVa8ob02REQZaza6xwg_34_0"/>
      <w:bookmarkStart w:id="971" w:name="Tc_1FVv2cfwFU2vKFfEz-WYGQ_32_0"/>
      <w:bookmarkStart w:id="972" w:name="Tc_gQcS1z8O2USEqVkFzs7Tag_31_0"/>
      <w:bookmarkStart w:id="973" w:name="Tc_UjRXXQ4430KGGe_3JUAV8A_30_0"/>
      <w:bookmarkStart w:id="974" w:name="Tc_u4AyHydQE0msjGyZpONFWg_29_0"/>
      <w:bookmarkStart w:id="975" w:name="Tc_P0Vui1T__EyN6pbdGsMk5Q_27_11"/>
      <w:bookmarkStart w:id="976" w:name="Tc_jw9gegpMWEOzqhbUiBCPvg_27_8"/>
      <w:bookmarkStart w:id="977" w:name="Tc__uEuvOtSdUOR60FtY6sIMA_27_5"/>
      <w:bookmarkStart w:id="978" w:name="Tc__6L9dfTdK0GTfaaFGiyPUw_27_2"/>
      <w:bookmarkStart w:id="979" w:name="Tc_nqWPj-IjwE2RkSirScYnuQ_27_0"/>
      <w:bookmarkStart w:id="980" w:name="Tc_tHB6PsffJkqk2FxQ8DW_yA_25_0"/>
      <w:bookmarkStart w:id="981" w:name="Tc_ggOmvTm5t0yBu38VITHIoQ_24_0"/>
      <w:bookmarkStart w:id="982" w:name="Tc_vml0tZNbIEa2uLttQQ_LRA_22_0"/>
      <w:bookmarkStart w:id="983" w:name="Tc_32oDx4WkqUGCQ25-UbqnDg_20_0"/>
      <w:bookmarkStart w:id="984" w:name="Tc_wNJ-E_c4NEGil6N3WAd2vQ_19_0"/>
      <w:bookmarkStart w:id="985" w:name="Tc_LEM4vmGs2Uyw8hJ9Q0hE9w_18_0"/>
      <w:bookmarkStart w:id="986" w:name="Tc_SM-foCPBXUGpfXm1V-uy-w_17_0"/>
      <w:bookmarkStart w:id="987" w:name="Tc_iBua7G-cbk2t4ANT_xtmdw_16_0"/>
      <w:bookmarkStart w:id="988" w:name="Tc_UsrI2COZlkS_3azkqEkrJA_15_0"/>
      <w:bookmarkStart w:id="989" w:name="Tc_LgydN_zM_kyiE1fmE9MtKg_14_0"/>
      <w:bookmarkStart w:id="990" w:name="Tc_2DB4XmpaU0WIVVZ8AxX9Qw_13_0"/>
      <w:bookmarkStart w:id="991" w:name="Tc_ir5abSmZqk6pvIckPoUV3Q_12_0"/>
      <w:bookmarkStart w:id="992" w:name="Tc_gaA83MobbUuhoJlFz1el0g_11_0"/>
      <w:bookmarkStart w:id="993" w:name="Tc_AgLfpETQRk2a0oZ9UCFqow_10_0"/>
      <w:bookmarkStart w:id="994" w:name="Tc_MMP4LTS5jkmgPyWkMe3nnA_8_0"/>
      <w:bookmarkStart w:id="995" w:name="Tc_OGmFDMNIs0G6hVwcH0wu7A_7_0"/>
      <w:bookmarkStart w:id="996" w:name="Tc_ZMr7yUw1iUyP8PId7moirQ_6_11"/>
      <w:bookmarkStart w:id="997" w:name="Tc_4vCF7n60JECZi-77yAk6KA_6_8"/>
      <w:bookmarkStart w:id="998" w:name="Tc_1IbVKjXcc0OwPHXc-SfrLw_6_5"/>
      <w:bookmarkStart w:id="999" w:name="Tc_xQvpNCKzfkisyiy5eAsc2Q_6_2"/>
      <w:bookmarkStart w:id="1000" w:name="Tc_9r3TWjdsBUG4fypAN8lekQ_6_0"/>
      <w:bookmarkStart w:id="1001" w:name="Tc_XcLutY6K00yPN-apoJbQ6A_5_0"/>
      <w:bookmarkStart w:id="1002" w:name="Tc_Qh5GOb_Y-kmZq2CX0HTXJA_4_2"/>
      <w:bookmarkStart w:id="1003" w:name="Tc_GLf0gP-h3kCHQdqw9E0B6A_3_11"/>
      <w:bookmarkStart w:id="1004" w:name="Tc_IPVvz2z4QUeW1HYQJayLPw_3_8"/>
      <w:bookmarkStart w:id="1005" w:name="Tc_TLHpt2evDEa0f7zj40yOeA_3_5"/>
      <w:bookmarkStart w:id="1006" w:name="Tc_SvNz1GPM_USwylTV4KGlnQ_3_2"/>
      <w:bookmarkStart w:id="1007" w:name="Tc_bUXphIRE_0-GXvvy3kf08A_3_0"/>
      <w:bookmarkStart w:id="1008" w:name="Tc_V_xr8fADJEmSpOwVBCeXpQ_2_8"/>
      <w:bookmarkStart w:id="1009" w:name="Tc_24CFDJTnXkWDNdfChrt45A_2_2"/>
      <w:bookmarkStart w:id="1010" w:name="Tc_BehxQe63806_dH6ylFWxcw_1_8"/>
      <w:bookmarkStart w:id="1011" w:name="Tc_UZxlwspYg0uRtj0S5rDjWw_1_2"/>
      <w:bookmarkStart w:id="1012" w:name="_f8c8432d_b043_47bb_b97f_ae075d2d7e3b"/>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p>
    <w:tbl>
      <w:tblPr>
        <w:tblW w:w="9864" w:type="dxa"/>
        <w:jc w:val="left"/>
        <w:tblInd w:w="0" w:type="dxa"/>
        <w:tblLayout w:type="fixed"/>
        <w:tblCellMar>
          <w:top w:w="0" w:type="dxa"/>
          <w:left w:w="0" w:type="dxa"/>
          <w:bottom w:w="0" w:type="dxa"/>
          <w:right w:w="0" w:type="dxa"/>
        </w:tblCellMar>
      </w:tblPr>
      <w:tblGrid>
        <w:gridCol w:w="4381"/>
        <w:gridCol w:w="109"/>
        <w:gridCol w:w="211"/>
        <w:gridCol w:w="931"/>
        <w:gridCol w:w="326"/>
        <w:gridCol w:w="211"/>
        <w:gridCol w:w="931"/>
        <w:gridCol w:w="109"/>
        <w:gridCol w:w="211"/>
        <w:gridCol w:w="931"/>
        <w:gridCol w:w="326"/>
        <w:gridCol w:w="211"/>
        <w:gridCol w:w="97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781935" cy="175260"/>
                      <wp:effectExtent l="0" t="0" r="0" b="0"/>
                      <wp:wrapNone/>
                      <wp:docPr id="183" name="Frame183"/>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1185" cy="175260"/>
                      <wp:effectExtent l="0" t="0" r="0" b="0"/>
                      <wp:wrapNone/>
                      <wp:docPr id="186" name="Frame1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91185" cy="175260"/>
                      <wp:effectExtent l="0" t="0" r="0" b="0"/>
                      <wp:wrapNone/>
                      <wp:docPr id="189" name="Frame1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91185" cy="175260"/>
                      <wp:effectExtent l="0" t="0" r="0" b="0"/>
                      <wp:wrapNone/>
                      <wp:docPr id="192" name="Frame19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19760" cy="175260"/>
                      <wp:effectExtent l="0" t="0" r="0" b="0"/>
                      <wp:wrapNone/>
                      <wp:docPr id="195" name="Frame19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09" w:type="dxa"/>
            <w:tcBorders/>
            <w:vAlign w:val="center"/>
          </w:tcPr>
          <w:p>
            <w:pPr>
              <w:pStyle w:val="TableContents"/>
              <w:bidi w:val="0"/>
              <w:spacing w:before="0" w:after="0"/>
              <w:ind w:left="0" w:right="0" w:hanging="0"/>
              <w:jc w:val="left"/>
              <w:rPr/>
            </w:pPr>
            <w:r>
              <w:rPr/>
              <w:t>​</w:t>
            </w:r>
          </w:p>
        </w:tc>
        <w:tc>
          <w:tcPr>
            <w:tcW w:w="265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86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7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2,439,754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2,645,461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4,954,220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5,332,501</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13,697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33,994</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2,453,186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2,659,158</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4,979,685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5,366,495</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Cost of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Programming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1,179,698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1,257,983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2,395,152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2,542,172</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Connectivity services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98,179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195,742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199,000</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312,645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318,090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594,726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633,025</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 of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1,589,767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1,674,252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3,185,620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3,374,197</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16,043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30,806</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Subscriber acquisition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87,606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102,635</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174,119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223,388</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153,466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159,614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305,950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324,306</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241,072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262,249</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480,069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547,694</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 (3)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612,998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706,614</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1,295,243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1,413,798</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53,035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70,339</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112,073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141,019</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1,893,223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2,022,883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3,796,515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4,093,716</w:t>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559,963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636,275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1,183,170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1,272,779</w:t>
            </w:r>
          </w:p>
        </w:tc>
      </w:tr>
      <w:tr>
        <w:trPr/>
        <w:tc>
          <w:tcPr>
            <w:tcW w:w="4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72,039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176,111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131,366</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(236,599)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(184,787)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(479,838)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(369,641)</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(64,296)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(64,865)</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(145,260)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(177,044)</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(304,008)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(303,140)</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414,703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459,231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879,162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969,639</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(100,657)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(128,307)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(253,174)</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314,046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330,924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664,584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716,465</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28,269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65,628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6"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44,586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3"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Connectivity services” is the cost to deliver our services and products to customers, which includes, among other things, satellite and transmission, and other related costs.</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4"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Other” primarily consists of variable costs including call center, manufacturing, dealer incentive, bad debt, billing and other variable costs, as well as costs to retain our subscribers.</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1013" w:name="Tc_kMOB7K9NSUKt5qc2FAcqGg_7_11"/>
      <w:bookmarkStart w:id="1014" w:name="Tc_G5xvad2fyU60sF6mnVrgbA_7_8"/>
      <w:bookmarkStart w:id="1015" w:name="Tc_Zc0j60oPnke-o16zX71wEQ_7_5"/>
      <w:bookmarkStart w:id="1016" w:name="Tc_u2qtCnliyUCZZbxNelOUqw_7_2"/>
      <w:bookmarkStart w:id="1017" w:name="Tc_p5TXeMq-QEaJMzbbtG784w_7_0"/>
      <w:bookmarkStart w:id="1018" w:name="Tc_ubARLmwB4EGtULyWoVS-Nw_6_0"/>
      <w:bookmarkStart w:id="1019" w:name="Tc_xKXEDkx86kOzefhH4XXULg_5_11"/>
      <w:bookmarkStart w:id="1020" w:name="Tc_zAt_W4tpEkmFi2xuXVzhlg_5_8"/>
      <w:bookmarkStart w:id="1021" w:name="Tc_InI9nJz1WEKJsy5QBWh6Pg_5_5"/>
      <w:bookmarkStart w:id="1022" w:name="Tc_VO7fZj-GO0uDwGCLZIRlIQ_5_2"/>
      <w:bookmarkStart w:id="1023" w:name="Tc_ZP90x0isCUKjvGwvoNKxGQ_5_0"/>
      <w:bookmarkStart w:id="1024" w:name="Tc_SHA_pxJduUa004M67VKjtQ_4_2"/>
      <w:bookmarkStart w:id="1025" w:name="Tc_BK5GxNlTF0C2F-t8M4XnlA_3_11"/>
      <w:bookmarkStart w:id="1026" w:name="Tc_DfOhE3QKcUqsd99IAMx2EA_3_8"/>
      <w:bookmarkStart w:id="1027" w:name="Tc_JhQylAE62UGrymqQa7xkjw_3_5"/>
      <w:bookmarkStart w:id="1028" w:name="Tc_e--mya7OI0GpPpg8Xr8Lnw_3_2"/>
      <w:bookmarkStart w:id="1029" w:name="Tc_Hidc0xSF_kSLtZtwt-zRLQ_3_0"/>
      <w:bookmarkStart w:id="1030" w:name="Tc_v_Eqtnud2kK0s-VBIPFvTw_2_8"/>
      <w:bookmarkStart w:id="1031" w:name="Tc_ftNojX9lS0CcYA8XU0Uuzw_2_2"/>
      <w:bookmarkStart w:id="1032" w:name="Tc_mzQU9py1CEmCly8jf43pIQ_1_8"/>
      <w:bookmarkStart w:id="1033" w:name="Tc_QyN8ggFL8EWGwsr7jVluHg_1_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Arial;Helvetica;sans-serif" w:hAnsi="Arial;Helvetica;sans-serif"/>
          <w:sz w:val="20"/>
        </w:rPr>
        <w:t>The revenue from external customers disaggregated by major revenue source was as follows:</w:t>
      </w:r>
    </w:p>
    <w:p>
      <w:pPr>
        <w:pStyle w:val="TextBody"/>
        <w:bidi w:val="0"/>
        <w:spacing w:before="0" w:after="0"/>
        <w:ind w:left="0" w:right="0" w:hanging="0"/>
        <w:jc w:val="left"/>
        <w:rPr>
          <w:spacing w:val="-4"/>
        </w:rPr>
      </w:pPr>
      <w:r>
        <w:rPr>
          <w:spacing w:val="-4"/>
        </w:rPr>
        <w:t>​</w:t>
      </w:r>
    </w:p>
    <w:tbl>
      <w:tblPr>
        <w:tblW w:w="9421" w:type="dxa"/>
        <w:jc w:val="left"/>
        <w:tblInd w:w="0" w:type="dxa"/>
        <w:tblLayout w:type="fixed"/>
        <w:tblCellMar>
          <w:top w:w="0" w:type="dxa"/>
          <w:left w:w="0" w:type="dxa"/>
          <w:bottom w:w="0" w:type="dxa"/>
          <w:right w:w="0" w:type="dxa"/>
        </w:tblCellMar>
      </w:tblPr>
      <w:tblGrid>
        <w:gridCol w:w="3661"/>
        <w:gridCol w:w="326"/>
        <w:gridCol w:w="211"/>
        <w:gridCol w:w="931"/>
        <w:gridCol w:w="326"/>
        <w:gridCol w:w="211"/>
        <w:gridCol w:w="931"/>
        <w:gridCol w:w="109"/>
        <w:gridCol w:w="211"/>
        <w:gridCol w:w="931"/>
        <w:gridCol w:w="326"/>
        <w:gridCol w:w="211"/>
        <w:gridCol w:w="103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324735" cy="175260"/>
                      <wp:effectExtent l="0" t="0" r="0" b="0"/>
                      <wp:wrapNone/>
                      <wp:docPr id="196" name="Frame196"/>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91185" cy="175260"/>
                      <wp:effectExtent l="0" t="0" r="0" b="0"/>
                      <wp:wrapNone/>
                      <wp:docPr id="199" name="Frame1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91185" cy="175260"/>
                      <wp:effectExtent l="0" t="0" r="0" b="0"/>
                      <wp:wrapNone/>
                      <wp:docPr id="202" name="Frame2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91185" cy="175260"/>
                      <wp:effectExtent l="0" t="0" r="0" b="0"/>
                      <wp:wrapNone/>
                      <wp:docPr id="205" name="Frame2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57860" cy="175260"/>
                      <wp:effectExtent l="0" t="0" r="0" b="0"/>
                      <wp:wrapNone/>
                      <wp:docPr id="208" name="Frame20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71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09" w:type="dxa"/>
            <w:tcBorders/>
            <w:vAlign w:val="center"/>
          </w:tcPr>
          <w:p>
            <w:pPr>
              <w:pStyle w:val="TableContents"/>
              <w:bidi w:val="0"/>
              <w:spacing w:before="0" w:after="0"/>
              <w:ind w:left="0" w:right="0" w:hanging="0"/>
              <w:jc w:val="left"/>
              <w:rPr/>
            </w:pPr>
            <w:r>
              <w:rPr/>
              <w:t>​</w:t>
            </w:r>
          </w:p>
        </w:tc>
        <w:tc>
          <w:tcPr>
            <w:tcW w:w="27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366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Category:</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42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543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6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 and related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2,439,754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2,645,461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4,954,220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5,332,501</w:t>
            </w:r>
          </w:p>
        </w:tc>
      </w:tr>
      <w:tr>
        <w:trPr/>
        <w:tc>
          <w:tcPr>
            <w:tcW w:w="36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equipment sales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13,697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25,465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33,994</w:t>
            </w:r>
          </w:p>
        </w:tc>
      </w:tr>
      <w:tr>
        <w:trPr/>
        <w:tc>
          <w:tcPr>
            <w:tcW w:w="36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2,453,186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2,659,158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4,979,685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5,366,495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360"/>
        <w:jc w:val="left"/>
        <w:rPr/>
      </w:pPr>
      <w:bookmarkStart w:id="1034" w:name="Tc_MdDA_1-j2kGBQnZvHycG8A_5_5"/>
      <w:bookmarkStart w:id="1035" w:name="Tc_qdV7lfZeFkCaVsgkXWDCtA_5_2"/>
      <w:bookmarkStart w:id="1036" w:name="Tc_8TqeOI66_UKJ91K9naX4fg_5_0"/>
      <w:bookmarkStart w:id="1037" w:name="Tc_YUzhBl-kFEKIqjvIlnJ1wg_4_2"/>
      <w:bookmarkStart w:id="1038" w:name="Tc_XU0ahjKRL0iwgzP3sUtmfQ_3_5"/>
      <w:bookmarkStart w:id="1039" w:name="Tc_yG5zoX6otkmD1RtIk-LOIw_3_2"/>
      <w:bookmarkStart w:id="1040" w:name="Tc_i4IgyeCF5U2j8nx1QjWeyQ_2_5"/>
      <w:bookmarkStart w:id="1041" w:name="Tc_zt9UbOftKk2_uuasSaJE9A_2_2"/>
      <w:bookmarkStart w:id="1042" w:name="Tc_RCAVs1S0XECuGhmYJ1elZg_1_2"/>
      <w:bookmarkStart w:id="1043" w:name="Tc_PasarVnCl0qmI95ACcessQ_8_5"/>
      <w:bookmarkStart w:id="1044" w:name="Tc_p5SP_3VekkuP1aUOGBmEPQ_8_2"/>
      <w:bookmarkStart w:id="1045" w:name="Tc_RkKz_qiZV0KSLFTrp6h0KQ_8_0"/>
      <w:bookmarkStart w:id="1046" w:name="Tc_djDjy6QFLkmzxqooj_GlLA_7_0"/>
      <w:bookmarkStart w:id="1047" w:name="Tc_J83oH_QxUUOWIAEnLXNGAw_6_0"/>
      <w:bookmarkStart w:id="1048" w:name="Tc_F2wFn-zWwkmzJzFgT-_UDA_5_5"/>
      <w:bookmarkStart w:id="1049" w:name="Tc_kvg7e4hpXUC6K29INRef8A_5_2"/>
      <w:bookmarkStart w:id="1050" w:name="Tc_LaiSmmw1yUGhUz2X-69wdA_5_0"/>
      <w:bookmarkStart w:id="1051" w:name="Tc_0RjFD4j4tUehKkAyLamEtw_4_2"/>
      <w:bookmarkStart w:id="1052" w:name="Tc_ktc-by8O_0-5xm0pK77swg_3_5"/>
      <w:bookmarkStart w:id="1053" w:name="Tc_kvUW592xhEiAB4eWjBMd-Q_3_2"/>
      <w:bookmarkStart w:id="1054" w:name="Tc_kMR4cA4e_kKQhKGg4ORa5Q_2_2"/>
      <w:bookmarkStart w:id="1055" w:name="Tc_JKVQESJyX0uxJhh1177xFw_1_2"/>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r>
        <w:rPr/>
        <w:t>​</w:t>
      </w:r>
    </w:p>
    <w:tbl>
      <w:tblPr>
        <w:tblW w:w="2522" w:type="dxa"/>
        <w:jc w:val="left"/>
        <w:tblInd w:w="0" w:type="dxa"/>
        <w:tblLayout w:type="fixed"/>
        <w:tblCellMar>
          <w:top w:w="0" w:type="dxa"/>
          <w:left w:w="0" w:type="dxa"/>
          <w:bottom w:w="0" w:type="dxa"/>
          <w:right w:w="0" w:type="dxa"/>
        </w:tblCellMar>
      </w:tblPr>
      <w:tblGrid>
        <w:gridCol w:w="391"/>
        <w:gridCol w:w="2131"/>
      </w:tblGrid>
      <w:tr>
        <w:trPr/>
        <w:tc>
          <w:tcPr>
            <w:tcW w:w="39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10.</w:t>
            </w:r>
          </w:p>
        </w:tc>
        <w:tc>
          <w:tcPr>
            <w:tcW w:w="213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Revenue Recognition</w:t>
            </w:r>
          </w:p>
        </w:tc>
      </w:tr>
    </w:tbl>
    <w:p>
      <w:pPr>
        <w:pStyle w:val="TextBody"/>
        <w:pBdr/>
        <w:bidi w:val="0"/>
        <w:spacing w:before="0" w:after="0"/>
        <w:ind w:left="0" w:right="0" w:hanging="360"/>
        <w:jc w:val="left"/>
        <w:rPr/>
      </w:pPr>
      <w:r>
        <w:rPr/>
        <w:t>​</w:t>
      </w:r>
    </w:p>
    <w:p>
      <w:pPr>
        <w:pStyle w:val="TextBody"/>
        <w:pBdr/>
        <w:bidi w:val="0"/>
        <w:spacing w:before="0" w:after="0"/>
        <w:ind w:left="0" w:right="0" w:hanging="72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allowance for credit losses were as follows:</w:t>
      </w:r>
    </w:p>
    <w:p>
      <w:pPr>
        <w:pStyle w:val="TextBody"/>
        <w:bidi w:val="0"/>
        <w:spacing w:before="0" w:after="0"/>
        <w:ind w:left="0" w:right="0" w:hanging="0"/>
        <w:jc w:val="left"/>
        <w:rPr/>
      </w:pPr>
      <w:r>
        <w:rPr/>
        <w:t>​</w:t>
      </w:r>
    </w:p>
    <w:tbl>
      <w:tblPr>
        <w:tblW w:w="6710" w:type="dxa"/>
        <w:jc w:val="left"/>
        <w:tblInd w:w="0" w:type="dxa"/>
        <w:tblLayout w:type="fixed"/>
        <w:tblCellMar>
          <w:top w:w="0" w:type="dxa"/>
          <w:left w:w="0" w:type="dxa"/>
          <w:bottom w:w="0" w:type="dxa"/>
          <w:right w:w="0" w:type="dxa"/>
        </w:tblCellMar>
      </w:tblPr>
      <w:tblGrid>
        <w:gridCol w:w="4216"/>
        <w:gridCol w:w="109"/>
        <w:gridCol w:w="211"/>
        <w:gridCol w:w="796"/>
        <w:gridCol w:w="32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677160" cy="175260"/>
                      <wp:effectExtent l="0" t="0" r="0" b="0"/>
                      <wp:wrapNone/>
                      <wp:docPr id="209" name="Frame20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05460" cy="175260"/>
                      <wp:effectExtent l="0" t="0" r="0" b="0"/>
                      <wp:wrapNone/>
                      <wp:docPr id="212" name="Frame2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34035" cy="175260"/>
                      <wp:effectExtent l="0" t="0" r="0" b="0"/>
                      <wp:wrapNone/>
                      <wp:docPr id="215" name="Frame21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8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r>
      <w:tr>
        <w:trPr/>
        <w:tc>
          <w:tcPr>
            <w:tcW w:w="42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8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71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385"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16" w:type="dxa"/>
            <w:tcBorders/>
            <w:shd w:fill="CCEEFF" w:val="clear"/>
            <w:vAlign w:val="center"/>
          </w:tcPr>
          <w:p>
            <w:pPr>
              <w:pStyle w:val="TableContents"/>
              <w:bidi w:val="0"/>
              <w:spacing w:before="0" w:after="0"/>
              <w:ind w:left="0" w:right="0" w:hanging="0"/>
              <w:jc w:val="both"/>
              <w:rPr>
                <w:rFonts w:ascii="Arial;Helvetica;sans-serif" w:hAnsi="Arial;Helvetica;sans-serif"/>
                <w:b/>
                <w:sz w:val="18"/>
              </w:rPr>
            </w:pPr>
            <w:r>
              <w:rPr>
                <w:rFonts w:ascii="Arial;Helvetica;sans-serif" w:hAnsi="Arial;Helvetica;sans-serif"/>
                <w:b/>
                <w:sz w:val="18"/>
              </w:rPr>
              <w:t>Balance, beginning of period</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34,884</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period provision for expected credit losses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34,584</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Write-offs charged against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(27,426)</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61,318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42,042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Contract liabilities arise when we bill our customers and receive consideration in advance of providing the service.</w:t>
      </w:r>
      <w:r>
        <w:rPr>
          <w:rFonts w:ascii="Times New Roman;Times;serif" w:hAnsi="Times New Roman;Times;serif"/>
          <w:sz w:val="20"/>
        </w:rPr>
        <w:t xml:space="preserve"> </w:t>
      </w:r>
      <w:r>
        <w:rPr>
          <w:rFonts w:ascii="Arial;Helvetica;sans-serif" w:hAnsi="Arial;Helvetica;sans-serif"/>
          <w:sz w:val="20"/>
        </w:rPr>
        <w:t>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contract liability balances:</w:t>
      </w:r>
    </w:p>
    <w:p>
      <w:pPr>
        <w:pStyle w:val="TextBody"/>
        <w:bidi w:val="0"/>
        <w:spacing w:before="0" w:after="0"/>
        <w:ind w:left="0" w:right="0" w:hanging="0"/>
        <w:jc w:val="left"/>
        <w:rPr/>
      </w:pPr>
      <w:r>
        <w:rPr/>
        <w:t>​</w:t>
      </w:r>
    </w:p>
    <w:tbl>
      <w:tblPr>
        <w:tblW w:w="4271" w:type="dxa"/>
        <w:jc w:val="left"/>
        <w:tblInd w:w="0" w:type="dxa"/>
        <w:tblLayout w:type="fixed"/>
        <w:tblCellMar>
          <w:top w:w="0" w:type="dxa"/>
          <w:left w:w="0" w:type="dxa"/>
          <w:bottom w:w="0" w:type="dxa"/>
          <w:right w:w="0" w:type="dxa"/>
        </w:tblCellMar>
      </w:tblPr>
      <w:tblGrid>
        <w:gridCol w:w="1666"/>
        <w:gridCol w:w="109"/>
        <w:gridCol w:w="211"/>
        <w:gridCol w:w="781"/>
        <w:gridCol w:w="109"/>
        <w:gridCol w:w="268"/>
        <w:gridCol w:w="1127"/>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057910" cy="175260"/>
                      <wp:effectExtent l="0" t="0" r="0" b="0"/>
                      <wp:wrapNone/>
                      <wp:docPr id="216" name="Frame216"/>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95935" cy="175260"/>
                      <wp:effectExtent l="0" t="0" r="0" b="0"/>
                      <wp:wrapNone/>
                      <wp:docPr id="219" name="Frame2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70180" cy="175260"/>
                      <wp:effectExtent l="0" t="0" r="0" b="0"/>
                      <wp:wrapNone/>
                      <wp:docPr id="221" name="Frame22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15645" cy="175260"/>
                      <wp:effectExtent l="0" t="0" r="0" b="0"/>
                      <wp:wrapNone/>
                      <wp:docPr id="222" name="Frame222"/>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09" w:type="dxa"/>
            <w:tcBorders/>
            <w:vAlign w:val="center"/>
          </w:tcPr>
          <w:p>
            <w:pPr>
              <w:pStyle w:val="TableContents"/>
              <w:bidi w:val="0"/>
              <w:spacing w:before="0" w:after="0"/>
              <w:ind w:left="0" w:right="0" w:hanging="0"/>
              <w:jc w:val="center"/>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427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6"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166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365,100</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386,638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Our beginning of period contract liability recorded as customer contract revenue during 2025 was $385</w:t>
      </w:r>
      <w:r>
        <w:rPr>
          <w:rFonts w:ascii="Times New Roman;Times;serif" w:hAnsi="Times New Roman;Times;serif"/>
          <w:sz w:val="20"/>
        </w:rPr>
        <w:t xml:space="preserve"> </w:t>
      </w:r>
      <w:r>
        <w:rPr>
          <w:rFonts w:ascii="Arial;Helvetica;sans-serif" w:hAnsi="Arial;Helvetica;sans-serif"/>
          <w:sz w:val="20"/>
        </w:rPr>
        <w:t>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bookmarkStart w:id="1056" w:name="Tc_dZIMRg9zxUqpR9hrVa5IBw_8_11"/>
      <w:bookmarkStart w:id="1057" w:name="Tc_YCgnJiKqjEuDxOA-2CxuXw_8_8"/>
      <w:bookmarkStart w:id="1058" w:name="Tc_1QjqA8OPekO-4UBMVg1kOw_8_5"/>
      <w:bookmarkStart w:id="1059" w:name="Tc_ukjQ47SkNkiDgwHA7eSzXg_8_2"/>
      <w:bookmarkStart w:id="1060" w:name="Tc_aFwHdI7X-kqttkVr5OM7EQ_8_0"/>
      <w:bookmarkStart w:id="1061" w:name="Tc_nJELt1wM-UWPLmugomx1Pw_7_0"/>
      <w:bookmarkStart w:id="1062" w:name="Tc_tz2u_I-ZlES1iDsU8DrEyg_6_0"/>
      <w:bookmarkStart w:id="1063" w:name="Tc_BwNSSApCAEWDE8ddoVoY2w_5_11"/>
      <w:bookmarkStart w:id="1064" w:name="Tc_M5b5_J3Uvka6P79Cc4M7UA_5_8"/>
      <w:bookmarkStart w:id="1065" w:name="Tc_IQIcEnRhr02g1YTNPshZHA_5_5"/>
      <w:bookmarkStart w:id="1066" w:name="Tc_buwjdQnUt064DCbk73bQqg_5_2"/>
      <w:bookmarkStart w:id="1067" w:name="Tc_O-I0J3wCg0e5Yak9LGjmTQ_5_0"/>
      <w:bookmarkStart w:id="1068" w:name="Tc_QRLah93ygki0OVctgdR4wA_4_2"/>
      <w:bookmarkStart w:id="1069" w:name="Tc_741TaZXLPkOSJJe3bWFrmw_3_11"/>
      <w:bookmarkStart w:id="1070" w:name="Tc_Fh3RL-3tsUyvYdYsa3640g_3_8"/>
      <w:bookmarkStart w:id="1071" w:name="Tc_lJSSgS8j7UOtOF054673dg_3_5"/>
      <w:bookmarkStart w:id="1072" w:name="Tc_vfZR7Z_IekCy7Ghl6QOxoQ_3_2"/>
      <w:bookmarkStart w:id="1073" w:name="Tc_XHRBZDWI8USxRTBpgBg2lA_2_8"/>
      <w:bookmarkStart w:id="1074" w:name="Tc_0huW9kHLSU6fwhpTjTCK0g_2_2"/>
      <w:bookmarkStart w:id="1075" w:name="Tc_4CEb5L4sTEunPhzuhSyekA_1_8"/>
      <w:bookmarkStart w:id="1076" w:name="Tc_O4ZiGYFor0GdPdNlEPuzjg_1_2"/>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r>
        <w:rPr>
          <w:rFonts w:ascii="Arial;Helvetica;sans-serif" w:hAnsi="Arial;Helvetica;sans-serif"/>
          <w:b/>
          <w:i/>
          <w:sz w:val="20"/>
        </w:rPr>
        <w:t>Performance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Arial;Helvetica;sans-serif" w:hAnsi="Arial;Helvetica;sans-serif"/>
          <w:sz w:val="20"/>
        </w:rPr>
        <w:t>We apply a practical expedient and do not disclose the value of the remaining performance obligations for contracts that are less than one</w:t>
      </w:r>
      <w:r>
        <w:rPr>
          <w:rFonts w:ascii="Times New Roman;Times;serif" w:hAnsi="Times New Roman;Times;serif"/>
          <w:sz w:val="24"/>
        </w:rPr>
        <w:t xml:space="preserve"> </w:t>
      </w:r>
      <w:r>
        <w:rPr>
          <w:rFonts w:ascii="Arial;Helvetica;sans-serif" w:hAnsi="Arial;Helvetica;sans-serif"/>
          <w:sz w:val="20"/>
        </w:rPr>
        <w:t>year in duration, which represent a substantial majority of our revenue. As such, the amount of revenue related to unsatisfied performance obligations is not necessarily indicative of our future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Contract Acquisition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activity in our contract acquisition costs, net:</w:t>
      </w:r>
    </w:p>
    <w:p>
      <w:pPr>
        <w:pStyle w:val="TextBody"/>
        <w:bidi w:val="0"/>
        <w:spacing w:before="0" w:after="0"/>
        <w:ind w:left="0" w:right="0" w:hanging="0"/>
        <w:jc w:val="left"/>
        <w:rPr/>
      </w:pPr>
      <w:r>
        <w:rPr/>
        <w:t>​</w:t>
      </w:r>
    </w:p>
    <w:tbl>
      <w:tblPr>
        <w:tblW w:w="7671" w:type="dxa"/>
        <w:jc w:val="left"/>
        <w:tblInd w:w="0" w:type="dxa"/>
        <w:tblLayout w:type="fixed"/>
        <w:tblCellMar>
          <w:top w:w="0" w:type="dxa"/>
          <w:left w:w="0" w:type="dxa"/>
          <w:bottom w:w="0" w:type="dxa"/>
          <w:right w:w="0" w:type="dxa"/>
        </w:tblCellMar>
      </w:tblPr>
      <w:tblGrid>
        <w:gridCol w:w="2536"/>
        <w:gridCol w:w="109"/>
        <w:gridCol w:w="253"/>
        <w:gridCol w:w="956"/>
        <w:gridCol w:w="130"/>
        <w:gridCol w:w="253"/>
        <w:gridCol w:w="956"/>
        <w:gridCol w:w="109"/>
        <w:gridCol w:w="226"/>
        <w:gridCol w:w="852"/>
        <w:gridCol w:w="116"/>
        <w:gridCol w:w="226"/>
        <w:gridCol w:w="949"/>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610360" cy="175260"/>
                      <wp:effectExtent l="0" t="0" r="0" b="0"/>
                      <wp:wrapNone/>
                      <wp:docPr id="223" name="Frame223"/>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left"/>
              <w:rPr/>
            </w:pPr>
            <w:r>
              <w:rPr/>
              <w:t>​</w:t>
            </w:r>
          </w:p>
        </w:tc>
        <w:tc>
          <w:tcPr>
            <w:tcW w:w="130"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43510" cy="175260"/>
                      <wp:effectExtent l="0" t="0" r="0" b="0"/>
                      <wp:wrapNone/>
                      <wp:docPr id="225" name="Frame2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41020" cy="175260"/>
                      <wp:effectExtent l="0" t="0" r="0" b="0"/>
                      <wp:wrapNone/>
                      <wp:docPr id="226" name="Frame226"/>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73660" cy="175260"/>
                      <wp:effectExtent l="0" t="0" r="0" b="0"/>
                      <wp:wrapNone/>
                      <wp:docPr id="227" name="Frame227"/>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43510" cy="175260"/>
                      <wp:effectExtent l="0" t="0" r="0" b="0"/>
                      <wp:wrapNone/>
                      <wp:docPr id="228" name="Frame2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02615" cy="175260"/>
                      <wp:effectExtent l="0" t="0" r="0" b="0"/>
                      <wp:wrapNone/>
                      <wp:docPr id="229" name="Frame229"/>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4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36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4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09" w:type="dxa"/>
            <w:tcBorders/>
            <w:vAlign w:val="center"/>
          </w:tcPr>
          <w:p>
            <w:pPr>
              <w:pStyle w:val="TableContents"/>
              <w:bidi w:val="0"/>
              <w:spacing w:before="0" w:after="0"/>
              <w:ind w:left="0" w:right="0" w:hanging="0"/>
              <w:jc w:val="center"/>
              <w:rPr/>
            </w:pPr>
            <w:r>
              <w:rPr/>
              <w:t>​</w:t>
            </w:r>
          </w:p>
        </w:tc>
        <w:tc>
          <w:tcPr>
            <w:tcW w:w="236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30" w:type="dxa"/>
            <w:tcBorders/>
            <w:vAlign w:val="center"/>
          </w:tcPr>
          <w:p>
            <w:pPr>
              <w:pStyle w:val="TableContents"/>
              <w:bidi w:val="0"/>
              <w:spacing w:before="0" w:after="0"/>
              <w:ind w:left="0" w:right="0" w:hanging="0"/>
              <w:jc w:val="center"/>
              <w:rPr/>
            </w:pPr>
            <w:r>
              <w:rPr/>
              <w:t>​</w:t>
            </w:r>
          </w:p>
        </w:tc>
        <w:tc>
          <w:tcPr>
            <w:tcW w:w="1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center"/>
              <w:rPr/>
            </w:pPr>
            <w:r>
              <w:rPr/>
              <w:t>​</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16" w:type="dxa"/>
            <w:tcBorders/>
            <w:vAlign w:val="center"/>
          </w:tcPr>
          <w:p>
            <w:pPr>
              <w:pStyle w:val="TableContents"/>
              <w:bidi w:val="0"/>
              <w:spacing w:before="0" w:after="0"/>
              <w:ind w:left="0" w:right="0" w:hanging="0"/>
              <w:jc w:val="center"/>
              <w:rPr/>
            </w:pPr>
            <w:r>
              <w:rPr/>
              <w:t>​</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767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26"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138,433</w:t>
            </w:r>
          </w:p>
        </w:tc>
        <w:tc>
          <w:tcPr>
            <w:tcW w:w="130"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163,291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148,172</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175,685</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Additions</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16,826</w:t>
            </w:r>
          </w:p>
        </w:tc>
        <w:tc>
          <w:tcPr>
            <w:tcW w:w="130"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20,429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27,911</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34,384</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(19,827)</w:t>
            </w:r>
          </w:p>
        </w:tc>
        <w:tc>
          <w:tcPr>
            <w:tcW w:w="130"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(25,025)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(40,651)</w:t>
            </w:r>
          </w:p>
        </w:tc>
        <w:tc>
          <w:tcPr>
            <w:tcW w:w="11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(51,374)</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135,432</w:t>
            </w:r>
          </w:p>
        </w:tc>
        <w:tc>
          <w:tcPr>
            <w:tcW w:w="130"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158,695</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135,432</w:t>
            </w:r>
          </w:p>
        </w:tc>
        <w:tc>
          <w:tcPr>
            <w:tcW w:w="11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9"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158,695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77" w:name="Tc_kz4x06ZhZky2UYMRgZbQhA_8_11"/>
      <w:bookmarkStart w:id="1078" w:name="Tc_K1WYdrW8kkqpBs8AkUlN1g_8_8"/>
      <w:bookmarkStart w:id="1079" w:name="Tc_t48C9LV-JU6TAz3XgK6rHg_8_5"/>
      <w:bookmarkStart w:id="1080" w:name="Tc_ZnmL0YI3sUOA2kw4l1W98g_8_2"/>
      <w:bookmarkStart w:id="1081" w:name="Tc_hLtxKX4spECZEQiE21MPgg_8_0"/>
      <w:bookmarkStart w:id="1082" w:name="Tc_595HTB7YREmn0bOn80Aung_7_12"/>
      <w:bookmarkStart w:id="1083" w:name="Tc_1GExRtjcBECV2qQzu83qAg_7_6"/>
      <w:bookmarkStart w:id="1084" w:name="Tc_vq37M5D5b0qpeg5v8MD7vg_7_0"/>
      <w:bookmarkStart w:id="1085" w:name="Tc_36DJIE91y0e7FLc_egkJ6g_6_12"/>
      <w:bookmarkStart w:id="1086" w:name="Tc_u79cyg-gGEay0jEYBZt6IA_6_6"/>
      <w:bookmarkStart w:id="1087" w:name="Tc_SDPs4qYpSE6pZfB461IZaA_6_0"/>
      <w:bookmarkStart w:id="1088" w:name="Tc_j1OMMQT-YU6uvbcTyI3Byw_5_11"/>
      <w:bookmarkStart w:id="1089" w:name="Tc_6bi6AsTGfkOF-wfxDMfTTw_5_8"/>
      <w:bookmarkStart w:id="1090" w:name="Tc_D0MUZL4yaUC7RrQutPsJrQ_5_5"/>
      <w:bookmarkStart w:id="1091" w:name="Tc_cq5bDZKpJU-qpvzphIzjWw_5_2"/>
      <w:bookmarkStart w:id="1092" w:name="Tc_trO-vHF-oEy5HfET_Kt-Dg_5_0"/>
      <w:bookmarkStart w:id="1093" w:name="Tc_yBPF1ZX3bUSQknHjanleJw_4_2"/>
      <w:bookmarkStart w:id="1094" w:name="Tc_6deScLrvjEqwO0GlpPfQlQ_3_11"/>
      <w:bookmarkStart w:id="1095" w:name="Tc_bSPs7EdUGkuUmai7SKRDuw_3_8"/>
      <w:bookmarkStart w:id="1096" w:name="Tc_rRSfCV7xMECIMI2xkrjtsg_3_5"/>
      <w:bookmarkStart w:id="1097" w:name="Tc_Toys3ra32USrbdzQfUtk5w_3_2"/>
      <w:bookmarkStart w:id="1098" w:name="Tc_M5brlgO4Rk6dxdCx-QTXgA_3_0"/>
      <w:bookmarkStart w:id="1099" w:name="Tc_og0qBOP-m0KxGvTlfE9P_w_2_8"/>
      <w:bookmarkStart w:id="1100" w:name="Tc_G80foqGZg0GMEIlbKtlXhg_2_2"/>
      <w:bookmarkStart w:id="1101" w:name="Tc_HtTm16s4tEGE9x0qIWb_KQ_1_2"/>
      <w:bookmarkStart w:id="1102" w:name="_4fbfebae_1082_487b_9e72_3df7c5b00fe5"/>
      <w:bookmarkStart w:id="1103" w:name="_5e013407_f5ce_4251_a59c_1dbeba4fd28f"/>
      <w:bookmarkStart w:id="1104" w:name="_b6efb480_3991_4a0f_a999_8d345644ce50"/>
      <w:bookmarkStart w:id="1105" w:name="Tc_kz4x06ZhZky2UYMRgZbQhA_8_11"/>
      <w:bookmarkStart w:id="1106" w:name="Tc_K1WYdrW8kkqpBs8AkUlN1g_8_8"/>
      <w:bookmarkStart w:id="1107" w:name="Tc_t48C9LV-JU6TAz3XgK6rHg_8_5"/>
      <w:bookmarkStart w:id="1108" w:name="Tc_ZnmL0YI3sUOA2kw4l1W98g_8_2"/>
      <w:bookmarkStart w:id="1109" w:name="Tc_hLtxKX4spECZEQiE21MPgg_8_0"/>
      <w:bookmarkStart w:id="1110" w:name="Tc_595HTB7YREmn0bOn80Aung_7_12"/>
      <w:bookmarkStart w:id="1111" w:name="Tc_1GExRtjcBECV2qQzu83qAg_7_6"/>
      <w:bookmarkStart w:id="1112" w:name="Tc_vq37M5D5b0qpeg5v8MD7vg_7_0"/>
      <w:bookmarkStart w:id="1113" w:name="Tc_36DJIE91y0e7FLc_egkJ6g_6_12"/>
      <w:bookmarkStart w:id="1114" w:name="Tc_u79cyg-gGEay0jEYBZt6IA_6_6"/>
      <w:bookmarkStart w:id="1115" w:name="Tc_SDPs4qYpSE6pZfB461IZaA_6_0"/>
      <w:bookmarkStart w:id="1116" w:name="Tc_j1OMMQT-YU6uvbcTyI3Byw_5_11"/>
      <w:bookmarkStart w:id="1117" w:name="Tc_6bi6AsTGfkOF-wfxDMfTTw_5_8"/>
      <w:bookmarkStart w:id="1118" w:name="Tc_D0MUZL4yaUC7RrQutPsJrQ_5_5"/>
      <w:bookmarkStart w:id="1119" w:name="Tc_cq5bDZKpJU-qpvzphIzjWw_5_2"/>
      <w:bookmarkStart w:id="1120" w:name="Tc_trO-vHF-oEy5HfET_Kt-Dg_5_0"/>
      <w:bookmarkStart w:id="1121" w:name="Tc_yBPF1ZX3bUSQknHjanleJw_4_2"/>
      <w:bookmarkStart w:id="1122" w:name="Tc_6deScLrvjEqwO0GlpPfQlQ_3_11"/>
      <w:bookmarkStart w:id="1123" w:name="Tc_bSPs7EdUGkuUmai7SKRDuw_3_8"/>
      <w:bookmarkStart w:id="1124" w:name="Tc_rRSfCV7xMECIMI2xkrjtsg_3_5"/>
      <w:bookmarkStart w:id="1125" w:name="Tc_Toys3ra32USrbdzQfUtk5w_3_2"/>
      <w:bookmarkStart w:id="1126" w:name="Tc_M5brlgO4Rk6dxdCx-QTXgA_3_0"/>
      <w:bookmarkStart w:id="1127" w:name="Tc_og0qBOP-m0KxGvTlfE9P_w_2_8"/>
      <w:bookmarkStart w:id="1128" w:name="Tc_G80foqGZg0GMEIlbKtlXhg_2_2"/>
      <w:bookmarkStart w:id="1129" w:name="Tc_HtTm16s4tEGE9x0qIWb_KQ_1_2"/>
      <w:bookmarkStart w:id="1130" w:name="_4fbfebae_1082_487b_9e72_3df7c5b00fe5"/>
      <w:bookmarkStart w:id="1131" w:name="_5e013407_f5ce_4251_a59c_1dbeba4fd28f"/>
      <w:bookmarkStart w:id="1132" w:name="_b6efb480_3991_4a0f_a999_8d345644ce50"/>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p>
    <w:tbl>
      <w:tblPr>
        <w:tblW w:w="3032" w:type="dxa"/>
        <w:jc w:val="left"/>
        <w:tblInd w:w="0" w:type="dxa"/>
        <w:tblLayout w:type="fixed"/>
        <w:tblCellMar>
          <w:top w:w="0" w:type="dxa"/>
          <w:left w:w="0" w:type="dxa"/>
          <w:bottom w:w="0" w:type="dxa"/>
          <w:right w:w="0" w:type="dxa"/>
        </w:tblCellMar>
      </w:tblPr>
      <w:tblGrid>
        <w:gridCol w:w="391"/>
        <w:gridCol w:w="2641"/>
      </w:tblGrid>
      <w:tr>
        <w:trPr/>
        <w:tc>
          <w:tcPr>
            <w:tcW w:w="39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11.</w:t>
            </w:r>
          </w:p>
        </w:tc>
        <w:tc>
          <w:tcPr>
            <w:tcW w:w="264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Related Party Transactions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Related Party Transactions with DISH Network, our parent, and EchoStar, our ultimate parent.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notes receivable balances with DISH Network: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00"/>
        <w:gridCol w:w="109"/>
        <w:gridCol w:w="211"/>
        <w:gridCol w:w="931"/>
        <w:gridCol w:w="109"/>
        <w:gridCol w:w="491"/>
        <w:gridCol w:w="1578"/>
        <w:gridCol w:w="109"/>
        <w:gridCol w:w="211"/>
        <w:gridCol w:w="931"/>
        <w:gridCol w:w="109"/>
        <w:gridCol w:w="449"/>
        <w:gridCol w:w="1667"/>
      </w:tblGrid>
      <w:tr>
        <w:trPr/>
        <w:tc>
          <w:tcPr>
            <w:tcW w:w="3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95500" cy="175260"/>
                      <wp:effectExtent l="0" t="0" r="0" b="0"/>
                      <wp:wrapNone/>
                      <wp:docPr id="230" name="Frame230"/>
                      <a:graphic xmlns:a="http://schemas.openxmlformats.org/drawingml/2006/main">
                        <a:graphicData uri="http://schemas.microsoft.com/office/word/2010/wordprocessingShape">
                          <wps:wsp>
                            <wps:cNvSpPr txBox="1"/>
                            <wps:spPr>
                              <a:xfrm>
                                <a:off x="0" y="0"/>
                                <a:ext cx="209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91185" cy="175260"/>
                      <wp:effectExtent l="0" t="0" r="0" b="0"/>
                      <wp:wrapNone/>
                      <wp:docPr id="233" name="Frame2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11785" cy="175260"/>
                      <wp:effectExtent l="0" t="0" r="0" b="0"/>
                      <wp:wrapNone/>
                      <wp:docPr id="235" name="Frame235"/>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002030" cy="175260"/>
                      <wp:effectExtent l="0" t="0" r="0" b="0"/>
                      <wp:wrapNone/>
                      <wp:docPr id="236" name="Frame236"/>
                      <a:graphic xmlns:a="http://schemas.openxmlformats.org/drawingml/2006/main">
                        <a:graphicData uri="http://schemas.microsoft.com/office/word/2010/wordprocessingShape">
                          <wps:wsp>
                            <wps:cNvSpPr txBox="1"/>
                            <wps:spPr>
                              <a:xfrm>
                                <a:off x="0" y="0"/>
                                <a:ext cx="1002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91185" cy="175260"/>
                      <wp:effectExtent l="0" t="0" r="0" b="0"/>
                      <wp:wrapNone/>
                      <wp:docPr id="239" name="Frame2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85115" cy="175260"/>
                      <wp:effectExtent l="0" t="0" r="0" b="0"/>
                      <wp:wrapNone/>
                      <wp:docPr id="241" name="Frame241"/>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058545" cy="175260"/>
                      <wp:effectExtent l="0" t="0" r="0" b="0"/>
                      <wp:wrapNone/>
                      <wp:docPr id="242" name="Frame242"/>
                      <a:graphic xmlns:a="http://schemas.openxmlformats.org/drawingml/2006/main">
                        <a:graphicData uri="http://schemas.microsoft.com/office/word/2010/wordprocessingShape">
                          <wps:wsp>
                            <wps:cNvSpPr txBox="1"/>
                            <wps:spPr>
                              <a:xfrm>
                                <a:off x="0" y="0"/>
                                <a:ext cx="1058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96"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3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30, 2025</w:t>
            </w:r>
          </w:p>
        </w:tc>
        <w:tc>
          <w:tcPr>
            <w:tcW w:w="109" w:type="dxa"/>
            <w:tcBorders/>
            <w:vAlign w:val="center"/>
          </w:tcPr>
          <w:p>
            <w:pPr>
              <w:pStyle w:val="TableContents"/>
              <w:bidi w:val="0"/>
              <w:spacing w:before="0" w:after="0"/>
              <w:ind w:left="0" w:right="0" w:hanging="0"/>
              <w:jc w:val="left"/>
              <w:rPr/>
            </w:pPr>
            <w:r>
              <w:rPr/>
              <w:t>​</w:t>
            </w:r>
          </w:p>
        </w:tc>
        <w:tc>
          <w:tcPr>
            <w:tcW w:w="33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December 31, 2024</w:t>
            </w:r>
          </w:p>
        </w:tc>
      </w:tr>
      <w:tr>
        <w:trPr/>
        <w:tc>
          <w:tcPr>
            <w:tcW w:w="330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Notes Receivable - DISH Network</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Principal</w:t>
            </w:r>
          </w:p>
        </w:tc>
        <w:tc>
          <w:tcPr>
            <w:tcW w:w="109" w:type="dxa"/>
            <w:tcBorders/>
            <w:vAlign w:val="center"/>
          </w:tcPr>
          <w:p>
            <w:pPr>
              <w:pStyle w:val="TableContents"/>
              <w:bidi w:val="0"/>
              <w:spacing w:before="0" w:after="0"/>
              <w:ind w:left="0" w:right="0" w:hanging="0"/>
              <w:jc w:val="left"/>
              <w:rPr/>
            </w:pPr>
            <w:r>
              <w:rPr/>
              <w:t>​</w:t>
            </w:r>
          </w:p>
        </w:tc>
        <w:tc>
          <w:tcPr>
            <w:tcW w:w="2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Accrued Interest Receivable</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Principal</w:t>
            </w:r>
          </w:p>
        </w:tc>
        <w:tc>
          <w:tcPr>
            <w:tcW w:w="109" w:type="dxa"/>
            <w:tcBorders/>
            <w:vAlign w:val="center"/>
          </w:tcPr>
          <w:p>
            <w:pPr>
              <w:pStyle w:val="TableContents"/>
              <w:bidi w:val="0"/>
              <w:spacing w:before="0" w:after="0"/>
              <w:ind w:left="0" w:right="0" w:hanging="0"/>
              <w:jc w:val="left"/>
              <w:rPr/>
            </w:pPr>
            <w:r>
              <w:rPr/>
              <w:t>​</w:t>
            </w:r>
          </w:p>
        </w:tc>
        <w:tc>
          <w:tcPr>
            <w:tcW w:w="2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Accrued Interest Receivable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0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96"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0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Intercompany Loan - DISH Network - 2028 Tranche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2,844,401</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7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2,844,401</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6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14,222</w:t>
            </w:r>
          </w:p>
        </w:tc>
      </w:tr>
      <w:tr>
        <w:trPr/>
        <w:tc>
          <w:tcPr>
            <w:tcW w:w="330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Q2 2024 Notes Receivable - DISH Network (1)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1,630,913</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57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1,576,518</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667" w:type="dxa"/>
            <w:tcBorders/>
            <w:vAlign w:val="center"/>
          </w:tcPr>
          <w:p>
            <w:pPr>
              <w:pStyle w:val="TableContents"/>
              <w:bidi w:val="0"/>
              <w:spacing w:before="0" w:after="0"/>
              <w:ind w:left="0" w:right="0" w:hanging="0"/>
              <w:jc w:val="right"/>
              <w:rPr/>
            </w:pPr>
            <w:r>
              <w:rPr/>
              <w:t>—</w:t>
            </w:r>
          </w:p>
        </w:tc>
      </w:tr>
      <w:tr>
        <w:trPr/>
        <w:tc>
          <w:tcPr>
            <w:tcW w:w="330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Q3 2024 Notes Receivable - DISH Network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509,772</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492,770</w:t>
            </w:r>
          </w:p>
        </w:tc>
        <w:tc>
          <w:tcPr>
            <w:tcW w:w="109" w:type="dxa"/>
            <w:tcBorders/>
            <w:shd w:fill="CCEEFF" w:val="clear"/>
            <w:vAlign w:val="center"/>
          </w:tcPr>
          <w:p>
            <w:pPr>
              <w:pStyle w:val="TableContents"/>
              <w:bidi w:val="0"/>
              <w:spacing w:before="0" w:after="0"/>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0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Notes Receivable - DISH Network</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4,985,086</w:t>
            </w:r>
          </w:p>
        </w:tc>
        <w:tc>
          <w:tcPr>
            <w:tcW w:w="109" w:type="dxa"/>
            <w:tcBorders/>
            <w:vAlign w:val="center"/>
          </w:tcPr>
          <w:p>
            <w:pPr>
              <w:pStyle w:val="TableContents"/>
              <w:bidi w:val="0"/>
              <w:spacing w:before="0" w:after="0"/>
              <w:ind w:left="0" w:right="0" w:hanging="0"/>
              <w:jc w:val="left"/>
              <w:rPr/>
            </w:pPr>
            <w:r>
              <w:rPr/>
              <w:t>​</w:t>
            </w:r>
          </w:p>
        </w:tc>
        <w:tc>
          <w:tcPr>
            <w:tcW w:w="49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4,913,689</w:t>
            </w:r>
          </w:p>
        </w:tc>
        <w:tc>
          <w:tcPr>
            <w:tcW w:w="109" w:type="dxa"/>
            <w:tcBorders/>
            <w:vAlign w:val="center"/>
          </w:tcPr>
          <w:p>
            <w:pPr>
              <w:pStyle w:val="TableContents"/>
              <w:bidi w:val="0"/>
              <w:spacing w:before="0" w:after="0"/>
              <w:ind w:left="0" w:right="0" w:hanging="0"/>
              <w:jc w:val="left"/>
              <w:rPr/>
            </w:pPr>
            <w:r>
              <w:rPr/>
              <w:t>​</w:t>
            </w:r>
          </w:p>
        </w:tc>
        <w:tc>
          <w:tcPr>
            <w:tcW w:w="44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66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14,222</w:t>
            </w:r>
          </w:p>
        </w:tc>
      </w:tr>
    </w:tbl>
    <w:p>
      <w:pPr>
        <w:pStyle w:val="TextBody"/>
        <w:bidi w:val="0"/>
        <w:spacing w:before="0" w:after="0"/>
        <w:ind w:left="0" w:right="0" w:hanging="0"/>
        <w:jc w:val="left"/>
        <w:rPr/>
      </w:pPr>
      <w:r>
        <w:rPr/>
        <w:t>​</w:t>
      </w:r>
    </w:p>
    <w:tbl>
      <w:tblPr>
        <w:tblW w:w="4307" w:type="dxa"/>
        <w:jc w:val="left"/>
        <w:tblInd w:w="0" w:type="dxa"/>
        <w:tblLayout w:type="fixed"/>
        <w:tblCellMar>
          <w:top w:w="0" w:type="dxa"/>
          <w:left w:w="0" w:type="dxa"/>
          <w:bottom w:w="0" w:type="dxa"/>
          <w:right w:w="0" w:type="dxa"/>
        </w:tblCellMar>
      </w:tblPr>
      <w:tblGrid>
        <w:gridCol w:w="346"/>
        <w:gridCol w:w="39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9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Interest is recorded monthly as paid in kind.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b/>
          <w:i/>
          <w:sz w:val="20"/>
        </w:rPr>
      </w:pPr>
      <w:bookmarkStart w:id="1133" w:name="OLE_LINK4"/>
      <w:bookmarkStart w:id="1134" w:name="OLE_LINK3"/>
      <w:bookmarkEnd w:id="1133"/>
      <w:bookmarkEnd w:id="1134"/>
      <w:r>
        <w:rPr>
          <w:rFonts w:ascii="Arial;Helvetica;sans-serif" w:hAnsi="Arial;Helvetica;sans-serif"/>
          <w:b/>
          <w:i/>
          <w:sz w:val="20"/>
        </w:rPr>
        <w:t>Intercompany Loan – DISH Network</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 xml:space="preserve">Concurrently with the issuance of 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Senior Secured Notes due 2026 and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Senior Secured Notes due 2028 (our “Senior Secured Notes”) and using the proceeds thereof, we made the Intercompany Loan to DISH Network to be used by DISH Network to finance the purchase of certain wireless spectrum licenses and for general corporate purposes, including the build-out of wireless infrastructure. The Intercompany Loan was initially secured by DISH Network’s interest in the wireless spectrum licenses for the 3.45-3.55 GHz Licenses up to the total loan amount outstanding including interest paid in kind. Pursuant to the terms of the Intercompany Loan, under certain circumstances, DISH Network wireless spectrum licenses (valued based upon a third-party valuation) may be substituted for the collateral. During the first quarter of 2025, DISH Network exercised its right to exchange certain of the 3.45-3.55 GHz Licenses for certain other previously unencumbered wireless spectrum licenses of equal or greater value based upon the most recent third-party valuation. The Intercompany Loan matures in two</w:t>
      </w:r>
      <w:r>
        <w:rPr>
          <w:rFonts w:ascii="Helvetica;sans-serif" w:hAnsi="Helvetica;sans-serif"/>
          <w:sz w:val="22"/>
        </w:rPr>
        <w:t xml:space="preserve"> </w:t>
      </w:r>
      <w:r>
        <w:rPr>
          <w:rFonts w:ascii="Arial;Helvetica;sans-serif" w:hAnsi="Arial;Helvetica;sans-serif"/>
          <w:sz w:val="20"/>
        </w:rPr>
        <w:t>tranches, with the first tranche maturing on December 1, 2026 (the “2026 Tranche”) and the second tranche maturing on December 1, 2028</w:t>
      </w:r>
      <w:r>
        <w:rPr>
          <w:rFonts w:ascii="Helvetica;sans-serif" w:hAnsi="Helvetica;sans-serif"/>
          <w:sz w:val="22"/>
        </w:rPr>
        <w:t xml:space="preserve"> </w:t>
      </w:r>
      <w:r>
        <w:rPr>
          <w:rFonts w:ascii="Arial;Helvetica;sans-serif" w:hAnsi="Arial;Helvetica;sans-serif"/>
          <w:sz w:val="20"/>
        </w:rPr>
        <w:t>(the “2028 Tranche”). The aggregate principal amount of the Intercompany Loan was initially $5.250</w:t>
      </w:r>
      <w:r>
        <w:rPr>
          <w:rFonts w:ascii="Helvetica;sans-serif" w:hAnsi="Helvetica;sans-serif"/>
          <w:sz w:val="22"/>
        </w:rPr>
        <w:t xml:space="preserve"> </w:t>
      </w:r>
      <w:r>
        <w:rPr>
          <w:rFonts w:ascii="Arial;Helvetica;sans-serif" w:hAnsi="Arial;Helvetica;sans-serif"/>
          <w:sz w:val="20"/>
        </w:rPr>
        <w:t>billion, and on February 11, 2022, we advanced an additional $1.5</w:t>
      </w:r>
      <w:r>
        <w:rPr>
          <w:rFonts w:ascii="Helvetica;sans-serif" w:hAnsi="Helvetica;sans-serif"/>
          <w:sz w:val="22"/>
        </w:rPr>
        <w:t xml:space="preserve"> </w:t>
      </w:r>
      <w:r>
        <w:rPr>
          <w:rFonts w:ascii="Arial;Helvetica;sans-serif" w:hAnsi="Arial;Helvetica;sans-serif"/>
          <w:sz w:val="20"/>
        </w:rPr>
        <w:t>billion to DISH Network under the 2026 Tranche. Interest accrues and is payable semiannually, and interest payments with respect to the Intercompany Loan were, at DISH Network’s option, payable in kind for the first two years</w:t>
      </w:r>
      <w:r>
        <w:rPr>
          <w:rFonts w:ascii="Helvetica;sans-serif" w:hAnsi="Helvetica;sans-serif"/>
          <w:sz w:val="22"/>
        </w:rPr>
        <w:t xml:space="preserve"> </w:t>
      </w:r>
      <w:r>
        <w:rPr>
          <w:rFonts w:ascii="Arial;Helvetica;sans-serif" w:hAnsi="Arial;Helvetica;sans-serif"/>
          <w:sz w:val="20"/>
        </w:rPr>
        <w:t>from the issuance date of November 2021. In the third year post issuance date, a minimum of 50%</w:t>
      </w:r>
      <w:r>
        <w:rPr>
          <w:rFonts w:ascii="Helvetica;sans-serif" w:hAnsi="Helvetica;sans-serif"/>
          <w:sz w:val="22"/>
        </w:rPr>
        <w:t xml:space="preserve"> </w:t>
      </w:r>
      <w:r>
        <w:rPr>
          <w:rFonts w:ascii="Arial;Helvetica;sans-serif" w:hAnsi="Arial;Helvetica;sans-serif"/>
          <w:sz w:val="20"/>
        </w:rPr>
        <w:t>of each interest payment due with respect to each tranche of the Intercompany Loan were required to be paid in cash. Currently and prospectively, interest payments must be paid in cash. Interest accrues: (a) when paid in cash, at a fixed rate of 0.25%</w:t>
      </w:r>
      <w:r>
        <w:rPr>
          <w:rFonts w:ascii="Helvetica;sans-serif" w:hAnsi="Helvetica;sans-serif"/>
          <w:sz w:val="22"/>
        </w:rPr>
        <w:t xml:space="preserve"> </w:t>
      </w:r>
      <w:r>
        <w:rPr>
          <w:rFonts w:ascii="Arial;Helvetica;sans-serif" w:hAnsi="Arial;Helvetica;sans-serif"/>
          <w:sz w:val="20"/>
        </w:rPr>
        <w:t xml:space="preserve">per annum in excess of the interest rate applicable to, in the case of the 2026 Tranche, 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Senior Secured Notes due 2026, and in the case of the 2028 Tranche,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Senior Secured Notes due 2028 (each, the “Cash Accrual Rate” with respect to the applicable tranche); and (b) when paid in kind, at a rate of 0.50%</w:t>
      </w:r>
      <w:r>
        <w:rPr>
          <w:rFonts w:ascii="Helvetica;sans-serif" w:hAnsi="Helvetica;sans-serif"/>
          <w:sz w:val="22"/>
        </w:rPr>
        <w:t xml:space="preserve"> </w:t>
      </w:r>
      <w:r>
        <w:rPr>
          <w:rFonts w:ascii="Arial;Helvetica;sans-serif" w:hAnsi="Arial;Helvetica;sans-serif"/>
          <w:sz w:val="20"/>
        </w:rPr>
        <w:t>per annum in excess of the Cash Accrual Rate for the applicable tranche.</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2"/>
        </w:rPr>
      </w:pPr>
      <w:r>
        <w:rPr>
          <w:rFonts w:ascii="Arial;Helvetica;sans-serif" w:hAnsi="Arial;Helvetica;sans-serif"/>
          <w:sz w:val="20"/>
        </w:rPr>
        <w:t>The Intercompany Loan is repayable by DISH Network in whole or in part, at any time or from time to time, at a price equal to 100%</w:t>
      </w:r>
      <w:r>
        <w:rPr>
          <w:rFonts w:ascii="Helvetica;sans-serif" w:hAnsi="Helvetica;sans-serif"/>
          <w:sz w:val="22"/>
        </w:rPr>
        <w:t xml:space="preserve"> </w:t>
      </w:r>
      <w:r>
        <w:rPr>
          <w:rFonts w:ascii="Arial;Helvetica;sans-serif" w:hAnsi="Arial;Helvetica;sans-serif"/>
          <w:sz w:val="20"/>
        </w:rPr>
        <w:t>of the principal amount thereof, plus accrued but unpaid interest thereon. We may use the proceeds of any such pre-payment for general corporate purposes, including refinancing of indebtedness, but may not use any such prepaid amounts to make a cash dividend or distribution to DISH Network prior to the repayment in full of the Intercompany Loan.</w:t>
      </w:r>
      <w:r>
        <w:rPr>
          <w:rFonts w:ascii="Helvetica;sans-serif" w:hAnsi="Helvetica;sans-serif"/>
          <w:sz w:val="22"/>
        </w:rPr>
        <w:t xml:space="preserve"> </w:t>
      </w:r>
      <w:r>
        <w:rPr>
          <w:rFonts w:ascii="Arial;Helvetica;sans-serif" w:hAnsi="Arial;Helvetica;sans-serif"/>
          <w:sz w:val="20"/>
        </w:rPr>
        <w:t xml:space="preserve">The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Senior Secured Notes due 2026 and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Senior Secured Notes due 2028</w:t>
      </w:r>
      <w:r>
        <w:rPr>
          <w:rFonts w:ascii="Helvetica;sans-serif" w:hAnsi="Helvetica;sans-serif"/>
          <w:sz w:val="22"/>
        </w:rPr>
        <w:t xml:space="preserve"> </w:t>
      </w:r>
      <w:r>
        <w:rPr>
          <w:rFonts w:ascii="Arial;Helvetica;sans-serif" w:hAnsi="Arial;Helvetica;sans-serif"/>
          <w:sz w:val="20"/>
        </w:rPr>
        <w:t xml:space="preserve">are subordinated to our existing and certain future unsecured notes with respect to certain realizations under the Intercompany Loan and any collateral pledged as security therefor. Any material amendments or modifications to the terms of the Intercompany Loan will require the written consent of the holders of a majority of the then-outstanding </w:t>
      </w:r>
      <w:r>
        <w:rPr>
          <w:rFonts w:ascii="Arial;Helvetica;sans-serif" w:hAnsi="Arial;Helvetica;sans-serif"/>
          <w:b w:val="false"/>
          <w:i w:val="false"/>
          <w:caps w:val="false"/>
          <w:smallCaps w:val="false"/>
          <w:sz w:val="20"/>
        </w:rPr>
        <w:t>5 1/4%</w:t>
      </w:r>
      <w:r>
        <w:rPr>
          <w:rFonts w:ascii="Helvetica;sans-serif" w:hAnsi="Helvetica;sans-serif"/>
          <w:sz w:val="22"/>
        </w:rPr>
        <w:t xml:space="preserve"> </w:t>
      </w:r>
      <w:r>
        <w:rPr>
          <w:rFonts w:ascii="Arial;Helvetica;sans-serif" w:hAnsi="Arial;Helvetica;sans-serif"/>
          <w:sz w:val="20"/>
        </w:rPr>
        <w:t xml:space="preserve">Senior Secured Notes due 2026 and the </w:t>
      </w:r>
      <w:r>
        <w:rPr>
          <w:rFonts w:ascii="Arial;Helvetica;sans-serif" w:hAnsi="Arial;Helvetica;sans-serif"/>
          <w:b w:val="false"/>
          <w:i w:val="false"/>
          <w:caps w:val="false"/>
          <w:smallCaps w:val="false"/>
          <w:sz w:val="20"/>
        </w:rPr>
        <w:t>5 3/4%</w:t>
      </w:r>
      <w:r>
        <w:rPr>
          <w:rFonts w:ascii="Helvetica;sans-serif" w:hAnsi="Helvetica;sans-serif"/>
          <w:sz w:val="22"/>
        </w:rPr>
        <w:t xml:space="preserve"> </w:t>
      </w:r>
      <w:r>
        <w:rPr>
          <w:rFonts w:ascii="Arial;Helvetica;sans-serif" w:hAnsi="Arial;Helvetica;sans-serif"/>
          <w:sz w:val="20"/>
        </w:rPr>
        <w:t>Senior Secured Notes due 2028.</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Helvetica;sans-serif" w:hAnsi="Helvetica;sans-serif"/>
          <w:sz w:val="20"/>
        </w:rPr>
      </w:pPr>
      <w:r>
        <w:rPr>
          <w:rFonts w:ascii="Arial;Helvetica;sans-serif" w:hAnsi="Arial;Helvetica;sans-serif"/>
          <w:sz w:val="20"/>
          <w:shd w:fill="FFFFFF" w:val="clear"/>
        </w:rPr>
        <w:t xml:space="preserve">On January 10, 2024, we, in our capacity as “Lender” under the terms of the Loan and Security Agreement related to the Intercompany Loan between DISH Network and us, have consummated the assignment pursuant to such terms, without any modification or amendment thereto, of our receivable in respect to the </w:t>
      </w:r>
      <w:r>
        <w:rPr>
          <w:rFonts w:ascii="Arial;Helvetica;sans-serif" w:hAnsi="Arial;Helvetica;sans-serif"/>
          <w:sz w:val="20"/>
        </w:rPr>
        <w:t>2026 Tranche</w:t>
      </w:r>
      <w:r>
        <w:rPr>
          <w:rFonts w:ascii="Helvetica;sans-serif" w:hAnsi="Helvetica;sans-serif"/>
          <w:sz w:val="20"/>
          <w:shd w:fill="FFFFFF" w:val="clear"/>
        </w:rPr>
        <w:t xml:space="preserve"> </w:t>
      </w:r>
      <w:r>
        <w:rPr>
          <w:rFonts w:ascii="Arial;Helvetica;sans-serif" w:hAnsi="Arial;Helvetica;sans-serif"/>
          <w:sz w:val="20"/>
          <w:shd w:fill="FFFFFF" w:val="clear"/>
        </w:rPr>
        <w:t>of $4.7</w:t>
      </w:r>
      <w:r>
        <w:rPr>
          <w:rFonts w:ascii="Helvetica;sans-serif" w:hAnsi="Helvetica;sans-serif"/>
          <w:sz w:val="20"/>
          <w:shd w:fill="FFFFFF" w:val="clear"/>
        </w:rPr>
        <w:t xml:space="preserve"> </w:t>
      </w:r>
      <w:r>
        <w:rPr>
          <w:rFonts w:ascii="Arial;Helvetica;sans-serif" w:hAnsi="Arial;Helvetica;sans-serif"/>
          <w:sz w:val="20"/>
          <w:shd w:fill="FFFFFF" w:val="clear"/>
        </w:rPr>
        <w:t xml:space="preserve">billion to DBS Intercompany Receivable L.L.C. </w:t>
      </w:r>
      <w:r>
        <w:rPr>
          <w:rFonts w:ascii="Arial;Helvetica;sans-serif" w:hAnsi="Arial;Helvetica;sans-serif"/>
          <w:sz w:val="20"/>
        </w:rPr>
        <w:t>DBS Intercompany Receivable L.L.C.</w:t>
      </w:r>
      <w:r>
        <w:rPr>
          <w:rFonts w:ascii="Helvetica;sans-serif" w:hAnsi="Helvetica;sans-serif"/>
          <w:sz w:val="20"/>
          <w:shd w:fill="FFFFFF" w:val="clear"/>
        </w:rPr>
        <w:t> </w:t>
      </w:r>
      <w:r>
        <w:rPr>
          <w:rFonts w:ascii="Arial;Helvetica;sans-serif" w:hAnsi="Arial;Helvetica;sans-serif"/>
          <w:sz w:val="20"/>
          <w:shd w:fill="FFFFFF" w:val="clear"/>
        </w:rPr>
        <w:t>has subsequently assigned its rights as lender thereunder to </w:t>
      </w:r>
      <w:r>
        <w:rPr>
          <w:rFonts w:ascii="Arial;Helvetica;sans-serif" w:hAnsi="Arial;Helvetica;sans-serif"/>
          <w:sz w:val="20"/>
        </w:rPr>
        <w:t>EchoStar Intercompany Receivable Company L.L.C.</w:t>
      </w:r>
      <w:r>
        <w:rPr>
          <w:rFonts w:ascii="Arial;Helvetica;sans-serif" w:hAnsi="Arial;Helvetica;sans-serif"/>
          <w:sz w:val="20"/>
          <w:shd w:fill="FFFFFF" w:val="clear"/>
        </w:rPr>
        <w:t xml:space="preserve">, our ultimate parent, EchoStar’s direct wholly-owned subsidiary, such that amounts owed in respect of the </w:t>
      </w:r>
      <w:r>
        <w:rPr>
          <w:rFonts w:ascii="Arial;Helvetica;sans-serif" w:hAnsi="Arial;Helvetica;sans-serif"/>
          <w:sz w:val="20"/>
        </w:rPr>
        <w:t>2026 Tranche</w:t>
      </w:r>
      <w:r>
        <w:rPr>
          <w:rFonts w:ascii="Helvetica;sans-serif" w:hAnsi="Helvetica;sans-serif"/>
          <w:sz w:val="20"/>
          <w:shd w:fill="FFFFFF" w:val="clear"/>
        </w:rPr>
        <w:t xml:space="preserve"> </w:t>
      </w:r>
      <w:r>
        <w:rPr>
          <w:rFonts w:ascii="Arial;Helvetica;sans-serif" w:hAnsi="Arial;Helvetica;sans-serif"/>
          <w:sz w:val="20"/>
          <w:shd w:fill="FFFFFF" w:val="clear"/>
        </w:rPr>
        <w:t>will now be paid by DISH Network to </w:t>
      </w:r>
      <w:r>
        <w:rPr>
          <w:rFonts w:ascii="Arial;Helvetica;sans-serif" w:hAnsi="Arial;Helvetica;sans-serif"/>
          <w:sz w:val="20"/>
        </w:rPr>
        <w:t>EchoStar Intercompany Receivable L.L.C.</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Helvetica;sans-serif" w:hAnsi="Helvetica;sans-serif"/>
          <w:sz w:val="20"/>
        </w:rPr>
      </w:pPr>
      <w:bookmarkStart w:id="1135" w:name="_03ec18ca_6ebe_4c17_bc31_0cc8ec0c291f_3"/>
      <w:bookmarkStart w:id="1136" w:name="_03ec18ca_6ebe_4c17_bc31_0cc8ec0c291f_2"/>
      <w:bookmarkStart w:id="1137" w:name="_03ec18ca_6ebe_4c17_bc31_0cc8ec0c291f"/>
      <w:bookmarkStart w:id="1138" w:name="_676631a3_b059_4d09_b8de_dab06019411f_3"/>
      <w:bookmarkStart w:id="1139" w:name="_676631a3_b059_4d09_b8de_dab06019411f_2"/>
      <w:bookmarkStart w:id="1140" w:name="_676631a3_b059_4d09_b8de_dab06019411f"/>
      <w:bookmarkEnd w:id="1135"/>
      <w:bookmarkEnd w:id="1136"/>
      <w:bookmarkEnd w:id="1137"/>
      <w:bookmarkEnd w:id="1138"/>
      <w:bookmarkEnd w:id="1139"/>
      <w:bookmarkEnd w:id="1140"/>
      <w:r>
        <w:rPr>
          <w:rFonts w:ascii="Arial;Helvetica;sans-serif" w:hAnsi="Arial;Helvetica;sans-serif"/>
          <w:sz w:val="20"/>
        </w:rPr>
        <w:t>During the three months ended June 30, 2025 and 2024, we recorded $42</w:t>
      </w:r>
      <w:r>
        <w:rPr>
          <w:rFonts w:ascii="Helvetica;sans-serif" w:hAnsi="Helvetica;sans-serif"/>
          <w:sz w:val="20"/>
        </w:rPr>
        <w:t xml:space="preserve"> </w:t>
      </w:r>
      <w:r>
        <w:rPr>
          <w:rFonts w:ascii="Arial;Helvetica;sans-serif" w:hAnsi="Arial;Helvetica;sans-serif"/>
          <w:sz w:val="20"/>
        </w:rPr>
        <w:t>million and $44</w:t>
      </w:r>
      <w:r>
        <w:rPr>
          <w:rFonts w:ascii="Helvetica;sans-serif" w:hAnsi="Helvetica;sans-serif"/>
          <w:sz w:val="20"/>
        </w:rPr>
        <w:t xml:space="preserve"> </w:t>
      </w:r>
      <w:r>
        <w:rPr>
          <w:rFonts w:ascii="Arial;Helvetica;sans-serif" w:hAnsi="Arial;Helvetica;sans-serif"/>
          <w:sz w:val="20"/>
        </w:rPr>
        <w:t>million, respectively, of “Interest income” on our Condensed Consolidated Statements of Operations and Comprehensive Income (Loss). During the six months ended June 30, 2025 and 2024, we recorded $85</w:t>
      </w:r>
      <w:r>
        <w:rPr>
          <w:rFonts w:ascii="Helvetica;sans-serif" w:hAnsi="Helvetica;sans-serif"/>
          <w:sz w:val="20"/>
        </w:rPr>
        <w:t xml:space="preserve"> </w:t>
      </w:r>
      <w:r>
        <w:rPr>
          <w:rFonts w:ascii="Arial;Helvetica;sans-serif" w:hAnsi="Arial;Helvetica;sans-serif"/>
          <w:sz w:val="20"/>
        </w:rPr>
        <w:t>million and $94</w:t>
      </w:r>
      <w:r>
        <w:rPr>
          <w:rFonts w:ascii="Helvetica;sans-serif" w:hAnsi="Helvetica;sans-serif"/>
          <w:sz w:val="20"/>
        </w:rPr>
        <w:t xml:space="preserve"> </w:t>
      </w:r>
      <w:r>
        <w:rPr>
          <w:rFonts w:ascii="Arial;Helvetica;sans-serif" w:hAnsi="Arial;Helvetica;sans-serif"/>
          <w:sz w:val="20"/>
        </w:rPr>
        <w:t>million, respectively, of “Interest income” on our Condensed Consolidated Statements of Operations and Comprehensive Income (Loss). As of June 30, 2025 and December 31, 2024, the total Intercompany Loan – 2028 Tranche amount outstanding plus interest paid in kind was $2.844</w:t>
      </w:r>
      <w:r>
        <w:rPr>
          <w:rFonts w:ascii="Helvetica;sans-serif" w:hAnsi="Helvetica;sans-serif"/>
          <w:sz w:val="20"/>
        </w:rPr>
        <w:t xml:space="preserve"> </w:t>
      </w:r>
      <w:r>
        <w:rPr>
          <w:rFonts w:ascii="Arial;Helvetica;sans-serif" w:hAnsi="Arial;Helvetica;sans-serif"/>
          <w:sz w:val="20"/>
        </w:rPr>
        <w:t>billion. This is recorded in “Notes Receivable – DISH Network” on our Condensed Consolidated Balance Sheets. In addition, as of June 30, 2025 and December 31, 2024, “Interest</w:t>
      </w:r>
      <w:r>
        <w:rPr>
          <w:rFonts w:ascii="Helvetica;sans-serif" w:hAnsi="Helvetica;sans-serif"/>
          <w:sz w:val="20"/>
        </w:rPr>
        <w:t xml:space="preserve"> </w:t>
      </w:r>
      <w:r>
        <w:rPr>
          <w:rFonts w:ascii="Arial;Helvetica;sans-serif" w:hAnsi="Arial;Helvetica;sans-serif"/>
          <w:sz w:val="20"/>
        </w:rPr>
        <w:t>receivable</w:t>
      </w:r>
      <w:r>
        <w:rPr>
          <w:rFonts w:ascii="Helvetica;sans-serif" w:hAnsi="Helvetica;sans-serif"/>
          <w:sz w:val="20"/>
        </w:rPr>
        <w:t xml:space="preserve"> – </w:t>
      </w:r>
      <w:r>
        <w:rPr>
          <w:rFonts w:ascii="Arial;Helvetica;sans-serif" w:hAnsi="Arial;Helvetica;sans-serif"/>
          <w:sz w:val="20"/>
        </w:rPr>
        <w:t>DISH Network” on our Condensed Consolidated Balance Sheets was $14</w:t>
      </w:r>
      <w:r>
        <w:rPr>
          <w:rFonts w:ascii="Helvetica;sans-serif" w:hAnsi="Helvetica;sans-serif"/>
          <w:sz w:val="20"/>
        </w:rPr>
        <w:t xml:space="preserve"> </w:t>
      </w:r>
      <w:r>
        <w:rPr>
          <w:rFonts w:ascii="Arial;Helvetica;sans-serif" w:hAnsi="Arial;Helvetica;sans-serif"/>
          <w:sz w:val="20"/>
        </w:rPr>
        <w:t>million, which must be paid in cash.</w:t>
      </w:r>
    </w:p>
    <w:p>
      <w:pPr>
        <w:pStyle w:val="TextBody"/>
        <w:bidi w:val="0"/>
        <w:spacing w:lineRule="auto" w:line="302" w:before="0" w:after="12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b/>
          <w:i/>
          <w:sz w:val="20"/>
        </w:rPr>
      </w:pPr>
      <w:r>
        <w:rPr>
          <w:rFonts w:ascii="Arial;Helvetica;sans-serif" w:hAnsi="Arial;Helvetica;sans-serif"/>
          <w:b/>
          <w:i/>
          <w:sz w:val="20"/>
        </w:rPr>
        <w:t>Q2 2024 Notes Receivable – DISH Network</w:t>
      </w:r>
    </w:p>
    <w:p>
      <w:pPr>
        <w:pStyle w:val="TextBody"/>
        <w:bidi w:val="0"/>
        <w:spacing w:lineRule="auto" w:line="302" w:before="0" w:after="12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 June 2024, we and DISH Network entered into an intercompany loan (the “Q2 2024 Notes Receivable – DISH Network”) with an initial principal amount of $1.508</w:t>
      </w:r>
      <w:r>
        <w:rPr>
          <w:rFonts w:ascii="Times New Roman;Times;serif" w:hAnsi="Times New Roman;Times;serif"/>
          <w:sz w:val="20"/>
        </w:rPr>
        <w:t xml:space="preserve"> </w:t>
      </w:r>
      <w:r>
        <w:rPr>
          <w:rFonts w:ascii="Arial;Helvetica;sans-serif" w:hAnsi="Arial;Helvetica;sans-serif"/>
          <w:sz w:val="20"/>
        </w:rPr>
        <w:t>billion. The Q2 2024 Notes Receivable – DISH Network matures on August 13, 2028. Interest accrues and is payable monthly and interest payments shall be payable “in kind” and shall be added to the principal amount of the loan on each interest payment date. The interest rate with respect to the Q2 2024 Notes Receivable – DISH Network is at a variable rate. During the three months ended June 30, 2025, and 2024 we recorded $27</w:t>
      </w:r>
      <w:r>
        <w:rPr>
          <w:rFonts w:ascii="Times New Roman;Times;serif" w:hAnsi="Times New Roman;Times;serif"/>
          <w:sz w:val="20"/>
        </w:rPr>
        <w:t xml:space="preserve"> </w:t>
      </w:r>
      <w:r>
        <w:rPr>
          <w:rFonts w:ascii="Arial;Helvetica;sans-serif" w:hAnsi="Arial;Helvetica;sans-serif"/>
          <w:sz w:val="20"/>
        </w:rPr>
        <w:t>million and $21</w:t>
      </w:r>
      <w:r>
        <w:rPr>
          <w:rFonts w:ascii="Times New Roman;Times;serif" w:hAnsi="Times New Roman;Times;serif"/>
          <w:sz w:val="20"/>
        </w:rPr>
        <w:t xml:space="preserve"> </w:t>
      </w:r>
      <w:r>
        <w:rPr>
          <w:rFonts w:ascii="Arial;Helvetica;sans-serif" w:hAnsi="Arial;Helvetica;sans-serif"/>
          <w:sz w:val="20"/>
        </w:rPr>
        <w:t>million, respectively, of “Interest income” related to the above on our Condensed Consolidated Statements of Operations and Comprehensive Income (Loss). During the six months ended June 30, 2025, and 2024 we recorded $54</w:t>
      </w:r>
      <w:r>
        <w:rPr>
          <w:rFonts w:ascii="Times New Roman;Times;serif" w:hAnsi="Times New Roman;Times;serif"/>
          <w:sz w:val="20"/>
        </w:rPr>
        <w:t xml:space="preserve"> </w:t>
      </w:r>
      <w:r>
        <w:rPr>
          <w:rFonts w:ascii="Arial;Helvetica;sans-serif" w:hAnsi="Arial;Helvetica;sans-serif"/>
          <w:sz w:val="20"/>
        </w:rPr>
        <w:t>million and $21</w:t>
      </w:r>
      <w:r>
        <w:rPr>
          <w:rFonts w:ascii="Times New Roman;Times;serif" w:hAnsi="Times New Roman;Times;serif"/>
          <w:sz w:val="20"/>
        </w:rPr>
        <w:t xml:space="preserve"> </w:t>
      </w:r>
      <w:r>
        <w:rPr>
          <w:rFonts w:ascii="Arial;Helvetica;sans-serif" w:hAnsi="Arial;Helvetica;sans-serif"/>
          <w:sz w:val="20"/>
        </w:rPr>
        <w:t>million, respectively, of “Interest income” related to the above on our Condensed Consolidated Statements of Operations and Comprehensive Income (Loss). As of June 30, 2025, the total Q2 2024 Notes Receivable – DISH Network amount outstanding plus interest paid in kind was $1.631</w:t>
      </w:r>
      <w:r>
        <w:rPr>
          <w:rFonts w:ascii="Times New Roman;Times;serif" w:hAnsi="Times New Roman;Times;serif"/>
          <w:sz w:val="20"/>
        </w:rPr>
        <w:t xml:space="preserve"> </w:t>
      </w:r>
      <w:r>
        <w:rPr>
          <w:rFonts w:ascii="Arial;Helvetica;sans-serif" w:hAnsi="Arial;Helvetica;sans-serif"/>
          <w:sz w:val="20"/>
        </w:rPr>
        <w:t>billion. This is recorded in “Notes Receivable – DISH Network” on our Condensed Consolidated Balance Sheets.</w:t>
      </w:r>
    </w:p>
    <w:p>
      <w:pPr>
        <w:pStyle w:val="TextBody"/>
        <w:shd w:fill="FFFFFF" w:val="clear"/>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b/>
          <w:i/>
          <w:sz w:val="20"/>
        </w:rPr>
      </w:pPr>
      <w:r>
        <w:rPr>
          <w:rFonts w:ascii="Arial;Helvetica;sans-serif" w:hAnsi="Arial;Helvetica;sans-serif"/>
          <w:b/>
          <w:i/>
          <w:sz w:val="20"/>
        </w:rPr>
        <w:t>Q3 2024 Notes Receivable – DISH Network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 September 2024, we and DISH Network entered into an intercompany loan (the “Q3 2024 Notes Receivable – DISH Network”) with an initial principal amount of $481</w:t>
      </w:r>
      <w:r>
        <w:rPr>
          <w:rFonts w:ascii="Times New Roman;Times;serif" w:hAnsi="Times New Roman;Times;serif"/>
          <w:sz w:val="20"/>
        </w:rPr>
        <w:t xml:space="preserve"> </w:t>
      </w:r>
      <w:r>
        <w:rPr>
          <w:rFonts w:ascii="Arial;Helvetica;sans-serif" w:hAnsi="Arial;Helvetica;sans-serif"/>
          <w:sz w:val="20"/>
        </w:rPr>
        <w:t>million. The Q3 2024 Notes Receivable – DISH Network matures on November 13, 2028. Interest accrues and is payable monthly and interest payments shall be payable “in kind” and shall be added to the principal amount of the loan on each interest payment date. The interest rate with respect to the Q3 2024 Notes Receivable – DISH Network is at a variable rate. During the three and six months ended June 30, 2025, we recorded $9</w:t>
      </w:r>
      <w:r>
        <w:rPr>
          <w:rFonts w:ascii="Times New Roman;Times;serif" w:hAnsi="Times New Roman;Times;serif"/>
          <w:sz w:val="20"/>
        </w:rPr>
        <w:t xml:space="preserve"> </w:t>
      </w:r>
      <w:r>
        <w:rPr>
          <w:rFonts w:ascii="Arial;Helvetica;sans-serif" w:hAnsi="Arial;Helvetica;sans-serif"/>
          <w:sz w:val="20"/>
        </w:rPr>
        <w:t>million and $17</w:t>
      </w:r>
      <w:r>
        <w:rPr>
          <w:rFonts w:ascii="Times New Roman;Times;serif" w:hAnsi="Times New Roman;Times;serif"/>
          <w:sz w:val="20"/>
        </w:rPr>
        <w:t xml:space="preserve"> </w:t>
      </w:r>
      <w:r>
        <w:rPr>
          <w:rFonts w:ascii="Arial;Helvetica;sans-serif" w:hAnsi="Arial;Helvetica;sans-serif"/>
          <w:sz w:val="20"/>
        </w:rPr>
        <w:t>million, respectively, of “Interest income” related to the above on our Condensed Consolidated Statements of Operations and Comprehensive Income (Loss). As of June 30, 2025, the total Q3 2024 Notes Receivable – DISH Network amount outstanding plus interest paid in kind was $510</w:t>
      </w:r>
      <w:r>
        <w:rPr>
          <w:rFonts w:ascii="Times New Roman;Times;serif" w:hAnsi="Times New Roman;Times;serif"/>
          <w:sz w:val="20"/>
        </w:rPr>
        <w:t xml:space="preserve"> </w:t>
      </w:r>
      <w:r>
        <w:rPr>
          <w:rFonts w:ascii="Arial;Helvetica;sans-serif" w:hAnsi="Arial;Helvetica;sans-serif"/>
          <w:sz w:val="20"/>
        </w:rPr>
        <w:t>million. This is recorded in “Notes Receivable – DISH Network” on our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shd w:fill="FFFFFF" w:val="clear"/>
        </w:rPr>
      </w:pPr>
      <w:r>
        <w:rPr>
          <w:shd w:fill="FFFFFF" w:val="clea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Arial;Helvetica;sans-serif" w:hAnsi="Arial;Helvetica;sans-serif"/>
          <w:b/>
          <w:i/>
          <w:sz w:val="20"/>
        </w:rPr>
        <w:t>Cost of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During the three months ended June 30, 2025 and 2024, we incurred expenses of $51</w:t>
      </w:r>
      <w:r>
        <w:rPr>
          <w:rFonts w:ascii="Times New Roman;Times;serif" w:hAnsi="Times New Roman;Times;serif"/>
          <w:sz w:val="20"/>
        </w:rPr>
        <w:t xml:space="preserve"> </w:t>
      </w:r>
      <w:r>
        <w:rPr>
          <w:rFonts w:ascii="Arial;Helvetica;sans-serif" w:hAnsi="Arial;Helvetica;sans-serif"/>
          <w:sz w:val="20"/>
        </w:rPr>
        <w:t>million and $52</w:t>
      </w:r>
      <w:r>
        <w:rPr>
          <w:rFonts w:ascii="Times New Roman;Times;serif" w:hAnsi="Times New Roman;Times;serif"/>
          <w:sz w:val="20"/>
        </w:rPr>
        <w:t xml:space="preserve"> </w:t>
      </w:r>
      <w:r>
        <w:rPr>
          <w:rFonts w:ascii="Arial;Helvetica;sans-serif" w:hAnsi="Arial;Helvetica;sans-serif"/>
          <w:sz w:val="20"/>
        </w:rPr>
        <w:t>million, respectively, for satellite capacity leased from DISH Network, and telemetry, tracking and control (“TT&amp;C”) and other professional services provided to us by DISH Network. During the six months ended June 30, 2025 and 2024, we incurred expenses of $103</w:t>
      </w:r>
      <w:r>
        <w:rPr>
          <w:rFonts w:ascii="Times New Roman;Times;serif" w:hAnsi="Times New Roman;Times;serif"/>
          <w:sz w:val="20"/>
        </w:rPr>
        <w:t xml:space="preserve"> </w:t>
      </w:r>
      <w:r>
        <w:rPr>
          <w:rFonts w:ascii="Arial;Helvetica;sans-serif" w:hAnsi="Arial;Helvetica;sans-serif"/>
          <w:sz w:val="20"/>
        </w:rPr>
        <w:t>million and $104</w:t>
      </w:r>
      <w:r>
        <w:rPr>
          <w:rFonts w:ascii="Times New Roman;Times;serif" w:hAnsi="Times New Roman;Times;serif"/>
          <w:sz w:val="20"/>
        </w:rPr>
        <w:t xml:space="preserve"> </w:t>
      </w:r>
      <w:r>
        <w:rPr>
          <w:rFonts w:ascii="Arial;Helvetica;sans-serif" w:hAnsi="Arial;Helvetica;sans-serif"/>
          <w:sz w:val="20"/>
        </w:rPr>
        <w:t>million, respectively, for satellite capacity leased from DISH Network, and telemetry, tracking and control (“TT&amp;C”) and other professional services provided to us by DISH Network. DISH Network is a supplier of the vast majority of our transponder capacity. These amounts are recorded in “Cost of services” on our Condensed Consolidated Statements of Operations and Comprehensive Income (Loss). The primary agreements pertaining to these expenses are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Satellite Capacity Leased from DISH Network</w:t>
      </w:r>
      <w:r>
        <w:rPr>
          <w:rFonts w:ascii="Arial;Helvetica;sans-serif" w:hAnsi="Arial;Helvetica;sans-serif"/>
          <w:sz w:val="20"/>
        </w:rPr>
        <w:t>. We lease satellite capacity on satellites owned or leased by DISH Network from a wholly-owned subsidiary of DISH Network. See “Satellites” in Note 6 for further information. The term of each lease is set forth below:</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EchoStar X, XI, XIV and XVI. </w:t>
            </w:r>
            <w:r>
              <w:rPr>
                <w:rFonts w:ascii="Arial;Helvetica;sans-serif" w:hAnsi="Arial;Helvetica;sans-serif"/>
                <w:b w:val="false"/>
                <w:i w:val="false"/>
                <w:caps w:val="false"/>
                <w:smallCaps w:val="false"/>
                <w:spacing w:val="-4"/>
                <w:sz w:val="20"/>
              </w:rPr>
              <w:t xml:space="preserve">We lease all available capacity on the EchoStar X, XI, XIV and XVI satellites </w:t>
            </w:r>
            <w:r>
              <w:rPr>
                <w:rFonts w:ascii="Arial;Helvetica;sans-serif" w:hAnsi="Arial;Helvetica;sans-serif"/>
                <w:b w:val="false"/>
                <w:i w:val="false"/>
                <w:caps w:val="false"/>
                <w:smallCaps w:val="false"/>
                <w:sz w:val="20"/>
              </w:rPr>
              <w:t xml:space="preserve">from a wholly-owned subsidiary of </w:t>
            </w:r>
            <w:r>
              <w:rPr>
                <w:rFonts w:ascii="Arial;Helvetica;sans-serif" w:hAnsi="Arial;Helvetica;sans-serif"/>
                <w:b w:val="false"/>
                <w:i w:val="false"/>
                <w:caps w:val="false"/>
                <w:smallCaps w:val="false"/>
                <w:spacing w:val="-4"/>
                <w:sz w:val="20"/>
              </w:rPr>
              <w:t>DISH Network. The term of each satellite capacity agreement generally terminates upon the earlier of: (i) the end-of-life of the satellite; (ii) the date the satellite fails; or (iii) a certain date, which depends upon, among other things, the estimated useful life of the satellite. We generally have the option to renew each satellite capacity agreement on a year-to-year basis through the end of the respective satellite’s life.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EchoStar XXIII.</w:t>
            </w:r>
            <w:r>
              <w:rPr>
                <w:caps w:val="false"/>
                <w:smallCaps w:val="false"/>
              </w:rPr>
              <w:t xml:space="preserve"> </w:t>
            </w:r>
            <w:r>
              <w:rPr>
                <w:rFonts w:ascii="Arial;Helvetica;sans-serif" w:hAnsi="Arial;Helvetica;sans-serif"/>
                <w:b w:val="false"/>
                <w:i w:val="false"/>
                <w:caps w:val="false"/>
                <w:smallCaps w:val="false"/>
                <w:sz w:val="20"/>
              </w:rPr>
              <w:t>We lease certain capacity on the EchoStar XXIII satellite from a wholly-owned subsidiary of DISH Network on a month to month basis.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pacing w:val="-2"/>
                <w:sz w:val="20"/>
              </w:rPr>
              <w:t xml:space="preserve">Nimiq 5. </w:t>
            </w:r>
            <w:r>
              <w:rPr>
                <w:rFonts w:ascii="Arial;Helvetica;sans-serif" w:hAnsi="Arial;Helvetica;sans-serif"/>
                <w:b w:val="false"/>
                <w:i w:val="false"/>
                <w:caps w:val="false"/>
                <w:smallCaps w:val="false"/>
                <w:spacing w:val="-2"/>
                <w:sz w:val="20"/>
              </w:rPr>
              <w:t>DISH Network had a 15-year</w:t>
            </w:r>
            <w:r>
              <w:rPr>
                <w:caps w:val="false"/>
                <w:smallCaps w:val="false"/>
                <w:spacing w:val="-2"/>
              </w:rPr>
              <w:t xml:space="preserve"> </w:t>
            </w:r>
            <w:r>
              <w:rPr>
                <w:rFonts w:ascii="Arial;Helvetica;sans-serif" w:hAnsi="Arial;Helvetica;sans-serif"/>
                <w:b w:val="false"/>
                <w:i w:val="false"/>
                <w:caps w:val="false"/>
                <w:smallCaps w:val="false"/>
                <w:spacing w:val="-2"/>
                <w:sz w:val="20"/>
              </w:rPr>
              <w:t>satellite service agreement with Telesat Canada (“Telesat”) to receive service on all 32</w:t>
            </w:r>
            <w:r>
              <w:rPr>
                <w:caps w:val="false"/>
                <w:smallCaps w:val="false"/>
                <w:spacing w:val="-2"/>
              </w:rPr>
              <w:t xml:space="preserve"> </w:t>
            </w:r>
            <w:r>
              <w:rPr>
                <w:rFonts w:ascii="Arial;Helvetica;sans-serif" w:hAnsi="Arial;Helvetica;sans-serif"/>
                <w:b w:val="false"/>
                <w:i w:val="false"/>
                <w:caps w:val="false"/>
                <w:smallCaps w:val="false"/>
                <w:spacing w:val="-2"/>
                <w:sz w:val="20"/>
              </w:rPr>
              <w:t>DBS transponders on the Nimiq 5 satellite at the 72.7 degree orbital location with the option to renew on a year-to-year basis through the end-of-life of the Nimiq 5 satellite. We were receiving transponder service on all 32</w:t>
            </w:r>
            <w:r>
              <w:rPr>
                <w:caps w:val="false"/>
                <w:smallCaps w:val="false"/>
                <w:spacing w:val="-2"/>
              </w:rPr>
              <w:t xml:space="preserve"> </w:t>
            </w:r>
            <w:r>
              <w:rPr>
                <w:rFonts w:ascii="Arial;Helvetica;sans-serif" w:hAnsi="Arial;Helvetica;sans-serif"/>
                <w:b w:val="false"/>
                <w:i w:val="false"/>
                <w:caps w:val="false"/>
                <w:smallCaps w:val="false"/>
                <w:spacing w:val="-2"/>
                <w:sz w:val="20"/>
              </w:rPr>
              <w:t>of the DBS transponders on this satellite from DISH Network. The Nimiq 5 lease was accounted for as a finance lease until the fourth quarter of 2024. Expenses related to this lease were recorded in “Depreciation and amortization” and “Interest expense, net of amounts capitalized” on our Condensed Consolidated Statements of Operations and Comprehensive Income (Loss). During the three and six months ended June 30, 2024, we recorded $8</w:t>
            </w:r>
            <w:r>
              <w:rPr>
                <w:caps w:val="false"/>
                <w:smallCaps w:val="false"/>
                <w:spacing w:val="-2"/>
              </w:rPr>
              <w:t xml:space="preserve"> </w:t>
            </w:r>
            <w:r>
              <w:rPr>
                <w:rFonts w:ascii="Arial;Helvetica;sans-serif" w:hAnsi="Arial;Helvetica;sans-serif"/>
                <w:b w:val="false"/>
                <w:i w:val="false"/>
                <w:caps w:val="false"/>
                <w:smallCaps w:val="false"/>
                <w:spacing w:val="-2"/>
                <w:sz w:val="20"/>
              </w:rPr>
              <w:t>million and $17</w:t>
            </w:r>
            <w:r>
              <w:rPr>
                <w:caps w:val="false"/>
                <w:smallCaps w:val="false"/>
                <w:spacing w:val="-2"/>
              </w:rPr>
              <w:t xml:space="preserve"> </w:t>
            </w:r>
            <w:r>
              <w:rPr>
                <w:rFonts w:ascii="Arial;Helvetica;sans-serif" w:hAnsi="Arial;Helvetica;sans-serif"/>
                <w:b w:val="false"/>
                <w:i w:val="false"/>
                <w:caps w:val="false"/>
                <w:smallCaps w:val="false"/>
                <w:spacing w:val="-2"/>
                <w:sz w:val="20"/>
              </w:rPr>
              <w:t>million, respectively, of “Depreciation and amortization” expense related to Nimiq 5 and less than $1</w:t>
            </w:r>
            <w:r>
              <w:rPr>
                <w:caps w:val="false"/>
                <w:smallCaps w:val="false"/>
                <w:spacing w:val="-2"/>
              </w:rPr>
              <w:t xml:space="preserve"> </w:t>
            </w:r>
            <w:r>
              <w:rPr>
                <w:rFonts w:ascii="Arial;Helvetica;sans-serif" w:hAnsi="Arial;Helvetica;sans-serif"/>
                <w:b w:val="false"/>
                <w:i w:val="false"/>
                <w:caps w:val="false"/>
                <w:smallCaps w:val="false"/>
                <w:spacing w:val="-2"/>
                <w:sz w:val="20"/>
              </w:rPr>
              <w:t>million and $1</w:t>
            </w:r>
            <w:r>
              <w:rPr>
                <w:caps w:val="false"/>
                <w:smallCaps w:val="false"/>
                <w:spacing w:val="-2"/>
              </w:rPr>
              <w:t xml:space="preserve"> </w:t>
            </w:r>
            <w:r>
              <w:rPr>
                <w:rFonts w:ascii="Arial;Helvetica;sans-serif" w:hAnsi="Arial;Helvetica;sans-serif"/>
                <w:b w:val="false"/>
                <w:i w:val="false"/>
                <w:caps w:val="false"/>
                <w:smallCaps w:val="false"/>
                <w:spacing w:val="-2"/>
                <w:sz w:val="20"/>
              </w:rPr>
              <w:t xml:space="preserve">million, respectively, of “Interest expense, net of amounts capitalized.” </w:t>
            </w:r>
            <w:r>
              <w:rPr>
                <w:rFonts w:ascii="Arial;Helvetica;sans-serif" w:hAnsi="Arial;Helvetica;sans-serif"/>
                <w:b w:val="false"/>
                <w:i w:val="false"/>
                <w:caps w:val="false"/>
                <w:smallCaps w:val="false"/>
                <w:sz w:val="20"/>
              </w:rPr>
              <w:t>During October 2024, DISH Network extended the Nimiq 5 lease and, as a result of the new terms, our lease is accounted for as an operating lease. We are currently receiving transponder service on 31 of the DBS transponders on this satellite from DISH Network and this number will periodically decrease to 16 transponders in 2026.</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4"/>
        </w:rPr>
      </w:pPr>
      <w:r>
        <w:rPr>
          <w:rFonts w:ascii="Arial;Helvetica;sans-serif" w:hAnsi="Arial;Helvetica;sans-serif"/>
          <w:i/>
          <w:sz w:val="20"/>
        </w:rPr>
        <w:t xml:space="preserve">TT&amp;C Agreement. </w:t>
      </w:r>
      <w:r>
        <w:rPr>
          <w:rFonts w:ascii="Arial;Helvetica;sans-serif" w:hAnsi="Arial;Helvetica;sans-serif"/>
          <w:sz w:val="20"/>
        </w:rPr>
        <w:t>We receive TT&amp;C services from a wholly-owned subsidiary of EchoStar for certain satellites (the “TT&amp;C Agreement”). The fees for services provided under the TT&amp;C Agreement are calculated at either: (i) a fixed fee; or (ii) cost plus a fixed margin, which will vary depending on the nature of the services provided. We and EchoStar are able to terminate the TT&amp;C Agreement for any reason upon 12 months</w:t>
      </w:r>
      <w:r>
        <w:rPr>
          <w:rFonts w:ascii="Times New Roman;Times;serif" w:hAnsi="Times New Roman;Times;serif"/>
          <w:sz w:val="24"/>
        </w:rPr>
        <w:t xml:space="preserve">’ </w:t>
      </w:r>
      <w:r>
        <w:rPr>
          <w:rFonts w:ascii="Arial;Helvetica;sans-serif" w:hAnsi="Arial;Helvetica;sans-serif"/>
          <w:sz w:val="20"/>
        </w:rPr>
        <w:t>notice.</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DBS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141" w:name="Tc_k8GnznHbzEKh9v5ZU8UFAQ_14_5"/>
      <w:bookmarkStart w:id="1142" w:name="Tc_vhtLLqPIrkSq378-9zq0jA_14_2"/>
      <w:bookmarkStart w:id="1143" w:name="Tc_SRDAlK1UN0e5xykfiATE-w_14_0"/>
      <w:bookmarkStart w:id="1144" w:name="Tc_oPWwJazwiEmD_RzKP_24Tg_13_5"/>
      <w:bookmarkStart w:id="1145" w:name="Tc_sVAfDXZ79kK_tau4A99fpw_13_2"/>
      <w:bookmarkStart w:id="1146" w:name="Tc_XyZ24l7-TkyTT41tsA7otQ_13_0"/>
      <w:bookmarkStart w:id="1147" w:name="Tc_5GoYf-zigkKOAz9RPYEMww_12_0"/>
      <w:bookmarkStart w:id="1148" w:name="Tc_vxkhKjFCWkqvsbZAbIpplw_11_2"/>
      <w:bookmarkStart w:id="1149" w:name="Tc_bQ68kihGLEa88DqTSgDGww_10_5"/>
      <w:bookmarkStart w:id="1150" w:name="Tc_muf-FVh-PE6W9WrumGheJw_10_2"/>
      <w:bookmarkStart w:id="1151" w:name="Tc_yd9gMSwDtkul1HnVDlrgrA_9_5"/>
      <w:bookmarkStart w:id="1152" w:name="Tc_K6Z6iQGurUOJfgxf83AhhA_9_2"/>
      <w:bookmarkStart w:id="1153" w:name="Tc_ICcCfMjlhkewunUitwhcuQ_8_2"/>
      <w:bookmarkStart w:id="1154" w:name="Tc_YTNvndZBoU2CjBmefrNqeA_6_11"/>
      <w:bookmarkStart w:id="1155" w:name="Tc_30i2J86ErECUn9-y8j7skg_6_8"/>
      <w:bookmarkStart w:id="1156" w:name="Tc_t6oJJo0JYE-xS0s3KIgWzQ_6_5"/>
      <w:bookmarkStart w:id="1157" w:name="Tc_3_gkxKky30iI9z3j_NZOfQ_6_2"/>
      <w:bookmarkStart w:id="1158" w:name="Tc_lfs2kAkBp0efyZGxPjikDw_6_0"/>
      <w:bookmarkStart w:id="1159" w:name="Tc_fubMXBR1vEih_p7A2JbjCg_5_0"/>
      <w:bookmarkStart w:id="1160" w:name="Tc_7rKnLu9BA0GTa4P2sxYPvg_4_2"/>
      <w:bookmarkStart w:id="1161" w:name="Tc_M7XE8Yes2EiTYzgP_ietJA_3_11"/>
      <w:bookmarkStart w:id="1162" w:name="Tc_FawOvov2i0-wVqhHHmy6lQ_3_8"/>
      <w:bookmarkStart w:id="1163" w:name="Tc_P48A20C8XkSrSbkiZc-SCg_3_5"/>
      <w:bookmarkStart w:id="1164" w:name="Tc_M6kn7CPJykuCRTBIL6onPg_3_2"/>
      <w:bookmarkStart w:id="1165" w:name="Tc_PcwQSrS0jkWJi3xTJSsCpQ_2_8"/>
      <w:bookmarkStart w:id="1166" w:name="Tc_xLl9osk490-qSUcknhWcEg_2_2"/>
      <w:bookmarkStart w:id="1167" w:name="Tc_c7GdwZdhAkahNbngSsj02w_1_8"/>
      <w:bookmarkStart w:id="1168" w:name="Tc_IQ-VKXmmbE2k-N3Cv_0zAA_1_2"/>
      <w:bookmarkStart w:id="1169" w:name="_2a5159d7_4fcc_4168_8dce_61d6ceab1a41"/>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Pr/>
        <w:t>​</w:t>
      </w:r>
    </w:p>
    <w:p>
      <w:pPr>
        <w:pStyle w:val="TextBody"/>
        <w:bidi w:val="0"/>
        <w:spacing w:before="0" w:after="0"/>
        <w:ind w:left="0" w:right="0" w:hanging="0"/>
        <w:jc w:val="left"/>
        <w:rPr/>
      </w:pPr>
      <w:r>
        <w:rPr/>
        <w:t>“</w:t>
      </w:r>
      <w:r>
        <w:rPr>
          <w:rFonts w:ascii="Arial;Helvetica;sans-serif" w:hAnsi="Arial;Helvetica;sans-serif"/>
          <w:b/>
          <w:i/>
          <w:sz w:val="20"/>
        </w:rPr>
        <w:t>Selling, general and administrative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During the three months ended June 30, 2025 and 2024, we incurred $5</w:t>
      </w:r>
      <w:r>
        <w:rPr>
          <w:rFonts w:ascii="Times New Roman;Times;serif" w:hAnsi="Times New Roman;Times;serif"/>
          <w:sz w:val="20"/>
        </w:rPr>
        <w:t xml:space="preserve"> </w:t>
      </w:r>
      <w:r>
        <w:rPr>
          <w:rFonts w:ascii="Arial;Helvetica;sans-serif" w:hAnsi="Arial;Helvetica;sans-serif"/>
          <w:sz w:val="20"/>
        </w:rPr>
        <w:t>million and $6</w:t>
      </w:r>
      <w:r>
        <w:rPr>
          <w:rFonts w:ascii="Times New Roman;Times;serif" w:hAnsi="Times New Roman;Times;serif"/>
          <w:sz w:val="20"/>
        </w:rPr>
        <w:t xml:space="preserve"> </w:t>
      </w:r>
      <w:r>
        <w:rPr>
          <w:rFonts w:ascii="Arial;Helvetica;sans-serif" w:hAnsi="Arial;Helvetica;sans-serif"/>
          <w:sz w:val="20"/>
        </w:rPr>
        <w:t>million, respectively, for selling, general and administrative expenses for services provided to us by</w:t>
      </w:r>
      <w:r>
        <w:rPr>
          <w:rFonts w:ascii="Times New Roman;Times;serif" w:hAnsi="Times New Roman;Times;serif"/>
          <w:sz w:val="20"/>
        </w:rPr>
        <w:t xml:space="preserve"> </w:t>
      </w:r>
      <w:r>
        <w:rPr>
          <w:rFonts w:ascii="Arial;Helvetica;sans-serif" w:hAnsi="Arial;Helvetica;sans-serif"/>
          <w:sz w:val="20"/>
        </w:rPr>
        <w:t>EchoStar. During the six months ended June 30, 2025 and 2024, we incurred $11</w:t>
      </w:r>
      <w:r>
        <w:rPr>
          <w:rFonts w:ascii="Times New Roman;Times;serif" w:hAnsi="Times New Roman;Times;serif"/>
          <w:sz w:val="20"/>
        </w:rPr>
        <w:t xml:space="preserve"> </w:t>
      </w:r>
      <w:r>
        <w:rPr>
          <w:rFonts w:ascii="Arial;Helvetica;sans-serif" w:hAnsi="Arial;Helvetica;sans-serif"/>
          <w:sz w:val="20"/>
        </w:rPr>
        <w:t>million and $10</w:t>
      </w:r>
      <w:r>
        <w:rPr>
          <w:rFonts w:ascii="Times New Roman;Times;serif" w:hAnsi="Times New Roman;Times;serif"/>
          <w:sz w:val="20"/>
        </w:rPr>
        <w:t xml:space="preserve"> </w:t>
      </w:r>
      <w:r>
        <w:rPr>
          <w:rFonts w:ascii="Arial;Helvetica;sans-serif" w:hAnsi="Arial;Helvetica;sans-serif"/>
          <w:sz w:val="20"/>
        </w:rPr>
        <w:t>million, respectively, for selling, general and administrative expenses for services provided to us by</w:t>
      </w:r>
      <w:r>
        <w:rPr>
          <w:rFonts w:ascii="Times New Roman;Times;serif" w:hAnsi="Times New Roman;Times;serif"/>
          <w:sz w:val="20"/>
        </w:rPr>
        <w:t xml:space="preserve"> </w:t>
      </w:r>
      <w:r>
        <w:rPr>
          <w:rFonts w:ascii="Arial;Helvetica;sans-serif" w:hAnsi="Arial;Helvetica;sans-serif"/>
          <w:sz w:val="20"/>
        </w:rPr>
        <w:t>EchoStar. These amounts are recorded in “Selling, general and administrative expenses” on our Condensed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Other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Broadband, Wireless and Other Operations.</w:t>
      </w:r>
      <w:r>
        <w:rPr>
          <w:rFonts w:ascii="Times New Roman;Times;serif" w:hAnsi="Times New Roman;Times;serif"/>
          <w:sz w:val="20"/>
        </w:rPr>
        <w:t xml:space="preserve"> </w:t>
      </w:r>
      <w:r>
        <w:rPr>
          <w:rFonts w:ascii="Arial;Helvetica;sans-serif" w:hAnsi="Arial;Helvetica;sans-serif"/>
          <w:sz w:val="20"/>
        </w:rPr>
        <w:t>We provide certain administrative, call center, installation, marketing and other services to our parent’s broadband, wireless and other operations. During the three months ended June 30, 2025 and 2024, the pass through costs associated with these services were $45</w:t>
      </w:r>
      <w:r>
        <w:rPr>
          <w:rFonts w:ascii="Times New Roman;Times;serif" w:hAnsi="Times New Roman;Times;serif"/>
          <w:sz w:val="20"/>
        </w:rPr>
        <w:t xml:space="preserve"> </w:t>
      </w:r>
      <w:r>
        <w:rPr>
          <w:rFonts w:ascii="Arial;Helvetica;sans-serif" w:hAnsi="Arial;Helvetica;sans-serif"/>
          <w:sz w:val="20"/>
        </w:rPr>
        <w:t>million and $34 million, respectively. During the six months ended June 30, 2025 and 2024, the pass through costs associated with these services were $78</w:t>
      </w:r>
      <w:r>
        <w:rPr>
          <w:rFonts w:ascii="Times New Roman;Times;serif" w:hAnsi="Times New Roman;Times;serif"/>
          <w:sz w:val="20"/>
        </w:rPr>
        <w:t xml:space="preserve"> </w:t>
      </w:r>
      <w:r>
        <w:rPr>
          <w:rFonts w:ascii="Arial;Helvetica;sans-serif" w:hAnsi="Arial;Helvetica;sans-serif"/>
          <w:sz w:val="20"/>
        </w:rPr>
        <w:t>million and $69</w:t>
      </w:r>
      <w:r>
        <w:rPr>
          <w:rFonts w:ascii="Times New Roman;Times;serif" w:hAnsi="Times New Roman;Times;serif"/>
          <w:sz w:val="20"/>
        </w:rPr>
        <w:t xml:space="preserve"> </w:t>
      </w:r>
      <w:r>
        <w:rPr>
          <w:rFonts w:ascii="Arial;Helvetica;sans-serif" w:hAnsi="Arial;Helvetica;sans-serif"/>
          <w:sz w:val="20"/>
        </w:rPr>
        <w:t>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Related Party Transactions with NagraStar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own a 50%</w:t>
      </w:r>
      <w:r>
        <w:rPr>
          <w:rFonts w:ascii="Times New Roman;Times;serif" w:hAnsi="Times New Roman;Times;serif"/>
          <w:sz w:val="20"/>
        </w:rPr>
        <w:t xml:space="preserve"> </w:t>
      </w:r>
      <w:r>
        <w:rPr>
          <w:rFonts w:ascii="Arial;Helvetica;sans-serif" w:hAnsi="Arial;Helvetica;sans-serif"/>
          <w:sz w:val="20"/>
        </w:rPr>
        <w:t>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Our investment in NagraStar is accounted for using the equity method.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table below summarizes our transactions with NagraStar:</w:t>
      </w:r>
    </w:p>
    <w:p>
      <w:pPr>
        <w:pStyle w:val="TextBody"/>
        <w:bidi w:val="0"/>
        <w:spacing w:before="0" w:after="0"/>
        <w:ind w:left="0" w:right="0" w:hanging="0"/>
        <w:jc w:val="left"/>
        <w:rPr/>
      </w:pPr>
      <w:r>
        <w:rPr/>
        <w:t>​</w:t>
      </w:r>
    </w:p>
    <w:tbl>
      <w:tblPr>
        <w:tblW w:w="9181" w:type="dxa"/>
        <w:jc w:val="left"/>
        <w:tblInd w:w="0" w:type="dxa"/>
        <w:tblLayout w:type="fixed"/>
        <w:tblCellMar>
          <w:top w:w="0" w:type="dxa"/>
          <w:left w:w="0" w:type="dxa"/>
          <w:bottom w:w="0" w:type="dxa"/>
          <w:right w:w="0" w:type="dxa"/>
        </w:tblCellMar>
      </w:tblPr>
      <w:tblGrid>
        <w:gridCol w:w="3316"/>
        <w:gridCol w:w="326"/>
        <w:gridCol w:w="284"/>
        <w:gridCol w:w="770"/>
        <w:gridCol w:w="440"/>
        <w:gridCol w:w="364"/>
        <w:gridCol w:w="986"/>
        <w:gridCol w:w="326"/>
        <w:gridCol w:w="233"/>
        <w:gridCol w:w="747"/>
        <w:gridCol w:w="360"/>
        <w:gridCol w:w="233"/>
        <w:gridCol w:w="79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05660" cy="175260"/>
                      <wp:effectExtent l="0" t="0" r="0" b="0"/>
                      <wp:wrapNone/>
                      <wp:docPr id="243" name="Frame243"/>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80340" cy="175260"/>
                      <wp:effectExtent l="0" t="0" r="0" b="0"/>
                      <wp:wrapNone/>
                      <wp:docPr id="245" name="Frame24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88950" cy="175260"/>
                      <wp:effectExtent l="0" t="0" r="0" b="0"/>
                      <wp:wrapNone/>
                      <wp:docPr id="246" name="Frame246"/>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79400" cy="175260"/>
                      <wp:effectExtent l="0" t="0" r="0" b="0"/>
                      <wp:wrapNone/>
                      <wp:docPr id="247" name="Frame247"/>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1140" cy="175260"/>
                      <wp:effectExtent l="0" t="0" r="0" b="0"/>
                      <wp:wrapNone/>
                      <wp:docPr id="248" name="Frame24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26110" cy="175260"/>
                      <wp:effectExtent l="0" t="0" r="0" b="0"/>
                      <wp:wrapNone/>
                      <wp:docPr id="249" name="Frame249"/>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7955" cy="175260"/>
                      <wp:effectExtent l="0" t="0" r="0" b="0"/>
                      <wp:wrapNone/>
                      <wp:docPr id="251" name="Frame25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74345" cy="175260"/>
                      <wp:effectExtent l="0" t="0" r="0" b="0"/>
                      <wp:wrapNone/>
                      <wp:docPr id="252" name="Frame252"/>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28600" cy="175260"/>
                      <wp:effectExtent l="0" t="0" r="0" b="0"/>
                      <wp:wrapNone/>
                      <wp:docPr id="253" name="Frame2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7955" cy="175260"/>
                      <wp:effectExtent l="0" t="0" r="0" b="0"/>
                      <wp:wrapNone/>
                      <wp:docPr id="254" name="Frame25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05460" cy="175260"/>
                      <wp:effectExtent l="0" t="0" r="0" b="0"/>
                      <wp:wrapNone/>
                      <wp:docPr id="255" name="Frame2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4"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36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26" w:type="dxa"/>
            <w:tcBorders/>
            <w:vAlign w:val="center"/>
          </w:tcPr>
          <w:p>
            <w:pPr>
              <w:pStyle w:val="TableContents"/>
              <w:bidi w:val="0"/>
              <w:spacing w:before="0" w:after="0"/>
              <w:ind w:left="0" w:right="0" w:hanging="0"/>
              <w:jc w:val="left"/>
              <w:rPr/>
            </w:pPr>
            <w:r>
              <w:rPr/>
              <w:t>​</w:t>
            </w:r>
          </w:p>
        </w:tc>
        <w:tc>
          <w:tcPr>
            <w:tcW w:w="236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440"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0" w:type="dxa"/>
            <w:tcBorders/>
            <w:vAlign w:val="center"/>
          </w:tcPr>
          <w:p>
            <w:pPr>
              <w:pStyle w:val="TableContents"/>
              <w:bidi w:val="0"/>
              <w:spacing w:before="0" w:after="0"/>
              <w:ind w:left="0" w:right="0" w:hanging="0"/>
              <w:jc w:val="left"/>
              <w:rPr/>
            </w:pPr>
            <w:r>
              <w:rPr/>
              <w:t>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18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39"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Purchases (including fees): </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from NagraStar</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7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7,077</w:t>
            </w:r>
          </w:p>
        </w:tc>
        <w:tc>
          <w:tcPr>
            <w:tcW w:w="440"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8,526</w:t>
            </w:r>
          </w:p>
        </w:tc>
        <w:tc>
          <w:tcPr>
            <w:tcW w:w="326" w:type="dxa"/>
            <w:tcBorders/>
            <w:vAlign w:val="center"/>
          </w:tcPr>
          <w:p>
            <w:pPr>
              <w:pStyle w:val="TableContents"/>
              <w:bidi w:val="0"/>
              <w:spacing w:before="0" w:after="0"/>
              <w:ind w:left="0" w:right="0" w:hanging="0"/>
              <w:jc w:val="righ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14,278</w:t>
            </w:r>
          </w:p>
        </w:tc>
        <w:tc>
          <w:tcPr>
            <w:tcW w:w="360"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17,127</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 </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4"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440"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440"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918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4"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Amounts Payable and Commitments: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center"/>
              <w:rPr/>
            </w:pPr>
            <w:r>
              <w:rPr/>
              <w:t>​</w:t>
            </w:r>
          </w:p>
        </w:tc>
        <w:tc>
          <w:tcPr>
            <w:tcW w:w="770" w:type="dxa"/>
            <w:tcBorders/>
            <w:shd w:fill="CCEEFF" w:val="clear"/>
            <w:vAlign w:val="center"/>
          </w:tcPr>
          <w:p>
            <w:pPr>
              <w:pStyle w:val="TableContents"/>
              <w:bidi w:val="0"/>
              <w:spacing w:before="0" w:after="0"/>
              <w:ind w:left="0" w:right="0" w:hanging="0"/>
              <w:jc w:val="center"/>
              <w:rPr/>
            </w:pPr>
            <w:r>
              <w:rPr/>
              <w:t>​</w:t>
            </w:r>
          </w:p>
        </w:tc>
        <w:tc>
          <w:tcPr>
            <w:tcW w:w="440" w:type="dxa"/>
            <w:tcBorders/>
            <w:shd w:fill="CCEEFF" w:val="clear"/>
            <w:vAlign w:val="center"/>
          </w:tcPr>
          <w:p>
            <w:pPr>
              <w:pStyle w:val="TableContents"/>
              <w:bidi w:val="0"/>
              <w:spacing w:before="0" w:after="0"/>
              <w:ind w:left="0" w:right="0" w:hanging="0"/>
              <w:jc w:val="center"/>
              <w:rPr/>
            </w:pPr>
            <w:r>
              <w:rPr/>
              <w:t>​</w:t>
            </w:r>
          </w:p>
        </w:tc>
        <w:tc>
          <w:tcPr>
            <w:tcW w:w="364" w:type="dxa"/>
            <w:tcBorders/>
            <w:shd w:fill="CCEEFF" w:val="clear"/>
            <w:vAlign w:val="center"/>
          </w:tcPr>
          <w:p>
            <w:pPr>
              <w:pStyle w:val="TableContents"/>
              <w:bidi w:val="0"/>
              <w:spacing w:before="0" w:after="0"/>
              <w:ind w:left="0" w:right="0" w:hanging="0"/>
              <w:jc w:val="center"/>
              <w:rPr/>
            </w:pPr>
            <w:r>
              <w:rPr/>
              <w:t>​</w:t>
            </w:r>
          </w:p>
        </w:tc>
        <w:tc>
          <w:tcPr>
            <w:tcW w:w="9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Amounts payable to NagraStar</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7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4,517</w:t>
            </w:r>
          </w:p>
        </w:tc>
        <w:tc>
          <w:tcPr>
            <w:tcW w:w="440"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5,569</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Commitments to NagraStar</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1,702</w:t>
            </w:r>
          </w:p>
        </w:tc>
        <w:tc>
          <w:tcPr>
            <w:tcW w:w="440" w:type="dxa"/>
            <w:tcBorders/>
            <w:shd w:fill="CCEEFF" w:val="clear"/>
            <w:vAlign w:val="center"/>
          </w:tcPr>
          <w:p>
            <w:pPr>
              <w:pStyle w:val="TableContents"/>
              <w:bidi w:val="0"/>
              <w:spacing w:before="0" w:after="0"/>
              <w:ind w:left="0" w:right="0" w:hanging="0"/>
              <w:jc w:val="left"/>
              <w:rPr/>
            </w:pPr>
            <w:r>
              <w:rPr/>
              <w:t> </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883</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170" w:name="_1c64f16a_349b_4b48_9798_f0cb90561c18"/>
      <w:bookmarkEnd w:id="1170"/>
      <w:r>
        <w:rPr/>
        <w:t>​</w:t>
      </w:r>
    </w:p>
    <w:p>
      <w:pPr>
        <w:pStyle w:val="TextBody"/>
        <w:bidi w:val="0"/>
        <w:spacing w:before="0" w:after="0"/>
        <w:ind w:left="0" w:right="0" w:hanging="0"/>
        <w:jc w:val="left"/>
        <w:rPr>
          <w:rFonts w:ascii="Times New Roman;Times;serif" w:hAnsi="Times New Roman;Times;serif"/>
          <w:sz w:val="20"/>
        </w:rPr>
      </w:pPr>
      <w:bookmarkStart w:id="1171" w:name="Item2MANAGEMENTSNARRATIVEANALYSISOFRESUL"/>
      <w:bookmarkEnd w:id="1171"/>
      <w:r>
        <w:rPr>
          <w:rFonts w:ascii="Arial;Helvetica;sans-serif" w:hAnsi="Arial;Helvetica;sans-serif"/>
          <w:b/>
          <w:i w:val="false"/>
          <w:caps w:val="false"/>
          <w:smallCaps w:val="false"/>
          <w:sz w:val="20"/>
        </w:rPr>
        <w:t>Item 2.</w:t>
      </w:r>
      <w:r>
        <w:rPr>
          <w:rFonts w:ascii="Arial;Helvetica;sans-serif" w:hAnsi="Arial;Helvetica;sans-serif"/>
          <w:b/>
          <w:sz w:val="20"/>
        </w:rPr>
        <w:t>MANAGEMENT’S NARRATIVE ANALYSIS OF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pacing w:val="-2"/>
          <w:sz w:val="20"/>
        </w:rPr>
        <w:t xml:space="preserve">You should read the following Management’s Narrative Analysis of our Results of Operations together with the condensed consolidated financial statements and notes to our financial statements included elsewhere in this Quarterly Report on Form 10-Q.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w:t>
      </w:r>
      <w:r>
        <w:rPr>
          <w:rFonts w:ascii="Arial;Helvetica;sans-serif" w:hAnsi="Arial;Helvetica;sans-serif"/>
          <w:i/>
          <w:sz w:val="20"/>
        </w:rPr>
        <w:t>2024</w:t>
      </w:r>
      <w:r>
        <w:rPr>
          <w:rFonts w:ascii="Times New Roman;Times;serif" w:hAnsi="Times New Roman;Times;serif"/>
          <w:spacing w:val="-2"/>
          <w:sz w:val="20"/>
        </w:rPr>
        <w:t xml:space="preserve"> </w:t>
      </w:r>
      <w:r>
        <w:rPr>
          <w:rFonts w:ascii="Arial;Helvetica;sans-serif" w:hAnsi="Arial;Helvetica;sans-serif"/>
          <w:i/>
          <w:spacing w:val="-2"/>
          <w:sz w:val="20"/>
        </w:rPr>
        <w:t>and this Quarterly Report on Form 10-Q under the caption “Item 1A. Risk Factors.”</w:t>
      </w:r>
      <w:r>
        <w:rPr>
          <w:rFonts w:ascii="Times New Roman;Times;serif" w:hAnsi="Times New Roman;Times;serif"/>
          <w:spacing w:val="-2"/>
          <w:sz w:val="20"/>
        </w:rPr>
        <w:t xml:space="preserve"> </w:t>
      </w:r>
      <w:r>
        <w:rPr>
          <w:rFonts w:ascii="Arial;Helvetica;sans-serif" w:hAnsi="Arial;Helvetica;sans-serif"/>
          <w:i/>
          <w:spacing w:val="-2"/>
          <w:sz w:val="20"/>
        </w:rPr>
        <w:t>Furthermore, such forward-looking statements speak only as of the date of this Quarterly Report on Form 10-Q, and we expressly disclaim any obligation to update any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Recent Developments</w:t>
      </w:r>
    </w:p>
    <w:p>
      <w:pPr>
        <w:pStyle w:val="TextBody"/>
        <w:bidi w:val="0"/>
        <w:spacing w:before="0" w:after="0"/>
        <w:ind w:left="0" w:right="0" w:hanging="0"/>
        <w:jc w:val="left"/>
        <w:rPr/>
      </w:pPr>
      <w:r>
        <w:rPr/>
        <w:t>​</w:t>
      </w:r>
    </w:p>
    <w:p>
      <w:pPr>
        <w:pStyle w:val="TextBody"/>
        <w:bidi w:val="0"/>
        <w:spacing w:lineRule="auto" w:line="300" w:before="0" w:after="0"/>
        <w:ind w:left="0" w:right="139" w:hanging="0"/>
        <w:jc w:val="left"/>
        <w:rPr>
          <w:rFonts w:ascii="Times New Roman;Times;serif" w:hAnsi="Times New Roman;Times;serif"/>
          <w:sz w:val="20"/>
        </w:rPr>
      </w:pPr>
      <w:r>
        <w:rPr>
          <w:rFonts w:ascii="Arial;Helvetica;sans-serif" w:hAnsi="Arial;Helvetica;sans-serif"/>
          <w:sz w:val="20"/>
        </w:rPr>
        <w:t xml:space="preserve">Our ultimate parent, EchoStar </w:t>
      </w:r>
      <w:r>
        <w:rPr>
          <w:rFonts w:ascii="Arial;Helvetica;sans-serif" w:hAnsi="Arial;Helvetica;sans-serif"/>
          <w:color w:val="222222"/>
          <w:sz w:val="20"/>
        </w:rPr>
        <w:t>received a letter from the Federal Communications Commission (the “FCC”) on May 9, 2025, indicating that the FCC was beginning a review of their compliance with certain obligations to provide 5G broadband service and raising certain questions regarding the September 2024 build-out extension granted by the FCC and mobile-satellite service (“MSS”) utilization in the 2 GHz band (the “Letter”).  EchoStar responded to the FCC’s subsequent public notices with filings on May 27, 2025 and June 6, 2025</w:t>
      </w:r>
      <w:r>
        <w:rPr>
          <w:rFonts w:ascii="Arial;Helvetica;sans-serif" w:hAnsi="Arial;Helvetica;sans-serif"/>
          <w:sz w:val="20"/>
        </w:rPr>
        <w:t>. On June 11, 2025, EchoStar’s Chairman met with the FCC; during this meeting EchoStar explained that any reconsideration of the September 2024 grant of their construction deadline extensions, any after-the-fact change to the criteria upon which their build-out is judged, or any decision to upend the 2 GHz band’s sharing rules would threaten the viability of their current operations and future plans. While no resolution has been achieved yet, and it is possible that no such resolution will ultimately be achieved, EchoStar continues to explore an acceptable resolution of the FCC’s stated concerns in a manner that minimizes disruption to their businesses and lifts the regulatory uncertainty created by the inquiries. The FCC review has introduced the possibility of reversing prior FCC grants of authority to EchoStar. This uncertainty over EchoStar’s spectrum rights has effectively frozen their ability to make decisions regarding their 5G network build-out, has materially adversely impacted their ability to implement and adjust their overall business plan and has required them to re-evaluate the deployment of their resources.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 See Note 7 in the Notes to our Condensed Consolidated Financial Statements for further details. EchoStar remains focused on resolving the FCC’s stated concerns. EchoStar continues to progress wide-ranging efforts to explore alternative or complementary pathways that could, if successfully implemented, resolve the FCC’s stated concerns in a manner acceptable to EchoStar.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currently operate one business segment, 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20"/>
        </w:rPr>
        <w:t>Our Pay-TV business strategy is to be the best provider of video services in the United States by providing products with the best technology, outstanding customer service, and great value. We offer pay-TV services under the DISH</w:t>
      </w:r>
      <w:r>
        <w:rPr>
          <w:rFonts w:ascii="Arial;Helvetica;sans-serif" w:hAnsi="Arial;Helvetica;sans-serif"/>
          <w:sz w:val="16"/>
        </w:rPr>
        <w:t>®</w:t>
      </w:r>
      <w:r>
        <w:rPr>
          <w:rFonts w:ascii="Times New Roman;Times;serif" w:hAnsi="Times New Roman;Times;serif"/>
          <w:sz w:val="16"/>
        </w:rPr>
        <w:t xml:space="preserve"> </w:t>
      </w:r>
      <w:r>
        <w:rPr>
          <w:rFonts w:ascii="Arial;Helvetica;sans-serif" w:hAnsi="Arial;Helvetica;sans-serif"/>
          <w:sz w:val="20"/>
        </w:rPr>
        <w:t>brand and the SLING</w:t>
      </w:r>
      <w:r>
        <w:rPr>
          <w:rFonts w:ascii="Arial;Helvetica;sans-serif" w:hAnsi="Arial;Helvetica;sans-serif"/>
          <w:sz w:val="16"/>
        </w:rPr>
        <w:t>®</w:t>
      </w:r>
      <w:r>
        <w:rPr>
          <w:rFonts w:ascii="Times New Roman;Times;serif" w:hAnsi="Times New Roman;Times;serif"/>
          <w:sz w:val="16"/>
        </w:rPr>
        <w:t xml:space="preserve"> </w:t>
      </w:r>
      <w:r>
        <w:rPr>
          <w:rFonts w:ascii="Arial;Helvetica;sans-serif" w:hAnsi="Arial;Helvetica;sans-serif"/>
          <w:sz w:val="20"/>
        </w:rPr>
        <w:t xml:space="preserve">brand (collectively “Pay-TV” services). We promote our Pay-TV services by providing our subscribers with a better “price-to-value” relationship and experience than those available from other subscription television service providers.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w:t>
      </w:r>
      <w:r>
        <w:rPr>
          <w:rFonts w:ascii="Arial;Helvetica;sans-serif" w:hAnsi="Arial;Helvetica;sans-serif"/>
          <w:sz w:val="24"/>
        </w:rPr>
        <w:t xml:space="preserve">. </w:t>
      </w:r>
      <w:r>
        <w:rPr>
          <w:rFonts w:ascii="Arial;Helvetica;sans-serif" w:hAnsi="Arial;Helvetica;sans-serif"/>
          <w:sz w:val="20"/>
        </w:rPr>
        <w:t>We market our SLING TV services to consumers who do not subscribe to traditional satellite and cable pay-TV services, as well as to current and recent traditional pay-TV subscribers who desire a lower cost alternative.</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Economic Environment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shd w:fill="FFFFFF" w:val="clear"/>
        </w:rPr>
        <w:t xml:space="preserve">During 2024 and the first six months of 2025, we experienced inflationary pressures in our commodity and labor costs resulting from the macroeconomic environment in the United States, which has impacted our overall operating results. </w:t>
      </w:r>
      <w:r>
        <w:rPr>
          <w:rFonts w:ascii="Arial;Helvetica;sans-serif" w:hAnsi="Arial;Helvetica;sans-serif"/>
          <w:sz w:val="20"/>
        </w:rPr>
        <w:t xml:space="preserve">In addition, </w:t>
      </w:r>
      <w:r>
        <w:rPr>
          <w:rFonts w:ascii="Arial;Helvetica;sans-serif" w:hAnsi="Arial;Helvetica;sans-serif"/>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Operational Liquidity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make general investments in property such as, among others, satellites, set-top boxes, information technology and facilities that support our Pay-TV business. For some of these investments, changes in trade policies, including, but not limited to, tariffs and other restrictions, could increase, among other things, our costs, disrupt our supply chain and negatively affect our business, operations and financial condition. Moreover, since we are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Finally, our future cash flow is impacted by, among other things, the rate at which we make general investments, investments in satellites, incur litigation expense, make cash interest payments, and any cash flow from financing activities. In addition, declines in our Pay-TV subscriber base and any decrease in subscriber-related margins negatively impact our cash flow, and there can be no assurance that our subscriber declines will not continue.</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40" w:after="0"/>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Future Capital Requirements</w:t>
      </w:r>
    </w:p>
    <w:p>
      <w:pPr>
        <w:pStyle w:val="TextBody"/>
        <w:bidi w:val="0"/>
        <w:spacing w:lineRule="auto" w:line="302"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20"/>
        </w:rPr>
        <w:t>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and cash generated through raising additional capital. We do not currently have cash, cash equivalents, marketable investment securities balances and/or projected future cash flows to fully fund our 2026 debt maturities. We will need to refinance or restructure all or a portion of such obligations prior to maturity.</w:t>
      </w:r>
      <w:r>
        <w:rPr>
          <w:rFonts w:ascii="Times New Roman;Times;serif" w:hAnsi="Times New Roman;Times;serif"/>
          <w:sz w:val="16"/>
        </w:rPr>
        <w:t xml:space="preserve"> </w:t>
      </w:r>
      <w:r>
        <w:rPr>
          <w:rFonts w:ascii="Arial;Helvetica;sans-serif" w:hAnsi="Arial;Helvetica;sans-serif"/>
          <w:color w:val="222222"/>
          <w:sz w:val="20"/>
          <w:shd w:fill="FFFFFF" w:val="clear"/>
        </w:rPr>
        <w:t>Furthermore, because EchoStar reaching an acceptable resolution of the FCC inquiries is not assured, EchoStar must continue to evaluate the deployment of their resources. In light of this continued uncertainty,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pacing w:val="-2"/>
          <w:sz w:val="20"/>
        </w:rPr>
        <w:t>We have made cash distributions and intercompany loans to partially finance the development of DISH Network’s 5G Network, including, but not limited to, the purchase of wireless spectrum licenses and the wireless business to date, and we may make additional funds available to DISH Network in the form of cash distributions or loans to finance, in whole or in part, DISH Network’s future efforts. These factors, including, but not limited to, debt maturities, continuing investment in our business, financing acquisitions and other strategic transactions,</w:t>
      </w:r>
      <w:r>
        <w:rPr>
          <w:rFonts w:ascii="Times New Roman;Times;serif" w:hAnsi="Times New Roman;Times;serif"/>
          <w:sz w:val="20"/>
        </w:rPr>
        <w:t xml:space="preserve"> </w:t>
      </w:r>
      <w:r>
        <w:rPr>
          <w:rFonts w:ascii="Arial;Helvetica;sans-serif" w:hAnsi="Arial;Helvetica;sans-serif"/>
          <w:sz w:val="20"/>
        </w:rPr>
        <w:t>will</w:t>
      </w:r>
      <w:r>
        <w:rPr>
          <w:rFonts w:ascii="Times New Roman;Times;serif" w:hAnsi="Times New Roman;Times;serif"/>
          <w:spacing w:val="-2"/>
          <w:sz w:val="20"/>
        </w:rPr>
        <w:t xml:space="preserve"> </w:t>
      </w:r>
      <w:r>
        <w:rPr>
          <w:rFonts w:ascii="Arial;Helvetica;sans-serif" w:hAnsi="Arial;Helvetica;sans-serif"/>
          <w:spacing w:val="-2"/>
          <w:sz w:val="20"/>
        </w:rPr>
        <w:t>require us to raise additional capital in the future which may not be available on favorable terms, or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Availability of Credit and Effect on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ability to raise capital has generally existed for us despite economic weakness and uncertainty. However,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 Although cured, this could negatively impact our ability to raise capital on favorable terms or at all. While modest fluctuations in the cost of capital will not likely impact our current operational plans, significant fluctuations could have a material adverse effect on our business,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Debt Issuances and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Term Loan Due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During the three and six months ended June 30, 2025, we redeemed approximately $166 million and $333 million, respectively, of our Term Loan due 2025. The remaining balance of approximately $167 million is paid monthly and the final payment is due September 30, 2025. We expect to fund this obligation from our current restricted and unrestricted cash, cash equivalents and</w:t>
      </w:r>
      <w:r>
        <w:rPr>
          <w:rFonts w:ascii="Times New Roman;Times;serif" w:hAnsi="Times New Roman;Times;serif"/>
          <w:sz w:val="20"/>
        </w:rPr>
        <w:t xml:space="preserve"> </w:t>
      </w:r>
      <w:r>
        <w:rPr>
          <w:rFonts w:ascii="Arial;Helvetica;sans-serif" w:hAnsi="Arial;Helvetica;sans-serif"/>
          <w:sz w:val="20"/>
        </w:rPr>
        <w:t>marketable investment securities balances on hand and/or projected future cash flows.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Covenants and Restrictions Related to our Long-Term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subject to the covenants and restrictions set forth in the indentures related to our long-term debt. In particular, the indentures related to our outstanding senior notes and senior secured notes contain restrictive covenants that, among other things, impose limitations on our ability to: (i) incur additional indebtedness; (ii) enter into sale and leaseback transactions; (iii) pay dividends or make distributions on our capital stock or repurchase our capital stock; (iv) make certain investments;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the date of filing of this Quarterly Report on Form 10-Q, we were in compliance with the covenants and restrictions related to our long-term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New Accounting Pronouncements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See Note 2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EXPLANATION OF KEY METRICS AND OTHER ITEMS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Service revenue</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Service revenue” consists principally of Pay-TV subscriber revenue. Certain of the amounts included in “Service revenue” are not recurring on a monthly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Equipment sales and other revenue</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Equipment sales and other revenue” principally includes the non-subsidized sales of Pay-TV equipment and the licensing of certain intellectual property.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services</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Cost of services” principally includes Pay-TV programming expenses and other operating costs related to our Pay-TV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sales - equipment and other.</w:t>
      </w:r>
      <w:r>
        <w:rPr>
          <w:rFonts w:ascii="Times New Roman;Times;serif" w:hAnsi="Times New Roman;Times;serif"/>
          <w:sz w:val="20"/>
        </w:rPr>
        <w:t xml:space="preserve"> “</w:t>
      </w:r>
      <w:r>
        <w:rPr>
          <w:rFonts w:ascii="Arial;Helvetica;sans-serif" w:hAnsi="Arial;Helvetica;sans-serif"/>
          <w:sz w:val="20"/>
        </w:rPr>
        <w:t>Cost of sales – equipment and other” principally includes the cost of the non-subsidized sales of Pay-TV equipment. Costs are generally recognized as products are delivered to customers and the related revenue is recognized.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2"/>
          <w:sz w:val="20"/>
        </w:rPr>
        <w:t>Selling, general and administrative expenses</w:t>
      </w:r>
      <w:r>
        <w:rPr>
          <w:rFonts w:ascii="Arial;Helvetica;sans-serif" w:hAnsi="Arial;Helvetica;sans-serif"/>
          <w:b/>
          <w:spacing w:val="-2"/>
          <w:sz w:val="20"/>
        </w:rPr>
        <w:t>.</w:t>
      </w:r>
      <w:r>
        <w:rPr>
          <w:rFonts w:ascii="Times New Roman;Times;serif" w:hAnsi="Times New Roman;Times;serif"/>
          <w:spacing w:val="-2"/>
          <w:sz w:val="20"/>
        </w:rPr>
        <w:t xml:space="preserve"> “</w:t>
      </w:r>
      <w:r>
        <w:rPr>
          <w:rFonts w:ascii="Arial;Helvetica;sans-serif" w:hAnsi="Arial;Helvetica;sans-serif"/>
          <w:spacing w:val="-2"/>
          <w:sz w:val="20"/>
        </w:rPr>
        <w:t>Selling, general and administrative expenses” consists primarily of direct sales costs, advertising and selling costs, third-party commissions related to the acquisition of subscribers</w:t>
      </w:r>
      <w:r>
        <w:rPr>
          <w:rFonts w:ascii="Times New Roman;Times;serif" w:hAnsi="Times New Roman;Times;serif"/>
          <w:sz w:val="20"/>
        </w:rPr>
        <w:t xml:space="preserve"> </w:t>
      </w:r>
      <w:r>
        <w:rPr>
          <w:rFonts w:ascii="Arial;Helvetica;sans-serif" w:hAnsi="Arial;Helvetica;sans-serif"/>
          <w:sz w:val="20"/>
        </w:rPr>
        <w:t>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Interest expense, net of amounts capitalized.</w:t>
      </w:r>
      <w:r>
        <w:rPr>
          <w:rFonts w:ascii="Times New Roman;Times;serif" w:hAnsi="Times New Roman;Times;serif"/>
          <w:sz w:val="20"/>
        </w:rPr>
        <w:t xml:space="preserve"> “</w:t>
      </w:r>
      <w:r>
        <w:rPr>
          <w:rFonts w:ascii="Arial;Helvetica;sans-serif" w:hAnsi="Arial;Helvetica;sans-serif"/>
          <w:sz w:val="20"/>
        </w:rPr>
        <w:t>Interest expense, net of amounts capitalized” primarily 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Other, net.</w:t>
      </w:r>
      <w:r>
        <w:rPr>
          <w:rFonts w:ascii="Times New Roman;Times;serif" w:hAnsi="Times New Roman;Times;serif"/>
          <w:sz w:val="20"/>
        </w:rPr>
        <w:t xml:space="preserve"> </w:t>
      </w:r>
      <w:r>
        <w:rPr>
          <w:rFonts w:ascii="Arial;Helvetica;sans-serif" w:hAnsi="Arial;Helvetica;sans-serif"/>
          <w:sz w:val="20"/>
        </w:rPr>
        <w:t>The main components of “Other, net” are gains and losses realized on the sale and/or conversion of marketable and non-marketable investment securities, impairment of marketable and non-marketable investment securities, unrealized gains and losses from changes in fair value of certain marketable and non-marketable investment securities, the sale of businesses or business assets gains and losses, debt extinguishment gains and losses, and equity in earnings and losses of our affiliates.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 xml:space="preserve">Operating income before depreciation and amortization (“OIBDA”). </w:t>
      </w:r>
      <w:r>
        <w:rPr>
          <w:rFonts w:ascii="Arial;Helvetica;sans-serif" w:hAnsi="Arial;Helvetica;sans-serif"/>
          <w:sz w:val="20"/>
        </w:rPr>
        <w:t>OIBDA is defined as “Operating income (loss)” plus “Depreciation and amortization.” This non-GAAP measure is reconciled to “Operating income (loss)” in our discussion of “Results of Operations” below.</w:t>
      </w:r>
    </w:p>
    <w:p>
      <w:pPr>
        <w:pStyle w:val="TextBody"/>
        <w:bidi w:val="0"/>
        <w:spacing w:lineRule="atLeast" w:line="220"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subscribers.</w:t>
      </w:r>
      <w:r>
        <w:rPr>
          <w:rFonts w:ascii="Times New Roman;Times;serif" w:hAnsi="Times New Roman;Times;serif"/>
          <w:sz w:val="20"/>
        </w:rPr>
        <w:t xml:space="preserve"> </w:t>
      </w:r>
      <w:r>
        <w:rPr>
          <w:rFonts w:ascii="Arial;Helvetica;sans-serif" w:hAnsi="Arial;Helvetica;sans-serif"/>
          <w:sz w:val="20"/>
        </w:rPr>
        <w:t>We include customers obtained through direct sales, independent third-party retailers 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2"/>
          <w:sz w:val="20"/>
        </w:rPr>
        <w:t>SLING TV subscribers.</w:t>
      </w:r>
      <w:r>
        <w:rPr>
          <w:rFonts w:ascii="Times New Roman;Times;serif" w:hAnsi="Times New Roman;Times;serif"/>
          <w:spacing w:val="-2"/>
          <w:sz w:val="20"/>
        </w:rPr>
        <w:t xml:space="preserve"> </w:t>
      </w:r>
      <w:r>
        <w:rPr>
          <w:rFonts w:ascii="Arial;Helvetica;sans-serif" w:hAnsi="Arial;Helvetica;sans-serif"/>
          <w:sz w:val="20"/>
        </w:rPr>
        <w:t>We include customers obtained through direct sales and third-party marketing agreements in our SLING TV subscriber count. SLING TV subscriber additions are recorded net of disconnects. SLING TV customers receiving SLING TV Freestream service, or service for no charge, under certain new subscriber promotions, are excluded from our SLING TV subscriber count. For customers who subscribe to multiple SLING TV packages, each customer is only counted as one SLING TV subscriber.</w:t>
      </w:r>
    </w:p>
    <w:p>
      <w:pPr>
        <w:pStyle w:val="TextBody"/>
        <w:bidi w:val="0"/>
        <w:spacing w:before="0" w:after="0"/>
        <w:ind w:left="0" w:right="0" w:hanging="0"/>
        <w:jc w:val="left"/>
        <w:rPr>
          <w:spacing w:val="-2"/>
        </w:rPr>
      </w:pPr>
      <w:r>
        <w:rPr>
          <w:spacing w:val="-2"/>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Pay-TV subscribers.</w:t>
      </w:r>
      <w:r>
        <w:rPr>
          <w:rFonts w:ascii="Times New Roman;Times;serif" w:hAnsi="Times New Roman;Times;serif"/>
          <w:sz w:val="20"/>
        </w:rPr>
        <w:t xml:space="preserve"> </w:t>
      </w:r>
      <w:r>
        <w:rPr>
          <w:rFonts w:ascii="Arial;Helvetica;sans-serif" w:hAnsi="Arial;Helvetica;sans-serif"/>
          <w:sz w:val="20"/>
        </w:rPr>
        <w:t>Our Pay-TV subscriber count includes all DISH TV and SLING TV subscribers discussed above. For customers who subscribe to both our DISH TV services and our SLING TV services, each subscription is counted as a separate Pay-TV subscriber.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Pay-TV average monthly revenue per subscriber (“Pay-TV ARPU”).</w:t>
      </w:r>
      <w:r>
        <w:rPr>
          <w:rFonts w:ascii="Times New Roman;Times;serif" w:hAnsi="Times New Roman;Times;serif"/>
          <w:sz w:val="20"/>
        </w:rPr>
        <w:t xml:space="preserve"> </w:t>
      </w:r>
      <w:r>
        <w:rPr>
          <w:rFonts w:ascii="Arial;Helvetica;sans-serif" w:hAnsi="Arial;Helvetica;sans-serif"/>
          <w:sz w:val="20"/>
        </w:rPr>
        <w:t>We are not aware of any uniform standards for calculating ARPU and believe presentations of ARPU may not be calculated consistently by other companies in the same or similar businesses. We calculate Pay-TV average monthly revenue per Pay-TV subscriber, or Pay-TV ARPU, by dividing average monthly Pay-TV “Service revenue,”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average monthly subscriber churn rate (“DISH TV churn rate”).</w:t>
      </w:r>
      <w:r>
        <w:rPr>
          <w:rFonts w:ascii="Times New Roman;Times;serif" w:hAnsi="Times New Roman;Times;serif"/>
          <w:sz w:val="20"/>
        </w:rPr>
        <w:t xml:space="preserve"> </w:t>
      </w:r>
      <w:r>
        <w:rPr>
          <w:rFonts w:ascii="Arial;Helvetica;sans-serif" w:hAnsi="Arial;Helvetica;sans-serif"/>
          <w:sz w:val="20"/>
        </w:rPr>
        <w:t>We are not aware of any uniform 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SAC.</w:t>
      </w:r>
      <w:r>
        <w:rPr>
          <w:rFonts w:ascii="Times New Roman;Times;serif" w:hAnsi="Times New Roman;Times;serif"/>
          <w:sz w:val="20"/>
        </w:rPr>
        <w:t xml:space="preserve"> </w:t>
      </w:r>
      <w:r>
        <w:rPr>
          <w:rFonts w:ascii="Arial;Helvetica;sans-serif" w:hAnsi="Arial;Helvetica;sans-serif"/>
          <w:sz w:val="20"/>
        </w:rPr>
        <w:t>Subscriber acquisition cost measures are commonly used by those evaluating traditional 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Pay-TV</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172" w:name="_DV_C1154"/>
      <w:bookmarkEnd w:id="1172"/>
      <w:r>
        <w:rPr>
          <w:rFonts w:ascii="Arial;Helvetica;sans-serif" w:hAnsi="Arial;Helvetica;sans-serif"/>
          <w:sz w:val="20"/>
        </w:rPr>
        <w:t>We offer Pay-TV services under the DISH brand and the SLING brand. As of June 30, 2025, we had 7.108 million Pay-TV subscribers in the United States, including 5.323 million DISH TV subscribers and 1.785 million SLING TV subscribers. 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w:t>
      </w:r>
      <w:r>
        <w:rPr>
          <w:rFonts w:ascii="Times New Roman;Times;serif" w:hAnsi="Times New Roman;Times;serif"/>
          <w:sz w:val="20"/>
        </w:rPr>
        <w:t xml:space="preserve"> </w:t>
      </w:r>
      <w:r>
        <w:rPr>
          <w:rFonts w:ascii="Arial;Helvetica;sans-serif" w:hAnsi="Arial;Helvetica;sans-serif"/>
          <w:sz w:val="20"/>
        </w:rPr>
        <w:t>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Trends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Competition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20"/>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 We incur significant costs to retain our existing DISH TV subscribers, generally as a result of upgrading their equipment to next generation receivers, primarily including our Hopper</w:t>
      </w:r>
      <w:r>
        <w:rPr>
          <w:rFonts w:ascii="Arial;Helvetica;sans-serif" w:hAnsi="Arial;Helvetica;sans-serif"/>
          <w:sz w:val="16"/>
        </w:rPr>
        <w:t>®</w:t>
      </w:r>
      <w:r>
        <w:rPr>
          <w:rFonts w:ascii="Times New Roman;Times;serif" w:hAnsi="Times New Roman;Times;serif"/>
          <w:sz w:val="16"/>
        </w:rPr>
        <w:t xml:space="preserve"> </w:t>
      </w:r>
      <w:r>
        <w:rPr>
          <w:rFonts w:ascii="Arial;Helvetica;sans-serif" w:hAnsi="Arial;Helvetica;sans-serif"/>
          <w:sz w:val="20"/>
        </w:rPr>
        <w:t>receivers, and by providing retention credits. Our DISH TV subscriber retention costs may vary significantly from period to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HBO Max, STARZ, Peacock, Fubo, Philo and Tubi and certain bundles of these offerings.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2024 and elsewhere in our public filings. These transactions may affect us adversely by, among other things, making it more difficult for us to obtain access to certain programming networks on nondiscriminatory and fair terms, or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Programming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 xml:space="preserve">Three Months Ended </w:t>
      </w:r>
      <w:r>
        <w:rPr>
          <w:rFonts w:ascii="Arial;Helvetica;sans-serif" w:hAnsi="Arial;Helvetica;sans-serif"/>
          <w:sz w:val="20"/>
        </w:rPr>
        <w:t>June 30, 2025</w:t>
      </w:r>
      <w:r>
        <w:rPr>
          <w:rFonts w:ascii="Times New Roman;Times;serif" w:hAnsi="Times New Roman;Times;serif"/>
          <w:sz w:val="20"/>
        </w:rPr>
        <w:t xml:space="preserve"> </w:t>
      </w:r>
      <w:r>
        <w:rPr>
          <w:rFonts w:ascii="Arial;Helvetica;sans-serif" w:hAnsi="Arial;Helvetica;sans-serif"/>
          <w:i/>
          <w:sz w:val="20"/>
        </w:rPr>
        <w:t xml:space="preserve">Compared to the Three Months Ended </w:t>
      </w:r>
      <w:r>
        <w:rPr>
          <w:rFonts w:ascii="Arial;Helvetica;sans-serif" w:hAnsi="Arial;Helvetica;sans-serif"/>
          <w:sz w:val="20"/>
        </w:rPr>
        <w:t>June 30, 2024</w:t>
      </w:r>
      <w:r>
        <w:rPr>
          <w:rFonts w:ascii="Arial;Helvetica;sans-serif" w:hAnsi="Arial;Helvetica;sans-serif"/>
          <w:i/>
          <w:sz w:val="20"/>
        </w:rPr>
        <w:t>.</w:t>
      </w:r>
    </w:p>
    <w:p>
      <w:pPr>
        <w:pStyle w:val="TextBody"/>
        <w:bidi w:val="0"/>
        <w:spacing w:before="0" w:after="0"/>
        <w:ind w:left="0" w:right="0" w:hanging="0"/>
        <w:jc w:val="left"/>
        <w:rPr/>
      </w:pPr>
      <w:r>
        <w:rPr/>
        <w:t>​</w:t>
      </w:r>
    </w:p>
    <w:tbl>
      <w:tblPr>
        <w:tblW w:w="9982" w:type="dxa"/>
        <w:jc w:val="left"/>
        <w:tblInd w:w="0" w:type="dxa"/>
        <w:tblLayout w:type="fixed"/>
        <w:tblCellMar>
          <w:top w:w="0" w:type="dxa"/>
          <w:left w:w="0" w:type="dxa"/>
          <w:bottom w:w="0" w:type="dxa"/>
          <w:right w:w="0" w:type="dxa"/>
        </w:tblCellMar>
      </w:tblPr>
      <w:tblGrid>
        <w:gridCol w:w="4651"/>
        <w:gridCol w:w="326"/>
        <w:gridCol w:w="211"/>
        <w:gridCol w:w="931"/>
        <w:gridCol w:w="326"/>
        <w:gridCol w:w="211"/>
        <w:gridCol w:w="931"/>
        <w:gridCol w:w="326"/>
        <w:gridCol w:w="211"/>
        <w:gridCol w:w="901"/>
        <w:gridCol w:w="326"/>
        <w:gridCol w:w="63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953385" cy="175260"/>
                      <wp:effectExtent l="0" t="0" r="0" b="0"/>
                      <wp:wrapNone/>
                      <wp:docPr id="256" name="Frame256"/>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91185" cy="175260"/>
                      <wp:effectExtent l="0" t="0" r="0" b="0"/>
                      <wp:wrapNone/>
                      <wp:docPr id="259" name="Frame2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91185" cy="175260"/>
                      <wp:effectExtent l="0" t="0" r="0" b="0"/>
                      <wp:wrapNone/>
                      <wp:docPr id="262" name="Frame2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72135" cy="175260"/>
                      <wp:effectExtent l="0" t="0" r="0" b="0"/>
                      <wp:wrapNone/>
                      <wp:docPr id="265" name="Frame26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00685" cy="175260"/>
                      <wp:effectExtent l="0" t="0" r="0" b="0"/>
                      <wp:wrapNone/>
                      <wp:docPr id="267" name="Frame2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0"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26" w:type="dxa"/>
            <w:tcBorders/>
            <w:vAlign w:val="center"/>
          </w:tcPr>
          <w:p>
            <w:pPr>
              <w:pStyle w:val="TableContents"/>
              <w:bidi w:val="0"/>
              <w:spacing w:before="0" w:after="1"/>
              <w:ind w:left="0" w:right="0" w:hanging="0"/>
              <w:jc w:val="left"/>
              <w:rPr/>
            </w:pPr>
            <w:r>
              <w:rPr/>
              <w:t>​</w:t>
            </w:r>
          </w:p>
        </w:tc>
        <w:tc>
          <w:tcPr>
            <w:tcW w:w="2069"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5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998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48"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2,439,754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2,645,461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(205,707)</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(7.8)</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13,432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13,697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(265)</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2,453,186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2,659,158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(205,972)</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(7.7)</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1,589,767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1,674,252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(84,485)</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65.2</w:t>
            </w:r>
          </w:p>
        </w:tc>
        <w:tc>
          <w:tcPr>
            <w:tcW w:w="32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63.3</w:t>
            </w:r>
          </w:p>
        </w:tc>
        <w:tc>
          <w:tcPr>
            <w:tcW w:w="32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16,043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(6,694)</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(41.7)</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241,072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262,249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(21,177)</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9.8</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9.9</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53,035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70,339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(17,304)</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(24.6)</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1,893,223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2,022,883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(129,660)</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559,963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636,275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(76,312)</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91,130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72,039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19,091</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26.5</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(236,599)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(184,787)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(51,812)</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(28.0)</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(64,296)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64,505</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(145,260)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(177,044)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31,784</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18.0</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414,703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459,231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(44,528)</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(100,657)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(128,307)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27,650</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21.5</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xml:space="preserve">Effective tax rate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24.3</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27.9</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314,046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330,924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(16,878)</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subscribers, as of period end (in millions)**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(0.966)</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subscribers, as of period end (in millions)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(0.753)</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(12.4)</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SLING TV subscribers, as of period end (in millions)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(0.213)</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Pay-TV subscriber additions (losses), net (in millions)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(0.261)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(0.157)</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DISH TV subscriber additions (losses), net (in millions)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0.030</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16.5</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SLING TV subscriber additions (losses), net (in millions)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(0.187)</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ARPU</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111.74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3.32</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 additions, gross (in millions)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(0.019)</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(25.0)</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churn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w:t>
            </w:r>
          </w:p>
        </w:tc>
        <w:tc>
          <w:tcPr>
            <w:tcW w:w="537" w:type="dxa"/>
            <w:gridSpan w:val="2"/>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1.39</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(0.10)</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SAC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212</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22.6</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28,269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10,376</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58.0</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612,998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706,614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(93,616)</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w:t>
            </w:r>
          </w:p>
        </w:tc>
      </w:tr>
    </w:tbl>
    <w:p>
      <w:pPr>
        <w:pStyle w:val="TextBody"/>
        <w:pBdr/>
        <w:bidi w:val="0"/>
        <w:spacing w:lineRule="auto" w:line="302" w:before="0" w:after="120"/>
        <w:ind w:left="0" w:right="0" w:hanging="360"/>
        <w:jc w:val="left"/>
        <w:rPr/>
      </w:pPr>
      <w:r>
        <w:rPr/>
        <w:t>​</w:t>
      </w:r>
    </w:p>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lineRule="auto" w:line="302" w:before="0" w:after="120"/>
              <w:jc w:val="left"/>
              <w:rPr>
                <w:rFonts w:ascii="Arial;Helvetica;sans-serif" w:hAnsi="Arial;Helvetica;sans-serif"/>
                <w:sz w:val="20"/>
              </w:rPr>
            </w:pPr>
            <w:r>
              <w:rPr>
                <w:rFonts w:ascii="Arial;Helvetica;sans-serif" w:hAnsi="Arial;Helvetica;sans-serif"/>
                <w:sz w:val="20"/>
              </w:rPr>
              <w:t>**</w:t>
            </w:r>
          </w:p>
        </w:tc>
        <w:tc>
          <w:tcPr>
            <w:tcW w:w="9987" w:type="dxa"/>
            <w:tcBorders/>
            <w:vAlign w:val="center"/>
          </w:tcPr>
          <w:p>
            <w:pPr>
              <w:pStyle w:val="TableContents"/>
              <w:bidi w:val="0"/>
              <w:spacing w:lineRule="auto" w:line="302" w:before="0" w:after="120"/>
              <w:jc w:val="left"/>
              <w:rPr>
                <w:rFonts w:ascii="Arial;Helvetica;sans-serif" w:hAnsi="Arial;Helvetica;sans-serif"/>
                <w:sz w:val="20"/>
              </w:rPr>
            </w:pPr>
            <w:r>
              <w:rPr>
                <w:rFonts w:ascii="Arial;Helvetica;sans-serif" w:hAnsi="Arial;Helvetica;sans-serif"/>
                <w:sz w:val="20"/>
              </w:rPr>
              <w:t>During the second quarter of 2025, we removed approximately 28,000 subscribers from our period end DISH TV subscriber count representing DISH TV subscribers sold during the three months ended June 30, 2025. This removal had no material impact on any other reported subscriber metrics, other than our period end DISH TV subscriber count.</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Pay-TV Subscribers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DISH TV subscribers.</w:t>
      </w:r>
      <w:r>
        <w:rPr>
          <w:rFonts w:ascii="Times New Roman;Times;serif" w:hAnsi="Times New Roman;Times;serif"/>
          <w:sz w:val="20"/>
        </w:rPr>
        <w:t xml:space="preserve"> </w:t>
      </w:r>
      <w:r>
        <w:rPr>
          <w:rFonts w:ascii="Arial;Helvetica;sans-serif" w:hAnsi="Arial;Helvetica;sans-serif"/>
          <w:sz w:val="20"/>
        </w:rPr>
        <w:t>We lost approximately 152,000 net DISH TV subscribers during the three months ended June 30, 2025 compared to the loss of approximately 182,000 net DISH TV subscribers during the same period in 2024. This decrease in net DISH TV subscriber losses primarily resulted from a lower DISH TV churn rate, partially offset by lower gross new DISH TV subscriber activations.</w:t>
      </w:r>
    </w:p>
    <w:p>
      <w:pPr>
        <w:pStyle w:val="TextBody"/>
        <w:bidi w:val="0"/>
        <w:spacing w:before="0" w:after="0"/>
        <w:ind w:left="0" w:right="0" w:hanging="0"/>
        <w:jc w:val="left"/>
        <w:rPr/>
      </w:pPr>
      <w:r>
        <w:rPr/>
        <w:t>​</w:t>
      </w:r>
    </w:p>
    <w:p>
      <w:pPr>
        <w:pStyle w:val="TextBody"/>
        <w:pBdr/>
        <w:bidi w:val="0"/>
        <w:spacing w:lineRule="auto" w:line="302" w:before="0" w:after="0"/>
        <w:ind w:left="0" w:right="0" w:hanging="14"/>
        <w:jc w:val="left"/>
        <w:rPr>
          <w:rFonts w:ascii="Helvetica;sans-serif" w:hAnsi="Helvetica;sans-serif"/>
          <w:sz w:val="20"/>
        </w:rPr>
      </w:pPr>
      <w:r>
        <w:rPr>
          <w:rFonts w:ascii="Arial;Helvetica;sans-serif" w:hAnsi="Arial;Helvetica;sans-serif"/>
          <w:b/>
          <w:i/>
          <w:sz w:val="20"/>
        </w:rPr>
        <w:t>SLING TV subscribers.</w:t>
      </w:r>
      <w:r>
        <w:rPr>
          <w:rFonts w:ascii="Helvetica;sans-serif" w:hAnsi="Helvetica;sans-serif"/>
          <w:sz w:val="20"/>
        </w:rPr>
        <w:t xml:space="preserve"> </w:t>
      </w:r>
      <w:r>
        <w:rPr>
          <w:rFonts w:ascii="Arial;Helvetica;sans-serif" w:hAnsi="Arial;Helvetica;sans-serif"/>
          <w:sz w:val="20"/>
        </w:rPr>
        <w:t>We lost approximately 109,000 net SLING TV subscribers during the three months ended June 30, 2025 compared to the addition of approximately 78,000 net SLING TV subscribers during the same period in 2024. The change in net SLING TV subscribers was primarily related to lower SLING TV subscriber activations due to our emphasis on acquiring higher quality subscribers.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subscribers, gross.</w:t>
      </w:r>
      <w:r>
        <w:rPr>
          <w:rFonts w:ascii="Times New Roman;Times;serif" w:hAnsi="Times New Roman;Times;serif"/>
          <w:sz w:val="20"/>
        </w:rPr>
        <w:t xml:space="preserve"> </w:t>
      </w:r>
      <w:r>
        <w:rPr>
          <w:rFonts w:ascii="Arial;Helvetica;sans-serif" w:hAnsi="Arial;Helvetica;sans-serif"/>
          <w:sz w:val="20"/>
        </w:rPr>
        <w:t>During the three months ended June 30, 2025, we activated approximately 57,000 gross new DISH TV subscribers compared to approximately 76,000 gross new DISH TV subscribers during the same period in 2024, a decrease of 25.0%. This decrease in our gross new DISH TV subscriber activations was primarily related to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churn rate.</w:t>
      </w:r>
      <w:r>
        <w:rPr>
          <w:rFonts w:ascii="Times New Roman;Times;serif" w:hAnsi="Times New Roman;Times;serif"/>
          <w:sz w:val="20"/>
        </w:rPr>
        <w:t xml:space="preserve"> </w:t>
      </w:r>
      <w:r>
        <w:rPr>
          <w:rFonts w:ascii="Arial;Helvetica;sans-serif" w:hAnsi="Arial;Helvetica;sans-serif"/>
          <w:sz w:val="20"/>
        </w:rPr>
        <w:t>Our DISH TV churn rate for the three months ended June 30, 2025 was 1.29% compared to 1.39% for the same period in 2024. Our DISH TV churn rates for the three months ended June 30, 2025 and 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Service revenue.</w:t>
      </w:r>
      <w:r>
        <w:rPr>
          <w:rFonts w:ascii="Times New Roman;Times;serif" w:hAnsi="Times New Roman;Times;serif"/>
          <w:sz w:val="20"/>
        </w:rPr>
        <w:t xml:space="preserve"> “</w:t>
      </w:r>
      <w:r>
        <w:rPr>
          <w:rFonts w:ascii="Arial;Helvetica;sans-serif" w:hAnsi="Arial;Helvetica;sans-serif"/>
          <w:sz w:val="20"/>
        </w:rPr>
        <w:t>Service revenue” totaled $2.440 billion for the three months ended June 30, 2025, a decrease of $206 million or 7.8% compared to the same period in 2024. The decrease in “Service revenue” compared to the same period in 2024</w:t>
      </w:r>
      <w:r>
        <w:rPr>
          <w:rFonts w:ascii="Times New Roman;Times;serif" w:hAnsi="Times New Roman;Times;serif"/>
          <w:sz w:val="20"/>
        </w:rPr>
        <w:t xml:space="preserve"> </w:t>
      </w:r>
      <w:r>
        <w:rPr>
          <w:rFonts w:ascii="Arial;Helvetica;sans-serif" w:hAnsi="Arial;Helvetica;sans-serif"/>
          <w:sz w:val="20"/>
        </w:rPr>
        <w:t>was primarily related to lower average Pay-TV subscriber base, partially offset by an increase in Pay-TV ARPU,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Pay-TV ARPU.</w:t>
      </w:r>
      <w:r>
        <w:rPr>
          <w:rFonts w:ascii="Times New Roman;Times;serif" w:hAnsi="Times New Roman;Times;serif"/>
          <w:sz w:val="20"/>
        </w:rPr>
        <w:t xml:space="preserve"> </w:t>
      </w:r>
      <w:r>
        <w:rPr>
          <w:rFonts w:ascii="Arial;Helvetica;sans-serif" w:hAnsi="Arial;Helvetica;sans-serif"/>
          <w:sz w:val="20"/>
        </w:rPr>
        <w:t>Pay-TV ARPU was $111.74 during the three months ended June 30, 2025 versus $108.42 during the same period in 2024. The $3.32 or 3.1% increase in Pay-TV ARPU was primarily attributable to the DISH TV and SLING TV programming price increases. The DISH TV and SLING TV programming package price increases were effective in the third and fourth quarter of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services.</w:t>
      </w:r>
      <w:r>
        <w:rPr>
          <w:rFonts w:ascii="Times New Roman;Times;serif" w:hAnsi="Times New Roman;Times;serif"/>
          <w:sz w:val="20"/>
        </w:rPr>
        <w:t xml:space="preserve"> “</w:t>
      </w:r>
      <w:r>
        <w:rPr>
          <w:rFonts w:ascii="Arial;Helvetica;sans-serif" w:hAnsi="Arial;Helvetica;sans-serif"/>
          <w:sz w:val="20"/>
        </w:rPr>
        <w:t>Cost of services” totaled $1.590 billion during the three months ended June 30, 2025, a decrease of $84 million or 5.0% compared to the same period in 2024. The decrease in “Cost of services” was primarily attributable to a lower average Pay-TV subscriber base, partially offset by higher programming costs per subscriber. Programming costs per subscriber increased during the three months ended June 30, 2025 due to rate increases in certain of our programming contracts, including the renewal of certain contracts at higher rates, particularly for local broadcast channels. “Cost of services” represented 65.2% and 63.3% of “Service revenue” during the three months ended June 30, 2025 and 2024, respectively. This increase primarily related to higher programming costs per subscriber.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Selling, general and administrative expenses.</w:t>
      </w:r>
      <w:r>
        <w:rPr>
          <w:rFonts w:ascii="Times New Roman;Times;serif" w:hAnsi="Times New Roman;Times;serif"/>
          <w:spacing w:val="-4"/>
          <w:sz w:val="20"/>
        </w:rPr>
        <w:t xml:space="preserve"> </w:t>
      </w:r>
      <w:r>
        <w:rPr>
          <w:rFonts w:ascii="Times New Roman;Times;serif" w:hAnsi="Times New Roman;Times;serif"/>
          <w:sz w:val="20"/>
        </w:rPr>
        <w:t>“</w:t>
      </w:r>
      <w:r>
        <w:rPr>
          <w:rFonts w:ascii="Arial;Helvetica;sans-serif" w:hAnsi="Arial;Helvetica;sans-serif"/>
          <w:sz w:val="20"/>
        </w:rPr>
        <w:t xml:space="preserve">Selling, general and administrative expenses” totaled $241 million during the three months ended June 30, 2025, a $21 million or 8.1% decrease compared to the same period in 2024. This change was primarily driven by a decrease in subscriber acquisition costs resulting from lower marketing expenditures and lower gross new DISH TV subscriber activations and a decrease in personnel costs.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Depreciation and amortization.</w:t>
      </w:r>
      <w:r>
        <w:rPr>
          <w:rFonts w:ascii="Times New Roman;Times;serif" w:hAnsi="Times New Roman;Times;serif"/>
          <w:sz w:val="20"/>
        </w:rPr>
        <w:t xml:space="preserve"> “</w:t>
      </w:r>
      <w:r>
        <w:rPr>
          <w:rFonts w:ascii="Arial;Helvetica;sans-serif" w:hAnsi="Arial;Helvetica;sans-serif"/>
          <w:sz w:val="20"/>
        </w:rPr>
        <w:t xml:space="preserve">Depreciation and amortization” expense totaled $53 million during the three months ended June 30, 2025, a $17 million or 24.6% decrease compared to the same period in 2024. </w:t>
      </w:r>
      <w:r>
        <w:rPr>
          <w:rFonts w:ascii="Arial;Helvetica;sans-serif" w:hAnsi="Arial;Helvetica;sans-serif"/>
          <w:spacing w:val="-4"/>
          <w:sz w:val="20"/>
        </w:rPr>
        <w:t xml:space="preserve">This change was primarily driven by a decrease in depreciation expense from equipment leased to new and existing DISH TV subscribers and </w:t>
      </w:r>
      <w:r>
        <w:rPr>
          <w:rFonts w:ascii="Arial;Helvetica;sans-serif" w:hAnsi="Arial;Helvetica;sans-serif"/>
          <w:sz w:val="20"/>
        </w:rPr>
        <w:t>the expiration of our Nimiq 5 finance lease in September 2024.</w:t>
      </w:r>
    </w:p>
    <w:p>
      <w:pPr>
        <w:pStyle w:val="TextBody"/>
        <w:bidi w:val="0"/>
        <w:spacing w:before="0" w:after="0"/>
        <w:ind w:left="0" w:right="0" w:hanging="0"/>
        <w:jc w:val="left"/>
        <w:rPr/>
      </w:pPr>
      <w:r>
        <w:rPr/>
        <w:t>​</w:t>
      </w:r>
    </w:p>
    <w:p>
      <w:pPr>
        <w:pStyle w:val="TextBody"/>
        <w:pBdr/>
        <w:bidi w:val="0"/>
        <w:spacing w:lineRule="auto" w:line="285" w:before="0" w:after="0"/>
        <w:ind w:left="0" w:right="0" w:hanging="9"/>
        <w:jc w:val="left"/>
        <w:rPr>
          <w:rFonts w:ascii="Helvetica;sans-serif" w:hAnsi="Helvetica;sans-serif"/>
          <w:sz w:val="20"/>
        </w:rPr>
      </w:pPr>
      <w:r>
        <w:rPr>
          <w:rFonts w:ascii="Arial;Helvetica;sans-serif" w:hAnsi="Arial;Helvetica;sans-serif"/>
          <w:b/>
          <w:i/>
          <w:sz w:val="20"/>
        </w:rPr>
        <w:t>DISH TV SAC.</w:t>
      </w:r>
      <w:r>
        <w:rPr>
          <w:rFonts w:ascii="Helvetica;sans-serif" w:hAnsi="Helvetica;sans-serif"/>
          <w:sz w:val="20"/>
        </w:rPr>
        <w:t xml:space="preserve"> </w:t>
      </w:r>
      <w:r>
        <w:rPr>
          <w:rFonts w:ascii="Arial;Helvetica;sans-serif" w:hAnsi="Arial;Helvetica;sans-serif"/>
          <w:sz w:val="20"/>
        </w:rPr>
        <w:t>DISH TV SAC was $1,150 during the three months ended June 30, 2025 compared to $938 during the same period in 2024, an increase of $212 or 22.6%.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three months ended June 30, 2025 and 2024, the amount of equipment capitalized under our lease program for new DISH TV subscribers totaled $8 million and $6 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“DISH TV SAC” may materially increase in the future to the extent that we, among other things, transition to newer technologies, introduce more aggressive promotions, or provide greater equipment subsidies.</w:t>
      </w:r>
    </w:p>
    <w:p>
      <w:pPr>
        <w:pStyle w:val="TextBody"/>
        <w:bidi w:val="0"/>
        <w:spacing w:before="0" w:after="0"/>
        <w:ind w:left="0" w:right="0" w:hanging="0"/>
        <w:jc w:val="left"/>
        <w:rPr>
          <w:spacing w:val="-2"/>
        </w:rPr>
      </w:pPr>
      <w:r>
        <w:rPr>
          <w:spacing w:val="-2"/>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2"/>
          <w:sz w:val="20"/>
        </w:rPr>
        <w:t>Interest income.</w:t>
      </w:r>
      <w:r>
        <w:rPr>
          <w:rFonts w:ascii="Times New Roman;Times;serif" w:hAnsi="Times New Roman;Times;serif"/>
          <w:spacing w:val="-2"/>
          <w:sz w:val="20"/>
        </w:rPr>
        <w:t xml:space="preserve"> “</w:t>
      </w:r>
      <w:r>
        <w:rPr>
          <w:rFonts w:ascii="Arial;Helvetica;sans-serif" w:hAnsi="Arial;Helvetica;sans-serif"/>
          <w:spacing w:val="-2"/>
          <w:sz w:val="20"/>
        </w:rPr>
        <w:t xml:space="preserve">Interest income” totaled $91 million during the three months ended </w:t>
      </w:r>
      <w:r>
        <w:rPr>
          <w:rFonts w:ascii="Arial;Helvetica;sans-serif" w:hAnsi="Arial;Helvetica;sans-serif"/>
          <w:sz w:val="20"/>
        </w:rPr>
        <w:t>June 30, 2025</w:t>
      </w:r>
      <w:r>
        <w:rPr>
          <w:rFonts w:ascii="Arial;Helvetica;sans-serif" w:hAnsi="Arial;Helvetica;sans-serif"/>
          <w:spacing w:val="-2"/>
          <w:sz w:val="20"/>
        </w:rPr>
        <w:t xml:space="preserve">, an increase of $19 million compared to the same period in 2024. </w:t>
      </w:r>
      <w:r>
        <w:rPr>
          <w:rFonts w:ascii="Arial;Helvetica;sans-serif" w:hAnsi="Arial;Helvetica;sans-serif"/>
          <w:sz w:val="20"/>
        </w:rPr>
        <w:t>This increase in interest income was primarily associated with the intercompany loans to DISH Network during the second and third quarter of 2024, partially offset by a reduction in interest income associated with our Intercompany Loan – 2028 Tranche to DISH Network. See Note 11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4"/>
          <w:sz w:val="20"/>
        </w:rPr>
        <w:t>Interest expense, net of amounts capitalized.</w:t>
      </w:r>
      <w:r>
        <w:rPr>
          <w:rFonts w:ascii="Times New Roman;Times;serif" w:hAnsi="Times New Roman;Times;serif"/>
          <w:spacing w:val="-4"/>
          <w:sz w:val="20"/>
        </w:rPr>
        <w:t xml:space="preserve"> “</w:t>
      </w:r>
      <w:r>
        <w:rPr>
          <w:rFonts w:ascii="Arial;Helvetica;sans-serif" w:hAnsi="Arial;Helvetica;sans-serif"/>
          <w:spacing w:val="-4"/>
          <w:sz w:val="20"/>
        </w:rPr>
        <w:t xml:space="preserve">Interest expense, net of amounts capitalized” totaled $237 million </w:t>
      </w:r>
      <w:r>
        <w:rPr>
          <w:rFonts w:ascii="Arial;Helvetica;sans-serif" w:hAnsi="Arial;Helvetica;sans-serif"/>
          <w:sz w:val="20"/>
        </w:rPr>
        <w:t>during the three months ended June 30, 2025, an increase of $52 million or 28.0% compared to the same period in 2024. This increase primarily resulted from a debt issuance in the third quarter of 2024, partially offset by the redemption of debt that matured in November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Income tax (provision) benefit, net.</w:t>
      </w:r>
      <w:r>
        <w:rPr>
          <w:rFonts w:ascii="Times New Roman;Times;serif" w:hAnsi="Times New Roman;Times;serif"/>
          <w:sz w:val="20"/>
        </w:rPr>
        <w:t xml:space="preserve"> </w:t>
      </w:r>
      <w:r>
        <w:rPr>
          <w:rFonts w:ascii="Arial;Helvetica;sans-serif" w:hAnsi="Arial;Helvetica;sans-serif"/>
          <w:sz w:val="20"/>
        </w:rPr>
        <w:t>Our income tax provision was $101 million during the three months ended June 30, 2025, a decrease of $28 million or 21.5% compared to the same period in 2024. The change was primarily related to a decrease in “Income (loss) before income taxes.” Our effective tax rate during the three months ended June 30, 2024 was impacted by federal valuation allowances.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 xml:space="preserve">Six Months Ended </w:t>
      </w:r>
      <w:r>
        <w:rPr>
          <w:rFonts w:ascii="Arial;Helvetica;sans-serif" w:hAnsi="Arial;Helvetica;sans-serif"/>
          <w:sz w:val="20"/>
        </w:rPr>
        <w:t>June 30, 2025</w:t>
      </w:r>
      <w:r>
        <w:rPr>
          <w:rFonts w:ascii="Times New Roman;Times;serif" w:hAnsi="Times New Roman;Times;serif"/>
          <w:sz w:val="20"/>
        </w:rPr>
        <w:t xml:space="preserve"> </w:t>
      </w:r>
      <w:r>
        <w:rPr>
          <w:rFonts w:ascii="Arial;Helvetica;sans-serif" w:hAnsi="Arial;Helvetica;sans-serif"/>
          <w:i/>
          <w:sz w:val="20"/>
        </w:rPr>
        <w:t xml:space="preserve">Compared to the Six Months Ended </w:t>
      </w:r>
      <w:r>
        <w:rPr>
          <w:rFonts w:ascii="Arial;Helvetica;sans-serif" w:hAnsi="Arial;Helvetica;sans-serif"/>
          <w:sz w:val="20"/>
        </w:rPr>
        <w:t>June 30, 2024</w:t>
      </w:r>
      <w:r>
        <w:rPr>
          <w:rFonts w:ascii="Arial;Helvetica;sans-serif" w:hAnsi="Arial;Helvetica;sans-serif"/>
          <w:i/>
          <w:sz w:val="20"/>
        </w:rPr>
        <w:t>.</w:t>
      </w:r>
    </w:p>
    <w:p>
      <w:pPr>
        <w:pStyle w:val="TextBody"/>
        <w:bidi w:val="0"/>
        <w:spacing w:before="0" w:after="0"/>
        <w:ind w:left="0" w:right="0" w:hanging="0"/>
        <w:jc w:val="left"/>
        <w:rPr/>
      </w:pPr>
      <w:r>
        <w:rPr/>
        <w:t>​</w:t>
      </w:r>
    </w:p>
    <w:tbl>
      <w:tblPr>
        <w:tblW w:w="9982" w:type="dxa"/>
        <w:jc w:val="left"/>
        <w:tblInd w:w="0" w:type="dxa"/>
        <w:tblLayout w:type="fixed"/>
        <w:tblCellMar>
          <w:top w:w="0" w:type="dxa"/>
          <w:left w:w="0" w:type="dxa"/>
          <w:bottom w:w="0" w:type="dxa"/>
          <w:right w:w="0" w:type="dxa"/>
        </w:tblCellMar>
      </w:tblPr>
      <w:tblGrid>
        <w:gridCol w:w="4651"/>
        <w:gridCol w:w="326"/>
        <w:gridCol w:w="211"/>
        <w:gridCol w:w="931"/>
        <w:gridCol w:w="326"/>
        <w:gridCol w:w="211"/>
        <w:gridCol w:w="931"/>
        <w:gridCol w:w="326"/>
        <w:gridCol w:w="211"/>
        <w:gridCol w:w="901"/>
        <w:gridCol w:w="326"/>
        <w:gridCol w:w="63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953385" cy="175260"/>
                      <wp:effectExtent l="0" t="0" r="0" b="0"/>
                      <wp:wrapNone/>
                      <wp:docPr id="268" name="Frame268"/>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91185" cy="175260"/>
                      <wp:effectExtent l="0" t="0" r="0" b="0"/>
                      <wp:wrapNone/>
                      <wp:docPr id="271" name="Frame2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91185" cy="175260"/>
                      <wp:effectExtent l="0" t="0" r="0" b="0"/>
                      <wp:wrapNone/>
                      <wp:docPr id="274" name="Frame2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72135" cy="175260"/>
                      <wp:effectExtent l="0" t="0" r="0" b="0"/>
                      <wp:wrapNone/>
                      <wp:docPr id="277" name="Frame27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00685" cy="175260"/>
                      <wp:effectExtent l="0" t="0" r="0" b="0"/>
                      <wp:wrapNone/>
                      <wp:docPr id="279" name="Frame2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26" w:type="dxa"/>
            <w:tcBorders/>
            <w:vAlign w:val="center"/>
          </w:tcPr>
          <w:p>
            <w:pPr>
              <w:pStyle w:val="TableContents"/>
              <w:bidi w:val="0"/>
              <w:spacing w:before="0" w:after="0"/>
              <w:ind w:left="0" w:right="0" w:hanging="0"/>
              <w:jc w:val="left"/>
              <w:rPr/>
            </w:pPr>
            <w:r>
              <w:rPr/>
              <w:t>​</w:t>
            </w:r>
          </w:p>
        </w:tc>
        <w:tc>
          <w:tcPr>
            <w:tcW w:w="206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998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4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4,954,220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5,332,501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(378,281)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33,994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(8,529)</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(25.1)</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4,979,685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5,366,495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(386,810)</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3,185,620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3,374,197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(188,577)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64.3</w:t>
            </w:r>
          </w:p>
        </w:tc>
        <w:tc>
          <w:tcPr>
            <w:tcW w:w="32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63.3</w:t>
            </w:r>
          </w:p>
        </w:tc>
        <w:tc>
          <w:tcPr>
            <w:tcW w:w="32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(12,053)</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(39.1)</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480,069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547,694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(67,625)</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(12.3)</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9.6</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10.2</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112,073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141,019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(28,946)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3,796,515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4,093,716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(297,201)</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1,183,170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1,272,779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(89,609)</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176,111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131,366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44,745</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34.1</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(479,838)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(369,641)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(110,197)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(29.8)</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(64,865)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64,584</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99.6</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(304,008)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(303,140)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(868)</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879,162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969,639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(90,477)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(214,578)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(253,174)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38,596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24.4</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26.1</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664,584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716,465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(51,881)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subscribers, as of period end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(0.966)</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DISH TV subscribers, as of period end (in millions)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(0.753)</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subscribers, as of period end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(0.213)</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 additions (losses), net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(0.190)</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(42.0)</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 additions (losses), net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0.060</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 additions (losses), net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(0.250)</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ARPU</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3.29</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 additions, gross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(0.052)</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(33.5)</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churn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(0.13)</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SAC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65,628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44,586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21,042</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47.2</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1,295,243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1,413,798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(118,555)</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w:t>
            </w:r>
          </w:p>
        </w:tc>
      </w:tr>
    </w:tbl>
    <w:p>
      <w:pPr>
        <w:pStyle w:val="TextBody"/>
        <w:bidi w:val="0"/>
        <w:spacing w:before="0" w:after="0"/>
        <w:ind w:left="0" w:right="0" w:hanging="0"/>
        <w:jc w:val="left"/>
        <w:rPr/>
      </w:pPr>
      <w:r>
        <w:rPr/>
        <w:t>​</w:t>
      </w:r>
    </w:p>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lineRule="auto" w:line="302" w:before="0" w:after="0"/>
              <w:jc w:val="left"/>
              <w:rPr>
                <w:rFonts w:ascii="Arial;Helvetica;sans-serif" w:hAnsi="Arial;Helvetica;sans-serif"/>
                <w:sz w:val="20"/>
              </w:rPr>
            </w:pPr>
            <w:r>
              <w:rPr>
                <w:rFonts w:ascii="Arial;Helvetica;sans-serif" w:hAnsi="Arial;Helvetica;sans-serif"/>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lineRule="auto" w:line="302" w:before="0" w:after="120"/>
              <w:jc w:val="left"/>
              <w:rPr>
                <w:rFonts w:ascii="Arial;Helvetica;sans-serif" w:hAnsi="Arial;Helvetica;sans-serif"/>
                <w:sz w:val="20"/>
              </w:rPr>
            </w:pPr>
            <w:r>
              <w:rPr>
                <w:rFonts w:ascii="Arial;Helvetica;sans-serif" w:hAnsi="Arial;Helvetica;sans-serif"/>
                <w:sz w:val="20"/>
              </w:rPr>
              <w:t>**</w:t>
            </w:r>
          </w:p>
        </w:tc>
        <w:tc>
          <w:tcPr>
            <w:tcW w:w="9987" w:type="dxa"/>
            <w:tcBorders/>
            <w:vAlign w:val="center"/>
          </w:tcPr>
          <w:p>
            <w:pPr>
              <w:pStyle w:val="TableContents"/>
              <w:bidi w:val="0"/>
              <w:spacing w:lineRule="auto" w:line="302" w:before="0" w:after="120"/>
              <w:jc w:val="left"/>
              <w:rPr>
                <w:rFonts w:ascii="Arial;Helvetica;sans-serif" w:hAnsi="Arial;Helvetica;sans-serif"/>
                <w:sz w:val="20"/>
              </w:rPr>
            </w:pPr>
            <w:r>
              <w:rPr>
                <w:rFonts w:ascii="Arial;Helvetica;sans-serif" w:hAnsi="Arial;Helvetica;sans-serif"/>
                <w:sz w:val="20"/>
              </w:rPr>
              <w:t>During the second quarter of 2025, we removed approximately 28,000 subscribers from our period end DISH TV subscriber count representing DISH TV subscribers sold during the six months ended June 30, 2025. This removal had no material impact on any other reported subscriber metrics, other than our period end DISH TV subscriber count.</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Pay-TV Subscribers </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DISH TV subscribers.</w:t>
      </w:r>
      <w:r>
        <w:rPr>
          <w:rFonts w:ascii="Times New Roman;Times;serif" w:hAnsi="Times New Roman;Times;serif"/>
          <w:sz w:val="20"/>
        </w:rPr>
        <w:t xml:space="preserve"> </w:t>
      </w:r>
      <w:r>
        <w:rPr>
          <w:rFonts w:ascii="Arial;Helvetica;sans-serif" w:hAnsi="Arial;Helvetica;sans-serif"/>
          <w:sz w:val="20"/>
        </w:rPr>
        <w:t>We lost approximately 335,000 net DISH TV subscribers during the six months ended June 30, 2025 compared to the loss of approximately 395,000 net DISH TV subscribers during the same period in 2024. This decrease in net DISH TV subscriber losses primarily resulted from a lower DISH TV churn rate, partially offset by lower gross new DISH TV subscriber activations.</w:t>
      </w:r>
    </w:p>
    <w:p>
      <w:pPr>
        <w:pStyle w:val="TextBody"/>
        <w:bidi w:val="0"/>
        <w:spacing w:before="0" w:after="0"/>
        <w:ind w:left="0" w:right="0" w:hanging="0"/>
        <w:jc w:val="left"/>
        <w:rPr/>
      </w:pPr>
      <w:r>
        <w:rPr/>
        <w:t>​</w:t>
      </w:r>
    </w:p>
    <w:p>
      <w:pPr>
        <w:pStyle w:val="TextBody"/>
        <w:pBdr/>
        <w:bidi w:val="0"/>
        <w:spacing w:lineRule="auto" w:line="302" w:before="0" w:after="0"/>
        <w:ind w:left="0" w:right="0" w:hanging="14"/>
        <w:jc w:val="left"/>
        <w:rPr>
          <w:rFonts w:ascii="Helvetica;sans-serif" w:hAnsi="Helvetica;sans-serif"/>
          <w:sz w:val="20"/>
        </w:rPr>
      </w:pPr>
      <w:r>
        <w:rPr>
          <w:rFonts w:ascii="Arial;Helvetica;sans-serif" w:hAnsi="Arial;Helvetica;sans-serif"/>
          <w:b/>
          <w:i/>
          <w:sz w:val="20"/>
        </w:rPr>
        <w:t>SLING TV subscribers.</w:t>
      </w:r>
      <w:r>
        <w:rPr>
          <w:rFonts w:ascii="Helvetica;sans-serif" w:hAnsi="Helvetica;sans-serif"/>
          <w:sz w:val="20"/>
        </w:rPr>
        <w:t xml:space="preserve"> </w:t>
      </w:r>
      <w:r>
        <w:rPr>
          <w:rFonts w:ascii="Arial;Helvetica;sans-serif" w:hAnsi="Arial;Helvetica;sans-serif"/>
          <w:sz w:val="20"/>
        </w:rPr>
        <w:t>We lost approximately 307,000 net SLING TV subscribers during the six months ended June 30, 2025 compared to the loss of approximately 57,000 net SLING TV subscribers during the same period in 2024. The increase in net SLING TV subscriber losses was primarily related to lower SLING TV subscriber activations due to our emphasis on acquiring higher quality subscribers and higher SLING TV subscriber disconnects in 2025.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subscribers, gross.</w:t>
      </w:r>
      <w:r>
        <w:rPr>
          <w:rFonts w:ascii="Times New Roman;Times;serif" w:hAnsi="Times New Roman;Times;serif"/>
          <w:sz w:val="20"/>
        </w:rPr>
        <w:t xml:space="preserve"> </w:t>
      </w:r>
      <w:r>
        <w:rPr>
          <w:rFonts w:ascii="Arial;Helvetica;sans-serif" w:hAnsi="Arial;Helvetica;sans-serif"/>
          <w:sz w:val="20"/>
        </w:rPr>
        <w:t>During the six months ended June 30, 2025, we activated approximately 103,000 gross new DISH TV subscribers compared to approximately 155,000 gross new DISH TV subscribers during the same period in 2024, a decrease of 33.5%.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churn rate.</w:t>
      </w:r>
      <w:r>
        <w:rPr>
          <w:rFonts w:ascii="Times New Roman;Times;serif" w:hAnsi="Times New Roman;Times;serif"/>
          <w:sz w:val="20"/>
        </w:rPr>
        <w:t xml:space="preserve"> </w:t>
      </w:r>
      <w:r>
        <w:rPr>
          <w:rFonts w:ascii="Arial;Helvetica;sans-serif" w:hAnsi="Arial;Helvetica;sans-serif"/>
          <w:sz w:val="20"/>
        </w:rPr>
        <w:t>Our DISH TV churn rate for the six months ended June 30, 2025 was 1.33% compared to 1.46% for the same period in 2024. Our DISH TV churn rates for the six months ended June 30, 2025 and 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Service revenue.</w:t>
      </w:r>
      <w:r>
        <w:rPr>
          <w:rFonts w:ascii="Times New Roman;Times;serif" w:hAnsi="Times New Roman;Times;serif"/>
          <w:sz w:val="20"/>
        </w:rPr>
        <w:t xml:space="preserve"> “</w:t>
      </w:r>
      <w:r>
        <w:rPr>
          <w:rFonts w:ascii="Arial;Helvetica;sans-serif" w:hAnsi="Arial;Helvetica;sans-serif"/>
          <w:sz w:val="20"/>
        </w:rPr>
        <w:t>Service revenue” totaled $4.954 billion for the six months ended June 30, 2025, a decrease of $378 million or 7.1% compared to the same period in 2024. The decrease in “Service revenue” compared to the same period in 2024</w:t>
      </w:r>
      <w:r>
        <w:rPr>
          <w:rFonts w:ascii="Times New Roman;Times;serif" w:hAnsi="Times New Roman;Times;serif"/>
          <w:sz w:val="20"/>
        </w:rPr>
        <w:t xml:space="preserve"> </w:t>
      </w:r>
      <w:r>
        <w:rPr>
          <w:rFonts w:ascii="Arial;Helvetica;sans-serif" w:hAnsi="Arial;Helvetica;sans-serif"/>
          <w:sz w:val="20"/>
        </w:rPr>
        <w:t>was primarily related to lower average Pay-TV subscriber base, partially offset by an increase in Pay-TV ARPU,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Pay-TV ARPU.</w:t>
      </w:r>
      <w:r>
        <w:rPr>
          <w:rFonts w:ascii="Times New Roman;Times;serif" w:hAnsi="Times New Roman;Times;serif"/>
          <w:sz w:val="20"/>
        </w:rPr>
        <w:t xml:space="preserve"> </w:t>
      </w:r>
      <w:r>
        <w:rPr>
          <w:rFonts w:ascii="Arial;Helvetica;sans-serif" w:hAnsi="Arial;Helvetica;sans-serif"/>
          <w:sz w:val="20"/>
        </w:rPr>
        <w:t>Pay-TV ARPU was $111.18 during the six months ended June 30, 2025 versus $107.89 during the same period in 2024. The $3.29 or 3.0% increase in Pay-TV ARPU was primarily attributable to the DISH TV and SLING TV programming price increases. The DISH TV and SLING TV programming package price increases were effective in the third and fourth quarter of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services.</w:t>
      </w:r>
      <w:r>
        <w:rPr>
          <w:rFonts w:ascii="Times New Roman;Times;serif" w:hAnsi="Times New Roman;Times;serif"/>
          <w:sz w:val="20"/>
        </w:rPr>
        <w:t xml:space="preserve"> “</w:t>
      </w:r>
      <w:r>
        <w:rPr>
          <w:rFonts w:ascii="Arial;Helvetica;sans-serif" w:hAnsi="Arial;Helvetica;sans-serif"/>
          <w:sz w:val="20"/>
        </w:rPr>
        <w:t>Cost of services” totaled $3.186 billion during the six months ended June 30, 2025, a decrease of $189 million or 5.6% compared to the same period in 2024. The decrease in “Cost of services” was primarily attributable to a lower average Pay-TV subscriber base, partially offset by higher programming costs per subscriber. Programming costs per subscriber increased during the six months ended June 30, 2025 due to rate increases in certain of our programming contracts, including the renewal of certain contracts at higher rates, particularly for local broadcast channels. “Cost of services” represented 64.3% and 63.3% of “Service revenue” during the six months ended June 30, 2025 and 2024, respectively. This increase primarily related to higher programming costs per subscriber.</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Selling, general and administrative expenses.</w:t>
      </w:r>
      <w:r>
        <w:rPr>
          <w:rFonts w:ascii="Times New Roman;Times;serif" w:hAnsi="Times New Roman;Times;serif"/>
          <w:spacing w:val="-4"/>
          <w:sz w:val="20"/>
        </w:rPr>
        <w:t xml:space="preserve"> </w:t>
      </w:r>
      <w:r>
        <w:rPr>
          <w:rFonts w:ascii="Times New Roman;Times;serif" w:hAnsi="Times New Roman;Times;serif"/>
          <w:sz w:val="20"/>
        </w:rPr>
        <w:t>“</w:t>
      </w:r>
      <w:r>
        <w:rPr>
          <w:rFonts w:ascii="Arial;Helvetica;sans-serif" w:hAnsi="Arial;Helvetica;sans-serif"/>
          <w:sz w:val="20"/>
        </w:rPr>
        <w:t xml:space="preserve">Selling, general and administrative expenses” totaled $480 million during the six months ended June 30, 2025, a $68 million or 12.3% decrease compared to the same period in 2024. This change was primarily driven by a decrease in subscriber acquisition costs resulting from lower marketing expenditures and lower gross new DISH TV subscriber activations and a decrease in personnel costs.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Depreciation and amortization.</w:t>
      </w:r>
      <w:r>
        <w:rPr>
          <w:rFonts w:ascii="Times New Roman;Times;serif" w:hAnsi="Times New Roman;Times;serif"/>
          <w:sz w:val="20"/>
        </w:rPr>
        <w:t xml:space="preserve"> “</w:t>
      </w:r>
      <w:r>
        <w:rPr>
          <w:rFonts w:ascii="Arial;Helvetica;sans-serif" w:hAnsi="Arial;Helvetica;sans-serif"/>
          <w:sz w:val="20"/>
        </w:rPr>
        <w:t xml:space="preserve">Depreciation and amortization” expense totaled $112 million during the six months ended June 30, 2025, a $29 million or 20.5% decrease compared to the same period in 2024. </w:t>
      </w:r>
      <w:r>
        <w:rPr>
          <w:rFonts w:ascii="Arial;Helvetica;sans-serif" w:hAnsi="Arial;Helvetica;sans-serif"/>
          <w:spacing w:val="-4"/>
          <w:sz w:val="20"/>
        </w:rPr>
        <w:t xml:space="preserve">This change was primarily driven by a decrease in depreciation expense from equipment leased to new and existing DISH TV subscribers and </w:t>
      </w:r>
      <w:r>
        <w:rPr>
          <w:rFonts w:ascii="Arial;Helvetica;sans-serif" w:hAnsi="Arial;Helvetica;sans-serif"/>
          <w:sz w:val="20"/>
        </w:rPr>
        <w:t>the expiration of our Nimiq 5 finance lease in September 2024.</w:t>
      </w:r>
    </w:p>
    <w:p>
      <w:pPr>
        <w:pStyle w:val="TextBody"/>
        <w:bidi w:val="0"/>
        <w:spacing w:before="0" w:after="0"/>
        <w:ind w:left="0" w:right="0" w:hanging="0"/>
        <w:jc w:val="left"/>
        <w:rPr/>
      </w:pPr>
      <w:r>
        <w:rPr/>
        <w:t>​</w:t>
      </w:r>
    </w:p>
    <w:p>
      <w:pPr>
        <w:pStyle w:val="TextBody"/>
        <w:pBdr/>
        <w:bidi w:val="0"/>
        <w:spacing w:lineRule="auto" w:line="285" w:before="0" w:after="0"/>
        <w:ind w:left="0" w:right="0" w:hanging="9"/>
        <w:jc w:val="left"/>
        <w:rPr>
          <w:rFonts w:ascii="Helvetica;sans-serif" w:hAnsi="Helvetica;sans-serif"/>
          <w:sz w:val="20"/>
        </w:rPr>
      </w:pPr>
      <w:r>
        <w:rPr>
          <w:rFonts w:ascii="Arial;Helvetica;sans-serif" w:hAnsi="Arial;Helvetica;sans-serif"/>
          <w:b/>
          <w:i/>
          <w:sz w:val="20"/>
        </w:rPr>
        <w:t>DISH TV SAC.</w:t>
      </w:r>
      <w:r>
        <w:rPr>
          <w:rFonts w:ascii="Helvetica;sans-serif" w:hAnsi="Helvetica;sans-serif"/>
          <w:sz w:val="20"/>
        </w:rPr>
        <w:t xml:space="preserve"> </w:t>
      </w:r>
      <w:r>
        <w:rPr>
          <w:rFonts w:ascii="Arial;Helvetica;sans-serif" w:hAnsi="Arial;Helvetica;sans-serif"/>
          <w:sz w:val="20"/>
        </w:rPr>
        <w:t>DISH TV SAC was $1,150 during the six months ended June 30, 2025 compared to $997 during the same period in 2024, an increase of $153 or 15.3%.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 While our marketing expenditures decreased during the six months ended June 30, 2025 compared to the same period in 2024, our gross new DISH TV subscriber activations decreased at a higher rate, resulting in an increase in advertising costs per subscriber.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six months ended June 30, 2025 and 2024, the amount of equipment capitalized under our lease program for new DISH TV subscribers totaled $15 million and $13 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2"/>
          <w:sz w:val="20"/>
        </w:rPr>
        <w:t>Interest income.</w:t>
      </w:r>
      <w:r>
        <w:rPr>
          <w:rFonts w:ascii="Times New Roman;Times;serif" w:hAnsi="Times New Roman;Times;serif"/>
          <w:spacing w:val="-2"/>
          <w:sz w:val="20"/>
        </w:rPr>
        <w:t xml:space="preserve"> “</w:t>
      </w:r>
      <w:r>
        <w:rPr>
          <w:rFonts w:ascii="Arial;Helvetica;sans-serif" w:hAnsi="Arial;Helvetica;sans-serif"/>
          <w:spacing w:val="-2"/>
          <w:sz w:val="20"/>
        </w:rPr>
        <w:t xml:space="preserve">Interest income” totaled $176 million during the six months ended </w:t>
      </w:r>
      <w:r>
        <w:rPr>
          <w:rFonts w:ascii="Arial;Helvetica;sans-serif" w:hAnsi="Arial;Helvetica;sans-serif"/>
          <w:sz w:val="20"/>
        </w:rPr>
        <w:t>June 30, 2025</w:t>
      </w:r>
      <w:r>
        <w:rPr>
          <w:rFonts w:ascii="Arial;Helvetica;sans-serif" w:hAnsi="Arial;Helvetica;sans-serif"/>
          <w:spacing w:val="-2"/>
          <w:sz w:val="20"/>
        </w:rPr>
        <w:t xml:space="preserve">, an increase of $45 million compared to the same period in 2024. </w:t>
      </w:r>
      <w:r>
        <w:rPr>
          <w:rFonts w:ascii="Arial;Helvetica;sans-serif" w:hAnsi="Arial;Helvetica;sans-serif"/>
          <w:sz w:val="20"/>
        </w:rPr>
        <w:t>This increase in interest income was primarily associated with the intercompany loans to DISH Network during the second and third quarter of 2024, partially offset by a reduction in interest income associated with our Intercompany Loan – 2028 Tranche to DISH Network. See Note 11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pacing w:val="-4"/>
          <w:sz w:val="20"/>
        </w:rPr>
        <w:t>Interest expense, net of amounts capitalized.</w:t>
      </w:r>
      <w:r>
        <w:rPr>
          <w:rFonts w:ascii="Times New Roman;Times;serif" w:hAnsi="Times New Roman;Times;serif"/>
          <w:spacing w:val="-4"/>
          <w:sz w:val="20"/>
        </w:rPr>
        <w:t xml:space="preserve"> “</w:t>
      </w:r>
      <w:r>
        <w:rPr>
          <w:rFonts w:ascii="Arial;Helvetica;sans-serif" w:hAnsi="Arial;Helvetica;sans-serif"/>
          <w:spacing w:val="-4"/>
          <w:sz w:val="20"/>
        </w:rPr>
        <w:t xml:space="preserve">Interest expense, net of amounts capitalized” totaled $480 million </w:t>
      </w:r>
      <w:r>
        <w:rPr>
          <w:rFonts w:ascii="Arial;Helvetica;sans-serif" w:hAnsi="Arial;Helvetica;sans-serif"/>
          <w:sz w:val="20"/>
        </w:rPr>
        <w:t>during the six months ended June 30, 2025, an increase of $110 million or 29.8% compared to the same period in 2024. This increase primarily resulted from a debt issuance in the third quarter of 2024, partially offset by the redemption of debt that matured in November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Income tax (provision) benefit, net.</w:t>
      </w:r>
      <w:r>
        <w:rPr>
          <w:rFonts w:ascii="Times New Roman;Times;serif" w:hAnsi="Times New Roman;Times;serif"/>
          <w:sz w:val="20"/>
        </w:rPr>
        <w:t xml:space="preserve"> </w:t>
      </w:r>
      <w:r>
        <w:rPr>
          <w:rFonts w:ascii="Arial;Helvetica;sans-serif" w:hAnsi="Arial;Helvetica;sans-serif"/>
          <w:sz w:val="20"/>
        </w:rPr>
        <w:t>Our income tax provision was $215 million during the six months ended June 30, 2025, a decrease of $39 million or 15.2% compared to the same period in 2024. The change was primarily related to a decrease in “Income (loss) before income taxes.” Our effective tax rate during the six months ended June 30, 2024 was impacted by federal valuation allowances.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Non-GAAP Performance Measures and Reconciliation</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It is management’s intent to provide non-GAAP financial information to enhance the understanding of our financial information prepared in accordance with </w:t>
      </w:r>
      <w:r>
        <w:rPr>
          <w:rFonts w:ascii="Arial;Helvetica;sans-serif" w:hAnsi="Arial;Helvetica;sans-serif"/>
          <w:spacing w:val="-4"/>
          <w:sz w:val="20"/>
        </w:rPr>
        <w:t>accounting principles generally accepted in the United States (“GAAP”)</w:t>
      </w:r>
      <w:r>
        <w:rPr>
          <w:rFonts w:ascii="Arial;Helvetica;sans-serif" w:hAnsi="Arial;Helvetica;sans-serif"/>
          <w:sz w:val="20"/>
        </w:rPr>
        <w:t>,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b/>
          <w:sz w:val="20"/>
        </w:rPr>
      </w:pPr>
      <w:r>
        <w:rPr>
          <w:rFonts w:ascii="Arial;Helvetica;sans-serif" w:hAnsi="Arial;Helvetica;sans-serif"/>
          <w:b/>
          <w:sz w:val="20"/>
        </w:rPr>
        <w:t>OIBDA</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 OIBDA is calculated by adding back depreciation and amortization expense to operating income (loss).</w:t>
      </w:r>
    </w:p>
    <w:tbl>
      <w:tblPr>
        <w:tblW w:w="8498" w:type="dxa"/>
        <w:jc w:val="left"/>
        <w:tblInd w:w="0" w:type="dxa"/>
        <w:tblLayout w:type="fixed"/>
        <w:tblCellMar>
          <w:top w:w="0" w:type="dxa"/>
          <w:left w:w="0" w:type="dxa"/>
          <w:bottom w:w="0" w:type="dxa"/>
          <w:right w:w="0" w:type="dxa"/>
        </w:tblCellMar>
      </w:tblPr>
      <w:tblGrid>
        <w:gridCol w:w="2581"/>
        <w:gridCol w:w="326"/>
        <w:gridCol w:w="233"/>
        <w:gridCol w:w="862"/>
        <w:gridCol w:w="360"/>
        <w:gridCol w:w="233"/>
        <w:gridCol w:w="862"/>
        <w:gridCol w:w="326"/>
        <w:gridCol w:w="211"/>
        <w:gridCol w:w="931"/>
        <w:gridCol w:w="326"/>
        <w:gridCol w:w="211"/>
        <w:gridCol w:w="103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638935" cy="175260"/>
                      <wp:effectExtent l="0" t="0" r="0" b="0"/>
                      <wp:wrapNone/>
                      <wp:docPr id="280" name="Frame280"/>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47955" cy="175260"/>
                      <wp:effectExtent l="0" t="0" r="0" b="0"/>
                      <wp:wrapNone/>
                      <wp:docPr id="282" name="Frame28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47370" cy="175260"/>
                      <wp:effectExtent l="0" t="0" r="0" b="0"/>
                      <wp:wrapNone/>
                      <wp:docPr id="283" name="Frame283"/>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28600" cy="175260"/>
                      <wp:effectExtent l="0" t="0" r="0" b="0"/>
                      <wp:wrapNone/>
                      <wp:docPr id="284" name="Frame28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7955" cy="175260"/>
                      <wp:effectExtent l="0" t="0" r="0" b="0"/>
                      <wp:wrapNone/>
                      <wp:docPr id="285" name="Frame28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47370" cy="175260"/>
                      <wp:effectExtent l="0" t="0" r="0" b="0"/>
                      <wp:wrapNone/>
                      <wp:docPr id="286" name="Frame286"/>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91185" cy="175260"/>
                      <wp:effectExtent l="0" t="0" r="0" b="0"/>
                      <wp:wrapNone/>
                      <wp:docPr id="289" name="Frame2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57860" cy="175260"/>
                      <wp:effectExtent l="0" t="0" r="0" b="0"/>
                      <wp:wrapNone/>
                      <wp:docPr id="292" name="Frame2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0"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849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91"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559,963</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636,275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1,183,170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1,272,779</w:t>
            </w:r>
          </w:p>
        </w:tc>
      </w:tr>
      <w:tr>
        <w:trPr/>
        <w:tc>
          <w:tcPr>
            <w:tcW w:w="25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53,035</w:t>
            </w:r>
          </w:p>
        </w:tc>
        <w:tc>
          <w:tcPr>
            <w:tcW w:w="360"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70,339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112,073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141,019</w:t>
            </w:r>
          </w:p>
        </w:tc>
      </w:tr>
      <w:tr>
        <w:trPr/>
        <w:tc>
          <w:tcPr>
            <w:tcW w:w="25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612,998</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706,614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1,295,243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1,413,798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changes in OIBDA during the three and six months ended June 30, 2025, compared to the same period in 2024, were primarily a result of the factors described in connection with operating revenues and operating expenses.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GUARANTOR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registered senior notes, consisting of our 7 3/4% Senior Notes due 2026, 7 3/8% Senior Notes due 2028, and 5 1/8% Senior Notes due 2029, are fully and unconditionally guaranteed, jointly and severally on a senior unsecured basis by certain of our wholly-owned subsidiaries (the “Guarantors”).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Certain of our wholly-owned subsidiaries are designated as “Unrestricted Subsidiaries” and do not guarantee any of our registered senior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and our subsidiaries participate with our parent company, DISH Network, in a centralized system for the management of our cash and marketable investment securities. Please see Note 3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guarantee of a Guarantor will be deemed automatically discharged and released in accordance with the terms of the applicable indenture: (i) in connection with any direct or indirect sale, conveyance or other disposition of all of the capital stock or all or substantially all of the assets of that Guarantor (including by way of merger or consolidation), if such sale or disposition is made in compliance with the applicable provisions of the indenture; (ii) if such Guarantor is dissolved or liquidated in accordance with the provisions of the indenture; (iii) if we designate any such Guarantor as an “Unrestricted Subsidiary” in compliance with the terms of the indenture; or (iv) with respect to a Guarantor which constitutes a Non-Core Asset (as such term is defined in the applicable indenture), upon the sale or other disposition of certain equity interests of such Guarantor, if such sale or disposition is made in compliance with the applicable provisions of the indenture. There are no restrictions on our ability to obtain cash dividends or other distributions of funds from the Guarantors, except those imposed by applicable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rights of holders of the registered senior notes against the Guarantors may be limited under the U.S. Bankruptcy Code or state fraudulent transfer or conveyance law. Under certain circumstances (including a finding that a Guarantor was insolvent at the time its guarantee of the registered senior notes was issued), a court could hold that the obligations of a Guarantor under a guarantee may be voided or are subordinate to other obligations of the Guarantor. Each guarantee contains a provision intended to limit the Guarantor’s liability to the maximum amount that it could incur without causing the incurrence of obligations under its guarantee to be a fraudulent conveyance or transfer under U.S. federal or state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summarized balance sheet information for the combined obligor group of our registered senior notes is presented in the table below.</w:t>
      </w:r>
    </w:p>
    <w:p>
      <w:pPr>
        <w:pStyle w:val="TextBody"/>
        <w:bidi w:val="0"/>
        <w:spacing w:before="0" w:after="0"/>
        <w:ind w:left="0" w:right="0" w:hanging="0"/>
        <w:jc w:val="left"/>
        <w:rPr/>
      </w:pPr>
      <w:r>
        <w:rPr/>
        <w:t>​</w:t>
      </w:r>
    </w:p>
    <w:tbl>
      <w:tblPr>
        <w:tblW w:w="5425" w:type="dxa"/>
        <w:jc w:val="left"/>
        <w:tblInd w:w="0" w:type="dxa"/>
        <w:tblLayout w:type="fixed"/>
        <w:tblCellMar>
          <w:top w:w="0" w:type="dxa"/>
          <w:left w:w="0" w:type="dxa"/>
          <w:bottom w:w="0" w:type="dxa"/>
          <w:right w:w="0" w:type="dxa"/>
        </w:tblCellMar>
      </w:tblPr>
      <w:tblGrid>
        <w:gridCol w:w="2176"/>
        <w:gridCol w:w="326"/>
        <w:gridCol w:w="211"/>
        <w:gridCol w:w="1036"/>
        <w:gridCol w:w="326"/>
        <w:gridCol w:w="220"/>
        <w:gridCol w:w="1130"/>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81760" cy="175260"/>
                      <wp:effectExtent l="0" t="0" r="0" b="0"/>
                      <wp:wrapNone/>
                      <wp:docPr id="293" name="Frame293"/>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57860" cy="175260"/>
                      <wp:effectExtent l="0" t="0" r="0" b="0"/>
                      <wp:wrapNone/>
                      <wp:docPr id="296" name="Frame29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9700" cy="175260"/>
                      <wp:effectExtent l="0" t="0" r="0" b="0"/>
                      <wp:wrapNone/>
                      <wp:docPr id="298" name="Frame29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17550" cy="175260"/>
                      <wp:effectExtent l="0" t="0" r="0" b="0"/>
                      <wp:wrapNone/>
                      <wp:docPr id="299" name="Frame299"/>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2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2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December 31,</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542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23"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1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1,950,161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1,780,162</w:t>
            </w:r>
          </w:p>
        </w:tc>
      </w:tr>
      <w:tr>
        <w:trPr/>
        <w:tc>
          <w:tcPr>
            <w:tcW w:w="2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6,419,026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6,395,280</w:t>
            </w:r>
          </w:p>
        </w:tc>
      </w:tr>
      <w:tr>
        <w:trPr/>
        <w:tc>
          <w:tcPr>
            <w:tcW w:w="21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2,043,867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2,147,507</w:t>
            </w:r>
          </w:p>
        </w:tc>
      </w:tr>
      <w:tr>
        <w:trPr/>
        <w:tc>
          <w:tcPr>
            <w:tcW w:w="2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12,737,208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12,617,150</w:t>
            </w:r>
          </w:p>
        </w:tc>
      </w:tr>
      <w:tr>
        <w:trPr/>
        <w:tc>
          <w:tcPr>
            <w:tcW w:w="21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Due from non-guarantors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646,722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594,492</w:t>
            </w:r>
          </w:p>
        </w:tc>
      </w:tr>
      <w:tr>
        <w:trPr/>
        <w:tc>
          <w:tcPr>
            <w:tcW w:w="2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Due from related parties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5,000,769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4,928,291</w:t>
            </w:r>
          </w:p>
        </w:tc>
      </w:tr>
      <w:tr>
        <w:trPr/>
        <w:tc>
          <w:tcPr>
            <w:tcW w:w="21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Due to non-guarantors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2,538,788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2,403,527</w:t>
            </w:r>
          </w:p>
        </w:tc>
      </w:tr>
      <w:tr>
        <w:trPr/>
        <w:tc>
          <w:tcPr>
            <w:tcW w:w="2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Due to related parties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35,194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34,273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summarized results of operations information for the combined obligor group of our registered senior notes is presented in the table below.</w:t>
      </w:r>
    </w:p>
    <w:p>
      <w:pPr>
        <w:pStyle w:val="TextBody"/>
        <w:bidi w:val="0"/>
        <w:spacing w:before="0" w:after="0"/>
        <w:ind w:left="0" w:right="0" w:hanging="0"/>
        <w:jc w:val="left"/>
        <w:rPr/>
      </w:pPr>
      <w:r>
        <w:rPr/>
        <w:t>​</w:t>
      </w:r>
    </w:p>
    <w:tbl>
      <w:tblPr>
        <w:tblW w:w="5877" w:type="dxa"/>
        <w:jc w:val="left"/>
        <w:tblInd w:w="0" w:type="dxa"/>
        <w:tblLayout w:type="fixed"/>
        <w:tblCellMar>
          <w:top w:w="0" w:type="dxa"/>
          <w:left w:w="0" w:type="dxa"/>
          <w:bottom w:w="0" w:type="dxa"/>
          <w:right w:w="0" w:type="dxa"/>
        </w:tblCellMar>
      </w:tblPr>
      <w:tblGrid>
        <w:gridCol w:w="3181"/>
        <w:gridCol w:w="326"/>
        <w:gridCol w:w="421"/>
        <w:gridCol w:w="1949"/>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19935" cy="175260"/>
                      <wp:effectExtent l="0" t="0" r="0" b="0"/>
                      <wp:wrapNone/>
                      <wp:docPr id="300" name="Frame300"/>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67335" cy="175260"/>
                      <wp:effectExtent l="0" t="0" r="0" b="0"/>
                      <wp:wrapNone/>
                      <wp:docPr id="302" name="Frame30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37615" cy="175260"/>
                      <wp:effectExtent l="0" t="0" r="0" b="0"/>
                      <wp:wrapNone/>
                      <wp:docPr id="303" name="Frame303"/>
                      <a:graphic xmlns:a="http://schemas.openxmlformats.org/drawingml/2006/main">
                        <a:graphicData uri="http://schemas.microsoft.com/office/word/2010/wordprocessingShape">
                          <wps:wsp>
                            <wps:cNvSpPr txBox="1"/>
                            <wps:spPr>
                              <a:xfrm>
                                <a:off x="0" y="0"/>
                                <a:ext cx="1237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For the Six Months Ended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30, 2025</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2"/>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9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2,275,642</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9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391,596</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9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90,040</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expenses to related parties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9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115,699</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income from related parties</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9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157,738</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expense to non-guarantors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949"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135,261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173" w:name="Item4CONTROLSANDPROCEDURES_789267"/>
      <w:bookmarkStart w:id="1174" w:name="_afb908d6_4884_402b_a20e_e05444d6490d"/>
      <w:bookmarkEnd w:id="1173"/>
      <w:bookmarkEnd w:id="1174"/>
      <w:r>
        <w:rPr>
          <w:rFonts w:ascii="Arial;Helvetica;sans-serif" w:hAnsi="Arial;Helvetica;sans-serif"/>
          <w:b/>
          <w:i w:val="false"/>
          <w:caps w:val="false"/>
          <w:smallCaps w:val="false"/>
          <w:sz w:val="20"/>
        </w:rPr>
        <w:t>Item 4.</w:t>
      </w:r>
      <w:r>
        <w:rPr>
          <w:rFonts w:ascii="Arial;Helvetica;sans-serif" w:hAnsi="Arial;Helvetica;sans-serif"/>
          <w:b/>
          <w:sz w:val="20"/>
        </w:rPr>
        <w:t>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Conclusion regarding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1175" w:name="PARTIIOTHERINFORMATION_502540"/>
      <w:bookmarkStart w:id="1176" w:name="_438e173b_866b_4b7d_a13f_0bbc77acf635"/>
      <w:bookmarkEnd w:id="1175"/>
      <w:bookmarkEnd w:id="1176"/>
      <w:r>
        <w:rPr>
          <w:rFonts w:ascii="Arial;Helvetica;sans-serif" w:hAnsi="Arial;Helvetica;sans-serif"/>
          <w:b/>
          <w:sz w:val="20"/>
        </w:rPr>
        <w:t>PART II —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177" w:name="Item1LEGALPROCEEDINGS_610706"/>
      <w:bookmarkEnd w:id="1177"/>
      <w:r>
        <w:rPr>
          <w:rFonts w:ascii="Arial;Helvetica;sans-serif" w:hAnsi="Arial;Helvetica;sans-serif"/>
          <w:b/>
          <w:i w:val="false"/>
          <w:caps w:val="false"/>
          <w:smallCaps w:val="false"/>
          <w:sz w:val="20"/>
        </w:rPr>
        <w:t>Item 1.</w:t>
      </w:r>
      <w:r>
        <w:rPr>
          <w:rFonts w:ascii="Arial;Helvetica;sans-serif" w:hAnsi="Arial;Helvetica;sans-serif"/>
          <w:b/>
          <w:sz w:val="20"/>
        </w:rPr>
        <w:t>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See Note 8 “</w:t>
      </w:r>
      <w:r>
        <w:rPr>
          <w:rFonts w:ascii="Arial;Helvetica;sans-serif" w:hAnsi="Arial;Helvetica;sans-serif"/>
          <w:i/>
          <w:sz w:val="20"/>
        </w:rPr>
        <w:t>Commitments and Contingencies – Contingencies – Litigation</w:t>
      </w:r>
      <w:r>
        <w:rPr>
          <w:rFonts w:ascii="Times New Roman;Times;serif" w:hAnsi="Times New Roman;Times;serif"/>
          <w:sz w:val="20"/>
        </w:rPr>
        <w:t xml:space="preserve">” </w:t>
      </w:r>
      <w:r>
        <w:rPr>
          <w:rFonts w:ascii="Arial;Helvetica;sans-serif" w:hAnsi="Arial;Helvetica;sans-serif"/>
          <w:sz w:val="20"/>
        </w:rPr>
        <w:t>in the Notes to our Condensed Consolidated Financial Statements for information regarding certain legal proceedings in which we are involved.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178" w:name="Item1ARISKFACTORS_237900"/>
      <w:bookmarkStart w:id="1179" w:name="_c0c1f8b5_f7de_49b0_a281_33fba0345921"/>
      <w:bookmarkEnd w:id="1178"/>
      <w:bookmarkEnd w:id="1179"/>
      <w:r>
        <w:rPr>
          <w:rFonts w:ascii="Arial;Helvetica;sans-serif" w:hAnsi="Arial;Helvetica;sans-serif"/>
          <w:b/>
          <w:sz w:val="20"/>
        </w:rPr>
        <w:t>Item 1A.</w:t>
      </w:r>
      <w:r>
        <w:rPr>
          <w:rFonts w:ascii="Times New Roman;Times;serif" w:hAnsi="Times New Roman;Times;serif"/>
          <w:sz w:val="20"/>
        </w:rPr>
        <w:t xml:space="preserve"> </w:t>
      </w:r>
      <w:r>
        <w:rPr>
          <w:rFonts w:ascii="Arial;Helvetica;sans-serif" w:hAnsi="Arial;Helvetica;sans-serif"/>
          <w:b/>
          <w:sz w:val="20"/>
        </w:rPr>
        <w:t>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Item 1A, “Risk Factors,” of our Annual Report on Form 10-K for the year ended December 31, 2024 includes a detailed discussion of our risk factors. The information presented below updates, and should be read in conjunction with, the risk factors and information disclosed in our Annual Report on Form 10-K for the year ended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In response to the uncertainty created by the FCC inquiries, our ultimate parent, EchoStar may take one or more significant actions in order to protect their interest in their Wireless Licenses and other assets, which actions may also directly impact us and could negatively impact your investment.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order to protect their interest in their Wireless Licenses and other assets our ultimate parent, EchoStar, may take one or more actions that may negatively impact their operations and financial condition as well as ours, including, under certain circumstances, filing for relief under Chapter 11 of the United States Bankruptcy Code, which filing could also include DISH DBS, if EchoStar determines that such an action is in the best interests of EchoStar and its stakeholders. Such a decision could be driven by a range of strategic considerations, including, but not limited to, the uncertainty created by the FCC inquiries and effective deployment of capital.</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Certain actions that EchoStar may take, including a potential voluntary Chapter 11 bankruptcy filing, which filing could also include DISH DBS, could have material adverse consequences, including, but not limited to: (i) disruption of EchoStar’s relationships with vendors, suppliers, employees and customers; (ii) limitations on EchoStar’s ability to access capital markets or otherwise obtain financing on favorable terms or at all; (iii) limitations on EchoStar’s ability to take advantage of business opportunities; (iv) reputational harm; (v) potential delisting of EchoStar’s securities from trading exchanges; and (vi) significant administrative costs and diversion of management attention. Furthermore, the outcome of any of the actions that EchoStar may take, including a filing for relief under Chapter 11 which could include DISH DBS, is inherently uncertain and may result in a loss of control by EchoStar’s principal stockholder or a material reduction in the value or change in the relative priority of existing equity or debt securities. These actions taken by EchoStar could have a direct and material negative impact on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There can be no assurance that any protective actions which EchoStar may take, including a restructuring or reorganization process involving DISH DBS, whether pursued in or outside of bankruptcy, would be successful or would not materially adversely affect our business, financial condition, results of operations, liquidity or the market value of our securities.</w:t>
      </w:r>
    </w:p>
    <w:p>
      <w:pPr>
        <w:pStyle w:val="TextBody"/>
        <w:bidi w:val="0"/>
        <w:spacing w:lineRule="auto" w:line="302" w:before="0" w:after="12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The FCC’s review of our ultimate parent, EchoStar’s compliance with network build-out requirements could lead to the loss or impairment of certain of their existing spectrum licenses.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previously disclosed, on May 9, 2025, the FCC informed our ultimate parent, EchoStar that it had begun a review of their compliance with certain of their federal obligations to provide 5G service in the United States and raising certain questions regarding their September 2024 build-out extension and mobile-satellite service utilization in the 2 GHz band. While EchoStar is currently working to address the concerns raised by the FCC in a way that is acceptable to them, there can be no assurance that such a resolution will be reached.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FCC review has introduced the possibility of reversing prior FCC grants of authority to EchoStar. This uncertainty over their spectrum rights has effectively frozen their ability to make decisions regarding their 5G network build-out, has materially adversely impacted their ability to implement and adjust their overall business plan and has required them to re-evaluate the deployment of their resources.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If EchoStar fails to reach an acceptable resolution with the FCC, one or more of their wireless spectrum licenses could be cancelled or modified and/or their build-out requirements could be accelerated, any of which would have a material adverse effect on their business, results of operations and financial condition. While DISH DBS does not hold terrestrial spectrum licenses itself, the significance of these negative potential outcomes occurring at the parent level could potentially have a material adverse effect on our business, results of operations and financial condition. During the pendency of the FCC review, EchoStar’s ability to make decisions with respect to their 5G network build-out and implement their business plans will continue to be materially adversely impacted, the attention of EchoStar’s management will continue to be diverted to this matter, and they will continue to evaluate the deployment of their resources and consider all strategic options. These actions occurring at our ultimate parent could consequently have a material adverse effect on our business, results of operations and financial condition as well.</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b/>
          <w:i/>
          <w:color w:val="222222"/>
          <w:sz w:val="20"/>
        </w:rPr>
      </w:pPr>
      <w:r>
        <w:rPr>
          <w:rFonts w:ascii="Arial;Helvetica;sans-serif" w:hAnsi="Arial;Helvetica;sans-serif"/>
          <w:b/>
          <w:i/>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shd w:fill="FFFFFF" w:val="clear"/>
        <w:bidi w:val="0"/>
        <w:spacing w:before="100" w:after="10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We depend on suppliers, including suppliers with manufacturing in China and other countries, for various materials in our satellite and related infrastructure, for our Pay-TV business. Changes in U.S. or foreign trade policies, including, but not limited to, new or increased tariffs, export controls, trade restrictions or sanctions, have resulted, and may continue to result in higher costs for equipment we procure.</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100" w:after="10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Supply chain disruptions, customs delays, new compliance requirements and other challenges may cause delays in infrastructure and customer equipment, increase our operational expenses, and impact our ability to meet customer demand. Although we attempt to mitigate these risks through alternative sourcing and operational efficiencies, these efforts may not be successful or sufficient.</w:t>
      </w:r>
    </w:p>
    <w:p>
      <w:pPr>
        <w:pStyle w:val="TextBody"/>
        <w:shd w:fill="FFFFFF" w:val="clear"/>
        <w:bidi w:val="0"/>
        <w:spacing w:before="100" w:after="10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If we are unable to pass increased costs to customers without negatively impacting demand, or offset them through other measures, our business, financial condition and results of operations could be materially adversely affected.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We currently do not have the necessary cash on hand, projected future cash flows or committed financing to fund our obligations over the next twelve months, which raises substantial doubt about our ability to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the date of this report, we currently do not have the necessary cash on hand, projected future cash flows or committed financing to fund our anticipated working capital needs, capital expenditures, interest payments and other contractual obligations over the next twelve months. These conditions raise substantial doubt about our ability to continue as a going concern and, as a result, a ‘going concern’ disclosure appears in the Notes to our Condensed Consolidated Financial Statements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Among other things, our business and financial condition is negatively impacted by upcoming debt maturities and interest payments which may further constrain available liquidity. In addition, our cash flow from operations is negative and may continue and/or accelerate. If we are unable to improve our operating performance, raise additional capital, negotiate with debt holders or otherwise secure adequate sources of liquidity, we may be unable to achieve our business objectives and may be forced to delay, curtail or forego strategic initiatives.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presence of a going concern uncertainty may also adversely impact the price of our securities, harm our current, future and potential relationships with suppliers, vendors, customers, employees and creditors, and may limit our ability to access additional financing on acceptable terms or at all. There can be no assurance that management’s plans to mitigate these risks will be successful on a timely basis or at all. If we are unable to secure adequate liquidity on an acceptable timeline or at all, we may not be able to continue as a going concern, which could result in a total loss of your investment. In addition, as our cash and cash equivalents balance declines, the risks described above may continue, increase or accelerate at any time and with or without notice. We cannot guarantee the timing or outcome of any resolution and any resolution we may negotiate may materially adversely impact our business, financial condition and/or operations.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180" w:name="_bbbfbb78_f7fb_48af_a234_6faeffec5936"/>
      <w:bookmarkEnd w:id="1180"/>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81" w:name="Item6EXHIBITS_631479"/>
      <w:bookmarkEnd w:id="1181"/>
      <w:r>
        <w:rPr>
          <w:rFonts w:ascii="Arial;Helvetica;sans-serif" w:hAnsi="Arial;Helvetica;sans-serif"/>
          <w:b/>
          <w:i w:val="false"/>
          <w:caps w:val="false"/>
          <w:smallCaps w:val="false"/>
          <w:sz w:val="20"/>
        </w:rPr>
        <w:t>Item 6.</w:t>
      </w:r>
      <w:r>
        <w:rPr>
          <w:rFonts w:ascii="Arial;Helvetica;sans-serif" w:hAnsi="Arial;Helvetica;sans-serif"/>
          <w:b/>
          <w:sz w:val="20"/>
        </w:rPr>
        <w:t>EXHIBITS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Exhibits.</w:t>
      </w:r>
    </w:p>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27"/>
        <w:gridCol w:w="109"/>
        <w:gridCol w:w="9569"/>
      </w:tblGrid>
      <w:tr>
        <w:trPr/>
        <w:tc>
          <w:tcPr>
            <w:tcW w:w="52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9569" w:type="dxa"/>
            <w:tcBorders/>
            <w:vAlign w:val="center"/>
          </w:tcPr>
          <w:p>
            <w:pPr>
              <w:pStyle w:val="TableContents"/>
              <w:bidi w:val="0"/>
              <w:spacing w:before="0" w:after="283"/>
              <w:ind w:left="0" w:right="0" w:hanging="0"/>
              <w:jc w:val="left"/>
              <w:rPr>
                <w:sz w:val="4"/>
                <w:szCs w:val="4"/>
              </w:rPr>
            </w:pPr>
            <w:r>
              <w:rPr>
                <w:sz w:val="4"/>
                <w:szCs w:val="4"/>
              </w:rPr>
            </w:r>
          </w:p>
        </w:tc>
      </w:tr>
      <w:tr>
        <w:trPr/>
        <w:tc>
          <w:tcPr>
            <w:tcW w:w="527"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22</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hyperlink w:anchor="ddbs-20250630xex22.htm">
              <w:r>
                <w:rPr>
                  <w:rStyle w:val="InternetLink"/>
                  <w:rFonts w:ascii="Times New Roman;Times;serif" w:hAnsi="Times New Roman;Times;serif"/>
                  <w:b w:val="false"/>
                  <w:i w:val="false"/>
                  <w:caps w:val="false"/>
                  <w:smallCaps w:val="false"/>
                  <w:sz w:val="24"/>
                </w:rPr>
                <w:t>List of Subsidiary Guarantors</w:t>
              </w:r>
            </w:hyperlink>
          </w:p>
        </w:tc>
      </w:tr>
      <w:tr>
        <w:trPr/>
        <w:tc>
          <w:tcPr>
            <w:tcW w:w="527"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r>
              <w:rPr/>
              <w:t>​</w:t>
            </w:r>
          </w:p>
        </w:tc>
      </w:tr>
      <w:tr>
        <w:trPr/>
        <w:tc>
          <w:tcPr>
            <w:tcW w:w="527"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31.1</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hyperlink w:anchor="ddbs-20250630xex31d1.htm">
              <w:r>
                <w:rPr>
                  <w:rStyle w:val="InternetLink"/>
                  <w:rFonts w:ascii="Times New Roman;Times;serif" w:hAnsi="Times New Roman;Times;serif"/>
                  <w:b w:val="false"/>
                  <w:i w:val="false"/>
                  <w:caps w:val="false"/>
                  <w:smallCaps w:val="false"/>
                  <w:sz w:val="24"/>
                </w:rPr>
                <w:t>Section 302 Certification of Chief Executive Officer.</w:t>
              </w:r>
            </w:hyperlink>
          </w:p>
        </w:tc>
      </w:tr>
      <w:tr>
        <w:trPr/>
        <w:tc>
          <w:tcPr>
            <w:tcW w:w="527"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r>
              <w:rPr/>
              <w:t>​</w:t>
            </w:r>
          </w:p>
        </w:tc>
      </w:tr>
      <w:tr>
        <w:trPr/>
        <w:tc>
          <w:tcPr>
            <w:tcW w:w="527"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31.2</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hyperlink w:anchor="ddbs-20250630xex31d2.htm">
              <w:r>
                <w:rPr>
                  <w:rStyle w:val="InternetLink"/>
                  <w:rFonts w:ascii="Times New Roman;Times;serif" w:hAnsi="Times New Roman;Times;serif"/>
                  <w:b w:val="false"/>
                  <w:i w:val="false"/>
                  <w:caps w:val="false"/>
                  <w:smallCaps w:val="false"/>
                  <w:sz w:val="24"/>
                </w:rPr>
                <w:t>Section 302 Certification of Chief Financial Officer.</w:t>
              </w:r>
            </w:hyperlink>
          </w:p>
        </w:tc>
      </w:tr>
      <w:tr>
        <w:trPr/>
        <w:tc>
          <w:tcPr>
            <w:tcW w:w="527"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r>
              <w:rPr/>
              <w:t>​</w:t>
            </w:r>
          </w:p>
        </w:tc>
      </w:tr>
      <w:tr>
        <w:trPr/>
        <w:tc>
          <w:tcPr>
            <w:tcW w:w="527"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32.1</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hyperlink w:anchor="ddbs-20250630xex32d1.htm">
              <w:r>
                <w:rPr>
                  <w:rStyle w:val="InternetLink"/>
                  <w:rFonts w:ascii="Times New Roman;Times;serif" w:hAnsi="Times New Roman;Times;serif"/>
                  <w:b w:val="false"/>
                  <w:i w:val="false"/>
                  <w:caps w:val="false"/>
                  <w:smallCaps w:val="false"/>
                  <w:sz w:val="24"/>
                </w:rPr>
                <w:t>Section 906 Certification of Chief Executive Officer.</w:t>
              </w:r>
            </w:hyperlink>
          </w:p>
        </w:tc>
      </w:tr>
      <w:tr>
        <w:trPr/>
        <w:tc>
          <w:tcPr>
            <w:tcW w:w="527"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r>
              <w:rPr/>
              <w:t>​</w:t>
            </w:r>
          </w:p>
        </w:tc>
      </w:tr>
      <w:tr>
        <w:trPr/>
        <w:tc>
          <w:tcPr>
            <w:tcW w:w="527"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32.2</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hyperlink w:anchor="ddbs-20250630xex32d2.htm">
              <w:r>
                <w:rPr>
                  <w:rStyle w:val="InternetLink"/>
                  <w:rFonts w:ascii="Times New Roman;Times;serif" w:hAnsi="Times New Roman;Times;serif"/>
                  <w:b w:val="false"/>
                  <w:i w:val="false"/>
                  <w:caps w:val="false"/>
                  <w:smallCaps w:val="false"/>
                  <w:sz w:val="24"/>
                </w:rPr>
                <w:t>Section 906 Certification of Chief Financial Officer.</w:t>
              </w:r>
            </w:hyperlink>
          </w:p>
        </w:tc>
      </w:tr>
      <w:tr>
        <w:trPr/>
        <w:tc>
          <w:tcPr>
            <w:tcW w:w="527"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r>
              <w:rPr/>
              <w:t>​</w:t>
            </w:r>
          </w:p>
        </w:tc>
      </w:tr>
      <w:tr>
        <w:trPr/>
        <w:tc>
          <w:tcPr>
            <w:tcW w:w="527"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99.1*</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hyperlink r:id="rId2">
              <w:r>
                <w:rPr>
                  <w:rStyle w:val="InternetLink"/>
                  <w:rFonts w:ascii="Times New Roman;Times;serif" w:hAnsi="Times New Roman;Times;serif"/>
                  <w:b w:val="false"/>
                  <w:i w:val="false"/>
                  <w:caps w:val="false"/>
                  <w:smallCaps w:val="false"/>
                  <w:sz w:val="24"/>
                </w:rPr>
                <w:t>Letter to EchoStar regarding review of compliance with its federal obligations to provide 5G service throughout the United States, dated May 9, 2025 (incorporated by reference from Exhibit 99.1 to EchoStar Corporation’s Current Report on Form 8-K filed May 13, 2025).</w:t>
              </w:r>
            </w:hyperlink>
          </w:p>
        </w:tc>
      </w:tr>
      <w:tr>
        <w:trPr/>
        <w:tc>
          <w:tcPr>
            <w:tcW w:w="527"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both"/>
              <w:rPr/>
            </w:pPr>
            <w:r>
              <w:rPr/>
              <w:t>​</w:t>
            </w:r>
          </w:p>
        </w:tc>
      </w:tr>
      <w:tr>
        <w:trPr/>
        <w:tc>
          <w:tcPr>
            <w:tcW w:w="527"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101</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The following materials from the Quarterly Report on Form 10-Q of DISH DBS for the quarter ended June 30, 2025, filed on August 8, 2025,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tc>
      </w:tr>
      <w:tr>
        <w:trPr/>
        <w:tc>
          <w:tcPr>
            <w:tcW w:w="527" w:type="dxa"/>
            <w:tcBorders/>
            <w:vAlign w:val="center"/>
          </w:tcPr>
          <w:p>
            <w:pPr>
              <w:pStyle w:val="TableContents"/>
              <w:bidi w:val="0"/>
              <w:spacing w:lineRule="auto" w:line="328" w:before="0" w:after="0"/>
              <w:ind w:left="0" w:right="0" w:hanging="0"/>
              <w:jc w:val="both"/>
              <w:rPr/>
            </w:pPr>
            <w:r>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left"/>
              <w:rPr/>
            </w:pPr>
            <w:r>
              <w:rPr/>
              <w:t>​</w:t>
            </w:r>
          </w:p>
        </w:tc>
      </w:tr>
      <w:tr>
        <w:trPr/>
        <w:tc>
          <w:tcPr>
            <w:tcW w:w="527" w:type="dxa"/>
            <w:tcBorders/>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104</w:t>
            </w:r>
            <w:r>
              <w:rPr>
                <w:rFonts w:ascii="Times New Roman;Times;serif" w:hAnsi="Times New Roman;Times;serif"/>
                <w:sz w:val="20"/>
              </w:rPr>
              <w:t>☐</w:t>
            </w:r>
          </w:p>
        </w:tc>
        <w:tc>
          <w:tcPr>
            <w:tcW w:w="109" w:type="dxa"/>
            <w:tcBorders/>
            <w:vAlign w:val="center"/>
          </w:tcPr>
          <w:p>
            <w:pPr>
              <w:pStyle w:val="TableContents"/>
              <w:bidi w:val="0"/>
              <w:spacing w:lineRule="auto" w:line="328" w:before="0" w:after="0"/>
              <w:ind w:left="0" w:right="0" w:hanging="0"/>
              <w:jc w:val="both"/>
              <w:rPr/>
            </w:pPr>
            <w:r>
              <w:rPr/>
              <w:t>​</w:t>
            </w:r>
          </w:p>
        </w:tc>
        <w:tc>
          <w:tcPr>
            <w:tcW w:w="9569" w:type="dxa"/>
            <w:tcBorders/>
            <w:vAlign w:val="center"/>
          </w:tcPr>
          <w:p>
            <w:pPr>
              <w:pStyle w:val="TableContents"/>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(the cover page XBRL tags are embedded in the Inline XBRL document).</w:t>
            </w:r>
          </w:p>
        </w:tc>
      </w:tr>
    </w:tbl>
    <w:p>
      <w:pPr>
        <w:pStyle w:val="TextBody"/>
        <w:bidi w:val="0"/>
        <w:spacing w:before="0" w:after="0"/>
        <w:ind w:left="0" w:right="0" w:hanging="0"/>
        <w:jc w:val="left"/>
        <w:rPr/>
      </w:pPr>
      <w:r>
        <w:rPr>
          <w:caps w:val="false"/>
          <w:smallCaps w:val="false"/>
        </w:rPr>
        <w:t>☐</w:t>
      </w:r>
      <w:r>
        <w:rPr>
          <w:rFonts w:ascii="Arial;Helvetica;sans-serif" w:hAnsi="Arial;Helvetica;sans-serif"/>
          <w:sz w:val="20"/>
        </w:rPr>
        <w:t>Filed herewith.</w:t>
      </w:r>
    </w:p>
    <w:tbl>
      <w:tblPr>
        <w:tblW w:w="2627" w:type="dxa"/>
        <w:jc w:val="left"/>
        <w:tblInd w:w="0" w:type="dxa"/>
        <w:tblLayout w:type="fixed"/>
        <w:tblCellMar>
          <w:top w:w="0" w:type="dxa"/>
          <w:left w:w="0" w:type="dxa"/>
          <w:bottom w:w="0" w:type="dxa"/>
          <w:right w:w="0" w:type="dxa"/>
        </w:tblCellMar>
      </w:tblPr>
      <w:tblGrid>
        <w:gridCol w:w="196"/>
        <w:gridCol w:w="2431"/>
      </w:tblGrid>
      <w:tr>
        <w:trPr/>
        <w:tc>
          <w:tcPr>
            <w:tcW w:w="19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6" w:type="dxa"/>
            <w:tcBorders/>
            <w:vAlign w:val="center"/>
          </w:tcPr>
          <w:p>
            <w:pPr>
              <w:pStyle w:val="TableContents"/>
              <w:bidi w:val="0"/>
              <w:spacing w:lineRule="auto" w:line="302" w:before="0" w:after="120"/>
              <w:ind w:left="0" w:right="0" w:hanging="0"/>
              <w:jc w:val="left"/>
              <w:rPr>
                <w:rFonts w:ascii="Arial;Helvetica;sans-serif" w:hAnsi="Arial;Helvetica;sans-serif"/>
                <w:sz w:val="20"/>
              </w:rPr>
            </w:pPr>
            <w:r>
              <w:rPr>
                <w:rFonts w:ascii="Arial;Helvetica;sans-serif" w:hAnsi="Arial;Helvetica;sans-serif"/>
                <w:sz w:val="20"/>
              </w:rPr>
              <w:t>*</w:t>
            </w:r>
          </w:p>
        </w:tc>
        <w:tc>
          <w:tcPr>
            <w:tcW w:w="2431" w:type="dxa"/>
            <w:tcBorders/>
            <w:vAlign w:val="center"/>
          </w:tcPr>
          <w:p>
            <w:pPr>
              <w:pStyle w:val="TableContents"/>
              <w:bidi w:val="0"/>
              <w:spacing w:lineRule="auto" w:line="302" w:before="0" w:after="120"/>
              <w:ind w:left="0" w:right="0" w:hanging="0"/>
              <w:jc w:val="left"/>
              <w:rPr>
                <w:rFonts w:ascii="Arial;Helvetica;sans-serif" w:hAnsi="Arial;Helvetica;sans-serif"/>
                <w:sz w:val="20"/>
              </w:rPr>
            </w:pPr>
            <w:r>
              <w:rPr>
                <w:rFonts w:ascii="Arial;Helvetica;sans-serif" w:hAnsi="Arial;Helvetica;sans-serif"/>
                <w:sz w:val="20"/>
              </w:rPr>
              <w:t>Incorporated by reference.</w:t>
            </w:r>
          </w:p>
        </w:tc>
      </w:tr>
      <w:tr>
        <w:trPr/>
        <w:tc>
          <w:tcPr>
            <w:tcW w:w="19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bookmarkStart w:id="1182" w:name="_67316259_62fe_4c73_9755_8470eb4c2799"/>
      <w:bookmarkEnd w:id="1182"/>
      <w:r>
        <w:rPr/>
        <w:t>​</w:t>
      </w:r>
    </w:p>
    <w:p>
      <w:pPr>
        <w:pStyle w:val="TextBody"/>
        <w:bidi w:val="0"/>
        <w:spacing w:before="0" w:after="0"/>
        <w:ind w:left="0" w:right="0" w:hanging="0"/>
        <w:jc w:val="center"/>
        <w:rPr>
          <w:rFonts w:ascii="Arial;Helvetica;sans-serif" w:hAnsi="Arial;Helvetica;sans-serif"/>
          <w:b/>
          <w:sz w:val="20"/>
        </w:rPr>
      </w:pPr>
      <w:bookmarkStart w:id="1183" w:name="SIGNATURES_672987"/>
      <w:bookmarkEnd w:id="1183"/>
      <w:r>
        <w:rPr>
          <w:rFonts w:ascii="Arial;Helvetica;sans-serif" w:hAnsi="Arial;Helvetica;sans-serif"/>
          <w:b/>
          <w:sz w:val="20"/>
        </w:rPr>
        <w:t>SIGNATURES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w:t>
      </w:r>
    </w:p>
    <w:tbl>
      <w:tblPr>
        <w:tblW w:w="5901" w:type="dxa"/>
        <w:jc w:val="left"/>
        <w:tblInd w:w="0" w:type="dxa"/>
        <w:tblLayout w:type="fixed"/>
        <w:tblCellMar>
          <w:top w:w="0" w:type="dxa"/>
          <w:left w:w="0" w:type="dxa"/>
          <w:bottom w:w="0" w:type="dxa"/>
          <w:right w:w="0" w:type="dxa"/>
        </w:tblCellMar>
      </w:tblPr>
      <w:tblGrid>
        <w:gridCol w:w="124"/>
        <w:gridCol w:w="466"/>
        <w:gridCol w:w="5311"/>
      </w:tblGrid>
      <w:tr>
        <w:trPr/>
        <w:tc>
          <w:tcPr>
            <w:tcW w:w="124"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c>
          <w:tcPr>
            <w:tcW w:w="53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328" w:before="0" w:after="0"/>
              <w:ind w:left="0" w:right="0" w:hanging="0"/>
              <w:jc w:val="both"/>
              <w:rPr/>
            </w:pPr>
            <w:r>
              <w:rPr/>
              <w:t>​</w:t>
            </w:r>
          </w:p>
        </w:tc>
        <w:tc>
          <w:tcPr>
            <w:tcW w:w="5777" w:type="dxa"/>
            <w:gridSpan w:val="2"/>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DISH DBS CORPORATION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5777" w:type="dxa"/>
            <w:gridSpan w:val="2"/>
            <w:tcBorders/>
            <w:vAlign w:val="center"/>
          </w:tcPr>
          <w:p>
            <w:pPr>
              <w:pStyle w:val="TableContents"/>
              <w:bidi w:val="0"/>
              <w:spacing w:lineRule="auto" w:line="328" w:before="0" w:after="0"/>
              <w:ind w:left="0" w:right="0" w:hanging="0"/>
              <w:jc w:val="both"/>
              <w:rPr/>
            </w:pPr>
            <w:r>
              <w:rPr/>
              <w:t>​</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5777" w:type="dxa"/>
            <w:gridSpan w:val="2"/>
            <w:tcBorders/>
            <w:vAlign w:val="center"/>
          </w:tcPr>
          <w:p>
            <w:pPr>
              <w:pStyle w:val="TableContents"/>
              <w:bidi w:val="0"/>
              <w:spacing w:lineRule="auto" w:line="328" w:before="0" w:after="0"/>
              <w:ind w:left="0" w:right="0" w:hanging="0"/>
              <w:jc w:val="both"/>
              <w:rPr/>
            </w:pPr>
            <w:r>
              <w:rPr/>
              <w:t>​</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 xml:space="preserve">By: </w:t>
            </w:r>
          </w:p>
        </w:tc>
        <w:tc>
          <w:tcPr>
            <w:tcW w:w="5311" w:type="dxa"/>
            <w:tcBorders>
              <w:bottom w:val="single" w:sz="2" w:space="0" w:color="000000"/>
            </w:tcBorders>
            <w:tcMar>
              <w:bottom w:w="28"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 xml:space="preserve">/s/ </w:t>
            </w:r>
            <w:r>
              <w:rPr>
                <w:rFonts w:ascii="Arial;Helvetica;sans-serif" w:hAnsi="Arial;Helvetica;sans-serif"/>
                <w:i/>
                <w:sz w:val="20"/>
              </w:rPr>
              <w:t>Hamid Akhavan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Hamid Akhavan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President and Chief Executive Officer</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i/>
                <w:sz w:val="20"/>
              </w:rPr>
            </w:pPr>
            <w:r>
              <w:rPr>
                <w:rFonts w:ascii="Arial;Helvetica;sans-serif" w:hAnsi="Arial;Helvetica;sans-serif"/>
                <w:i/>
                <w:sz w:val="20"/>
              </w:rPr>
              <w:t>(Duly Authorized Officer)</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pPr>
            <w:r>
              <w:rPr/>
              <w:t>​</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 xml:space="preserve">By: </w:t>
            </w:r>
          </w:p>
        </w:tc>
        <w:tc>
          <w:tcPr>
            <w:tcW w:w="5311" w:type="dxa"/>
            <w:tcBorders>
              <w:bottom w:val="single" w:sz="2" w:space="0" w:color="000000"/>
            </w:tcBorders>
            <w:tcMar>
              <w:bottom w:w="28" w:type="dxa"/>
            </w:tcMar>
            <w:vAlign w:val="center"/>
          </w:tcPr>
          <w:p>
            <w:pPr>
              <w:pStyle w:val="TableContents"/>
              <w:bidi w:val="0"/>
              <w:spacing w:lineRule="auto" w:line="328" w:before="0" w:after="0"/>
              <w:ind w:left="0" w:right="0" w:hanging="0"/>
              <w:jc w:val="both"/>
              <w:rPr>
                <w:rFonts w:ascii="Times New Roman;Times;serif" w:hAnsi="Times New Roman;Times;serif"/>
                <w:sz w:val="20"/>
              </w:rPr>
            </w:pPr>
            <w:r>
              <w:rPr>
                <w:rFonts w:ascii="Arial;Helvetica;sans-serif" w:hAnsi="Arial;Helvetica;sans-serif"/>
                <w:sz w:val="20"/>
              </w:rPr>
              <w:t>/s/</w:t>
            </w:r>
            <w:r>
              <w:rPr>
                <w:rFonts w:ascii="Times New Roman;Times;serif" w:hAnsi="Times New Roman;Times;serif"/>
                <w:sz w:val="20"/>
              </w:rPr>
              <w:t xml:space="preserve"> </w:t>
            </w:r>
            <w:r>
              <w:rPr>
                <w:rFonts w:ascii="Arial;Helvetica;sans-serif" w:hAnsi="Arial;Helvetica;sans-serif"/>
                <w:i/>
                <w:sz w:val="20"/>
              </w:rPr>
              <w:t>Paul W. Orban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Paul W. Orban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DISH</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i/>
                <w:sz w:val="20"/>
              </w:rPr>
            </w:pPr>
            <w:r>
              <w:rPr>
                <w:rFonts w:ascii="Arial;Helvetica;sans-serif" w:hAnsi="Arial;Helvetica;sans-serif"/>
                <w:i/>
                <w:sz w:val="20"/>
              </w:rPr>
              <w:t>(Principal Financial Officer)</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pPr>
            <w:r>
              <w:rPr/>
              <w:t>​</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By:</w:t>
            </w:r>
          </w:p>
        </w:tc>
        <w:tc>
          <w:tcPr>
            <w:tcW w:w="5311" w:type="dxa"/>
            <w:tcBorders>
              <w:bottom w:val="single" w:sz="2" w:space="0" w:color="000000"/>
            </w:tcBorders>
            <w:tcMar>
              <w:bottom w:w="28" w:type="dxa"/>
            </w:tcMar>
            <w:vAlign w:val="center"/>
          </w:tcPr>
          <w:p>
            <w:pPr>
              <w:pStyle w:val="TableContents"/>
              <w:bidi w:val="0"/>
              <w:spacing w:lineRule="auto" w:line="328" w:before="0" w:after="0"/>
              <w:ind w:left="0" w:right="0" w:hanging="0"/>
              <w:jc w:val="both"/>
              <w:rPr>
                <w:rFonts w:ascii="Arial;Helvetica;sans-serif" w:hAnsi="Arial;Helvetica;sans-serif"/>
                <w:i/>
                <w:sz w:val="20"/>
              </w:rPr>
            </w:pPr>
            <w:r>
              <w:rPr>
                <w:rFonts w:ascii="Arial;Helvetica;sans-serif" w:hAnsi="Arial;Helvetica;sans-serif"/>
                <w:i/>
                <w:sz w:val="20"/>
              </w:rPr>
              <w:t>/s/ James S. Allen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top w:val="single" w:sz="2" w:space="0" w:color="000000"/>
            </w:tcBorders>
            <w:tcMar>
              <w:top w:w="28" w:type="dxa"/>
            </w:tcMar>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James S. Allen</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sz w:val="20"/>
              </w:rPr>
            </w:pPr>
            <w:r>
              <w:rPr>
                <w:rFonts w:ascii="Arial;Helvetica;sans-serif" w:hAnsi="Arial;Helvetica;sans-serif"/>
                <w:sz w:val="20"/>
              </w:rPr>
              <w:t>Senior Vice President and Chief Accounting Officer</w:t>
            </w:r>
          </w:p>
        </w:tc>
      </w:tr>
      <w:tr>
        <w:trPr/>
        <w:tc>
          <w:tcPr>
            <w:tcW w:w="124" w:type="dxa"/>
            <w:tcBorders/>
            <w:vAlign w:val="center"/>
          </w:tcPr>
          <w:p>
            <w:pPr>
              <w:pStyle w:val="TableContents"/>
              <w:bidi w:val="0"/>
              <w:spacing w:lineRule="auto" w:line="328" w:before="0" w:after="0"/>
              <w:ind w:left="0" w:right="0" w:hanging="0"/>
              <w:jc w:val="both"/>
              <w:rPr/>
            </w:pPr>
            <w:r>
              <w:rPr/>
              <w:t>​</w:t>
            </w:r>
          </w:p>
        </w:tc>
        <w:tc>
          <w:tcPr>
            <w:tcW w:w="466" w:type="dxa"/>
            <w:tcBorders/>
            <w:vAlign w:val="center"/>
          </w:tcPr>
          <w:p>
            <w:pPr>
              <w:pStyle w:val="TableContents"/>
              <w:bidi w:val="0"/>
              <w:spacing w:lineRule="auto" w:line="328" w:before="0" w:after="0"/>
              <w:ind w:left="0" w:right="0" w:hanging="0"/>
              <w:jc w:val="both"/>
              <w:rPr/>
            </w:pPr>
            <w:r>
              <w:rPr/>
              <w:t>​</w:t>
            </w:r>
          </w:p>
        </w:tc>
        <w:tc>
          <w:tcPr>
            <w:tcW w:w="5311" w:type="dxa"/>
            <w:tcBorders/>
            <w:vAlign w:val="center"/>
          </w:tcPr>
          <w:p>
            <w:pPr>
              <w:pStyle w:val="TableContents"/>
              <w:bidi w:val="0"/>
              <w:spacing w:lineRule="auto" w:line="328" w:before="0" w:after="0"/>
              <w:ind w:left="0" w:right="0" w:hanging="0"/>
              <w:jc w:val="both"/>
              <w:rPr>
                <w:rFonts w:ascii="Arial;Helvetica;sans-serif" w:hAnsi="Arial;Helvetica;sans-serif"/>
                <w:i/>
                <w:sz w:val="20"/>
              </w:rPr>
            </w:pPr>
            <w:r>
              <w:rPr>
                <w:rFonts w:ascii="Arial;Helvetica;sans-serif" w:hAnsi="Arial;Helvetica;sans-serif"/>
                <w:i/>
                <w:sz w:val="20"/>
              </w:rPr>
              <w:t>(Principal Accounting Officer)</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Date: August 8, 2025</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0"/>
        <w:ind w:left="0" w:right="0" w:hanging="0"/>
        <w:jc w:val="left"/>
        <w:rPr/>
      </w:pPr>
      <w:bookmarkStart w:id="1184" w:name="ddbs-20250630xex22.htm"/>
      <w:bookmarkStart w:id="1185" w:name="ksddbs20250630xex22"/>
      <w:bookmarkEnd w:id="1184"/>
      <w:bookmarkEnd w:id="1185"/>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22</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Guarantor Subsidiaries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5.875% Senior Notes due 2024, 7.75% Senior Notes due 2026, 7.375% Senior Notes due 2028 and 5.125% Senior Notes due 2029 issued by DISH DBS Corporation (incorporated in Colorado) are jointly and severally guaranteed on a full and unconditional basis by the following 100% owned subsidiaries of DISH DBS Corporation as of June 30, 2025: </w:t>
      </w:r>
    </w:p>
    <w:tbl>
      <w:tblPr>
        <w:tblW w:w="7035" w:type="dxa"/>
        <w:jc w:val="left"/>
        <w:tblInd w:w="0" w:type="dxa"/>
        <w:tblLayout w:type="fixed"/>
        <w:tblCellMar>
          <w:top w:w="0" w:type="dxa"/>
          <w:left w:w="0" w:type="dxa"/>
          <w:bottom w:w="0" w:type="dxa"/>
          <w:right w:w="0" w:type="dxa"/>
        </w:tblCellMar>
      </w:tblPr>
      <w:tblGrid>
        <w:gridCol w:w="1078"/>
        <w:gridCol w:w="946"/>
        <w:gridCol w:w="961"/>
        <w:gridCol w:w="1184"/>
        <w:gridCol w:w="1184"/>
        <w:gridCol w:w="1682"/>
      </w:tblGrid>
      <w:tr>
        <w:trPr/>
        <w:tc>
          <w:tcPr>
            <w:tcW w:w="1078" w:type="dxa"/>
            <w:tcBorders/>
            <w:vAlign w:val="center"/>
          </w:tcPr>
          <w:p>
            <w:pPr>
              <w:pStyle w:val="TableContents"/>
              <w:bidi w:val="0"/>
              <w:spacing w:before="0" w:after="283"/>
              <w:ind w:left="0" w:right="0" w:hanging="0"/>
              <w:jc w:val="left"/>
              <w:rPr>
                <w:sz w:val="4"/>
                <w:szCs w:val="4"/>
              </w:rPr>
            </w:pPr>
            <w:r>
              <w:rPr>
                <w:sz w:val="4"/>
                <w:szCs w:val="4"/>
              </w:rPr>
            </w:r>
          </w:p>
        </w:tc>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682" w:type="dxa"/>
            <w:tcBorders/>
            <w:vAlign w:val="center"/>
          </w:tcPr>
          <w:p>
            <w:pPr>
              <w:pStyle w:val="TableContents"/>
              <w:bidi w:val="0"/>
              <w:spacing w:before="0" w:after="283"/>
              <w:ind w:left="0" w:right="0" w:hanging="0"/>
              <w:jc w:val="left"/>
              <w:rPr>
                <w:sz w:val="4"/>
                <w:szCs w:val="4"/>
              </w:rPr>
            </w:pPr>
            <w:r>
              <w:rPr>
                <w:sz w:val="4"/>
                <w:szCs w:val="4"/>
              </w:rPr>
            </w:r>
          </w:p>
        </w:tc>
      </w:tr>
      <w:tr>
        <w:trPr/>
        <w:tc>
          <w:tcPr>
            <w:tcW w:w="1078" w:type="dxa"/>
            <w:tcBorders/>
            <w:vAlign w:val="center"/>
          </w:tcPr>
          <w:p>
            <w:pPr>
              <w:pStyle w:val="TableContents"/>
              <w:bidi w:val="0"/>
              <w:spacing w:before="0" w:after="283"/>
              <w:ind w:left="0" w:right="0" w:hanging="0"/>
              <w:jc w:val="left"/>
              <w:rPr>
                <w:sz w:val="4"/>
                <w:szCs w:val="4"/>
              </w:rPr>
            </w:pPr>
            <w:r>
              <w:rPr>
                <w:sz w:val="4"/>
                <w:szCs w:val="4"/>
              </w:rPr>
            </w:r>
          </w:p>
        </w:tc>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682" w:type="dxa"/>
            <w:tcBorders/>
            <w:vAlign w:val="center"/>
          </w:tcPr>
          <w:p>
            <w:pPr>
              <w:pStyle w:val="TableContents"/>
              <w:bidi w:val="0"/>
              <w:spacing w:before="0" w:after="283"/>
              <w:ind w:left="0" w:right="0" w:hanging="0"/>
              <w:jc w:val="left"/>
              <w:rPr>
                <w:sz w:val="4"/>
                <w:szCs w:val="4"/>
              </w:rPr>
            </w:pPr>
            <w:r>
              <w:rPr>
                <w:sz w:val="4"/>
                <w:szCs w:val="4"/>
              </w:rPr>
            </w:r>
          </w:p>
        </w:tc>
      </w:tr>
      <w:tr>
        <w:trPr/>
        <w:tc>
          <w:tcPr>
            <w:tcW w:w="29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Entity</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Incorporation or Organization</w:t>
            </w:r>
          </w:p>
        </w:tc>
      </w:tr>
      <w:tr>
        <w:trPr/>
        <w:tc>
          <w:tcPr>
            <w:tcW w:w="2985"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Network L.L.C.</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Operating L.L.C. (1)</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Echosphere L.L.C.</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Network Service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Broadcasting Corporation (1)</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r>
        <w:trPr/>
        <w:tc>
          <w:tcPr>
            <w:tcW w:w="298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DISH Technologies L.L.C. (1)</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5043" w:type="dxa"/>
        <w:jc w:val="left"/>
        <w:tblInd w:w="0" w:type="dxa"/>
        <w:tblLayout w:type="fixed"/>
        <w:tblCellMar>
          <w:top w:w="0" w:type="dxa"/>
          <w:left w:w="0" w:type="dxa"/>
          <w:bottom w:w="0" w:type="dxa"/>
          <w:right w:w="0" w:type="dxa"/>
        </w:tblCellMar>
      </w:tblPr>
      <w:tblGrid>
        <w:gridCol w:w="23"/>
        <w:gridCol w:w="245"/>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wholly-owned subsidiary of DISH Network L.L.C.</w:t>
            </w:r>
          </w:p>
        </w:tc>
      </w:tr>
    </w:tbl>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186" w:name="ddbs-20250630xex31d1.htm"/>
      <w:bookmarkStart w:id="1187" w:name="ksddbs20250630xex31d1"/>
      <w:bookmarkEnd w:id="1186"/>
      <w:bookmarkEnd w:id="1187"/>
      <w:r>
        <w:rPr>
          <w:rFonts w:ascii="Arial;Helvetica;sans-serif" w:hAnsi="Arial;Helvetica;san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360"/>
        <w:jc w:val="left"/>
        <w:rPr>
          <w:rFonts w:ascii="Arial;Helvetica;sans-serif" w:hAnsi="Arial;Helvetica;sans-serif"/>
          <w:sz w:val="20"/>
        </w:rPr>
      </w:pPr>
      <w:r>
        <w:rPr>
          <w:rFonts w:ascii="Arial;Helvetica;sans-serif" w:hAnsi="Arial;Helvetica;sans-serif"/>
          <w:sz w:val="20"/>
        </w:rPr>
        <w:t>I, Hamid Akhavan, certify that:</w:t>
      </w:r>
    </w:p>
    <w:p>
      <w:pPr>
        <w:pStyle w:val="TextBody"/>
        <w:bidi w:val="0"/>
        <w:spacing w:lineRule="auto" w:line="285" w:before="0" w:after="0"/>
        <w:ind w:left="0" w:right="0" w:hanging="0"/>
        <w:jc w:val="left"/>
        <w:rPr/>
      </w:pPr>
      <w:r>
        <w:rPr/>
        <w:t>​</w:t>
      </w:r>
    </w:p>
    <w:tbl>
      <w:tblPr>
        <w:tblW w:w="7015" w:type="dxa"/>
        <w:jc w:val="left"/>
        <w:tblInd w:w="0" w:type="dxa"/>
        <w:tblLayout w:type="fixed"/>
        <w:tblCellMar>
          <w:top w:w="0" w:type="dxa"/>
          <w:left w:w="0" w:type="dxa"/>
          <w:bottom w:w="0" w:type="dxa"/>
          <w:right w:w="0" w:type="dxa"/>
        </w:tblCellMar>
      </w:tblPr>
      <w:tblGrid>
        <w:gridCol w:w="185"/>
        <w:gridCol w:w="6830"/>
      </w:tblGrid>
      <w:tr>
        <w:trPr/>
        <w:tc>
          <w:tcPr>
            <w:tcW w:w="185"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1.</w:t>
            </w:r>
          </w:p>
        </w:tc>
        <w:tc>
          <w:tcPr>
            <w:tcW w:w="6830"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I have reviewed this Quarterly Report on Form 10-Q of DISH DBS Corporation;</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lineRule="auto" w:line="285" w:before="0" w:after="0"/>
              <w:jc w:val="left"/>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August 8, 2025</w:t>
      </w:r>
    </w:p>
    <w:p>
      <w:pPr>
        <w:pStyle w:val="TextBody"/>
        <w:bidi w:val="0"/>
        <w:spacing w:lineRule="auto" w:line="285" w:before="0" w:after="0"/>
        <w:ind w:left="0" w:right="0" w:hanging="0"/>
        <w:jc w:val="left"/>
        <w:rPr/>
      </w:pPr>
      <w:r>
        <w:rPr/>
        <w:t>​</w:t>
      </w:r>
    </w:p>
    <w:tbl>
      <w:tblPr>
        <w:tblW w:w="3560" w:type="dxa"/>
        <w:jc w:val="left"/>
        <w:tblInd w:w="0" w:type="dxa"/>
        <w:tblLayout w:type="fixed"/>
        <w:tblCellMar>
          <w:top w:w="0" w:type="dxa"/>
          <w:left w:w="0" w:type="dxa"/>
          <w:bottom w:w="0" w:type="dxa"/>
          <w:right w:w="0" w:type="dxa"/>
        </w:tblCellMar>
      </w:tblPr>
      <w:tblGrid>
        <w:gridCol w:w="3406"/>
        <w:gridCol w:w="154"/>
      </w:tblGrid>
      <w:tr>
        <w:trPr/>
        <w:tc>
          <w:tcPr>
            <w:tcW w:w="340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1188" w:name="ddbs-20250630xex31d2.htm"/>
      <w:bookmarkStart w:id="1189" w:name="ksddbs20250630xex31d2"/>
      <w:bookmarkEnd w:id="1188"/>
      <w:bookmarkEnd w:id="1189"/>
      <w:r>
        <w:rPr>
          <w:rFonts w:ascii="Arial;Helvetica;sans-serif" w:hAnsi="Arial;Helvetica;san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FINANCIAL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I, Paul W. Orban, certify that:</w:t>
      </w:r>
    </w:p>
    <w:p>
      <w:pPr>
        <w:pStyle w:val="TextBody"/>
        <w:bidi w:val="0"/>
        <w:spacing w:before="0" w:after="0"/>
        <w:ind w:left="0" w:right="0" w:hanging="0"/>
        <w:jc w:val="left"/>
        <w:rPr/>
      </w:pPr>
      <w:r>
        <w:rPr/>
        <w:t>​</w:t>
      </w:r>
    </w:p>
    <w:tbl>
      <w:tblPr>
        <w:tblW w:w="7015" w:type="dxa"/>
        <w:jc w:val="left"/>
        <w:tblInd w:w="0" w:type="dxa"/>
        <w:tblLayout w:type="fixed"/>
        <w:tblCellMar>
          <w:top w:w="0" w:type="dxa"/>
          <w:left w:w="0" w:type="dxa"/>
          <w:bottom w:w="0" w:type="dxa"/>
          <w:right w:w="0" w:type="dxa"/>
        </w:tblCellMar>
      </w:tblPr>
      <w:tblGrid>
        <w:gridCol w:w="185"/>
        <w:gridCol w:w="6830"/>
      </w:tblGrid>
      <w:tr>
        <w:trPr/>
        <w:tc>
          <w:tcPr>
            <w:tcW w:w="18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w:t>
            </w:r>
          </w:p>
        </w:tc>
        <w:tc>
          <w:tcPr>
            <w:tcW w:w="683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I have reviewed this Quarterly Report on Form 10-Q of DISH DBS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8, 2025</w:t>
      </w:r>
    </w:p>
    <w:p>
      <w:pPr>
        <w:pStyle w:val="TextBody"/>
        <w:bidi w:val="0"/>
        <w:spacing w:before="0" w:after="0"/>
        <w:ind w:left="0" w:right="0" w:hanging="0"/>
        <w:jc w:val="left"/>
        <w:rPr/>
      </w:pPr>
      <w:r>
        <w:rPr/>
        <w:t>​</w:t>
      </w:r>
    </w:p>
    <w:tbl>
      <w:tblPr>
        <w:tblW w:w="5435" w:type="dxa"/>
        <w:jc w:val="left"/>
        <w:tblInd w:w="0" w:type="dxa"/>
        <w:tblLayout w:type="fixed"/>
        <w:tblCellMar>
          <w:top w:w="0" w:type="dxa"/>
          <w:left w:w="0" w:type="dxa"/>
          <w:bottom w:w="0" w:type="dxa"/>
          <w:right w:w="0" w:type="dxa"/>
        </w:tblCellMar>
      </w:tblPr>
      <w:tblGrid>
        <w:gridCol w:w="5281"/>
        <w:gridCol w:w="154"/>
      </w:tblGrid>
      <w:tr>
        <w:trPr/>
        <w:tc>
          <w:tcPr>
            <w:tcW w:w="52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DISH</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190" w:name="ddbs-20250630xex32d1.htm"/>
      <w:bookmarkStart w:id="1191" w:name="ksddbs20250630xex32d1"/>
      <w:bookmarkEnd w:id="1190"/>
      <w:bookmarkEnd w:id="1191"/>
      <w:r>
        <w:rPr>
          <w:rFonts w:ascii="Arial;Helvetica;sans-serif" w:hAnsi="Arial;Helvetica;san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DISH DBS Corporation (the “Company”) hereby certifies that to the best of his knowledge the Company’s Quarterly Report on Form 10-Q for the three months ended June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tbl>
      <w:tblPr>
        <w:tblW w:w="4236" w:type="dxa"/>
        <w:jc w:val="left"/>
        <w:tblInd w:w="0" w:type="dxa"/>
        <w:tblLayout w:type="fixed"/>
        <w:tblCellMar>
          <w:top w:w="0" w:type="dxa"/>
          <w:left w:w="0" w:type="dxa"/>
          <w:bottom w:w="0" w:type="dxa"/>
          <w:right w:w="0" w:type="dxa"/>
        </w:tblCellMar>
      </w:tblPr>
      <w:tblGrid>
        <w:gridCol w:w="124"/>
        <w:gridCol w:w="676"/>
        <w:gridCol w:w="3436"/>
      </w:tblGrid>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August 8, 2025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sz w:val="20"/>
        </w:rPr>
      </w:pPr>
      <w:bookmarkStart w:id="1192" w:name="ddbs-20250630xex32d2.htm"/>
      <w:bookmarkStart w:id="1193" w:name="ksddbs20250630xex32d2"/>
      <w:bookmarkEnd w:id="1192"/>
      <w:bookmarkEnd w:id="1193"/>
      <w:r>
        <w:rPr>
          <w:rFonts w:ascii="Arial;Helvetica;sans-serif" w:hAnsi="Arial;Helvetica;sans-serif"/>
          <w:b/>
          <w:sz w:val="20"/>
        </w:rPr>
        <w:t>E</w:t>
      </w:r>
      <w:bookmarkStart w:id="1194" w:name="_793453"/>
      <w:bookmarkEnd w:id="1194"/>
      <w:r>
        <w:rPr>
          <w:rFonts w:ascii="Arial;Helvetica;sans-serif" w:hAnsi="Arial;Helvetica;sans-serif"/>
          <w:b/>
          <w:sz w:val="20"/>
        </w:rPr>
        <w:t>XHIBIT 32.2</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FINANCIAL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DISH DBS Corporation (the “Company”) hereby certifies that to the best of his knowledge the Company’s Quarterly Report on Form 10-Q for the three months ended June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tbl>
      <w:tblPr>
        <w:tblW w:w="6111" w:type="dxa"/>
        <w:jc w:val="left"/>
        <w:tblInd w:w="0" w:type="dxa"/>
        <w:tblLayout w:type="fixed"/>
        <w:tblCellMar>
          <w:top w:w="0" w:type="dxa"/>
          <w:left w:w="0" w:type="dxa"/>
          <w:bottom w:w="0" w:type="dxa"/>
          <w:right w:w="0" w:type="dxa"/>
        </w:tblCellMar>
      </w:tblPr>
      <w:tblGrid>
        <w:gridCol w:w="124"/>
        <w:gridCol w:w="676"/>
        <w:gridCol w:w="5311"/>
      </w:tblGrid>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53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August 8, 2025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53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531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DISH</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 w:name="Calibri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5404/000141540425000010/tmb-20250509xex99d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33508</Words>
  <Characters>186663</Characters>
  <CharactersWithSpaces>221933</CharactersWithSpaces>
  <Paragraphs>6756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