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83"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10-K</w:t>
      </w:r>
    </w:p>
    <w:p>
      <w:pPr>
        <w:spacing w:after="0" w:line="2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1"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2020.</w:t>
      </w:r>
    </w:p>
    <w:p>
      <w:pPr>
        <w:ind w:left="5520"/>
        <w:spacing w:after="0"/>
        <w:rPr>
          <w:rFonts w:ascii="MS PGothic" w:cs="MS PGothic" w:eastAsia="MS PGothic" w:hAnsi="MS PGothic"/>
          <w:sz w:val="14"/>
          <w:szCs w:val="14"/>
          <w:color w:val="auto"/>
        </w:rPr>
      </w:pPr>
      <w:r>
        <w:rPr>
          <w:rFonts w:ascii="Arial" w:cs="Arial" w:eastAsia="Arial" w:hAnsi="Arial"/>
          <w:sz w:val="13"/>
          <w:szCs w:val="13"/>
          <w:b w:val="1"/>
          <w:bCs w:val="1"/>
          <w:color w:val="auto"/>
        </w:rPr>
        <w:t>OR</w:t>
      </w:r>
    </w:p>
    <w:p>
      <w:pPr>
        <w:spacing w:after="0" w:line="121" w:lineRule="exact"/>
        <w:rPr>
          <w:sz w:val="24"/>
          <w:szCs w:val="24"/>
          <w:color w:val="auto"/>
        </w:rPr>
      </w:pPr>
    </w:p>
    <w:p>
      <w:pPr>
        <w:spacing w:after="0" w:line="161" w:lineRule="exact"/>
        <w:tabs>
          <w:tab w:leader="none" w:pos="280" w:val="left"/>
          <w:tab w:leader="none" w:pos="1100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ab/>
        <w:t>TRANSITION REPORT PURSUANT TO SECTION 13 OR 15(d) OF THE SECURITIES EXCHANGE ACT OF 1934 FOR THE TRANSITION PERIOD FROM</w:t>
      </w:r>
      <w:r>
        <w:rPr>
          <w:sz w:val="20"/>
          <w:szCs w:val="20"/>
          <w:color w:val="auto"/>
        </w:rPr>
        <w:tab/>
      </w:r>
      <w:r>
        <w:rPr>
          <w:rFonts w:ascii="Arial" w:cs="Arial" w:eastAsia="Arial" w:hAnsi="Arial"/>
          <w:sz w:val="14"/>
          <w:szCs w:val="14"/>
          <w:b w:val="1"/>
          <w:bCs w:val="1"/>
          <w:color w:val="auto"/>
        </w:rPr>
        <w:t>TO</w:t>
      </w:r>
    </w:p>
    <w:p>
      <w:pPr>
        <w:spacing w:after="0" w:line="38" w:lineRule="exact"/>
        <w:rPr>
          <w:sz w:val="24"/>
          <w:szCs w:val="24"/>
          <w:color w:val="auto"/>
        </w:rPr>
      </w:pPr>
    </w:p>
    <w:p>
      <w:pPr>
        <w:ind w:left="640"/>
        <w:spacing w:after="0"/>
        <w:rPr>
          <w:sz w:val="20"/>
          <w:szCs w:val="20"/>
          <w:color w:val="auto"/>
        </w:rPr>
      </w:pPr>
      <w:r>
        <w:rPr>
          <w:rFonts w:ascii="Arial" w:cs="Arial" w:eastAsia="Arial" w:hAnsi="Arial"/>
          <w:sz w:val="14"/>
          <w:szCs w:val="14"/>
          <w:b w:val="1"/>
          <w:bCs w:val="1"/>
          <w:color w:val="auto"/>
        </w:rPr>
        <w:t>.</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001-33807</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EchoStar Corporation</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13"/>
          <w:szCs w:val="13"/>
          <w:color w:val="auto"/>
        </w:rPr>
        <w:t>(Exact name of registrant as specified in its charter)</w:t>
      </w:r>
    </w:p>
    <w:p>
      <w:pPr>
        <w:spacing w:after="0" w:line="125" w:lineRule="exact"/>
        <w:rPr>
          <w:sz w:val="24"/>
          <w:szCs w:val="24"/>
          <w:color w:val="auto"/>
        </w:rPr>
      </w:pPr>
    </w:p>
    <w:p>
      <w:pPr>
        <w:ind w:left="2540"/>
        <w:spacing w:after="0"/>
        <w:tabs>
          <w:tab w:leader="none" w:pos="8020" w:val="left"/>
        </w:tabs>
        <w:rPr>
          <w:sz w:val="20"/>
          <w:szCs w:val="20"/>
          <w:color w:val="auto"/>
        </w:rPr>
      </w:pPr>
      <w:r>
        <w:rPr>
          <w:rFonts w:ascii="Arial" w:cs="Arial" w:eastAsia="Arial" w:hAnsi="Arial"/>
          <w:sz w:val="14"/>
          <w:szCs w:val="14"/>
          <w:b w:val="1"/>
          <w:bCs w:val="1"/>
          <w:color w:val="auto"/>
        </w:rPr>
        <w:t>Nevada</w:t>
      </w:r>
      <w:r>
        <w:rPr>
          <w:sz w:val="20"/>
          <w:szCs w:val="20"/>
          <w:color w:val="auto"/>
        </w:rPr>
        <w:tab/>
      </w:r>
      <w:r>
        <w:rPr>
          <w:rFonts w:ascii="Arial" w:cs="Arial" w:eastAsia="Arial" w:hAnsi="Arial"/>
          <w:sz w:val="14"/>
          <w:szCs w:val="14"/>
          <w:b w:val="1"/>
          <w:bCs w:val="1"/>
          <w:color w:val="auto"/>
        </w:rPr>
        <w:t>26-1232727</w:t>
      </w:r>
    </w:p>
    <w:p>
      <w:pPr>
        <w:spacing w:after="0" w:line="41" w:lineRule="exact"/>
        <w:rPr>
          <w:sz w:val="24"/>
          <w:szCs w:val="24"/>
          <w:color w:val="auto"/>
        </w:rPr>
      </w:pPr>
    </w:p>
    <w:p>
      <w:pPr>
        <w:ind w:left="940"/>
        <w:spacing w:after="0"/>
        <w:tabs>
          <w:tab w:leader="none" w:pos="7300" w:val="left"/>
        </w:tabs>
        <w:rPr>
          <w:sz w:val="20"/>
          <w:szCs w:val="20"/>
          <w:color w:val="auto"/>
        </w:rPr>
      </w:pPr>
      <w:r>
        <w:rPr>
          <w:rFonts w:ascii="Arial" w:cs="Arial" w:eastAsia="Arial" w:hAnsi="Arial"/>
          <w:sz w:val="14"/>
          <w:szCs w:val="14"/>
          <w:color w:val="auto"/>
        </w:rPr>
        <w:t>(State or other jurisdiction of incorporation or organization)</w:t>
      </w:r>
      <w:r>
        <w:rPr>
          <w:sz w:val="20"/>
          <w:szCs w:val="20"/>
          <w:color w:val="auto"/>
        </w:rPr>
        <w:tab/>
      </w:r>
      <w:r>
        <w:rPr>
          <w:rFonts w:ascii="Arial" w:cs="Arial" w:eastAsia="Arial" w:hAnsi="Arial"/>
          <w:sz w:val="14"/>
          <w:szCs w:val="14"/>
          <w:color w:val="auto"/>
        </w:rPr>
        <w:t>(I.R.S. Employer Identification No.)</w:t>
      </w:r>
    </w:p>
    <w:p>
      <w:pPr>
        <w:spacing w:after="0" w:line="204" w:lineRule="exact"/>
        <w:rPr>
          <w:sz w:val="24"/>
          <w:szCs w:val="24"/>
          <w:color w:val="auto"/>
        </w:rPr>
      </w:pPr>
    </w:p>
    <w:p>
      <w:pPr>
        <w:ind w:left="1160"/>
        <w:spacing w:after="0"/>
        <w:tabs>
          <w:tab w:leader="none" w:pos="4180" w:val="left"/>
          <w:tab w:leader="none" w:pos="8040" w:val="left"/>
        </w:tabs>
        <w:rPr>
          <w:sz w:val="20"/>
          <w:szCs w:val="20"/>
          <w:color w:val="auto"/>
        </w:rPr>
      </w:pPr>
      <w:r>
        <w:rPr>
          <w:rFonts w:ascii="Arial" w:cs="Arial" w:eastAsia="Arial" w:hAnsi="Arial"/>
          <w:sz w:val="14"/>
          <w:szCs w:val="14"/>
          <w:b w:val="1"/>
          <w:bCs w:val="1"/>
          <w:color w:val="auto"/>
        </w:rPr>
        <w:t>100 Inverness Terrace East, Englewood,</w:t>
      </w:r>
      <w:r>
        <w:rPr>
          <w:sz w:val="20"/>
          <w:szCs w:val="20"/>
          <w:color w:val="auto"/>
        </w:rPr>
        <w:tab/>
      </w:r>
      <w:r>
        <w:rPr>
          <w:rFonts w:ascii="Arial" w:cs="Arial" w:eastAsia="Arial" w:hAnsi="Arial"/>
          <w:sz w:val="14"/>
          <w:szCs w:val="14"/>
          <w:b w:val="1"/>
          <w:bCs w:val="1"/>
          <w:color w:val="auto"/>
        </w:rPr>
        <w:t>Colorado</w:t>
      </w:r>
      <w:r>
        <w:rPr>
          <w:sz w:val="20"/>
          <w:szCs w:val="20"/>
          <w:color w:val="auto"/>
        </w:rPr>
        <w:tab/>
      </w:r>
      <w:r>
        <w:rPr>
          <w:rFonts w:ascii="Arial" w:cs="Arial" w:eastAsia="Arial" w:hAnsi="Arial"/>
          <w:sz w:val="14"/>
          <w:szCs w:val="14"/>
          <w:b w:val="1"/>
          <w:bCs w:val="1"/>
          <w:color w:val="auto"/>
        </w:rPr>
        <w:t>80112-5308</w:t>
      </w:r>
    </w:p>
    <w:p>
      <w:pPr>
        <w:spacing w:after="0" w:line="41" w:lineRule="exact"/>
        <w:rPr>
          <w:sz w:val="24"/>
          <w:szCs w:val="24"/>
          <w:color w:val="auto"/>
        </w:rPr>
      </w:pPr>
    </w:p>
    <w:p>
      <w:pPr>
        <w:ind w:left="1560"/>
        <w:spacing w:after="0"/>
        <w:tabs>
          <w:tab w:leader="none" w:pos="8080" w:val="left"/>
        </w:tabs>
        <w:rPr>
          <w:sz w:val="20"/>
          <w:szCs w:val="20"/>
          <w:color w:val="auto"/>
        </w:rPr>
      </w:pPr>
      <w:r>
        <w:rPr>
          <w:rFonts w:ascii="Arial" w:cs="Arial" w:eastAsia="Arial" w:hAnsi="Arial"/>
          <w:sz w:val="14"/>
          <w:szCs w:val="14"/>
          <w:color w:val="auto"/>
        </w:rPr>
        <w:t>(Address of principal executive offices)</w:t>
      </w:r>
      <w:r>
        <w:rPr>
          <w:sz w:val="20"/>
          <w:szCs w:val="20"/>
          <w:color w:val="auto"/>
        </w:rPr>
        <w:tab/>
      </w:r>
      <w:r>
        <w:rPr>
          <w:rFonts w:ascii="Arial" w:cs="Arial" w:eastAsia="Arial" w:hAnsi="Arial"/>
          <w:sz w:val="14"/>
          <w:szCs w:val="14"/>
          <w:color w:val="auto"/>
        </w:rPr>
        <w:t>(Zip Code)</w:t>
      </w:r>
    </w:p>
    <w:p>
      <w:pPr>
        <w:sectPr>
          <w:pgSz w:w="11900" w:h="16838" w:orient="portrait"/>
          <w:cols w:equalWidth="0" w:num="1">
            <w:col w:w="11240"/>
          </w:cols>
          <w:pgMar w:left="320" w:top="225" w:right="339" w:bottom="1440" w:gutter="0" w:footer="0" w:header="0"/>
        </w:sectPr>
      </w:pPr>
    </w:p>
    <w:p>
      <w:pPr>
        <w:spacing w:after="0" w:line="123" w:lineRule="exact"/>
        <w:rPr>
          <w:sz w:val="24"/>
          <w:szCs w:val="24"/>
          <w:color w:val="auto"/>
        </w:rPr>
      </w:pPr>
    </w:p>
    <w:p>
      <w:pPr>
        <w:ind w:left="2700"/>
        <w:spacing w:after="0"/>
        <w:rPr>
          <w:sz w:val="20"/>
          <w:szCs w:val="20"/>
          <w:color w:val="auto"/>
        </w:rPr>
      </w:pPr>
      <w:r>
        <w:rPr>
          <w:rFonts w:ascii="Arial" w:cs="Arial" w:eastAsia="Arial" w:hAnsi="Arial"/>
          <w:sz w:val="14"/>
          <w:szCs w:val="14"/>
          <w:b w:val="1"/>
          <w:bCs w:val="1"/>
          <w:color w:val="auto"/>
        </w:rPr>
        <w:t>(303) 706-4000</w:t>
      </w:r>
    </w:p>
    <w:p>
      <w:pPr>
        <w:spacing w:after="0" w:line="41" w:lineRule="exact"/>
        <w:rPr>
          <w:sz w:val="24"/>
          <w:szCs w:val="24"/>
          <w:color w:val="auto"/>
        </w:rPr>
      </w:pPr>
    </w:p>
    <w:p>
      <w:pPr>
        <w:jc w:val="center"/>
        <w:ind w:left="480"/>
        <w:spacing w:after="0"/>
        <w:rPr>
          <w:sz w:val="20"/>
          <w:szCs w:val="20"/>
          <w:color w:val="auto"/>
        </w:rPr>
      </w:pPr>
      <w:r>
        <w:rPr>
          <w:rFonts w:ascii="Arial" w:cs="Arial" w:eastAsia="Arial" w:hAnsi="Arial"/>
          <w:sz w:val="14"/>
          <w:szCs w:val="14"/>
          <w:color w:val="auto"/>
        </w:rPr>
        <w:t>(Registrant’s telephone number, including area code)</w:t>
      </w:r>
    </w:p>
    <w:p>
      <w:pPr>
        <w:spacing w:after="0" w:line="125" w:lineRule="exact"/>
        <w:rPr>
          <w:sz w:val="24"/>
          <w:szCs w:val="24"/>
          <w:color w:val="auto"/>
        </w:rPr>
      </w:pPr>
    </w:p>
    <w:p>
      <w:pPr>
        <w:jc w:val="center"/>
        <w:ind w:left="48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ind w:right="200"/>
        <w:spacing w:after="0"/>
        <w:rPr>
          <w:sz w:val="20"/>
          <w:szCs w:val="20"/>
          <w:color w:val="auto"/>
        </w:rPr>
      </w:pPr>
      <w:r>
        <w:rPr>
          <w:rFonts w:ascii="Arial" w:cs="Arial" w:eastAsia="Arial" w:hAnsi="Arial"/>
          <w:sz w:val="14"/>
          <w:szCs w:val="14"/>
          <w:b w:val="1"/>
          <w:bCs w:val="1"/>
          <w:color w:val="auto"/>
        </w:rPr>
        <w:t>Not Applicable</w:t>
      </w:r>
    </w:p>
    <w:p>
      <w:pPr>
        <w:spacing w:after="0" w:line="41" w:lineRule="exact"/>
        <w:rPr>
          <w:sz w:val="24"/>
          <w:szCs w:val="24"/>
          <w:color w:val="auto"/>
        </w:rPr>
      </w:pPr>
    </w:p>
    <w:p>
      <w:pPr>
        <w:jc w:val="center"/>
        <w:ind w:right="20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318" w:lineRule="exact"/>
        <w:rPr>
          <w:sz w:val="24"/>
          <w:szCs w:val="24"/>
          <w:color w:val="auto"/>
        </w:rPr>
      </w:pPr>
    </w:p>
    <w:p>
      <w:pPr>
        <w:sectPr>
          <w:pgSz w:w="11900" w:h="16838" w:orient="portrait"/>
          <w:cols w:equalWidth="0" w:num="2">
            <w:col w:w="5100" w:space="720"/>
            <w:col w:w="5420"/>
          </w:cols>
          <w:pgMar w:left="320" w:top="225" w:right="339" w:bottom="1440" w:gutter="0" w:footer="0" w:header="0"/>
          <w:type w:val="continuous"/>
        </w:sectPr>
      </w:pPr>
    </w:p>
    <w:tbl>
      <w:tblPr>
        <w:tblLayout w:type="fixed"/>
        <w:tblInd w:w="1460" w:type="dxa"/>
        <w:tblCellMar>
          <w:top w:w="0" w:type="dxa"/>
          <w:left w:w="0" w:type="dxa"/>
          <w:bottom w:w="0" w:type="dxa"/>
          <w:right w:w="0" w:type="dxa"/>
        </w:tblCellMar>
      </w:tblPr>
      <w:tr>
        <w:trPr>
          <w:trHeight w:val="184"/>
        </w:trPr>
        <w:tc>
          <w:tcPr>
            <w:tcW w:w="4140" w:type="dxa"/>
            <w:vAlign w:val="bottom"/>
          </w:tcPr>
          <w:p>
            <w:pPr>
              <w:spacing w:after="0"/>
              <w:rPr>
                <w:sz w:val="20"/>
                <w:szCs w:val="20"/>
                <w:color w:val="auto"/>
              </w:rPr>
            </w:pPr>
            <w:r>
              <w:rPr>
                <w:rFonts w:ascii="Arial" w:cs="Arial" w:eastAsia="Arial" w:hAnsi="Arial"/>
                <w:sz w:val="14"/>
                <w:szCs w:val="14"/>
                <w:b w:val="1"/>
                <w:bCs w:val="1"/>
                <w:color w:val="auto"/>
              </w:rPr>
              <w:t>Class A common stock $0.001 par value</w:t>
            </w:r>
          </w:p>
        </w:tc>
        <w:tc>
          <w:tcPr>
            <w:tcW w:w="4300" w:type="dxa"/>
            <w:vAlign w:val="bottom"/>
          </w:tcPr>
          <w:p>
            <w:pPr>
              <w:jc w:val="center"/>
              <w:ind w:left="1288"/>
              <w:spacing w:after="0"/>
              <w:rPr>
                <w:sz w:val="20"/>
                <w:szCs w:val="20"/>
                <w:color w:val="auto"/>
              </w:rPr>
            </w:pPr>
            <w:r>
              <w:rPr>
                <w:rFonts w:ascii="Arial" w:cs="Arial" w:eastAsia="Arial" w:hAnsi="Arial"/>
                <w:sz w:val="14"/>
                <w:szCs w:val="14"/>
                <w:b w:val="1"/>
                <w:bCs w:val="1"/>
                <w:color w:val="auto"/>
              </w:rPr>
              <w:t>The NASDAQ Stock Market LLC</w:t>
            </w:r>
          </w:p>
        </w:tc>
      </w:tr>
      <w:tr>
        <w:trPr>
          <w:trHeight w:val="187"/>
        </w:trPr>
        <w:tc>
          <w:tcPr>
            <w:tcW w:w="4140" w:type="dxa"/>
            <w:vAlign w:val="bottom"/>
          </w:tcPr>
          <w:p>
            <w:pPr>
              <w:jc w:val="center"/>
              <w:ind w:right="1428"/>
              <w:spacing w:after="0"/>
              <w:rPr>
                <w:sz w:val="20"/>
                <w:szCs w:val="20"/>
                <w:color w:val="auto"/>
              </w:rPr>
            </w:pPr>
            <w:r>
              <w:rPr>
                <w:rFonts w:ascii="Arial" w:cs="Arial" w:eastAsia="Arial" w:hAnsi="Arial"/>
                <w:sz w:val="14"/>
                <w:szCs w:val="14"/>
                <w:color w:val="auto"/>
              </w:rPr>
              <w:t>(Title of each class)</w:t>
            </w:r>
          </w:p>
        </w:tc>
        <w:tc>
          <w:tcPr>
            <w:tcW w:w="4300" w:type="dxa"/>
            <w:vAlign w:val="bottom"/>
          </w:tcPr>
          <w:p>
            <w:pPr>
              <w:jc w:val="center"/>
              <w:ind w:left="1288"/>
              <w:spacing w:after="0"/>
              <w:rPr>
                <w:sz w:val="20"/>
                <w:szCs w:val="20"/>
                <w:color w:val="auto"/>
              </w:rPr>
            </w:pPr>
            <w:r>
              <w:rPr>
                <w:rFonts w:ascii="Arial" w:cs="Arial" w:eastAsia="Arial" w:hAnsi="Arial"/>
                <w:sz w:val="14"/>
                <w:szCs w:val="14"/>
                <w:color w:val="auto"/>
              </w:rPr>
              <w:t>(Name of each exchange on which registered)</w:t>
            </w:r>
          </w:p>
        </w:tc>
      </w:tr>
      <w:tr>
        <w:trPr>
          <w:trHeight w:val="191"/>
        </w:trPr>
        <w:tc>
          <w:tcPr>
            <w:tcW w:w="4140" w:type="dxa"/>
            <w:vAlign w:val="bottom"/>
          </w:tcPr>
          <w:p>
            <w:pPr>
              <w:jc w:val="center"/>
              <w:ind w:right="1408"/>
              <w:spacing w:after="0"/>
              <w:rPr>
                <w:sz w:val="20"/>
                <w:szCs w:val="20"/>
                <w:color w:val="auto"/>
              </w:rPr>
            </w:pPr>
            <w:r>
              <w:rPr>
                <w:rFonts w:ascii="Arial" w:cs="Arial" w:eastAsia="Arial" w:hAnsi="Arial"/>
                <w:sz w:val="14"/>
                <w:szCs w:val="14"/>
                <w:b w:val="1"/>
                <w:bCs w:val="1"/>
                <w:color w:val="auto"/>
              </w:rPr>
              <w:t>SATS</w:t>
            </w:r>
          </w:p>
        </w:tc>
        <w:tc>
          <w:tcPr>
            <w:tcW w:w="4300" w:type="dxa"/>
            <w:vAlign w:val="bottom"/>
          </w:tcPr>
          <w:p>
            <w:pPr>
              <w:spacing w:after="0"/>
              <w:rPr>
                <w:sz w:val="16"/>
                <w:szCs w:val="16"/>
                <w:color w:val="auto"/>
              </w:rPr>
            </w:pPr>
          </w:p>
        </w:tc>
      </w:tr>
      <w:tr>
        <w:trPr>
          <w:trHeight w:val="194"/>
        </w:trPr>
        <w:tc>
          <w:tcPr>
            <w:tcW w:w="4140" w:type="dxa"/>
            <w:vAlign w:val="bottom"/>
          </w:tcPr>
          <w:p>
            <w:pPr>
              <w:jc w:val="center"/>
              <w:ind w:right="1408"/>
              <w:spacing w:after="0"/>
              <w:rPr>
                <w:sz w:val="20"/>
                <w:szCs w:val="20"/>
                <w:color w:val="auto"/>
              </w:rPr>
            </w:pPr>
            <w:r>
              <w:rPr>
                <w:rFonts w:ascii="Arial" w:cs="Arial" w:eastAsia="Arial" w:hAnsi="Arial"/>
                <w:sz w:val="14"/>
                <w:szCs w:val="14"/>
                <w:color w:val="auto"/>
              </w:rPr>
              <w:t>(Ticker symbol)</w:t>
            </w:r>
          </w:p>
        </w:tc>
        <w:tc>
          <w:tcPr>
            <w:tcW w:w="4300" w:type="dxa"/>
            <w:vAlign w:val="bottom"/>
          </w:tcPr>
          <w:p>
            <w:pPr>
              <w:spacing w:after="0"/>
              <w:rPr>
                <w:sz w:val="16"/>
                <w:szCs w:val="16"/>
                <w:color w:val="auto"/>
              </w:rPr>
            </w:pPr>
          </w:p>
        </w:tc>
      </w:tr>
    </w:tbl>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3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9" w:lineRule="exact"/>
        <w:rPr>
          <w:sz w:val="24"/>
          <w:szCs w:val="24"/>
          <w:color w:val="auto"/>
        </w:rPr>
      </w:pPr>
    </w:p>
    <w:p>
      <w:pPr>
        <w:jc w:val="both"/>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5" w:lineRule="exact"/>
        <w:rPr>
          <w:sz w:val="24"/>
          <w:szCs w:val="24"/>
          <w:color w:val="auto"/>
        </w:rPr>
      </w:pPr>
    </w:p>
    <w:p>
      <w:pPr>
        <w:jc w:val="both"/>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5" w:lineRule="exact"/>
        <w:rPr>
          <w:sz w:val="24"/>
          <w:szCs w:val="24"/>
          <w:color w:val="auto"/>
        </w:rPr>
      </w:pPr>
    </w:p>
    <w:p>
      <w:pPr>
        <w:jc w:val="both"/>
        <w:ind w:right="20"/>
        <w:spacing w:after="0" w:line="27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25" w:lineRule="exact"/>
        <w:rPr>
          <w:sz w:val="24"/>
          <w:szCs w:val="24"/>
          <w:color w:val="auto"/>
        </w:rPr>
      </w:pPr>
    </w:p>
    <w:tbl>
      <w:tblPr>
        <w:tblLayout w:type="fixed"/>
        <w:tblInd w:w="148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7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180" w:type="dxa"/>
            <w:vAlign w:val="bottom"/>
          </w:tcPr>
          <w:p>
            <w:pPr>
              <w:ind w:left="80"/>
              <w:spacing w:after="0"/>
              <w:rPr>
                <w:sz w:val="20"/>
                <w:szCs w:val="20"/>
                <w:color w:val="auto"/>
              </w:rPr>
            </w:pPr>
            <w:r>
              <w:rPr>
                <w:rFonts w:ascii="Arial" w:cs="Arial" w:eastAsia="Arial" w:hAnsi="Arial"/>
                <w:sz w:val="14"/>
                <w:szCs w:val="14"/>
                <w:color w:val="auto"/>
              </w:rPr>
              <w:t>Accelerated filer</w:t>
            </w:r>
          </w:p>
        </w:tc>
        <w:tc>
          <w:tcPr>
            <w:tcW w:w="2780" w:type="dxa"/>
            <w:vAlign w:val="bottom"/>
          </w:tcPr>
          <w:p>
            <w:pPr>
              <w:ind w:left="4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4"/>
                <w:szCs w:val="14"/>
                <w:color w:val="auto"/>
              </w:rPr>
              <w:t xml:space="preserve"> Emerging growth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7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180" w:type="dxa"/>
            <w:vAlign w:val="bottom"/>
          </w:tcPr>
          <w:p>
            <w:pPr>
              <w:ind w:left="80"/>
              <w:spacing w:after="0"/>
              <w:rPr>
                <w:sz w:val="20"/>
                <w:szCs w:val="20"/>
                <w:color w:val="auto"/>
              </w:rPr>
            </w:pPr>
            <w:r>
              <w:rPr>
                <w:rFonts w:ascii="Arial" w:cs="Arial" w:eastAsia="Arial" w:hAnsi="Arial"/>
                <w:sz w:val="14"/>
                <w:szCs w:val="14"/>
                <w:color w:val="auto"/>
              </w:rPr>
              <w:t>Smaller reporting company</w:t>
            </w:r>
          </w:p>
        </w:tc>
        <w:tc>
          <w:tcPr>
            <w:tcW w:w="27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tcPr>
          <w:p>
            <w:pPr>
              <w:spacing w:after="0"/>
              <w:rPr>
                <w:sz w:val="22"/>
                <w:szCs w:val="22"/>
                <w:color w:val="auto"/>
              </w:rPr>
            </w:pPr>
          </w:p>
        </w:tc>
      </w:tr>
    </w:tbl>
    <w:p>
      <w:pPr>
        <w:spacing w:after="0" w:line="69" w:lineRule="exact"/>
        <w:rPr>
          <w:sz w:val="24"/>
          <w:szCs w:val="24"/>
          <w:color w:val="auto"/>
        </w:rPr>
      </w:pPr>
    </w:p>
    <w:p>
      <w:pPr>
        <w:spacing w:after="0" w:line="17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9"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5" w:lineRule="exact"/>
        <w:rPr>
          <w:sz w:val="24"/>
          <w:szCs w:val="24"/>
          <w:color w:val="auto"/>
        </w:rPr>
      </w:pPr>
    </w:p>
    <w:p>
      <w:pPr>
        <w:spacing w:after="0" w:line="291" w:lineRule="auto"/>
        <w:rPr>
          <w:sz w:val="20"/>
          <w:szCs w:val="20"/>
          <w:color w:val="auto"/>
        </w:rPr>
      </w:pPr>
      <w:r>
        <w:rPr>
          <w:rFonts w:ascii="Arial" w:cs="Arial" w:eastAsia="Arial" w:hAnsi="Arial"/>
          <w:sz w:val="14"/>
          <w:szCs w:val="14"/>
          <w:color w:val="auto"/>
        </w:rPr>
        <w:t>As of June 30, 2020, the aggregate market value of Class A common stock held by non-affiliates of the registrant was $1.3 billion based upon the closing price of the Class A common stock as reported on the NASDAQ Global Select Market as of the close of business on that date.</w:t>
      </w:r>
    </w:p>
    <w:p>
      <w:pPr>
        <w:spacing w:after="0" w:line="82" w:lineRule="exact"/>
        <w:rPr>
          <w:sz w:val="24"/>
          <w:szCs w:val="24"/>
          <w:color w:val="auto"/>
        </w:rPr>
      </w:pPr>
    </w:p>
    <w:p>
      <w:pPr>
        <w:spacing w:after="0" w:line="291" w:lineRule="auto"/>
        <w:rPr>
          <w:sz w:val="20"/>
          <w:szCs w:val="20"/>
          <w:color w:val="auto"/>
        </w:rPr>
      </w:pPr>
      <w:r>
        <w:rPr>
          <w:rFonts w:ascii="Arial" w:cs="Arial" w:eastAsia="Arial" w:hAnsi="Arial"/>
          <w:sz w:val="14"/>
          <w:szCs w:val="14"/>
          <w:color w:val="auto"/>
        </w:rPr>
        <w:t>As of February 11, 2021, the registrant’s outstanding common stock consisted of 46,011,533 shares of Class A common stock and 47,687,039 shares of Class B common stock, each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Portions of the registrant’s definitive Proxy Statement to be filed in connection with its 2021 Annual Meeting of Shareholders are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320" w:top="115" w:right="11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4"/>
        </w:trPr>
        <w:tc>
          <w:tcPr>
            <w:tcW w:w="10160" w:type="dxa"/>
            <w:vAlign w:val="bottom"/>
            <w:gridSpan w:val="4"/>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7"/>
        </w:trPr>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0" w:type="dxa"/>
            <w:vAlign w:val="bottom"/>
            <w:gridSpan w:val="2"/>
          </w:tcPr>
          <w:p>
            <w:pPr>
              <w:ind w:left="250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9"/>
        </w:trPr>
        <w:tc>
          <w:tcPr>
            <w:tcW w:w="10160" w:type="dxa"/>
            <w:vAlign w:val="bottom"/>
            <w:gridSpan w:val="4"/>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Disclosure Regarding Forward Looking Statements</w:t>
              </w:r>
            </w:hyperlink>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w:t>
              </w:r>
            </w:hyperlink>
          </w:p>
        </w:tc>
        <w:tc>
          <w:tcPr>
            <w:tcW w:w="0" w:type="dxa"/>
            <w:vAlign w:val="bottom"/>
          </w:tcPr>
          <w:p>
            <w:pPr>
              <w:spacing w:after="0"/>
              <w:rPr>
                <w:sz w:val="1"/>
                <w:szCs w:val="1"/>
                <w:color w:val="auto"/>
              </w:rPr>
            </w:pPr>
          </w:p>
        </w:tc>
      </w:tr>
      <w:tr>
        <w:trPr>
          <w:trHeight w:val="467"/>
        </w:trPr>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0" w:type="dxa"/>
            <w:vAlign w:val="bottom"/>
            <w:gridSpan w:val="2"/>
          </w:tcPr>
          <w:p>
            <w:pPr>
              <w:jc w:val="center"/>
              <w:ind w:right="1020"/>
              <w:spacing w:after="0"/>
              <w:rPr>
                <w:rFonts w:ascii="Arial" w:cs="Arial" w:eastAsia="Arial" w:hAnsi="Arial"/>
                <w:sz w:val="18"/>
                <w:szCs w:val="18"/>
                <w:b w:val="1"/>
                <w:bCs w:val="1"/>
                <w:u w:val="single" w:color="auto"/>
                <w:color w:val="0000FF"/>
                <w:w w:val="98"/>
              </w:rPr>
            </w:pPr>
            <w:hyperlink w:anchor="page5">
              <w:r>
                <w:rPr>
                  <w:rFonts w:ascii="Arial" w:cs="Arial" w:eastAsia="Arial" w:hAnsi="Arial"/>
                  <w:sz w:val="18"/>
                  <w:szCs w:val="18"/>
                  <w:b w:val="1"/>
                  <w:bCs w:val="1"/>
                  <w:u w:val="single" w:color="auto"/>
                  <w:color w:val="0000FF"/>
                  <w:w w:val="98"/>
                </w:rPr>
                <w:t>PART I</w:t>
              </w:r>
            </w:hyperlink>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38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Item 1A.</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Risk Factors</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14</w:t>
              </w:r>
            </w:hyperlink>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1B.</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Unresolved Staff Comments</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24</w:t>
              </w:r>
            </w:hyperlink>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2.</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Properties</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25</w:t>
              </w:r>
            </w:hyperlink>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3.</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Legal Proceedings</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25</w:t>
              </w:r>
            </w:hyperlink>
          </w:p>
        </w:tc>
        <w:tc>
          <w:tcPr>
            <w:tcW w:w="0" w:type="dxa"/>
            <w:vAlign w:val="bottom"/>
          </w:tcPr>
          <w:p>
            <w:pPr>
              <w:spacing w:after="0"/>
              <w:rPr>
                <w:sz w:val="1"/>
                <w:szCs w:val="1"/>
                <w:color w:val="auto"/>
              </w:rPr>
            </w:pPr>
          </w:p>
        </w:tc>
      </w:tr>
      <w:tr>
        <w:trPr>
          <w:trHeight w:val="243"/>
        </w:trPr>
        <w:tc>
          <w:tcPr>
            <w:tcW w:w="1380" w:type="dxa"/>
            <w:vAlign w:val="bottom"/>
          </w:tcPr>
          <w:p>
            <w:pPr>
              <w:ind w:left="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4.</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Mine Safety Disclosures</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25</w:t>
              </w:r>
            </w:hyperlink>
          </w:p>
        </w:tc>
        <w:tc>
          <w:tcPr>
            <w:tcW w:w="0" w:type="dxa"/>
            <w:vAlign w:val="bottom"/>
          </w:tcPr>
          <w:p>
            <w:pPr>
              <w:spacing w:after="0"/>
              <w:rPr>
                <w:sz w:val="1"/>
                <w:szCs w:val="1"/>
                <w:color w:val="auto"/>
              </w:rPr>
            </w:pPr>
          </w:p>
        </w:tc>
      </w:tr>
      <w:tr>
        <w:trPr>
          <w:trHeight w:val="467"/>
        </w:trPr>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0" w:type="dxa"/>
            <w:vAlign w:val="bottom"/>
            <w:gridSpan w:val="2"/>
          </w:tcPr>
          <w:p>
            <w:pPr>
              <w:jc w:val="center"/>
              <w:ind w:right="1020"/>
              <w:spacing w:after="0"/>
              <w:rPr>
                <w:rFonts w:ascii="Arial" w:cs="Arial" w:eastAsia="Arial" w:hAnsi="Arial"/>
                <w:sz w:val="18"/>
                <w:szCs w:val="18"/>
                <w:b w:val="1"/>
                <w:bCs w:val="1"/>
                <w:u w:val="single" w:color="auto"/>
                <w:color w:val="0000FF"/>
                <w:w w:val="96"/>
              </w:rPr>
            </w:pPr>
            <w:hyperlink w:anchor="page30">
              <w:r>
                <w:rPr>
                  <w:rFonts w:ascii="Arial" w:cs="Arial" w:eastAsia="Arial" w:hAnsi="Arial"/>
                  <w:sz w:val="18"/>
                  <w:szCs w:val="18"/>
                  <w:b w:val="1"/>
                  <w:bCs w:val="1"/>
                  <w:u w:val="single" w:color="auto"/>
                  <w:color w:val="0000FF"/>
                  <w:w w:val="96"/>
                </w:rPr>
                <w:t>PART II</w:t>
              </w:r>
            </w:hyperlink>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380" w:type="dxa"/>
            <w:vAlign w:val="bottom"/>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5.</w:t>
              </w:r>
            </w:hyperlink>
          </w:p>
        </w:tc>
        <w:tc>
          <w:tcPr>
            <w:tcW w:w="8780" w:type="dxa"/>
            <w:vAlign w:val="bottom"/>
            <w:gridSpan w:val="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Market for Registrant’s Common Equity, Related Stockholder Matters and Issuer Purchases of Equity</w:t>
              </w:r>
            </w:hyperlink>
          </w:p>
        </w:tc>
        <w:tc>
          <w:tcPr>
            <w:tcW w:w="1080" w:type="dxa"/>
            <w:vAlign w:val="bottom"/>
            <w:gridSpan w:val="3"/>
            <w:vMerge w:val="restart"/>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26</w:t>
              </w:r>
            </w:hyperlink>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0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30">
              <w:r>
                <w:rPr>
                  <w:rFonts w:ascii="Arial" w:cs="Arial" w:eastAsia="Arial" w:hAnsi="Arial"/>
                  <w:sz w:val="18"/>
                  <w:szCs w:val="18"/>
                  <w:color w:val="0000FF"/>
                </w:rPr>
                <w:t>Securities</w:t>
              </w:r>
            </w:hyperlink>
          </w:p>
        </w:tc>
        <w:tc>
          <w:tcPr>
            <w:tcW w:w="76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380" w:type="dxa"/>
            <w:vAlign w:val="bottom"/>
          </w:tcPr>
          <w:p>
            <w:pPr>
              <w:ind w:left="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6.</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Selected Financial Data</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27</w:t>
              </w:r>
            </w:hyperlink>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7.</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Management’s Discussion and Analysis of Financial Condition and Results of Operations</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28</w:t>
              </w:r>
            </w:hyperlink>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7A.</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Quantitative and Qualitative Disclosures about Market Risk</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54</w:t>
              </w:r>
            </w:hyperlink>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Item 8.</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Financial Statements and Supplementary Data</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55</w:t>
              </w:r>
            </w:hyperlink>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Item 9.</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Changes in and Disagreements with Accountants on Accounting and Financial Disclosure</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55</w:t>
              </w:r>
            </w:hyperlink>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Item 9A.</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Controls and Procedures</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55</w:t>
              </w:r>
            </w:hyperlink>
          </w:p>
        </w:tc>
        <w:tc>
          <w:tcPr>
            <w:tcW w:w="0" w:type="dxa"/>
            <w:vAlign w:val="bottom"/>
          </w:tcPr>
          <w:p>
            <w:pPr>
              <w:spacing w:after="0"/>
              <w:rPr>
                <w:sz w:val="1"/>
                <w:szCs w:val="1"/>
                <w:color w:val="auto"/>
              </w:rPr>
            </w:pPr>
          </w:p>
        </w:tc>
      </w:tr>
      <w:tr>
        <w:trPr>
          <w:trHeight w:val="243"/>
        </w:trPr>
        <w:tc>
          <w:tcPr>
            <w:tcW w:w="1380" w:type="dxa"/>
            <w:vAlign w:val="bottom"/>
          </w:tcPr>
          <w:p>
            <w:pPr>
              <w:ind w:left="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9B.</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Other Information</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56</w:t>
              </w:r>
            </w:hyperlink>
          </w:p>
        </w:tc>
        <w:tc>
          <w:tcPr>
            <w:tcW w:w="0" w:type="dxa"/>
            <w:vAlign w:val="bottom"/>
          </w:tcPr>
          <w:p>
            <w:pPr>
              <w:spacing w:after="0"/>
              <w:rPr>
                <w:sz w:val="1"/>
                <w:szCs w:val="1"/>
                <w:color w:val="auto"/>
              </w:rPr>
            </w:pPr>
          </w:p>
        </w:tc>
      </w:tr>
      <w:tr>
        <w:trPr>
          <w:trHeight w:val="467"/>
        </w:trPr>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0" w:type="dxa"/>
            <w:vAlign w:val="bottom"/>
            <w:gridSpan w:val="2"/>
          </w:tcPr>
          <w:p>
            <w:pPr>
              <w:jc w:val="center"/>
              <w:ind w:right="1020"/>
              <w:spacing w:after="0"/>
              <w:rPr>
                <w:rFonts w:ascii="Arial" w:cs="Arial" w:eastAsia="Arial" w:hAnsi="Arial"/>
                <w:sz w:val="18"/>
                <w:szCs w:val="18"/>
                <w:b w:val="1"/>
                <w:bCs w:val="1"/>
                <w:u w:val="single" w:color="auto"/>
                <w:color w:val="0000FF"/>
                <w:w w:val="95"/>
              </w:rPr>
            </w:pPr>
            <w:hyperlink w:anchor="page60">
              <w:r>
                <w:rPr>
                  <w:rFonts w:ascii="Arial" w:cs="Arial" w:eastAsia="Arial" w:hAnsi="Arial"/>
                  <w:sz w:val="18"/>
                  <w:szCs w:val="18"/>
                  <w:b w:val="1"/>
                  <w:bCs w:val="1"/>
                  <w:u w:val="single" w:color="auto"/>
                  <w:color w:val="0000FF"/>
                  <w:w w:val="95"/>
                </w:rPr>
                <w:t>PART III</w:t>
              </w:r>
            </w:hyperlink>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380" w:type="dxa"/>
            <w:vAlign w:val="bottom"/>
          </w:tcPr>
          <w:p>
            <w:pPr>
              <w:ind w:left="20"/>
              <w:spacing w:after="0"/>
              <w:rPr>
                <w:rFonts w:ascii="Arial" w:cs="Arial" w:eastAsia="Arial" w:hAnsi="Arial"/>
                <w:sz w:val="18"/>
                <w:szCs w:val="18"/>
                <w:color w:val="0000FF"/>
              </w:rPr>
            </w:pPr>
            <w:hyperlink w:anchor="page61">
              <w:r>
                <w:rPr>
                  <w:rFonts w:ascii="Arial" w:cs="Arial" w:eastAsia="Arial" w:hAnsi="Arial"/>
                  <w:sz w:val="18"/>
                  <w:szCs w:val="18"/>
                  <w:u w:val="single" w:color="auto"/>
                  <w:color w:val="0000FF"/>
                </w:rPr>
                <w:t>Item 10</w:t>
              </w:r>
              <w:r>
                <w:rPr>
                  <w:rFonts w:ascii="Arial" w:cs="Arial" w:eastAsia="Arial" w:hAnsi="Arial"/>
                  <w:sz w:val="18"/>
                  <w:szCs w:val="18"/>
                  <w:color w:val="0000FF"/>
                </w:rPr>
                <w:t>.</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Directors, Executive Officers and Corporate Governance</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57</w:t>
              </w:r>
            </w:hyperlink>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rFonts w:ascii="Arial" w:cs="Arial" w:eastAsia="Arial" w:hAnsi="Arial"/>
                <w:sz w:val="18"/>
                <w:szCs w:val="18"/>
                <w:color w:val="0000FF"/>
              </w:rPr>
            </w:pPr>
            <w:hyperlink w:anchor="page61">
              <w:r>
                <w:rPr>
                  <w:rFonts w:ascii="Arial" w:cs="Arial" w:eastAsia="Arial" w:hAnsi="Arial"/>
                  <w:sz w:val="18"/>
                  <w:szCs w:val="18"/>
                  <w:u w:val="single" w:color="auto"/>
                  <w:color w:val="0000FF"/>
                </w:rPr>
                <w:t>Item 11</w:t>
              </w:r>
              <w:r>
                <w:rPr>
                  <w:rFonts w:ascii="Arial" w:cs="Arial" w:eastAsia="Arial" w:hAnsi="Arial"/>
                  <w:sz w:val="18"/>
                  <w:szCs w:val="18"/>
                  <w:color w:val="0000FF"/>
                </w:rPr>
                <w:t>.</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Executive Compensation</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57</w:t>
              </w:r>
            </w:hyperlink>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rFonts w:ascii="Arial" w:cs="Arial" w:eastAsia="Arial" w:hAnsi="Arial"/>
                <w:sz w:val="18"/>
                <w:szCs w:val="18"/>
                <w:color w:val="0000FF"/>
              </w:rPr>
            </w:pPr>
            <w:hyperlink w:anchor="page61">
              <w:r>
                <w:rPr>
                  <w:rFonts w:ascii="Arial" w:cs="Arial" w:eastAsia="Arial" w:hAnsi="Arial"/>
                  <w:sz w:val="18"/>
                  <w:szCs w:val="18"/>
                  <w:u w:val="single" w:color="auto"/>
                  <w:color w:val="0000FF"/>
                </w:rPr>
                <w:t>Item 12</w:t>
              </w:r>
              <w:r>
                <w:rPr>
                  <w:rFonts w:ascii="Arial" w:cs="Arial" w:eastAsia="Arial" w:hAnsi="Arial"/>
                  <w:sz w:val="18"/>
                  <w:szCs w:val="18"/>
                  <w:color w:val="0000FF"/>
                </w:rPr>
                <w:t>.</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Security Ownership of Certain Beneficial Owners and Management and Related Stockholder Matters</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57</w:t>
              </w:r>
            </w:hyperlink>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rFonts w:ascii="Arial" w:cs="Arial" w:eastAsia="Arial" w:hAnsi="Arial"/>
                <w:sz w:val="18"/>
                <w:szCs w:val="18"/>
                <w:color w:val="0000FF"/>
              </w:rPr>
            </w:pPr>
            <w:hyperlink w:anchor="page61">
              <w:r>
                <w:rPr>
                  <w:rFonts w:ascii="Arial" w:cs="Arial" w:eastAsia="Arial" w:hAnsi="Arial"/>
                  <w:sz w:val="18"/>
                  <w:szCs w:val="18"/>
                  <w:u w:val="single" w:color="auto"/>
                  <w:color w:val="0000FF"/>
                </w:rPr>
                <w:t>Item 13</w:t>
              </w:r>
              <w:r>
                <w:rPr>
                  <w:rFonts w:ascii="Arial" w:cs="Arial" w:eastAsia="Arial" w:hAnsi="Arial"/>
                  <w:sz w:val="18"/>
                  <w:szCs w:val="18"/>
                  <w:color w:val="0000FF"/>
                </w:rPr>
                <w:t>.</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Certain Relationships and Related Transactions, and Director Independence</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57</w:t>
              </w:r>
            </w:hyperlink>
          </w:p>
        </w:tc>
        <w:tc>
          <w:tcPr>
            <w:tcW w:w="0" w:type="dxa"/>
            <w:vAlign w:val="bottom"/>
          </w:tcPr>
          <w:p>
            <w:pPr>
              <w:spacing w:after="0"/>
              <w:rPr>
                <w:sz w:val="1"/>
                <w:szCs w:val="1"/>
                <w:color w:val="auto"/>
              </w:rPr>
            </w:pPr>
          </w:p>
        </w:tc>
      </w:tr>
      <w:tr>
        <w:trPr>
          <w:trHeight w:val="243"/>
        </w:trPr>
        <w:tc>
          <w:tcPr>
            <w:tcW w:w="1380" w:type="dxa"/>
            <w:vAlign w:val="bottom"/>
          </w:tcPr>
          <w:p>
            <w:pPr>
              <w:ind w:left="20"/>
              <w:spacing w:after="0"/>
              <w:rPr>
                <w:rFonts w:ascii="Arial" w:cs="Arial" w:eastAsia="Arial" w:hAnsi="Arial"/>
                <w:sz w:val="18"/>
                <w:szCs w:val="18"/>
                <w:color w:val="0000FF"/>
              </w:rPr>
            </w:pPr>
            <w:hyperlink w:anchor="page61">
              <w:r>
                <w:rPr>
                  <w:rFonts w:ascii="Arial" w:cs="Arial" w:eastAsia="Arial" w:hAnsi="Arial"/>
                  <w:sz w:val="18"/>
                  <w:szCs w:val="18"/>
                  <w:u w:val="single" w:color="auto"/>
                  <w:color w:val="0000FF"/>
                </w:rPr>
                <w:t>Item 14</w:t>
              </w:r>
              <w:r>
                <w:rPr>
                  <w:rFonts w:ascii="Arial" w:cs="Arial" w:eastAsia="Arial" w:hAnsi="Arial"/>
                  <w:sz w:val="18"/>
                  <w:szCs w:val="18"/>
                  <w:color w:val="0000FF"/>
                </w:rPr>
                <w:t>.</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Principal Accounting Fees and Services</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57</w:t>
              </w:r>
            </w:hyperlink>
          </w:p>
        </w:tc>
        <w:tc>
          <w:tcPr>
            <w:tcW w:w="0" w:type="dxa"/>
            <w:vAlign w:val="bottom"/>
          </w:tcPr>
          <w:p>
            <w:pPr>
              <w:spacing w:after="0"/>
              <w:rPr>
                <w:sz w:val="1"/>
                <w:szCs w:val="1"/>
                <w:color w:val="auto"/>
              </w:rPr>
            </w:pPr>
          </w:p>
        </w:tc>
      </w:tr>
      <w:tr>
        <w:trPr>
          <w:trHeight w:val="467"/>
        </w:trPr>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0" w:type="dxa"/>
            <w:vAlign w:val="bottom"/>
            <w:gridSpan w:val="2"/>
          </w:tcPr>
          <w:p>
            <w:pPr>
              <w:jc w:val="center"/>
              <w:ind w:right="1020"/>
              <w:spacing w:after="0"/>
              <w:rPr>
                <w:rFonts w:ascii="Arial" w:cs="Arial" w:eastAsia="Arial" w:hAnsi="Arial"/>
                <w:sz w:val="18"/>
                <w:szCs w:val="18"/>
                <w:b w:val="1"/>
                <w:bCs w:val="1"/>
                <w:u w:val="single" w:color="auto"/>
                <w:color w:val="0000FF"/>
                <w:w w:val="98"/>
              </w:rPr>
            </w:pPr>
            <w:hyperlink w:anchor="page61">
              <w:r>
                <w:rPr>
                  <w:rFonts w:ascii="Arial" w:cs="Arial" w:eastAsia="Arial" w:hAnsi="Arial"/>
                  <w:sz w:val="18"/>
                  <w:szCs w:val="18"/>
                  <w:b w:val="1"/>
                  <w:bCs w:val="1"/>
                  <w:u w:val="single" w:color="auto"/>
                  <w:color w:val="0000FF"/>
                  <w:w w:val="98"/>
                </w:rPr>
                <w:t>PART IV</w:t>
              </w:r>
            </w:hyperlink>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380" w:type="dxa"/>
            <w:vAlign w:val="bottom"/>
          </w:tcPr>
          <w:p>
            <w:pPr>
              <w:ind w:left="20"/>
              <w:spacing w:after="0"/>
              <w:rPr>
                <w:rFonts w:ascii="Arial" w:cs="Arial" w:eastAsia="Arial" w:hAnsi="Arial"/>
                <w:sz w:val="18"/>
                <w:szCs w:val="18"/>
                <w:color w:val="0000FF"/>
              </w:rPr>
            </w:pPr>
            <w:hyperlink w:anchor="page62">
              <w:r>
                <w:rPr>
                  <w:rFonts w:ascii="Arial" w:cs="Arial" w:eastAsia="Arial" w:hAnsi="Arial"/>
                  <w:sz w:val="18"/>
                  <w:szCs w:val="18"/>
                  <w:u w:val="single" w:color="auto"/>
                  <w:color w:val="0000FF"/>
                </w:rPr>
                <w:t>Item 15</w:t>
              </w:r>
              <w:r>
                <w:rPr>
                  <w:rFonts w:ascii="Arial" w:cs="Arial" w:eastAsia="Arial" w:hAnsi="Arial"/>
                  <w:sz w:val="18"/>
                  <w:szCs w:val="18"/>
                  <w:color w:val="0000FF"/>
                </w:rPr>
                <w:t>.</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Exhibits, Financial Statement Schedules</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58</w:t>
              </w:r>
            </w:hyperlink>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rFonts w:ascii="Arial" w:cs="Arial" w:eastAsia="Arial" w:hAnsi="Arial"/>
                <w:sz w:val="18"/>
                <w:szCs w:val="18"/>
                <w:color w:val="0000FF"/>
              </w:rPr>
            </w:pPr>
            <w:hyperlink w:anchor="page68">
              <w:r>
                <w:rPr>
                  <w:rFonts w:ascii="Arial" w:cs="Arial" w:eastAsia="Arial" w:hAnsi="Arial"/>
                  <w:sz w:val="18"/>
                  <w:szCs w:val="18"/>
                  <w:u w:val="single" w:color="auto"/>
                  <w:color w:val="0000FF"/>
                </w:rPr>
                <w:t>Item 16</w:t>
              </w:r>
              <w:r>
                <w:rPr>
                  <w:rFonts w:ascii="Arial" w:cs="Arial" w:eastAsia="Arial" w:hAnsi="Arial"/>
                  <w:sz w:val="18"/>
                  <w:szCs w:val="18"/>
                  <w:color w:val="0000FF"/>
                </w:rPr>
                <w:t>.</w:t>
              </w:r>
            </w:hyperlink>
          </w:p>
        </w:tc>
        <w:tc>
          <w:tcPr>
            <w:tcW w:w="8780" w:type="dxa"/>
            <w:vAlign w:val="bottom"/>
            <w:gridSpan w:val="3"/>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Form 10-K Summary</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64</w:t>
              </w:r>
            </w:hyperlink>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8780" w:type="dxa"/>
            <w:vAlign w:val="bottom"/>
            <w:gridSpan w:val="3"/>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Signatures</w:t>
              </w:r>
            </w:hyperlink>
          </w:p>
        </w:tc>
        <w:tc>
          <w:tcPr>
            <w:tcW w:w="1080" w:type="dxa"/>
            <w:vAlign w:val="bottom"/>
            <w:gridSpan w:val="3"/>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65</w:t>
              </w:r>
            </w:hyperlink>
          </w:p>
        </w:tc>
        <w:tc>
          <w:tcPr>
            <w:tcW w:w="0" w:type="dxa"/>
            <w:vAlign w:val="bottom"/>
          </w:tcPr>
          <w:p>
            <w:pPr>
              <w:spacing w:after="0"/>
              <w:rPr>
                <w:sz w:val="1"/>
                <w:szCs w:val="1"/>
                <w:color w:val="auto"/>
              </w:rPr>
            </w:pPr>
          </w:p>
        </w:tc>
      </w:tr>
      <w:tr>
        <w:trPr>
          <w:trHeight w:val="198"/>
        </w:trPr>
        <w:tc>
          <w:tcPr>
            <w:tcW w:w="1380" w:type="dxa"/>
            <w:vAlign w:val="bottom"/>
          </w:tcPr>
          <w:p>
            <w:pPr>
              <w:spacing w:after="0"/>
              <w:rPr>
                <w:sz w:val="17"/>
                <w:szCs w:val="17"/>
                <w:color w:val="auto"/>
              </w:rPr>
            </w:pPr>
          </w:p>
        </w:tc>
        <w:tc>
          <w:tcPr>
            <w:tcW w:w="8780" w:type="dxa"/>
            <w:vAlign w:val="bottom"/>
            <w:gridSpan w:val="3"/>
          </w:tcPr>
          <w:p>
            <w:pPr>
              <w:spacing w:after="0" w:line="198" w:lineRule="exact"/>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Index to Consolidated Financial Statements</w:t>
              </w:r>
            </w:hyperlink>
          </w:p>
        </w:tc>
        <w:tc>
          <w:tcPr>
            <w:tcW w:w="1080" w:type="dxa"/>
            <w:vAlign w:val="bottom"/>
            <w:gridSpan w:val="3"/>
          </w:tcPr>
          <w:p>
            <w:pPr>
              <w:jc w:val="right"/>
              <w:spacing w:after="0" w:line="198" w:lineRule="exact"/>
              <w:rPr>
                <w:rFonts w:ascii="Arial" w:cs="Arial" w:eastAsia="Arial" w:hAnsi="Arial"/>
                <w:sz w:val="18"/>
                <w:szCs w:val="18"/>
                <w:color w:val="auto"/>
              </w:rPr>
            </w:pPr>
            <w:r>
              <w:rPr>
                <w:rFonts w:ascii="Arial" w:cs="Arial" w:eastAsia="Arial" w:hAnsi="Arial"/>
                <w:sz w:val="18"/>
                <w:szCs w:val="18"/>
                <w:color w:val="auto"/>
              </w:rPr>
              <w:t>F-</w:t>
            </w:r>
            <w:hyperlink w:anchor="page69">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1229"/>
        </w:trPr>
        <w:tc>
          <w:tcPr>
            <w:tcW w:w="1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 LOOKING STATEMENTS</w:t>
      </w: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Annual Report on Form 10-K (“Form 10-K”)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10-K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179" w:lineRule="exact"/>
        <w:rPr>
          <w:sz w:val="20"/>
          <w:szCs w:val="20"/>
          <w:color w:val="auto"/>
        </w:rPr>
      </w:pPr>
    </w:p>
    <w:p>
      <w:pPr>
        <w:ind w:left="660" w:hanging="328"/>
        <w:spacing w:after="0" w:line="29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risks related to our ability to operate and control our satellites, operational and environmental risks related to our owned and leased satellites, and risks related to our satellites under construction;</w:t>
      </w:r>
    </w:p>
    <w:p>
      <w:pPr>
        <w:spacing w:after="0" w:line="36"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engage in order to operate our business, to operate as a result of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and/or realize benefits of our investments and other strategic initiatives;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legal proceedings relating to the BSS Transaction or other matters that could result in substantial costs and material adverse effects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foreign operations and other uncertainties associated with doing business internationally;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dependency upon third-party providers;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human capital resources.</w:t>
      </w:r>
    </w:p>
    <w:p>
      <w:pPr>
        <w:spacing w:after="0" w:line="3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in Part I, Item 1A. Risk Factors and Item 7. Management’s Discussion and Analysis of Financial Condition and Results of Operations of this Form 10-K and those discussed in other documents we file with the Securities and Exchange Commission (“SEC”).</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196"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 “our”) is a holding company that was organized in October 2007 as a corporation under the laws of the State of Nevada and has operated as a separately traded public company from DISH Network Corporation (“DISH”) since 2008. A substantial majority of the voting power of the shares of each of EchoStar Corporation and DISH is owned beneficially by Charles W. Ergen, our Chairman, and by certain entities established for the benefit of his family. Our Class A common stock is publicly traded on the NASDAQ Global Select Market (“NASDAQ”) under the symbol “SATS.”</w:t>
      </w:r>
    </w:p>
    <w:p>
      <w:pPr>
        <w:spacing w:after="0" w:line="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The current COVID-19 pandemic has made even more evident the worldwide need and demand for connectivity and communications to facilitate an ever-increasing virtual global community and workplace. In addition to fiber and wireless systems, technologies such as geostationary high throughput satellites, low-earth orbit (“LEO”) networks, medium-earth orbit (“MEO”) systems, balloons and High Altitude Platform Systems are expected to continue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currently operate in two business segments: Hughes and ESS. These segments are consistent with the way we make decisions regarding the allocation of resources, as well as how operating results are reviewed by our chief operating decision maker, who is the Company’s Chief Executive Officer.</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operations also include various corporate departments (primarily Executive, Treasury, Strategic Development, Human Resources, IT,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Corporate and Other in our segment reporting.</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(together with DISH, “DISH Network”) and our joint venture Dish Mexico, S. de R.L. de C.V. (“Dish Mexico”) and its subsidiaries,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BSS Transaction, we and DISH Network agreed to indemnify each other against certain losses with respect to breaches of certain representations and covenants and certain retained and assumed liabilities, respectively. Additionally, we and DISH and certain of our and their subsidiaries (i) entered into certain customary agreements covering, among other things, matters relating to taxes, employees, intellectual property and the provision of transitional services; (ii) terminated certain previously existing agreements; and (iii) amended certain existing agreements and entered into certain new agreements pursuant to which we and DISH Network will obtain and provide certain products, services and rights from and to each other.</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BSS Transaction was structured in a manner intended to be tax-free to us and our stockholders for U.S. federal income tax purposes and was accounted for as a spin-off to our shareholders as we did not receive any consideration. Following the consummation of the BSS Transaction, we no longer operate the BSS Business, which was a substantial portion of our ESS segment. As a result of the BSS Transaction, the financial results of the BSS Business, except for certain real estate that transferred in the transaction, are presented as discontinued operations and, as such, excluded from continuing operations and segment results for all periods presented in our accompanying Consolidated Financial Statements and notes thereto in Item 15 of this Form 10-K (“Accompanying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See Note 5 in our Accompanying Consolidated Financial Statements for further detail of our discontinued operations.</w:t>
      </w:r>
    </w:p>
    <w:p>
      <w:pPr>
        <w:spacing w:after="0" w:line="2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Accompanying Consolidated Financial Statements have been prepared in accordance with generally accepted accounting principles in the United States (“U.S. GAAP”). All amounts reference results from continuing operations unless otherwise noted and are expressed in thousands of U.S. dollars, except share and per share amounts and unless otherwise noted. Additionally, certain prior period amounts have been adjusted to conform to the current period presentation.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Capitalize on domestic and international demand for broadband services</w:t>
      </w:r>
      <w:r>
        <w:rPr>
          <w:rFonts w:ascii="Arial" w:cs="Arial" w:eastAsia="Arial" w:hAnsi="Arial"/>
          <w:sz w:val="18"/>
          <w:szCs w:val="18"/>
          <w:color w:val="auto"/>
        </w:rPr>
        <w:t>. We intend to capitalize on the domestic and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demand for satellite-delivered broadband internet services and enterprise solutions by utilizing, among other things, our industry expertise, technology leadership, increased satellite capacity, access to spectrum resources, licenses and high-quality, reliable service to drive growth in consumer subscribers and enterprise customers. We also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market share, increase our satellite capacity, expand into new markets, obtain new customers, broaden our portfolio of services, products and intellectual property, make our business more valuable, align us for future growth and expansion, maximize the return on our investments and strengthen our business and relationships with our customers.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Expand satellite capacity and related infrastructure. </w:t>
      </w:r>
      <w:r>
        <w:rPr>
          <w:rFonts w:ascii="Arial" w:cs="Arial" w:eastAsia="Arial" w:hAnsi="Arial"/>
          <w:sz w:val="18"/>
          <w:szCs w:val="18"/>
          <w:color w:val="auto"/>
        </w:rPr>
        <w:t>During 2020, we continued the design and construction of a new, next-generation,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 throughput geostationary satellite, with an expected launch in the second half of 2022, that is primarily intended to provide additional capacity for our HughesNet satellite internet service (the “HughesNet service”) in North, Central and South America as well as enterprise services. We expect that our expertise in the identification, acquisition and development of satellite spectrum and orbital rights and satellite operations, together with our increased satellite capacity and existing, acquired or developed infrastructure, will continue to provide opportunities in domestic and international markets to enhance services to our existing and additional customers. We intend to continue to provide services to a broad customer base, including providers of satellite-delivered broadband, corporate communications and government services.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Continue to selectively explore new domestic and international strategic initiatives</w:t>
      </w:r>
      <w:r>
        <w:rPr>
          <w:rFonts w:ascii="Arial" w:cs="Arial" w:eastAsia="Arial" w:hAnsi="Arial"/>
          <w:sz w:val="18"/>
          <w:szCs w:val="18"/>
          <w:color w:val="auto"/>
        </w:rPr>
        <w:t>. We intend to continue to selectively explore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markets and new customers, broaden our portfolio of services, products and intellectual property and strengthen our relationships with our customers. For example, our joint ventures with Al Yah Satellite Communications Company PrJSC (“Yahsat”) enable us to provide satellite broadband services across Africa, the Middle East and southwest Asia and expand our broadband internet services and enterprise solutions in Brazil.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Continue development of S-band and other hybrid spectrum resources. </w:t>
      </w:r>
      <w:r>
        <w:rPr>
          <w:rFonts w:ascii="Arial" w:cs="Arial" w:eastAsia="Arial" w:hAnsi="Arial"/>
          <w:sz w:val="18"/>
          <w:szCs w:val="18"/>
          <w:color w:val="auto"/>
        </w:rPr>
        <w:t>We intend to continue to explore the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deployment of S-band technologies that we expect will reduce the cost of satellite communications for internet of things, machine-to-machine communications, public protection, disaster relief and other end-to-end services worldwide and the integration of our products and services into new global, hybrid networks that leverage multiple satellites and terrestrial technologies. We believe we remain in a unique position to deploy a mobile satellite service (“MSS”) and complementary ground component (“CGC”) network in the European Union and its member states (“E.U.”), the United Kingdom (“U.K.”) and other European countries through our EchoStar XXI satellite, which was placed into service in November 2017, and the EUTELSAT 10A payload. We have positioned ourselves to continue to develop the S-band spectrum globally by acquiring Sirion Global Pty Ltd., which we have renamed EchoStar Global Australia Pty Ltd (“EchoStar Global”), which holds global S-band non-geostationary satellite spectrum rights for MSS. Additionally, we entered into a contract with Tyvak Nano-Satellite Systems, Inc. for the design and construction of S-band nano-satellites. We launched two nano-satellites in the third quarter of 2020. Following launch, both nano-satellites experienced technical anomalies that precluded them from fulfilling their intended regulatory milestone missions. We intend to seek milestone relief due to these force majeure events. We expect to launch our third nano-satellite in 2021. Our nano-satellites are designed to facilitate our continued growth in the global S-band market and enable us to leverage our acquisition of EchoStar Global. In addition, in Mexico we hold licenses for S-band MSS and terrestrial services.</w:t>
      </w:r>
    </w:p>
    <w:p>
      <w:pPr>
        <w:spacing w:after="0" w:line="18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Develop improved and new technologies</w:t>
      </w:r>
      <w:r>
        <w:rPr>
          <w:rFonts w:ascii="Arial" w:cs="Arial" w:eastAsia="Arial" w:hAnsi="Arial"/>
          <w:sz w:val="18"/>
          <w:szCs w:val="18"/>
          <w:color w:val="auto"/>
        </w:rPr>
        <w:t>. Our engineering capabilities provide us with the opportunity to develop and deploy cutting 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license our technologies to others and maintain a leading technological position in the industries in which we are active.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Hughes segment is a global provider of broadband satellite technologies and broadband internet services to consumer customers and broadband network technologies, managed services, equipment, hardware, satellite services and communications solutions to consumer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incorporate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focus our efforts on growing our consumer revenue by maximizing utilization of our existing satellites while planning for new satellites to be launched or acquired. Our consumer revenue growth depends on our success in adding new and retaining existing subscribers across wholesale and retail channels, as well as increasing our Average Revenue Per User/subscriber (“ARPU”). Service costs related to ongoing support for our direct and indirect customers and partners are typically impacted most significantly by our growth. The growth of our enterprise businesses relies heavily on global economic conditions and the competitive landscape for pricing relative to competitors and alternative technologies. We have seen a limited number of our enterprise customers file for bankruptcy protection. We have reserved an amount related to pre-petition receivables and are working closely with these customers on providing post-petition services and products, as well as working with the customer regarding collection of pre-petition amounts.</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Hughes segment currently uses capacity from three of our satellites (the SPACEWAY 3 satellite, the EchoStar XVII satellite and the EchoStar XIX satellite), our Al Yah 3 Brazilian payload and additional satellite capacity acquired from third-party providers to provide services to our customers. Growth of our consumer subscriber base in the U.S. continues to be constrained where we are nearing or have reached maximum capacity in most areas. While these constraints are not expected to be resolved until we launch new satellites, we continue to focus on revenue growth in all areas and consumer subscriber growth in the areas where we have available capacity.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May 2019, we entered into an agreement with Al Yah Satellite Communications Company PrJSC (“Yahsat”) pursuant to which, in November 2019, Yahsat contributed its satellite communications services business in Brazil to one of our Brazilian subsidiaries in exchange for a 20% ownership interest in that subsidiary. The combined business provides broadband internet services and enterprise solutions in Brazil using the Telesat T19V satellite, the Eutelsat 65W satellite and Yahsat’s Al Yah 3 satellite. Under the terms of the agreement, Yahsat may also acquire, for further cash investments, additional minority ownership interests in the business in the future provided certain conditions are met.</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May 2019, we also entered into an agreement with Bharti Airtel Limited (“BAL”) and its subsidiary, Bharti Airtel Services Limited (together with BAL, “Bharti”), pursuant to which Bharti will contribute its very small aperture terminal (“VSAT”) telecommunications services and hardware business in India to our two existing Indian subsidiaries that conduct our VSAT services and hardware business. The combined entities will provide broadband satellite and hybrid solutions for enterprise networks. Upon consummation of the transaction, Bharti will have a 33% ownership interest in the combined business. The completion of the transaction is subject to customary regulatory approvals and closing conditions. No assurance can be given that the transaction will be consummated on the terms agreed to or at all.</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August 2018, we entered into an agreement with Yahsat to establish a new entity, Broadband Connectivity Solutions (Restricted) Limited (together with its subsidiaries, “BCS”), to provide commercial Ka-band satellite broadband services across Africa, the Middle East and southwest Asia operating over Yahsat's Al Yah 2 and Al Yah 3 Ka-band satellites. The transaction was consummated in December 2018 when we invested $100.0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2017, we entered into a long-term contract for the design and construction of the EchoStar XXIV satellite, a new, next-generation, high throughput geostationary satellite. The EchoStar XXIV satellite is primarily intended to provide additional capacity for our HughesNet service in North, Central and South America as well as enterprise broadband services. Maxar Space, LLC (formerly Space Systems/Loral, LLC), the manufacturer of our EchoStar XXIV satellite, has notified us of a delay in completion of the satellite. The EchoStar XXIV satellite is expected to be launched in the second half of 2022. Further delays or impediments could have a material adverse impact on our business operations, future revenues, financial position and prospects, the completion of manufacture of the EchoStar XXIV satellite and our planned expansion of satellite broadband services throughout North, South and Central America. In December 2020, we entered into an agreement with a launch provider for the launch of EchoStar XXIV. Capital expenditures associated with the construction and launch of the EchoStar XXIV satellite are included in Corporate and Other in our segment reporting.</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continue our efforts to expand our consumer satellite services business outside of the U.S. We have been delivering high-speed consumer satellite broadband services in Brazil since July 2016 and are also providing satellite broadband internet service in several other Latin American countries. Additionally, in September 2015, we entered into 15-year agreements with affiliates of Telesat Canada for Ka-band capacity on the Telesat T19V satellite located at the 63 degree west longitude orbital location, which was launched in July 2018. Telesat T19V was placed in service during the fourth quarter of 2018 and augmented the capacity being provided by the EUTELSAT 65 West A satellite and the EchoStar XIX satellite in South America.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enterprise customers include, but are not limited to, lottery agencies, gas station operators, aircraft connectivity providers and companies with multi-branch networks that rely on satellite or terrestrial networks for critical communication across wide geographies. Most of our enterprise customers have contracts with us for the services they purchase. Our Hughes segment also designs, provides and installs gateway and terminal equipment to customers for other satellite systems and provides satellite ground segment systems and terminals for other satellite systems, including mobile system operators. Developments toward the launch of next-generation satellite systems, including LEO, MEO and geostationary systems, could provide additional opportunities to drive the demand for our equipment, hardware, technology and services.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industry is highly competitive. As a global provider of network technologies, products and services, our Hughes segment competes with a large number of telecommunications service providers, which puts pressure on prices and margins. To compete effectively, we emphasize our network quality, customization capability, offering of networks as a turnkey managed service, position as a single point of contact for products and services and competitive prices.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consumer broadband satellite technologies and internet services markets, we compete against traditional telecommunications and wireless carriers, other satellite internet providers, as well as digital subscriber line (“DSL”), fiber and cable internet service providers offering competitive services in the markets we seek to serve. Cost, speed and accessibility are key determining factors in the selection of a service provider by the consumer. In addition, government subsidies, such as the FCC’s Rural Development Opportunity Fund can have the effect of subsidizing the growth of our wired, wireless and satellite competitors. Our primary satellite competitor in our North American consumer market is ViaSat Communications, Inc., which is owned by ViaSat, Inc. (“ViaSat”). ViaSat has also announced plans to enter the South and Central American consumer markets. We seek to differentiate ourselves based on the ubiquitous availability of our service, quality, proprietary technology, and distribution channels.</w:t>
      </w:r>
    </w:p>
    <w:p>
      <w:pPr>
        <w:spacing w:after="0" w:line="17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 our enterprise markets, we compete against providers of satellite-based and terrestrial-based networks, including fiber, DSL, cable modem service, multiprotocol label switching and internet protocol-based virtual private networks.</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principal competitors for the supply of very-small-aperture terminal satellite networks are Gilat Satellite Networks Ltd, ViaSat, and ST Engineering iDirect, Inc. To differentiate ourselves from our competitors, we emphasize particular technological features of our products and services, our ability to customize networks and perform desired development work and the quality of our customer service. We also face competition from resellers and numerous local companies who purchase equipment and sell services to local customers, including domestic and international telecommunications operators, cable companies and other major carriers.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products in our Hughes segment are assembled at our facilities in Maryland and we outsource a significant portion of the manufacturing of our products to third parties. We believe that the manufacturing facilities used by our Hughes segment have sufficient capacity to handle current demand. We adjust our capacity based on our production requirements. We also work with third-party vendors for the development and manufacture of components that are integrated into our products. We develop dual sourcing capabilities for critical parts when practical and we evaluate outsourced subcontract vendors on a periodic basis. Our operations group, together with our engineering group, works with our vendors and subcontractors to reduce development costs, to increase production efficiency, and to obtain components at lower prices.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 Our ESS segment, like others in the fixed satellite services industry, has encountered, and may continue to encounter, negative pressure on transponder rates and demand.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Our satellite capacity is currently used by our customers for a variety of applications, including:</w:t>
      </w:r>
    </w:p>
    <w:p>
      <w:pPr>
        <w:spacing w:after="0" w:line="31" w:lineRule="exact"/>
        <w:rPr>
          <w:sz w:val="20"/>
          <w:szCs w:val="20"/>
          <w:color w:val="auto"/>
        </w:rPr>
      </w:pPr>
    </w:p>
    <w:p>
      <w:pPr>
        <w:ind w:left="660" w:hanging="328"/>
        <w:spacing w:after="0" w:line="26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Fixed Satellite Services (“FSS”)</w:t>
      </w:r>
      <w:r>
        <w:rPr>
          <w:rFonts w:ascii="Arial" w:cs="Arial" w:eastAsia="Arial" w:hAnsi="Arial"/>
          <w:sz w:val="18"/>
          <w:szCs w:val="18"/>
          <w:color w:val="auto"/>
        </w:rPr>
        <w:t>. We provide satellite services to broadcast news organizations, internet service providers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content providers who use our satellites to deliver programming and internet. Our</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left="660" w:right="20"/>
        <w:spacing w:after="0" w:line="292" w:lineRule="auto"/>
        <w:rPr>
          <w:sz w:val="20"/>
          <w:szCs w:val="20"/>
          <w:color w:val="auto"/>
        </w:rPr>
      </w:pPr>
      <w:r>
        <w:rPr>
          <w:rFonts w:ascii="Arial" w:cs="Arial" w:eastAsia="Arial" w:hAnsi="Arial"/>
          <w:sz w:val="18"/>
          <w:szCs w:val="18"/>
          <w:color w:val="auto"/>
        </w:rPr>
        <w:t>satellites are also used for the transmission of live sporting events, internet access, disaster recovery and satellite news gathering services.</w:t>
      </w:r>
    </w:p>
    <w:p>
      <w:pPr>
        <w:spacing w:after="0" w:line="14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Government Services</w:t>
      </w:r>
      <w:r>
        <w:rPr>
          <w:rFonts w:ascii="Arial" w:cs="Arial" w:eastAsia="Arial" w:hAnsi="Arial"/>
          <w:sz w:val="18"/>
          <w:szCs w:val="18"/>
          <w:color w:val="auto"/>
        </w:rPr>
        <w:t>. We provide satellite and technical services to U.S. government service providers.</w:t>
      </w:r>
    </w:p>
    <w:p>
      <w:pPr>
        <w:spacing w:after="0" w:line="225"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Network Services</w:t>
      </w:r>
      <w:r>
        <w:rPr>
          <w:rFonts w:ascii="Arial" w:cs="Arial" w:eastAsia="Arial" w:hAnsi="Arial"/>
          <w:sz w:val="18"/>
          <w:szCs w:val="18"/>
          <w:color w:val="auto"/>
        </w:rPr>
        <w:t>. We provide satellite services to companies for private networks that allow delivery of video and data services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communications. Our satellites can be used for point-to-point or point to multi-point communications.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ESS segment competes against larger, well-established satellite service companies, such as Intelsat S.A., SES S.A., Telesat and Eutelsat Communications S.A., in an industry that is characterized by long-term contracts and high costs for customers to change service providers. Several of our competitors maintain key North American and other international orbital slots that may further limit our ability to compete and offer competitive pricing.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OPPORTUNITIES</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satellite and other technologies, markets and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SATELLITE FLEET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satellite fleet as of December 31, 2020 consists of both owned and leased satellites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Nominal Degree</w:t>
            </w: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Depreciable Life</w:t>
            </w:r>
          </w:p>
        </w:tc>
        <w:tc>
          <w:tcPr>
            <w:tcW w:w="0" w:type="dxa"/>
            <w:vAlign w:val="bottom"/>
          </w:tcPr>
          <w:p>
            <w:pPr>
              <w:spacing w:after="0"/>
              <w:rPr>
                <w:sz w:val="1"/>
                <w:szCs w:val="1"/>
                <w:color w:val="auto"/>
              </w:rPr>
            </w:pPr>
          </w:p>
        </w:tc>
      </w:tr>
      <w:tr>
        <w:trPr>
          <w:trHeight w:val="175"/>
        </w:trPr>
        <w:tc>
          <w:tcPr>
            <w:tcW w:w="3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Satellite</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Segment</w:t>
            </w: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Launch Date</w:t>
            </w:r>
          </w:p>
        </w:tc>
        <w:tc>
          <w:tcPr>
            <w:tcW w:w="19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Orbital Location</w:t>
            </w: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60" w:type="dxa"/>
            <w:vAlign w:val="bottom"/>
            <w:gridSpan w:val="2"/>
            <w:vMerge w:val="continue"/>
          </w:tcPr>
          <w:p>
            <w:pPr>
              <w:spacing w:after="0"/>
              <w:rPr>
                <w:sz w:val="19"/>
                <w:szCs w:val="19"/>
                <w:color w:val="auto"/>
              </w:rPr>
            </w:pPr>
          </w:p>
        </w:tc>
        <w:tc>
          <w:tcPr>
            <w:tcW w:w="2240" w:type="dxa"/>
            <w:vAlign w:val="bottom"/>
            <w:gridSpan w:val="2"/>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(Longitude)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7"/>
              </w:rPr>
              <w:t>(In Years)</w:t>
            </w:r>
          </w:p>
        </w:tc>
        <w:tc>
          <w:tcPr>
            <w:tcW w:w="0" w:type="dxa"/>
            <w:vAlign w:val="bottom"/>
          </w:tcPr>
          <w:p>
            <w:pPr>
              <w:spacing w:after="0"/>
              <w:rPr>
                <w:sz w:val="1"/>
                <w:szCs w:val="1"/>
                <w:color w:val="auto"/>
              </w:rPr>
            </w:pPr>
          </w:p>
        </w:tc>
      </w:tr>
      <w:tr>
        <w:trPr>
          <w:trHeight w:val="223"/>
        </w:trPr>
        <w:tc>
          <w:tcPr>
            <w:tcW w:w="3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SPACEWAY 3 </w:t>
            </w:r>
            <w:r>
              <w:rPr>
                <w:rFonts w:ascii="Arial" w:cs="Arial" w:eastAsia="Arial" w:hAnsi="Arial"/>
                <w:sz w:val="23"/>
                <w:szCs w:val="23"/>
                <w:color w:val="auto"/>
                <w:vertAlign w:val="superscript"/>
              </w:rPr>
              <w:t>(1)</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2007</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95 W</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EchoStar XVII</w:t>
            </w:r>
          </w:p>
        </w:tc>
        <w:tc>
          <w:tcPr>
            <w:tcW w:w="2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July 2012</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107 W</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EchoStar XIX</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December 2016</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rPr>
              <w:t>97.1 W</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Al Yah 3 </w:t>
            </w:r>
            <w:r>
              <w:rPr>
                <w:rFonts w:ascii="Arial" w:cs="Arial" w:eastAsia="Arial" w:hAnsi="Arial"/>
                <w:sz w:val="23"/>
                <w:szCs w:val="23"/>
                <w:color w:val="auto"/>
                <w:vertAlign w:val="superscript"/>
              </w:rPr>
              <w:t>(2)</w:t>
            </w:r>
          </w:p>
        </w:tc>
        <w:tc>
          <w:tcPr>
            <w:tcW w:w="2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January 2018</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20 W</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EchoStar IX </w:t>
            </w:r>
            <w:r>
              <w:rPr>
                <w:rFonts w:ascii="Arial" w:cs="Arial" w:eastAsia="Arial" w:hAnsi="Arial"/>
                <w:sz w:val="23"/>
                <w:szCs w:val="23"/>
                <w:color w:val="auto"/>
                <w:vertAlign w:val="superscript"/>
              </w:rPr>
              <w:t>(3)</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ESS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2003</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121 W</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EUTELSAT 10A (“W2A”) </w:t>
            </w:r>
            <w:r>
              <w:rPr>
                <w:rFonts w:ascii="Arial" w:cs="Arial" w:eastAsia="Arial" w:hAnsi="Arial"/>
                <w:sz w:val="23"/>
                <w:szCs w:val="23"/>
                <w:color w:val="auto"/>
                <w:vertAlign w:val="superscript"/>
              </w:rPr>
              <w:t>(4)</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Corporate and Other</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April 2009</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10 E</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EchoStar XXI</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Corporate and Other</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June 2017</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10.25 E</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Eutelsat 65 West A</w:t>
            </w:r>
          </w:p>
        </w:tc>
        <w:tc>
          <w:tcPr>
            <w:tcW w:w="2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March 2016</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65 W</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Telesat T19V</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July 2018</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63 W</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EchoStar 105/SES-11</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ESS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October 2017</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105 W</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line="254" w:lineRule="auto"/>
        <w:tabs>
          <w:tab w:leader="none" w:pos="478" w:val="left"/>
        </w:tabs>
        <w:numPr>
          <w:ilvl w:val="0"/>
          <w:numId w:val="5"/>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its acquisition of Hughes Communications, Inc. (“Hughes Communication”) and its subsidiaries (the “Hughes Acquisition”).</w:t>
      </w:r>
    </w:p>
    <w:p>
      <w:pPr>
        <w:spacing w:after="0" w:line="1" w:lineRule="exact"/>
        <w:rPr>
          <w:rFonts w:ascii="Arial" w:cs="Arial" w:eastAsia="Arial" w:hAnsi="Arial"/>
          <w:sz w:val="14"/>
          <w:szCs w:val="14"/>
          <w:color w:val="auto"/>
        </w:rPr>
      </w:pPr>
    </w:p>
    <w:p>
      <w:pPr>
        <w:ind w:left="340" w:hanging="332"/>
        <w:spacing w:after="0" w:line="241" w:lineRule="auto"/>
        <w:tabs>
          <w:tab w:leader="none" w:pos="232" w:val="left"/>
        </w:tabs>
        <w:numPr>
          <w:ilvl w:val="0"/>
          <w:numId w:val="5"/>
        </w:numPr>
        <w:rPr>
          <w:rFonts w:ascii="Arial" w:cs="Arial" w:eastAsia="Arial" w:hAnsi="Arial"/>
          <w:sz w:val="14"/>
          <w:szCs w:val="14"/>
          <w:color w:val="auto"/>
        </w:rPr>
      </w:pPr>
      <w:r>
        <w:rPr>
          <w:rFonts w:ascii="Arial" w:cs="Arial" w:eastAsia="Arial" w:hAnsi="Arial"/>
          <w:sz w:val="14"/>
          <w:szCs w:val="14"/>
          <w:color w:val="auto"/>
        </w:rPr>
        <w:t>Upon consummation of our joint venture with Yahsat in Brazil in November 2019, we acquired the Brazilian Ka-band payload on this satellite. Depreciable life represents the remaining useful life of the payload as of November 2019.</w:t>
      </w: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own the Ka-band and Ku-band payloads on this satellite.</w:t>
      </w:r>
    </w:p>
    <w:p>
      <w:pPr>
        <w:spacing w:after="0" w:line="1" w:lineRule="exact"/>
        <w:rPr>
          <w:rFonts w:ascii="Arial" w:cs="Arial" w:eastAsia="Arial" w:hAnsi="Arial"/>
          <w:sz w:val="14"/>
          <w:szCs w:val="14"/>
          <w:color w:val="auto"/>
        </w:rPr>
      </w:pPr>
    </w:p>
    <w:p>
      <w:pPr>
        <w:ind w:left="340" w:right="20" w:hanging="332"/>
        <w:spacing w:after="0" w:line="264" w:lineRule="auto"/>
        <w:tabs>
          <w:tab w:leader="none" w:pos="406"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acquired the S-band payload on this satellite in December 2013. Prior to acquisition, the S-band payload experienced an anomaly at the time of launch and, as a result, is not fully operational.</w:t>
      </w:r>
    </w:p>
    <w:p>
      <w:pPr>
        <w:spacing w:after="0" w:line="158"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Construction in progress as of December 31, 2020 included our EchoStar XXIV satellite, which is expected to be launched in the second half of 2022, and an S-band nano-satellite expected to be launched in 2021.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Anomalies and Impairments</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effect on their remaining useful lives, the commercial operation of the satellites or our operating results or financial position. We are not aware of any anomalies with respect to our owned or leased satellites that have had any such significant adverse effect during the year ended December 31, 2020. There can be no assurance, however, that anomalies will not have any such adverse effects in the future. In addition, there can be no assurance that we can recover critical transmission capacity in the event one or more of our satellites were to fail.</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the agreements governing certain portions of our long-term debt and our joint venture agreements with Yahsat, we are required, subject to certain limitations on coverage, to maintain only for the SPACEWAY 3 satellite, the EchoStar XVII satellite and the Al Yah 3 Brazilian payload, insurance or other contractual arrangements during the commercial in-orbit service of such satellite or payload. Our other satellites and payloads, either in orbit or under construction, are not covered by launch or in-orbit insurance or other contractual arrangements. We will continue to assess circumstances going forward and make insurance-related decisions on a case-by-case basis.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evaluate our satellites for impairment and test for recoverability whenever events or changes in circumstances indicate that their carrying amount may not be recoverable. Certain of the anomalies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2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subject to telecommunications regulation by a number of regulatory bodies including the FCC, other U.S. federal and state regulators, the International Telecommunications Union (“ITU”) and regulators in other countries and regions where we hold licenses including the E.U., the U.K., India, Australia and several Latin American countries. In addition, we are also subject to the export control laws and regulations and trade sanctions laws and regulations of the U.S. and other countries with respect to the export of telecommunications equipment and services. In addition, in the U.S. and some other countries we are subject to country specific approvals of our products. Depending upon the circumstances, non-compliance with applicable legislation or regulations could result in suspension or revocation of our licenses or authorizations, the termination or loss of contracts or the imposition of contractual damages, civil fines or criminal penalties.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following summary of regulations and legislation is not intended to describe all present and proposed government regulation and legislation affecting our business. Government regulations that are currently the subject of judicial or administrative proceedings, draft legislation or administrative proposals could impact us and our industries to varying degrees. The FCC and other regulators from time to time initiate proceedings that could adversely impact our satellite operations, including spectrum usage. We cannot predict either the outcome of these proceedings or proposals or any potential impact they might have on the industry or on our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Regulations Applicable to Our Operations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FCC Jurisdiction over Satellite and Terrestrial Operations</w:t>
      </w:r>
      <w:r>
        <w:rPr>
          <w:rFonts w:ascii="Arial" w:cs="Arial" w:eastAsia="Arial" w:hAnsi="Arial"/>
          <w:sz w:val="18"/>
          <w:szCs w:val="18"/>
          <w:color w:val="auto"/>
        </w:rPr>
        <w:t>. Non-governmental bodies, including commercial entities, that use radio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frequencies to provide communications services to, from or within the U.S. are subject to the jurisdiction of the FCC under the Communications Act of 1934, as amended (the “Communications Act”). The Communications Act gives the FCC regulatory jurisdiction over many areas relating to communications operations, including:</w:t>
      </w:r>
    </w:p>
    <w:p>
      <w:pPr>
        <w:spacing w:after="0" w:line="169" w:lineRule="exact"/>
        <w:rPr>
          <w:sz w:val="20"/>
          <w:szCs w:val="20"/>
          <w:color w:val="auto"/>
        </w:rPr>
      </w:pPr>
    </w:p>
    <w:p>
      <w:pPr>
        <w:ind w:left="660" w:hanging="328"/>
        <w:spacing w:after="0" w:line="29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assignment of satellite radio frequencies and orbital locations to specific services and companies, the licensing of satellites and earth stations and the granting of related authorizations;</w:t>
      </w:r>
    </w:p>
    <w:p>
      <w:pPr>
        <w:spacing w:after="0" w:line="9"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for the relocation of satellites to different orbital locations, the replacement of a satellite with another new or existing satellite and the authorization of specific earth stations to communicate with such newly relocated satellites;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ensuring compliance with the terms and conditions of assignments, licenses, authorizations and approvals;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avoiding harmful interference with other radio frequency emitters;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ensuring compliance with other applicable provisions of the Communications Act and FCC rules and regulations.</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All satellite licenses issued by the FCC are subject to expiration unless extended by the FCC. Our U.S. FSS licenses generally have 15 year terms. We hold licenses and authorizations for satellite and earth stations as well as other services. To obtain and operate under such FCC licenses and authorizations, we must satisfy legal, technical qualification requirements and other conditions including, among other things, satisfaction of certain technical and ongoing due diligence obligations, maintaining bonds, payment of annual regulatory fees and various reporting requirements.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Telecommunications Regulation. </w:t>
      </w:r>
      <w:r>
        <w:rPr>
          <w:rFonts w:ascii="Arial" w:cs="Arial" w:eastAsia="Arial" w:hAnsi="Arial"/>
          <w:sz w:val="18"/>
          <w:szCs w:val="18"/>
          <w:color w:val="auto"/>
        </w:rPr>
        <w:t>Many of the services we provide are also subject to FCC regulation as telecommunications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certain services in the U.S., we are required to contribute fees, computed as a percentage of our revenue from telecommunications services to the Universal Service Fund (“USF”) to support mechanisms that subsidize the provision of services to low-income consumers, high-cost areas, schools, libraries and rural health care providers. Current FCC rules permit us to pass this USF contribution through to our customers. The FCC also requires broadband internet access and internet telephony service providers to comply with the requirements of the Federal Communications Assistance for Law Enforcement Act, which generally requires telecommunications carriers to ensure that law enforcement agencies are able to conduct lawfully-authorized surveillance of users of their services. In addition, as a provider of interconnected voice over internet protocol services, we are required to abide by a number of rules related to telephony service, including rules dealing with the protection of customer information and the processing of emergency calls.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Regulation</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are also regulated by state and local authorities. While the FCC has preempted many state and local regulations that would impair the installation and use of very-small-aperture terminals and other consumer satellite dishes, our businesses nonetheless are subject to state and local regulation, including, among others, obtaining regulatory authorizations and zoning regulations that affect the ability to install these consumer satellite earth station antennas. In addition, in order to obtain universal service funding, we are subject to being an eligible telecommunications carrier in certain states.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Foreign Administrations’ Jurisdiction Over Satellite and Terrestrial Operations</w:t>
      </w:r>
      <w:r>
        <w:rPr>
          <w:rFonts w:ascii="Arial" w:cs="Arial" w:eastAsia="Arial" w:hAnsi="Arial"/>
          <w:sz w:val="18"/>
          <w:szCs w:val="18"/>
          <w:color w:val="auto"/>
        </w:rPr>
        <w:t>. Some of our satellites and earth stations are licensed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foreign jurisdictions. We also have terrestrial authorizations in foreign jurisdictions. In order to provide service to a foreign location from our satellites, we are required to obtain approvals from the FCC and foreign administrative agencies. The laws and regulations addressing access to satellite and terrestrial systems vary from country to country. In most countries, a license is required to provide our services and to operate satellite systems and earth stations. Such licenses may impose certain conditions, including implementation and operation of the satellite system in a manner consistent with certain milestones (such as for contracting, satellite design, construction, launch and implementation of service), that the satellite or its launch be procured through a national entity, that the satellite control center be located in national territory, that a license be obtained prior to launching or operating the satellite, or that a license be obtained before interconnecting with the local switched telephone network and we may be subject to penalties or fines for failing to meet such conditions. Additionally, some countries may have restrictions on the services we provide and how we provide them and/or may limit the rates that can be charged for the services we provide or impose other service terms or restrictions. Furthermore, foreign countries in which we currently, or may in the future, operate may not authorize us access to all of the spectrum that we need to provide service in a particular country.</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The ITU Frequency and Orbital Location Registration. </w:t>
      </w:r>
      <w:r>
        <w:rPr>
          <w:rFonts w:ascii="Arial" w:cs="Arial" w:eastAsia="Arial" w:hAnsi="Arial"/>
          <w:sz w:val="18"/>
          <w:szCs w:val="18"/>
          <w:color w:val="auto"/>
        </w:rPr>
        <w:t>The orbital location and frequencies for our satellites are subject to the frequency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and coordination process of the ITU. The ITU Radio Regulations define the international rules, regulations and rights for a satellite and associated earth stations to use specific radio frequencies at a specific orbital location. These rules, which include deadlines for the bringing of satellite networks into use, differ depending on the type of service to be provided and the frequencies to be used by the satellite. On our behalf, various countries have made and may in the future make, additional filings for the frequency assignments at particular orbital locations that are used or to be used by our current satellite networks and potential</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future satellite networks we may build or acquire. In the event the international coordination process that is triggered by ITU filings under applicable rules is not successfully completed, or that the requests for modification of the broadcast satellite services plan regarding the allocation of orbital locations and frequencies are not granted by the ITU, we will have to operate the applicable satellite(s) on a non-interference basis, which could have an adverse impact on our business operations. If we cannot do so, we may have to cease operating such satellite(s) at the affected orbital locations. We cannot be sure of the successful outcome of these ITU coordination processes. We make commercially reasonable efforts to cooperate with the filing nation in the preparation of ITU filings, coordination of our operations in accordance with the relevant ITU Radio Regulations and responses to relevant ITU inquiries.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Registration in the United Nations (“UN”) Registry of Space Objects. </w:t>
      </w:r>
      <w:r>
        <w:rPr>
          <w:rFonts w:ascii="Arial" w:cs="Arial" w:eastAsia="Arial" w:hAnsi="Arial"/>
          <w:sz w:val="18"/>
          <w:szCs w:val="18"/>
          <w:color w:val="auto"/>
        </w:rPr>
        <w:t>The U.S. and other jurisdictions in which we license satellites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parties to the UN Convention on the Registration of Objects Launched into Outer Space, which requires a satellite’s launching state to register the satellite as a space object. The act of registration carries liability for the registering country in the event that the satellite causes third party damage. Administrations may place certain requirements on satellite licensees in order to procure the necessary launch or operational authorizations that accompany registration of the satellite. In some jurisdictions, these authorizations are separate and distinct, with unique requirements, from the authorization to use a set of frequencies to provide satellite services.</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Telecommunications Regulation. </w:t>
      </w:r>
      <w:r>
        <w:rPr>
          <w:rFonts w:ascii="Arial" w:cs="Arial" w:eastAsia="Arial" w:hAnsi="Arial"/>
          <w:sz w:val="18"/>
          <w:szCs w:val="18"/>
          <w:color w:val="auto"/>
        </w:rPr>
        <w:t>Many of the services we provide are also subject to the regulation of other countries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telecommunications services. For certain services, we may be required to contribute fees to a universal service or other fund to support mechanisms that subsidize the provision of services to designated groups. Many countries also impose requirements on telecommunications carriers to ensure that law enforcement agencies are able to conduct lawfully-authorized surveillance of users of their services. In addition, we are subject to a number of other rules, including rules related to telephony service such as the protection of customer information and processing of emergency calls.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 Control Regulation</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operation of our business, we must comply with all applicable export control and trade sanctions laws and regulations of the U.S. and other countries. Applicable U.S. laws and regulations include the Arms Export Control Act, the International Traffic in Arms Regulations (“ITAR”), the Export Administration Regulations (“EAR”) and the trade sanctions laws and regulations administered by the U.S. Department of the Treasury’s Office of Foreign Assets Control (“OFAC”).</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export of certain hardware, technical data, and services relating to satellites and the supply of certain ground control equipment, technical data and services to non-U.S. persons or to destinations outside the U.S. is regulated by the U.S. Department of Commerce’s Bureau of Industry and Security (“BIS”) under the EAR. In addition, BIS regulates our export of satellite communications network equipment to non-U.S. persons or to destinations outside of the U.S. The export of other items is regulated by the U.S. Department of State’s Directorate of Defense Trade Controls (“DDTC”) under the ITAR and are subject to strict export control and prior approval requirements. In addition, we cannot provide certain equipment or services to certain countries subject to U.S. trade sanctions unless we first obtain the necessary authorizations from OFAC. We are also subject to the Foreign Corrupt Practices Act and similar anti-bribery laws in other jurisdictions that generally prohibit companies and their intermediaries from making improper payments or giving or promising to give anything of value to foreign government officials and other individuals for the purpose of obtaining or retaining business or gaining a competitive advantage.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the requirements of federal, state, local and foreign environmental and occupational safety and health laws and regulations. These include laws regulating air emissions, waste-water discharge and waste management, most significantly the Resource Conservation and Recovery Act and the Emergency Planning and Community Right-to-Know Act (“EPCRA”). Under the Resource Conservation and Recovery Act, our Hughes segment is considered a small quantity generator.</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required by the EPCRA, we file annual reports with regulatory agencies covering four areas: Emergency Planning, Emergency Release, Hazardous Chemical Storage and Toxic Chemical Release Inventory. We maintain small quantities of hazardous materials on our premises and, therefore, have relatively modest reporting requirements under the EPCRA. We are also subject to the requirements of other environmental and occupational</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safety and health laws and regulations. Additionally, we review the Superfund Amendments and Reauthorization Act Title III regulatory requirements and annually report quantities of onsite material storage using Tier II, state DEQ (Department of Environmental Quality) reporting systems.</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environmental compliance costs, capital and other expenditures to date have not been material, and we do not expect them to be material in 2021. However, environmental requirements are complex, change frequently and have become more stringent over time. Accordingly, we cannot provide assurance that these requirements will not change or become more stringent in the future in a manner that could have a material adverse effect on our business and/or environmental compliance costs, capital or other expenditures.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rely on a combination of patent, trade secret, copyright and trademark law, together with licenses, non-disclosure and confidentiality agreements and technical measures, to establish and protect proprietary rights in our products. We hold U.S. and foreign patents covering various aspects of our products and services. The duration of each of our U.S. patents is generally 20 years from the earliest filing date to which the patent has priority. We have granted licenses to use our trademarks and service-marks to affiliates and resellers worldwide, and we typically retain the right to monitor the use of those marks and impose significant restrictions on their use in efforts to ensure a consistent brand identity. We protect our proprietary rights in our software through software licenses that, among other things, require that the software source code be maintained as confidential information and that prohibit any reverse-engineering of that code.</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that our patents are important to our business. We also believe that, in some areas, the improvement of existing products and the development of new products, as well as reliance upon trade secrets and unpatented proprietary know-how, are important in establishing and maintaining a competitive advantage. We believe, to a certain extent, that the value of our products and services are dependent upon our proprietary software, hardware and other technology remaining trade secrets and/or subject to copyright protection. Generally, we enter into non-disclosure and invention assignment agreements with our employees, subcontractors and certain customers and other business partners. Please see Item 3. Legal Proceedings of this Form 10-K for more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ENGINEERING</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have a skilled and multi-disciplined engineering organization that develops our products and services. Our in-house technological capability includes a wide range of skills required to develop systems, hardware, software and firmware used in our products and services.</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hardware development, we have skill sets that include complex digital designs, radio frequency and intermediate frequency analog designs, advanced application-specific integrated circuit designs and sophisticated consumer and system level packaging designs. We also have extensive experience in developing products for high-volume, low-cost manufacturing for the consumer industry, including dual mode satellite and wireless handsets.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a complement to our hardware development, we have extensive experience in designing reliable, real time, embedded software systems as part of our communication systems and services offerings. For example, our broadband product line for the enterprise market supports an extensive range of protocols for data communications. Our engineers have also developed many large turnkey systems for our customers by designing the overall solution, implementing the various subsystems, deploying the entire network and user terminals, integrating and verifying the operational system and ultimately training the customers’ technicians and operators.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Costs incurred in research and development activities are generally expensed as incurred. A significant portion of our research and development costs are incurred in connection with the specific requirements of a customer’s order. In such instances, the amounts for these customer funded development efforts are included in </w:t>
      </w:r>
      <w:r>
        <w:rPr>
          <w:rFonts w:ascii="Arial" w:cs="Arial" w:eastAsia="Arial" w:hAnsi="Arial"/>
          <w:sz w:val="18"/>
          <w:szCs w:val="18"/>
          <w:i w:val="1"/>
          <w:iCs w:val="1"/>
          <w:color w:val="auto"/>
        </w:rPr>
        <w:t>Cost of sales - equipment</w:t>
      </w:r>
      <w:r>
        <w:rPr>
          <w:rFonts w:ascii="Arial" w:cs="Arial" w:eastAsia="Arial" w:hAnsi="Arial"/>
          <w:sz w:val="18"/>
          <w:szCs w:val="18"/>
          <w:color w:val="auto"/>
        </w:rPr>
        <w:t xml:space="preserve"> in the Consolidated Statements of Operations in our Accompanying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 DATA AND TRANSACTIONS WITH MAJOR CUSTOMERS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For principal geographic area data and transactions with major customers for 2020, 2019 and 2018, see Note 20 in our Accompanying Consolidated Financial Statements. See Item 1A. Risk Factors for information regarding risks related to our foreign operations.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Human Capital</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2020, we had approximately 2,400 employees globally; of which approximately 1,800 were located in the U.S. and 600 internationally. We generally consider relations with our employees to be good. Other than approximately 200 of our employees located in Italy and Brazil, none are represented by a union. Our mission is to be a global connectivity provider for people, enterprises and things.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Training and Development</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a robust ongoing training and development program to enable employees to further refine and develop their skills. These training and development programs include technical programs meant to keep our employees abreast of the latest developments in our industry as well as courses to assist employees in developing their business communications and management skills.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Worker Health and Safety</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commitment is to provide a safe, healthy and reliable workplace. We provide access to a variety of innovative, flexible, and convenient health and wellness programs. Due to the COVID-19 pandemic, a large portion of our workforce has been working remotely. For the employees coming in to the physical offices, we implemented enhanced safety and security procedures in accordance with state, local and CDC recommendations.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and accordingly file an annual report on Form 10-K, quarterly reports on Form 10-Q, current reports on Form 8-K, proxy statements and other information with the SEC. Our public filings are maintained on the SEC’s internet site at http://www.sec.gov, which contains reports, proxy and information statements and other information regarding issuers that file electronically with the SEC.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Form 10-K, quarterly reports on Form 10-Q, current reports on Form 8-K and amendments to those reports filed or furnished pursuant to Section 13(a) or 15(d) of the Securities Exchange Act of 1934, as amended, may also be accessed free of charge through our website at http://www.echostar.com as soon as reasonably practicable after we have electronically filed such material with, or furnished it to, the SEC.</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have adopted a written code of ethics that applies to all of our directors, officers and employees, including our principal executive officer, principal financial officer, principal accounting officer and controller, in accordance with the Sarbanes-Oxley Act of 2002 and the rules of the SEC promulgated thereunder. Our code of ethics is available on our corporate website at http://www.echostar.com. In the event that we make changes in, or provide waivers of, the provisions of this code of ethics that the SEC requires us to disclose, we intend to disclose these events on our website.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Furnished in accordance with Item 401(b) of Regulation S-K, pursuant to General Instruction G(3) of Form 10-K.</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following table and information below sets forth the name, age and position with EchoStar of each of our executive officers, the period during which each executive officer has served as such and each executive officer’s business experience during at least the past five years: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Age</w:t>
            </w:r>
          </w:p>
        </w:tc>
        <w:tc>
          <w:tcPr>
            <w:tcW w:w="6640" w:type="dxa"/>
            <w:vAlign w:val="bottom"/>
          </w:tcPr>
          <w:p>
            <w:pPr>
              <w:ind w:left="296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Charles W. Ergen</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67</w:t>
            </w:r>
          </w:p>
        </w:tc>
        <w:tc>
          <w:tcPr>
            <w:tcW w:w="120" w:type="dxa"/>
            <w:vAlign w:val="bottom"/>
            <w:tcBorders>
              <w:top w:val="single" w:sz="8" w:color="CCEEFF"/>
            </w:tcBorders>
            <w:shd w:val="clear" w:color="auto" w:fill="CCEEFF"/>
          </w:tcPr>
          <w:p>
            <w:pPr>
              <w:spacing w:after="0"/>
              <w:rPr>
                <w:sz w:val="19"/>
                <w:szCs w:val="19"/>
                <w:color w:val="auto"/>
              </w:rPr>
            </w:pPr>
          </w:p>
        </w:tc>
        <w:tc>
          <w:tcPr>
            <w:tcW w:w="6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w:t>
            </w:r>
          </w:p>
        </w:tc>
      </w:tr>
      <w:tr>
        <w:trPr>
          <w:trHeight w:val="230"/>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Michael T. Dugan</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72</w:t>
            </w:r>
          </w:p>
        </w:tc>
        <w:tc>
          <w:tcPr>
            <w:tcW w:w="12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175"/>
        </w:trPr>
        <w:tc>
          <w:tcPr>
            <w:tcW w:w="2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David J. Rayner</w:t>
            </w:r>
          </w:p>
        </w:tc>
        <w:tc>
          <w:tcPr>
            <w:tcW w:w="1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63</w:t>
            </w:r>
          </w:p>
        </w:tc>
        <w:tc>
          <w:tcPr>
            <w:tcW w:w="120" w:type="dxa"/>
            <w:vAlign w:val="bottom"/>
            <w:shd w:val="clear" w:color="auto" w:fill="CCEEFF"/>
          </w:tcPr>
          <w:p>
            <w:pPr>
              <w:spacing w:after="0"/>
              <w:rPr>
                <w:sz w:val="15"/>
                <w:szCs w:val="15"/>
                <w:color w:val="auto"/>
              </w:rPr>
            </w:pPr>
          </w:p>
        </w:tc>
        <w:tc>
          <w:tcPr>
            <w:tcW w:w="66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Executive Vice President, Chief Financial Officer, Chief Operating Officer and</w:t>
            </w:r>
          </w:p>
        </w:tc>
      </w:tr>
      <w:tr>
        <w:trPr>
          <w:trHeight w:val="230"/>
        </w:trPr>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Treasurer</w:t>
            </w:r>
          </w:p>
        </w:tc>
      </w:tr>
      <w:tr>
        <w:trPr>
          <w:trHeight w:val="229"/>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Anders N. Johnson</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12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Chief Strategy Officer and President, EchoStar Satellite Services L.L.C.</w:t>
            </w:r>
          </w:p>
        </w:tc>
      </w:tr>
      <w:tr>
        <w:trPr>
          <w:trHeight w:val="230"/>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Pradman P. Kaul</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74</w:t>
            </w:r>
          </w:p>
        </w:tc>
        <w:tc>
          <w:tcPr>
            <w:tcW w:w="120" w:type="dxa"/>
            <w:vAlign w:val="bottom"/>
            <w:shd w:val="clear" w:color="auto" w:fill="CCEEFF"/>
          </w:tcPr>
          <w:p>
            <w:pPr>
              <w:spacing w:after="0"/>
              <w:rPr>
                <w:sz w:val="19"/>
                <w:szCs w:val="19"/>
                <w:color w:val="auto"/>
              </w:rPr>
            </w:pPr>
          </w:p>
        </w:tc>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Hughes Communications and Director</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Dean A. Manson</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120" w:type="dxa"/>
            <w:vAlign w:val="bottom"/>
          </w:tcPr>
          <w:p>
            <w:pPr>
              <w:spacing w:after="0"/>
              <w:rPr>
                <w:sz w:val="21"/>
                <w:szCs w:val="21"/>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bl>
    <w:p>
      <w:pPr>
        <w:spacing w:after="0" w:line="26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Charles W. Ergen. </w:t>
      </w:r>
      <w:r>
        <w:rPr>
          <w:rFonts w:ascii="Arial" w:cs="Arial" w:eastAsia="Arial" w:hAnsi="Arial"/>
          <w:sz w:val="18"/>
          <w:szCs w:val="18"/>
          <w:color w:val="auto"/>
        </w:rPr>
        <w:t>Mr. Ergen has served as our executive Chairman since November 2009 and Chairman of the Board of Directors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formation in 2007. Mr. Ergen served as our Chief Executive Officer from our formation in 2007 until November 2009. Mr. Ergen serves as executive Chairman and has been Chairman of the Board of Directors of DISH since its formation and, during the past five years, has held executive officer and director positions with DISH Network, most recently serving as the Chief Executive Officer of DISH from March 2015 to December 2017.</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Michael T. Dugan</w:t>
      </w:r>
      <w:r>
        <w:rPr>
          <w:rFonts w:ascii="Arial" w:cs="Arial" w:eastAsia="Arial" w:hAnsi="Arial"/>
          <w:sz w:val="18"/>
          <w:szCs w:val="18"/>
          <w:color w:val="auto"/>
        </w:rPr>
        <w:t>. Mr. Dugan has served as our Chief Executive Officer and President since November 2009. Mr. Dugan has also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member of our Board of Directors since our formation in 2007. Mr. Dugan served as a senior advisor to EchoStar from January 1, 2008 until November 2009. From May 2004 to December 2007, he was a director of DISH and, from 1990 to 2006, he served in several executive roles at DISH Network, including as President, Chief Operating Officer, Chief Technical Officer and senior advisor.</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David J. Rayner</w:t>
      </w:r>
      <w:r>
        <w:rPr>
          <w:rFonts w:ascii="Arial" w:cs="Arial" w:eastAsia="Arial" w:hAnsi="Arial"/>
          <w:sz w:val="18"/>
          <w:szCs w:val="18"/>
          <w:color w:val="auto"/>
        </w:rPr>
        <w:t>. Mr. Rayner has served as our Executive Vice President, Chief Financial Officer and Treasurer since December 2012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our Chief Operating Officer since September 2016. From November 2011 to November 2012, Mr. Rayner served as Chief Financial Officer of Tendril Networks, Inc., a Boulder, Colorado software company. Mr. Rayner served as our Chief Financial Officer from June 2010 to November 2011 and served as our Chief Administrative Officer from January 2008 to June 2010. Prior to that, Mr. Rayner served as Executive Vice President of Installation and Service Networks of DISH and previously as Chief Financial Officer of DISH. Before joining DISH in December 2004, Mr. Rayner served as Senior Vice President and Chief Financial Officer of Time Warner Telecom in Denver, beginning in June 1998.</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Anders N. Johnson</w:t>
      </w:r>
      <w:r>
        <w:rPr>
          <w:rFonts w:ascii="Arial" w:cs="Arial" w:eastAsia="Arial" w:hAnsi="Arial"/>
          <w:sz w:val="18"/>
          <w:szCs w:val="18"/>
          <w:color w:val="auto"/>
        </w:rPr>
        <w:t>. Mr. Johnson has served as President of EchoStar Satellite Services L.L.C. since June 2011 and as our Chief Strategy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since September 2016. Before joining EchoStar, Mr. Johnson was most recently at SES World Skies where he served as Senior Vice President of Strategic Satellite Development. Mr. Johnson joined SES GLOBAL after the combination of GE Americom and SES GLOBAL in 2001. Prior to SES GLOBAL, Mr. Johnson worked at GE Capital beginning in 1985 in a variety of executive level roles in Satellite Services, Aviation Services and Transportation &amp; Industrial Financing.</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Pradman P. Kaul</w:t>
      </w:r>
      <w:r>
        <w:rPr>
          <w:rFonts w:ascii="Arial" w:cs="Arial" w:eastAsia="Arial" w:hAnsi="Arial"/>
          <w:sz w:val="18"/>
          <w:szCs w:val="18"/>
          <w:color w:val="auto"/>
        </w:rPr>
        <w:t>. Mr. Kaul has served as President of Hughes Communications since its formation in February 2006 and as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Hughes Network Systems, LLC, a wholly owned subsidiary of Hughes Communications (and together with Hughes Communications, “Hughes”) since 2000. Mr. Kaul has also served as a member of our Board of Directors since August 2011 as well as a member of the board of directors of Hughes Communications from February 2006 until June 2011. Previously, Mr. Kaul served as the Chief Operating Officer, Executive Vice President and Director of Engineering of Hughes Network Systems, LLC.</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Dean A. Manson</w:t>
      </w:r>
      <w:r>
        <w:rPr>
          <w:rFonts w:ascii="Arial" w:cs="Arial" w:eastAsia="Arial" w:hAnsi="Arial"/>
          <w:sz w:val="18"/>
          <w:szCs w:val="18"/>
          <w:color w:val="auto"/>
        </w:rPr>
        <w:t>. Mr. Manson has served as our Executive Vice President, General Counsel and Secretary since November 2011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responsible for all our legal and government affairs. Mr. Manson joined our subsidiary Hughes Network Systems, LLC in 2000 from the law firm of Milbank, Tweed, Hadley &amp; McCloy LLP, where he focused on international project finance and corporate transactions and was appointed General Counsel in 2004.</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There are no arrangements or understandings between any executive officer and any other person pursuant to which any executive officer was selected as such. Pursuant to the Bylaws of EchoStar, executive officers serve at the discretion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risks and uncertainties described below are not the only ones facing us. If any of the following events occur or evolve in a way different than expected, our business, financial condition, results of operation, prospects or ability to fund a share or debt repurchase program, invest capital in or otherwise run our business, execute on our strategic plans or return capital to our shareholders could be materially and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8"/>
          <w:szCs w:val="18"/>
          <w:i w:val="1"/>
          <w:iCs w:val="1"/>
          <w:color w:val="auto"/>
        </w:rPr>
        <w:t>As the COVID-19 pandemic and its effects continue to develop, it is impossible at this time to predict its ultimate impact on our business. We have set forth some key risks identified to date.</w:t>
      </w:r>
    </w:p>
    <w:p>
      <w:pPr>
        <w:spacing w:after="0" w:line="173"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b w:val="1"/>
          <w:bCs w:val="1"/>
          <w:color w:val="auto"/>
        </w:rPr>
        <w:t>Our operations, and those of our customers, suppliers, vendors, and other third parties with whom we conduct business, including regulatory agencies, have been, and may continue to be, adversely affected by the COVID</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19 pandemic.</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effects of the COVID-19 pandemic have disrupted our and our customers’, suppliers’, vendors’ and other business partners’ and investees’ businesses, and have delayed the manufacture and deployment of our satellites. Disruption to our vendors’ and suppliers’ businesses could adversely impact our supply chain. Additionally, some regulatory bodies have reduced activities and/or temporarily closed their offices which may materially delay the review and/or approval of licenses or authorizations we need to operate our business. We cannot currently estimate or determine the final magnitude of these impacts.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many of our subscribers are working remotely or engaging in distance learning. These activities have increased the usage on our HughesNet service so that there is little or no capacity remaining for subscriber growth in our most popular geographic areas. This limitation on capacity may result in our subscribers experiencing slower speeds, which, in turn, could result in higher churn and may negatively affect our business.</w:t>
      </w:r>
    </w:p>
    <w:p>
      <w:pPr>
        <w:spacing w:after="0" w:line="194"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A portion of the expected sales of our products or services have been, and additional sales may be, delayed or canceled as a result of effects of the COVID-19 pandemic on the operations of our customers.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economic downturn arising from the COVID-19 pandemic, a number of our enterprise customers are facing uncertain futures and certain of these customers have filed for bankruptcy protection. When enterprise customers fail or seek reorganization under the bankruptcy laws, we may be obliged to provide services for which we are not being paid. Further, the COVID-19 pandemic has resulted in increased unemployment, which could result in reduced demand and increased inability to pay from our consumer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may depend on the existence of, and our ability to capitalize on, opportunities to acquire or develop other businesses or technologies or partner with other companies that could complement, enhance or expand our current business, services or products or that may otherwise offer us growth opportunities. We may pursue a number of strategic initiatives to complement or expand our business. Any such strategic initiatives may involve a high degree of risk, including, but not limited to, the following:</w:t>
      </w:r>
    </w:p>
    <w:p>
      <w:pPr>
        <w:spacing w:after="0" w:line="16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risks associated with developing and constructing new satellites;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diversion of our management’s attention away from our existing business onto a strategic initiative;</w:t>
      </w:r>
    </w:p>
    <w:p>
      <w:pPr>
        <w:spacing w:after="0" w:line="90"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adverse effects on our and our targets’ and partners’ business, financial condition or operating results during the integration process;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significant financial losses if the strategic initiatives are not successful;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to obtain regulatory approvals in the anticipated time frame, or at all;</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risks associated with complying with regulations applicable to the acquired or developed business or technologies which may cause us to incur substantial expenses;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disruption of relationships with employees, vendors or customers;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risks associated with foreign and international operations and/or investments or dispositions.</w:t>
      </w:r>
    </w:p>
    <w:p>
      <w:pPr>
        <w:spacing w:after="0" w:line="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New strategic initiatives may require the commitment of significant capital that would otherwise have been directed to investments in our existing businesses or distributed to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face decreased demand and increased pricing pressure with respect to our products and services due to competition.</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operates in an intensely competitive, consumer- and enterprise-driven and rapidly changing environment and competes with a growing number of companies that provide similar products and services to consumer and enterprise customers. There can be no assurance that we will be able to effectively compete against our competitors due to their significant resources and operating history. Material competitive risks to our business include, but are not limited to, the following:</w:t>
      </w:r>
    </w:p>
    <w:p>
      <w:pPr>
        <w:spacing w:after="0" w:line="16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from new or different technology compared to our offerings;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from existing or new competitors entering the same markets we serve;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funding for competing products and services, reducing demand for our products and services; and</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pressures to provide enhanced functionality for the same or lower price with each new generation of technology.</w:t>
      </w:r>
    </w:p>
    <w:p>
      <w:pPr>
        <w:spacing w:after="0" w:line="20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Our business will be negatively impacted if we fail to adequately anticipate our satellite capacity needs or are unable to obtain satellite capacity.</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made substantial contractual commitments for satellite capacity based on our existing customer contracts and backlog. If our existing customer contracts were to be terminated prior to their respective expiration dates, we may have insufficient revenue to cover our satellite capacity costs. On the other hand, we may not have sufficient satellite capacity available to meet increases in demand and we may not be able to quickly or easily adjust our capacity to such changes in demand. At present, until the launch and operation of additional satellites that our systems can utilize, there is limited additional capacity in North America, including within our own fleet of satellites, which could materially and adversely affect our ability to provide services to customers and grow our revenue and business. Our business could be adversely affected if we are not able to renew our capacity leases at economically viable rates, or if sufficient capacity is not available to us.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We are dependent upon third-party providers for components, manufacturing, installation services and customer support services, and our results of operations may be materially adversely affected if any of these third-party providers fail to appropriately deliver the contracted goods or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upon third-party providers causes certain risks to our business, including the following:</w:t>
      </w:r>
    </w:p>
    <w:p>
      <w:pPr>
        <w:spacing w:after="0" w:line="252" w:lineRule="exact"/>
        <w:rPr>
          <w:sz w:val="20"/>
          <w:szCs w:val="20"/>
          <w:color w:val="auto"/>
        </w:rPr>
      </w:pPr>
    </w:p>
    <w:p>
      <w:pPr>
        <w:jc w:val="both"/>
        <w:ind w:left="660" w:hanging="328"/>
        <w:spacing w:after="0" w:line="26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Components</w:t>
      </w:r>
      <w:r>
        <w:rPr>
          <w:rFonts w:ascii="Arial" w:cs="Arial" w:eastAsia="Arial" w:hAnsi="Arial"/>
          <w:sz w:val="18"/>
          <w:szCs w:val="18"/>
          <w:color w:val="auto"/>
        </w:rPr>
        <w:t>. A limited number of suppliers manufacture, and in some cases a single supplier manufactures, some of the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components required to build our products. We do not generally maintain long-term agreements with our suppliers or subcontractors for our products. If we change or lose suppliers, we could experience a delay in manufacturing our products, or we may be unable to produce our products at competitive prices and we may be unable to satisfy demand from our customers.</w:t>
      </w:r>
    </w:p>
    <w:p>
      <w:pPr>
        <w:spacing w:after="0" w:line="34"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Commodity Price Risk</w:t>
      </w:r>
      <w:r>
        <w:rPr>
          <w:rFonts w:ascii="Arial" w:cs="Arial" w:eastAsia="Arial" w:hAnsi="Arial"/>
          <w:sz w:val="18"/>
          <w:szCs w:val="18"/>
          <w:color w:val="auto"/>
        </w:rPr>
        <w:t>. Fluctuations in pricing of raw materials can affect our product costs and we may not be able to pass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costs to our customers.</w:t>
      </w:r>
    </w:p>
    <w:p>
      <w:pPr>
        <w:spacing w:after="0" w:line="9" w:lineRule="exact"/>
        <w:rPr>
          <w:rFonts w:ascii="Arial" w:cs="Arial" w:eastAsia="Arial" w:hAnsi="Arial"/>
          <w:sz w:val="18"/>
          <w:szCs w:val="18"/>
          <w:b w:val="1"/>
          <w:bCs w:val="1"/>
          <w:i w:val="1"/>
          <w:iCs w:val="1"/>
          <w:color w:val="auto"/>
        </w:rPr>
      </w:pPr>
    </w:p>
    <w:p>
      <w:pPr>
        <w:jc w:val="both"/>
        <w:ind w:left="660" w:hanging="328"/>
        <w:spacing w:after="0" w:line="271" w:lineRule="auto"/>
        <w:tabs>
          <w:tab w:leader="none" w:pos="655"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color w:val="auto"/>
        </w:rPr>
        <w:t>. While we develop and manufacture prototypes for certain of our products, we use contract manufacturers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 a significant portion of our hardware. If these contract manufacturers fail to provide products that meet our specifications in a timely manner or at all, our business could be adversely impacted.</w:t>
      </w:r>
    </w:p>
    <w:p>
      <w:pPr>
        <w:spacing w:after="0" w:line="27" w:lineRule="exact"/>
        <w:rPr>
          <w:rFonts w:ascii="Arial" w:cs="Arial" w:eastAsia="Arial" w:hAnsi="Arial"/>
          <w:sz w:val="18"/>
          <w:szCs w:val="18"/>
          <w:b w:val="1"/>
          <w:bCs w:val="1"/>
          <w:i w:val="1"/>
          <w:iCs w:val="1"/>
          <w:color w:val="auto"/>
        </w:rPr>
      </w:pPr>
    </w:p>
    <w:p>
      <w:pPr>
        <w:jc w:val="both"/>
        <w:ind w:left="660" w:hanging="328"/>
        <w:spacing w:after="0" w:line="25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Installation, customer support, and other services</w:t>
      </w:r>
      <w:r>
        <w:rPr>
          <w:rFonts w:ascii="Arial" w:cs="Arial" w:eastAsia="Arial" w:hAnsi="Arial"/>
          <w:sz w:val="18"/>
          <w:szCs w:val="18"/>
          <w:color w:val="auto"/>
        </w:rPr>
        <w:t>. Some of our products and services utilize a network of third-party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A decline in levels of service or attention to the needs of our customers could adversely affect our reputation, renewal rates and ability to win and retain customers. In addition, if the agreements for the provision of these services are terminated or not renewed, we could face difficulties replacing these service providers</w:t>
      </w:r>
      <w:r>
        <w:rPr>
          <w:rFonts w:ascii="Arial" w:cs="Arial" w:eastAsia="Arial" w:hAnsi="Arial"/>
          <w:sz w:val="18"/>
          <w:szCs w:val="18"/>
          <w:b w:val="1"/>
          <w:bCs w:val="1"/>
          <w:i w:val="1"/>
          <w:iCs w:val="1"/>
          <w:color w:val="auto"/>
        </w:rPr>
        <w: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foreign operations and investments expose us to risks and restrictions not present in our domestic operations.</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sales outside the U.S. accounted for 19.6%, 20.4% and 19.2% of our revenue for the years ended December 31, 2020, 2019 and 2018, respectively. We expect our foreign operations to represent a significant and growing portion of our business. Our foreign operations involve varying degrees of risk and uncertainties inherent in doing business abroad. Such risks include:</w:t>
      </w:r>
    </w:p>
    <w:p>
      <w:pPr>
        <w:spacing w:after="0" w:line="163" w:lineRule="exact"/>
        <w:rPr>
          <w:sz w:val="20"/>
          <w:szCs w:val="20"/>
          <w:color w:val="auto"/>
        </w:rPr>
      </w:pPr>
    </w:p>
    <w:p>
      <w:pPr>
        <w:jc w:val="both"/>
        <w:ind w:left="660" w:hanging="328"/>
        <w:spacing w:after="0" w:line="25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Complications in complying with restrictions on foreign ownership and investment and limitations on repatriation of earnings. </w:t>
      </w:r>
      <w:r>
        <w:rPr>
          <w:rFonts w:ascii="Arial" w:cs="Arial" w:eastAsia="Arial" w:hAnsi="Arial"/>
          <w:sz w:val="18"/>
          <w:szCs w:val="18"/>
          <w:color w:val="auto"/>
        </w:rPr>
        <w:t>We may not be permitted to be the sole owner of our operations in some countries and may have to enter into partnership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joint venture relationships. Many foreign legal regimes and/or our contractual arrangements restrict our repatriation of earnings to the U.S. from our subsidiaries and joint venture entities. Applicable law in such foreign countries may also limit our ability to distribute or access our assets or offer our products and services in certain circumstances. In such event, we will not have unrestricted access to the cash flow and assets of our subsidiaries and joint ventures.</w:t>
      </w:r>
    </w:p>
    <w:p>
      <w:pPr>
        <w:spacing w:after="0" w:line="41"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Regulatory restrictions</w:t>
      </w:r>
      <w:r>
        <w:rPr>
          <w:rFonts w:ascii="Arial" w:cs="Arial" w:eastAsia="Arial" w:hAnsi="Arial"/>
          <w:sz w:val="18"/>
          <w:szCs w:val="18"/>
          <w:color w:val="auto"/>
        </w:rPr>
        <w:t>. Satellite market access, landing rights and terrestrial wireless rights are dependent on the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established by foreign governments and international non-governmental bodies. Non-compliance with these requirements may result in the loss of the authorizations and licenses to conduct business in these countries, as well as fines, penalties, or other sanctions.</w:t>
      </w:r>
    </w:p>
    <w:p>
      <w:pPr>
        <w:spacing w:after="0" w:line="3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and legal constraints and obligations</w:t>
      </w:r>
      <w:r>
        <w:rPr>
          <w:rFonts w:ascii="Arial" w:cs="Arial" w:eastAsia="Arial" w:hAnsi="Arial"/>
          <w:sz w:val="18"/>
          <w:szCs w:val="18"/>
          <w:color w:val="auto"/>
        </w:rPr>
        <w:t>. Operating pursuant to foreign licenses subjects us to certain financial constraints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obligations, including, but not limited to: (a) tax liabilities that may or may not be dependent on revenue; (b) the regulatory requirements associated with maintaining such licenses, which may be subject to interpretation by foreign courts and regulatory bodies; (c) the burden of creating and maintaining additional entities, branches, facilities and/or staffing in foreign jurisdictions; and</w:t>
      </w:r>
    </w:p>
    <w:p>
      <w:pPr>
        <w:spacing w:after="0" w:line="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 regulations requiring that we make certain satellite capacity available for “free” or available at reduced rates.</w:t>
      </w:r>
    </w:p>
    <w:p>
      <w:pPr>
        <w:spacing w:after="0" w:line="68" w:lineRule="exact"/>
        <w:rPr>
          <w:rFonts w:ascii="Arial" w:cs="Arial" w:eastAsia="Arial" w:hAnsi="Arial"/>
          <w:sz w:val="18"/>
          <w:szCs w:val="18"/>
          <w:color w:val="auto"/>
        </w:rPr>
      </w:pPr>
    </w:p>
    <w:p>
      <w:pPr>
        <w:jc w:val="both"/>
        <w:ind w:left="660" w:right="20" w:hanging="328"/>
        <w:spacing w:after="0" w:line="27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applicable export control laws and regulations in the U.S. and other countries</w:t>
      </w:r>
      <w:r>
        <w:rPr>
          <w:rFonts w:ascii="Arial" w:cs="Arial" w:eastAsia="Arial" w:hAnsi="Arial"/>
          <w:sz w:val="18"/>
          <w:szCs w:val="18"/>
          <w:color w:val="auto"/>
        </w:rPr>
        <w:t>. We must comply with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export control and trade sanctions laws and regulations of the U.S. and other countries. A violation any export or trade-related regulations could materially adversely affect our business.</w:t>
      </w:r>
    </w:p>
    <w:p>
      <w:pPr>
        <w:spacing w:after="0" w:line="27"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Changes in exchange rates between foreign currencies and the U.S. dollar</w:t>
      </w:r>
      <w:r>
        <w:rPr>
          <w:rFonts w:ascii="Arial" w:cs="Arial" w:eastAsia="Arial" w:hAnsi="Arial"/>
          <w:sz w:val="18"/>
          <w:szCs w:val="18"/>
          <w:color w:val="auto"/>
        </w:rPr>
        <w:t>. Fluctuations in currency exchange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recessions and currency devaluations have affected, and may in the future affect, revenue, profits and cash earned from our international businesses.</w:t>
      </w:r>
    </w:p>
    <w:p>
      <w:pPr>
        <w:spacing w:after="0" w:line="27"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Regulations may favor state-owned enterprises or local service providers</w:t>
      </w:r>
      <w:r>
        <w:rPr>
          <w:rFonts w:ascii="Arial" w:cs="Arial" w:eastAsia="Arial" w:hAnsi="Arial"/>
          <w:sz w:val="18"/>
          <w:szCs w:val="18"/>
          <w:color w:val="auto"/>
        </w:rPr>
        <w:t>. Many of the countries in which we conduct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traditionally had state-owned or state-granted monopolies on telecommunications services that favor an incumbent service provider. We face competition from these favored and entrenched companies in countries that have not liberalized.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cash to meet our debt service needs or fund our operations.</w:t>
      </w:r>
    </w:p>
    <w:p>
      <w:pPr>
        <w:spacing w:after="0" w:line="25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of December 31, 2020, our total indebtedness was $2.4 billion. Our ability to make payments on or to refinance our indebtedness and to fund our operations will depend on our ability to generate cash in the future. If we are unable to generate sufficient cash, we may be forced to take actions such as revising or delaying our strategic plans, reducing or delaying capital expenditures and/or the development, design, acquisition and construction of new satellites, selling assets, restructuring or refinancing our debt or seeking additional equity capital. We may not be able to implement any of these actions on satisfactory terms, or at all.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indentures restrict our business in many ways.</w:t>
      </w:r>
    </w:p>
    <w:p>
      <w:pPr>
        <w:spacing w:after="0" w:line="22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indentures governing the Hughes Satellite Systems Corporation (“HSSC”) 7 5/8% Senior Notes due 2021, 5.250% Senior Secured Notes due August 1, 2026 and 6.625% Senior Unsecured Notes due August 1, 2026 contain various covenants, subject to certain exceptions, that limit HSSC’s ability and/or certain of its subsidiaries’ ability to, among other things:</w:t>
      </w:r>
    </w:p>
    <w:p>
      <w:pPr>
        <w:spacing w:after="0" w:line="16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make distributions on HSSC’s capital stock or repurchase HSSC’s capital stock;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left="660" w:hanging="328"/>
        <w:spacing w:after="0" w:line="29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allow to exist certain restrictions on such subsidiaries’ ability to pay dividends, make distributions, make other payments, or transfer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 or consolidate with another company;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these and certain other financial covenants, if not cured or waived, may result in an event of default under the indentures, which could have a material adverse effect on our business, financial condition, results of operations or prospects. If certain events of default occur and are continuing under the respective indenture, the trustee under that indenture or the requisite holders of the notes under that indenture may declare all such notes to be immediately due and payable and, in the case of the indenture governing our secured notes, could proceed against the collateral that secures the secured notes. If certain other events of default occur, the indentures will become immediately due and payable. Certain of our subsidiaries have pledged a significant portion of our assets as collateral to secure the 5.250% Senior Secured Notes due August 1, 2026.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natural disaster could diminish our ability to provide service to our customers.</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Natural disasters could damage or destroy our ground infrastructure and/or our other or our vendors’ infrastructure, equipment and facilities, resulting in a disruption of service to our customers, which may adversely affect our business. We currently have backup systems and technology in place to safeguard our antennas and protect our ground infrastructure during natural disasters, but the possibility still exists that our ground infrastructure and/or our other and our vendors’ infrastructure, equipment and facilities could be impacted during a major natural disaster.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HUMAN CAPITAL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key personnel and the loss of their services may negatively affect our businesses.</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future success depends to a significant extent upon the performance of Mr. Charles W. Ergen, our Chairman, and certain other key executives. The loss of Mr. Ergen or certain other key executives, the ability to effectively provide for the succession of our senior management, or the ability of Mr. Ergen or such other key executives to devote sufficient time and effort to our business could have a material adverse effect on our business, financial condition and results of operations. Although some of our key executives may have agreements relating to their equity compensation that limit their ability to work for or consult with competitors, we generally do not have employment agreements with them. To the extent Mr. Ergen is performing services for both DISH Network and us, his attention may be diverted away from our business and therefore adversely affect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growth and customer retention strategies rely in part on the work of technically skilled employees.</w:t>
      </w: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response to technological developments depends, to a significant degree, on the work of technically skilled employees. In addition, we have made and will continue to make significant investments in research, development, and marketing for new products, services, satellites and related technologies, as well as entry into new business areas. Investments in new technologies, satellites and business areas are inherently dependent on these technically skilled employees as well. Competition for the services of such employees has become more intense as demand for these types of employees grows. We compete with other companies for these employees and although we strive to</w:t>
      </w:r>
    </w:p>
    <w:p>
      <w:pPr>
        <w:spacing w:after="0" w:line="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attract and retain these employees, we may not succeed in these respects. Additionally, if we were to lose certain key technically skilled employees, the loss of knowledge and intellectual capital might have an adverse impact on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Restrictions on immigration or increased enforcement of immigration laws could limit our access to qualified and skilled professionals, increase our cost of doing business or otherwise disrupt our operations.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The success of our business is dependent on our ability to recruit engineers and other professionals, including those who are citizens of other countries. Immigration laws in the U.S. and other countries in which we operate are subject to legislative and regulatory changes, as</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well as variations in the standards of application and enforcement due to political forces and economic conditions. It is difficult to predict the political and economic events that could affect immigration laws, or the restrictive impact they could have on obtaining or renewing work</w:t>
      </w:r>
    </w:p>
    <w:p>
      <w:pPr>
        <w:spacing w:after="0" w:line="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visas for our professionals. If immigration laws are changed or if new and more restrictive government regulations are enacted or increased, our access to qualified and skilled professionals may be limited.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SATELLITES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Our ability to operate and control our satellites is subject to risks related to DISH Network’s operation of the BSS Business and third-parties’ operation of satellite operations centers.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BSS Transaction, we transferred our satellite operation centers, which are used to monitor and control our satellites, to DISH Network. Therefore, we now are subject to the inherent risks of having a related party operate, maintain and manage these satellite operations centers. In addition, certain of our satellites are operated, maintained and managed by third parties.</w:t>
      </w:r>
    </w:p>
    <w:p>
      <w:pPr>
        <w:spacing w:after="0" w:line="188"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b w:val="1"/>
          <w:bCs w:val="1"/>
          <w:color w:val="auto"/>
        </w:rPr>
        <w:t>Our owned and leased satellites in orbit are subject to significant operational and environmental risks that could limit our ability to utilize these satellites.</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Satellites are subject to significant operational risks while in orbit. These risks include malfunctions, commonly referred to as anomalies, which have occurred and may occur in the future in our satellites and the satellites of other operators. Any single anomaly could materially</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and adversely affect our ability to utilize the satellite. Anomalies may also reduce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 Although we work closely with the satellite manufacturers to determine and eliminate the cause of anomalies in new satellites and provide for redundancies of many critical components in the satellites, we may not be able to prevent the impacts of anomalies in the future.</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Meteoroid events, decommissioned satellites, and increased solar activity also pose a potential threat to all in-orbit satellites. We may be required to perform maneuvers to avoid collisions and these maneuvers may prove unsuccessful or could reduce the useful life of the satellite through the expenditure of fuel to perform these maneuvers.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Generally, the minimum design life of each of our satellites is 15 years. We can provide no assurance, however, as to the actual operational lives of our satellites, which may be shorter or longer than their design lives. Our ability to earn revenue depends on the continued operation of our satellites, each of which has a limited useful life.</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If one or more of our in-orbit uninsured satellites or payloads fail, we could be required to record significant impairment charges for the satellite or payload.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b w:val="1"/>
          <w:bCs w:val="1"/>
          <w:color w:val="auto"/>
        </w:rPr>
        <w:t>Our satellites under construction are subject to risks related to construction, technology, regulations and launch that could limit our ability to utilize these satellites, increase costs and adversely affect our business.</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Satellite construction and launch are subject to significant risks, including delays, anomalies, launch failure and incorrect orbital placement. The technologies in our satellite designs are very complex and difficulties in constructing our designs could result in delays in the deployment</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our satellites or increased or unanticipated costs. There can be no assurance that the technologies in our existing satellites or in new satellites that we design, acquire and build will work as we expect, will not become obsolete, that we will realize any or all of the anticipated benefits of our satellite designs or our new satellites, and/or that we will obtain all regulatory approvals required to operate our new or acquired satellites. Launch anomalies and failures can result in significant delays in the deployment of satellites because of the need both to construct replacement satellites, which can take significant amounts of time, and to obtain other launch opportunities. Such significant delays could materially affect our business, our ability to meet regulatory or contractual required milestones, the availability and our use of other or replacement satellite resources and our ability to provide services to customers. In addition, significant delays in a satellite program could give customers who have purchased or reserved capacity on that satellite a right to terminate their service contracts relating to the satellite. We may not be able to accommodate affected customers on other satellites until a replacement satellite is available.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certain satellites is often dependent on satellite coordination agreements, which may be difficult to obtain.</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Satellite operators are required to enter into international spectrum coordination agreements with other affected satellite operators and must be approved by the relevant governments. If a required agreement cannot be concluded, we may have to operate the applicable satellite(s) in a manner that does not cause harmful radio frequency interference with the affected satellite. If we cannot do so, we may have to cease operating such satellite(s) at the affected orbital locations.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interference from other services sharing satellite spectrum</w:t>
      </w:r>
      <w:r>
        <w:rPr>
          <w:rFonts w:ascii="Arial" w:cs="Arial" w:eastAsia="Arial" w:hAnsi="Arial"/>
          <w:sz w:val="18"/>
          <w:szCs w:val="18"/>
          <w:color w:val="auto"/>
        </w:rPr>
        <w:t>.</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FCC and other regulators have adopted rules or may adopt rules in the future that require us to share spectrum on a basis with other radio services. There can be no assurance that these operations would not interfere with our operations and adversely affect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growth depends on growing demand for our services.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Future demand and effective delivery for our products and services will depend significantly on the growing demand for our services, such as broadband internet connectivity. If the deployment of, or demand for, our services is not as widespread or as rapid as we or our customers expect, our revenue growth will be negatively impacted.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depends on certain intellectual property rights and on not infringing the intellectual property rights of others.</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rely on our patents, copyrights, trademarks, trade secrets, licenses and other agreements to conduct our business. Legal challenges to our intellectual property rights and claims of intellectual property infringement could result in significant monetary liability and require us to change our business practices or limit our ability to compete effectively or could otherwise have a material adverse effect on our business. Even if any such challenges or claims prove to be without merit, they can be time-consuming and costly to defend and may divert management’s attention and resources away from our business.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Moreover, we rely in part on technologies developed or licensed by third parties. If we are unable to obtain or retain licenses or other required intellectual property rights from these third parties on reasonable terms, our business could be adversely affected. In addition, we work with suppliers for the development and manufacture of components that are integrated into our products and our products may contain technologies provided to us by these suppliers. We may have little or no ability to determine in advance whether any such technology infringes the intellectual property rights of others, or whether such suppliers have obtained or continue to obtain the appropriate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licenses or other intellectual property rights to use such technology. Our suppliers may not be required to indemnify us in the event that a claim of infringement is asserted against us, or they may be required to indemnify us only up to a maximum amount. Legal challenges to these intellectual property rights may impair our ability to use the products and technologies that we need in order to operate our business and may have a material adverse effect on our business. See further discussion under Item 1. Business — Patents and Trademarks and Item 3. Legal Proceedings of this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or governmental proceedings could result in material adverse consequences.</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are involved in lawsuits, regulatory inquiries, audits, consumer claims and governmental and other legal proceedings. Some of these proceedings may raise difficult and complicated factual and legal issues and can be subject to uncertainties and complexities. The timing of the final resolutions is typically uncertain. Additionally, the possible outcomes of, or resolutions to, these proceedings could include adverse judgments, settlements, injunctions or liabilities, any of which could require substantial payments or have other adverse impacts on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significant cybersecurity threats and risks.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and third parties with whom we work face a constantly evolving landscape of cybersecurity threats in which hackers and other parties use a complex assortment of techniques and methods to execute cyberattacks. Cybersecurity incidents have increased significantly in quantity and severity and are expected to continue to increase. Additionally, the risk of cyberattacks and compromises will likely increase as we continue to expand our business into other areas of the world outside of North America, some of which are still developing their cybersecurity infrastructure maturity. Should we be affected by a material cyber-related incident, we may incur substantial costs and suffer other material negative consequences.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business is subject to varying degrees of regulation that include programs designed to review our protections against cybersecurity threats and risks. If it is determined that our systems do not reasonably protect our partners’ assets and data and/or that we have violated these regulations, we could be subject to enforcement activity and sanctions.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expect to continue to incur increasing costs in preparing our infrastructure and maintaining it to resist cyberattacks. There can be no assurance that we can successfully detect, deter, prevent or mitigate the effects of cyberattacks, any of which could have a material adverse effect on our business, costs, operations, prospects, results of operation or financial position. Furthermore, the amount and scope of insurance that we maintain against losses resulting from these events may not be sufficient to compensate us adequately for any disruptions to our business or otherwise cover our losses, including reputational harm and negative publicity as well as any litigation liability.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data privacy laws may be costly, and non-compliance with such laws may result in significant liability.</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personal information and data we process and store is increasingly subject to data security and data privacy laws of many jurisdictions. These laws impose a significant compliance burden and complying with them has required us to change our business practices or the functionality of our products and services. Privacy laws and regulations are becoming more complex and onerous, and a data privacy breach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b w:val="1"/>
          <w:bCs w:val="1"/>
          <w:color w:val="auto"/>
        </w:rPr>
        <w:t>If our products contain defects, we could be subject to significant costs to correct such defects and our product and network service contracts could be delayed or cancelled, which could adversely affect our revenue.</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products and the networks we deploy are highly complex, and some may contain defects when first introduced or when new versions or enhancements are released, despite testing and our quality control procedures. Defects may also occur in components and products that we purchase from third parties. In addition, many of our products and network services are designed to interface with our customers’ existing networks, each of which has different specifications and utilizes multiple protocol standards. Our products and services must interoperate with the other products and services within our customers’ networks, as well as with future products and services that might be added to these networks, to meet our customers’ requirements. There can be no assurance that we will be able to detect and fix all defects in the products and networks we sell. The occurrence of any defects, errors or failures in our products or network services could materially affect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252"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b w:val="1"/>
          <w:bCs w:val="1"/>
          <w:color w:val="auto"/>
        </w:rPr>
        <w:t>The risk of non-compliance with laws and regulations, including the risk of changes to laws and regulations, could adversely affect our business.</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business is regulated by numerous governmental agencies and other regulatory bodies, both domestically and internationally. In addition, our international operations are subject to the laws and regulations of many different jurisdictions that may differ significantly from U.S. laws and regulations. Violations of these laws and regulations could result in fines or penalties or other sanctions which could have a material adverse impact on our business. Additionally, our ability to operate and grow our business depends on laws and regulations that govern the frequency bands and/or orbital locations we operate in or may operate in in the future.</w:t>
      </w: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These laws and regulations are subject to the administrative and political process and do change from time to time. Our business could suffer a material adverse impact if laws and regulations change and we are not able to adapt to these changes efficiently.</w:t>
      </w:r>
    </w:p>
    <w:p>
      <w:pPr>
        <w:spacing w:after="0" w:line="142"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b w:val="1"/>
          <w:bCs w:val="1"/>
          <w:color w:val="auto"/>
        </w:rPr>
        <w:t>Our business depends on regulatory authorizations issued by the FCC and state and foreign regulators that can expire, be revoked or modified, and applications for licenses and other authorizations that may not be granted.</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all licenses granted by the FCC and most other countries are subject to expiration unless renewed by the regulatory agency. Our satellite licenses are currently set to expire at various times. In addition, we occasionally receive special temporary authorizations that are granted for limited periods of time (e.g., 180 days or less) and subject to possible renewal. Generally, our licenses and special temporary authorizations have been renewed on a routine basis, but there can be no assurance that this will continue.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BSS TRANSACTION</w:t>
      </w:r>
    </w:p>
    <w:p>
      <w:pPr>
        <w:spacing w:after="0" w:line="25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Certain of our directors and executive officers have interests in the BSS Transaction that may be different from, or in addition to, those of our other stockholders.</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Certain of our directors and executive officers have interests in the BSS Transaction that may be different from, or in addition to, the interests of our stockholders generally. Our directors and executive officers who own shares of our common stock participated in the Distribution and the Merger on the same terms as our other stockholders. Additionally, Mr. Ergen, is a director and Chairman of both us and DISH. The EchoStar parties that approved the BSS Transaction, were aware of and considered these interests, among other things, in deciding to approve the terms of the Master Transaction Agreement and the BSS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both"/>
        <w:spacing w:after="0" w:line="236" w:lineRule="exact"/>
        <w:rPr>
          <w:sz w:val="20"/>
          <w:szCs w:val="20"/>
          <w:color w:val="auto"/>
        </w:rPr>
      </w:pPr>
      <w:r>
        <w:rPr>
          <w:rFonts w:ascii="Arial" w:cs="Arial" w:eastAsia="Arial" w:hAnsi="Arial"/>
          <w:sz w:val="18"/>
          <w:szCs w:val="18"/>
          <w:b w:val="1"/>
          <w:bCs w:val="1"/>
          <w:color w:val="auto"/>
        </w:rPr>
        <w:t>If the Distribution and the Merger do not qualify as a tax</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 xml:space="preserve"> free distribution and merger under the Internal Revenue Code of 1986, as amended (the “Code”), then we and/or our stockholders may be required to pay substantial U.S. federal income taxes and under certain circumstances we may have indemnification obligations to DISH Network.</w:t>
      </w:r>
    </w:p>
    <w:p>
      <w:pPr>
        <w:spacing w:after="0" w:line="185"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The parties to the BSS Transaction received a tax opinion from their respective counsels as to the tax</w:t>
      </w:r>
      <w:r>
        <w:rPr>
          <w:rFonts w:ascii="MS PGothic" w:cs="MS PGothic" w:eastAsia="MS PGothic" w:hAnsi="MS PGothic"/>
          <w:sz w:val="18"/>
          <w:szCs w:val="18"/>
          <w:color w:val="auto"/>
        </w:rPr>
        <w:t>‑</w:t>
      </w:r>
      <w:r>
        <w:rPr>
          <w:rFonts w:ascii="Arial" w:cs="Arial" w:eastAsia="Arial" w:hAnsi="Arial"/>
          <w:sz w:val="18"/>
          <w:szCs w:val="18"/>
          <w:color w:val="auto"/>
        </w:rPr>
        <w:t>free nature of the transactions. They did not obtain a private letter ruling from the IRS with respect to the Distribution and the Merger and instead are relying solely on their respective tax opinions for comfort that the Distribution and the Merger qualify for tax</w:t>
      </w:r>
      <w:r>
        <w:rPr>
          <w:rFonts w:ascii="MS PGothic" w:cs="MS PGothic" w:eastAsia="MS PGothic" w:hAnsi="MS PGothic"/>
          <w:sz w:val="18"/>
          <w:szCs w:val="18"/>
          <w:color w:val="auto"/>
        </w:rPr>
        <w:t>‑</w:t>
      </w:r>
      <w:r>
        <w:rPr>
          <w:rFonts w:ascii="Arial" w:cs="Arial" w:eastAsia="Arial" w:hAnsi="Arial"/>
          <w:sz w:val="18"/>
          <w:szCs w:val="18"/>
          <w:color w:val="auto"/>
        </w:rPr>
        <w:t>free treatment for U.S. federal income tax purposes under the Code. The failure of any factual representation or assumption to be true, correct and complete, or any undertaking to be fully complied with, could affect the validity of the tax opinions and result in tax liabilities for our shareholders and/or us.</w:t>
      </w:r>
    </w:p>
    <w:p>
      <w:pPr>
        <w:spacing w:after="0" w:line="21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A putative class action lawsuit relating to the BSS Transaction has been filed against us, DISH Network, Mr. Ergen and certain of our officers.</w:t>
      </w:r>
    </w:p>
    <w:p>
      <w:pPr>
        <w:spacing w:after="0" w:line="15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On July 2, 2019, a complaint was filed by purported EchoStar stockholders. See Note 19 in our Accompanying Consolidated Financial Statements for more information about litigation related to the BSS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 adverse judgment could result in monetary damages, which could have a negative impact on our liquidity and financial condition.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more susceptible to adverse events as a result of the BSS Transaction.</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divested the BSS Business and our business will be subject to increased concentration of risks that affect our retained businesses. We are now a smaller, less diversified and more narrowly focused business, which makes us more vulnerable to changing market and economic conditions.</w:t>
      </w:r>
    </w:p>
    <w:p>
      <w:pPr>
        <w:spacing w:after="0" w:line="188"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b w:val="1"/>
          <w:bCs w:val="1"/>
          <w:color w:val="auto"/>
        </w:rPr>
        <w:t>We might not be able to engage in certain strategic transactions because we have agreed to certain restrictions to comply with U.S. federal income tax requirements for a tax</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free spin</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off.</w:t>
      </w:r>
    </w:p>
    <w:p>
      <w:pPr>
        <w:spacing w:after="0" w:line="201"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To preserve the intended tax treatment of the Distribution, we have agreed to comply with certain restrictions under current U.S. federal income tax laws for spin</w:t>
      </w:r>
      <w:r>
        <w:rPr>
          <w:rFonts w:ascii="MS PGothic" w:cs="MS PGothic" w:eastAsia="MS PGothic" w:hAnsi="MS PGothic"/>
          <w:sz w:val="18"/>
          <w:szCs w:val="18"/>
          <w:color w:val="auto"/>
        </w:rPr>
        <w:t>‑</w:t>
      </w:r>
      <w:r>
        <w:rPr>
          <w:rFonts w:ascii="Arial" w:cs="Arial" w:eastAsia="Arial" w:hAnsi="Arial"/>
          <w:sz w:val="18"/>
          <w:szCs w:val="18"/>
          <w:color w:val="auto"/>
        </w:rPr>
        <w:t>offs. These restrictions could prevent us from pursuing otherwise attractive business opportunities and/or harm our business, financial results and operations. If these restrictions, among others, are not followed, the Distribution could be taxable to us and possibly our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OWNERSHIP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one principal stockholder who is our Chairman.</w:t>
      </w: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Charles W. Ergen, our Chairman, beneficially owns approximately 54% of our total equity securities (assuming conversion of the Class B common stock beneficially owned by Mr. Ergen into Class A common stock and giving effect to the exercise of options held by Mr. Ergen that are either currently exercisable as of, or may become exercisable within 60 days after, February 11, 2021) and beneficially owns approximately 92% of the total voting power of all classes of shares (assuming no conversion of any Class B common stock and giving effect to the exercise of options held by Mr. Ergen that are either currently exercisable as of, or may become exercisable within 60 days after, February 11, 2021). Through his beneficial ownership of our equity securities, Mr. Ergen has the ability to elect a majority of our directors and to control all other matters requiring the approval of our stockholders. As a result of Mr. Ergen’s voting power, we are a “controlled company” as defined in the NASDAQ listing rules and, therefore, are not subject to NASDAQ requirements that would otherwise require us to have (i) a majority of independent directors; (ii) a nominating committee composed solely of independent directors; (iii) compensation of our executive officers determined by a majority of the independent directors or a compensation committee composed solely of independent directors; (iv) a compensation committee charter which provides the compensation committee with the authority and funding to retain compensation consultants and other advisors; and/or (v) director nominees selected, or recommended for the Board’s selection, either by a majority of the independent directors or a nominating committee composed solely of independent directors.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potential conflicts of interest with DISH Network due to our common ownership.</w:t>
      </w:r>
    </w:p>
    <w:p>
      <w:pPr>
        <w:spacing w:after="0" w:line="25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Questions relating to conflicts of interest may arise between DISH Network and us in a number of areas relating to our past and ongoing relationships. Areas in which conflicts of interest between DISH Network and us could arise include, but are not limited to, the following:</w:t>
      </w:r>
    </w:p>
    <w:p>
      <w:pPr>
        <w:spacing w:after="0" w:line="171" w:lineRule="exact"/>
        <w:rPr>
          <w:sz w:val="20"/>
          <w:szCs w:val="20"/>
          <w:color w:val="auto"/>
        </w:rPr>
      </w:pPr>
    </w:p>
    <w:p>
      <w:pPr>
        <w:jc w:val="both"/>
        <w:ind w:left="660" w:hanging="328"/>
        <w:spacing w:after="0" w:line="257" w:lineRule="auto"/>
        <w:tabs>
          <w:tab w:leader="none" w:pos="655"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Cross directorships and stock ownership</w:t>
      </w:r>
      <w:r>
        <w:rPr>
          <w:rFonts w:ascii="Arial" w:cs="Arial" w:eastAsia="Arial" w:hAnsi="Arial"/>
          <w:sz w:val="18"/>
          <w:szCs w:val="18"/>
          <w:color w:val="auto"/>
        </w:rPr>
        <w:t>. Charles W. Ergen serves as the Chairman of our and DISH’s board of directors,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employed by both companies and has fiduciary duties to our and DISH’s shareholders. Mr. Ergen may have actual or apparent conflicts of interest with respect to matters involving or affecting each company. For example, there is potential for a conflict of interest when we or DISH Network look at acquisitions and other corporate opportunities that may be suitable for both companies. In addition, some of our directors and officers, including Mr. Ergen, own DISH stock and options to purchase DISH stock. These ownership interests could create actual, apparent or potential conflicts of interest when these individuals are faced with decisions that could have different implications for our company and DISH Network.</w:t>
      </w:r>
    </w:p>
    <w:p>
      <w:pPr>
        <w:spacing w:after="0" w:line="41" w:lineRule="exact"/>
        <w:rPr>
          <w:rFonts w:ascii="Arial" w:cs="Arial" w:eastAsia="Arial" w:hAnsi="Arial"/>
          <w:sz w:val="18"/>
          <w:szCs w:val="18"/>
          <w:b w:val="1"/>
          <w:bCs w:val="1"/>
          <w:i w:val="1"/>
          <w:iCs w:val="1"/>
          <w:color w:val="auto"/>
        </w:rPr>
      </w:pPr>
    </w:p>
    <w:p>
      <w:pPr>
        <w:jc w:val="both"/>
        <w:ind w:left="660" w:hanging="328"/>
        <w:spacing w:after="0" w:line="253" w:lineRule="auto"/>
        <w:tabs>
          <w:tab w:leader="none" w:pos="655"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Intercompany agreements with DISH Network</w:t>
      </w:r>
      <w:r>
        <w:rPr>
          <w:rFonts w:ascii="Arial" w:cs="Arial" w:eastAsia="Arial" w:hAnsi="Arial"/>
          <w:sz w:val="18"/>
          <w:szCs w:val="18"/>
          <w:color w:val="auto"/>
        </w:rPr>
        <w:t>. We have entered into various agreements with DISH Network.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agreements, we obtain certain products, services and rights from DISH Network; DISH Network obtains certain products, services and rights from us; and we and DISH Network indemnify each other against certain liabilities arising from our respective businesses. Generally, the amounts paid for products and services provided under the agreements are based on cost plus a fixed margin, which varies depending on the nature of the products and services provided. Certain other intercompany agreements cover matters such as tax sharing and our responsibility for certain liabilities previously undertaken by DISH Network for certain of our businesses. We have also entered into certain commercial agreements with DISH Network. The terms of certain of these agreements were established while we were a wholly-owned subsidiary of DISH and were not the result of arm’s length negotiations. The allocation of assets, liabilities, rights, indemnifications and other obligations between DISH Network and us under certain agreements with DISH Network may not necessarily reflect what two unaffiliated parties might have agreed to. Had these agreements been negotiated with unaffiliated third parties, their terms may have been more or less favorable to us. In addition, DISH Network or its affiliates will likely continue to enter into transactions, including joint ventures, acquisitions, dispositions and other strategic initiatives and transactions, with us or other affiliates. Although the terms of any such transactions will be established based upon negotiations between us and DISH Network and, when appropriate, subject to approval by a committee of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w:t>
      </w:r>
    </w:p>
    <w:p>
      <w:pPr>
        <w:spacing w:after="0" w:line="45" w:lineRule="exact"/>
        <w:rPr>
          <w:rFonts w:ascii="Arial" w:cs="Arial" w:eastAsia="Arial" w:hAnsi="Arial"/>
          <w:sz w:val="18"/>
          <w:szCs w:val="18"/>
          <w:b w:val="1"/>
          <w:bCs w:val="1"/>
          <w:i w:val="1"/>
          <w:iCs w:val="1"/>
          <w:color w:val="auto"/>
        </w:rPr>
      </w:pPr>
    </w:p>
    <w:p>
      <w:pPr>
        <w:jc w:val="both"/>
        <w:ind w:left="66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Competition for business opportunities</w:t>
      </w:r>
      <w:r>
        <w:rPr>
          <w:rFonts w:ascii="Arial" w:cs="Arial" w:eastAsia="Arial" w:hAnsi="Arial"/>
          <w:sz w:val="18"/>
          <w:szCs w:val="18"/>
          <w:color w:val="auto"/>
        </w:rPr>
        <w:t>. DISH Network may have interests in various companies that have subsidiaries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controlled affiliates that own or operate domestic or foreign services that may compete with services offered by our businesses. We may also compete with DISH Network when we participate in auctions for spectrum or orbital slots for our satellites or other business opportunities. In other auctions, we and DISH Network may be prohibited from participating separately, and cooperating with DISH Network may result in a less favorable outcome for us.</w:t>
      </w:r>
    </w:p>
    <w:p>
      <w:pPr>
        <w:spacing w:after="0" w:line="25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may not be able to resolve any potential conflicts of interest with DISH Network and, even if we do so, the resolution may be less favorable to us than if we were dealing with an unaffiliated party.</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do not have any agreements not to compete with DISH Network. However, many of our potential customers who compete with DISH Network have historically perceived us as a competitor due to our affiliation with DISH Network. There can be no assurance that we will be successful in entering into any commercial relationships with potential customers who are competitors of DISH Network (particularly if we continue to be perceived as affiliated with DISH Network as a result of common ownership, certain shared management services and other arrangements with DISH Network).</w:t>
      </w:r>
    </w:p>
    <w:p>
      <w:pPr>
        <w:spacing w:after="0" w:line="173"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b w:val="1"/>
          <w:bCs w:val="1"/>
          <w:color w:val="auto"/>
        </w:rPr>
        <w:t>It may be difficult for a third party to acquire us, even if doing so may be beneficial to our shareholders, because of our capital structure and certain provisions of the BSS Transaction.</w:t>
      </w:r>
    </w:p>
    <w:p>
      <w:pPr>
        <w:spacing w:after="0" w:line="127"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Certain provisions of our articles of incorporation and bylaws may discourage, delay or prevent a change in control of our company that a shareholder may consider favorable. These provisions include the following:</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660" w:hanging="328"/>
        <w:spacing w:after="0" w:line="27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capital structure with multiple classes of common stock: a Class A that entitles the holders to one vote per share; a Class B that entitles the holders to ten votes per share; a Class C that entitles the holders to one vote per share, except upon a change in control of our company in which case the holders of Class C are entitled to ten votes per share; and a non-voting Class D;</w:t>
      </w:r>
    </w:p>
    <w:p>
      <w:pPr>
        <w:spacing w:after="0" w:line="27"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provision that authorizes the issuance of “blank check” preferred stock, which could be issued by our board of directors to increase the number of outstanding shares and thwart a takeover attempt;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provision limiting who may call special meetings of shareholders; and</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provision establishing advance notice requirements for nominations of candidates for election to our board of directors or for proposing matters that can be acted upon by shareholders at shareholder meetings.</w:t>
      </w:r>
    </w:p>
    <w:p>
      <w:pPr>
        <w:spacing w:after="0" w:line="14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As discussed above, Mr. Ergen beneficially owns approximately 54% of our total equity securities and approximately 92% of the total voting power of all classes of shares and such ownership may make it impractical for any third party to obtain control of us.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pursuant to our articles of incorporation we have a significant amount of authorized and unissued stock that would allow our board of directors to issue shares to persons friendly to current management, thereby protecting the continuity of management, or which could be used to dilute the stock ownership of persons seeking to obtain control of us.</w:t>
      </w:r>
    </w:p>
    <w:p>
      <w:pPr>
        <w:spacing w:after="0" w:line="190" w:lineRule="exact"/>
        <w:rPr>
          <w:sz w:val="20"/>
          <w:szCs w:val="20"/>
          <w:color w:val="auto"/>
        </w:rPr>
      </w:pPr>
    </w:p>
    <w:p>
      <w:pPr>
        <w:jc w:val="both"/>
        <w:spacing w:after="0" w:line="225" w:lineRule="exact"/>
        <w:rPr>
          <w:sz w:val="20"/>
          <w:szCs w:val="20"/>
          <w:color w:val="auto"/>
        </w:rPr>
      </w:pPr>
      <w:r>
        <w:rPr>
          <w:rFonts w:ascii="Arial" w:cs="Arial" w:eastAsia="Arial" w:hAnsi="Arial"/>
          <w:sz w:val="18"/>
          <w:szCs w:val="18"/>
          <w:color w:val="auto"/>
        </w:rPr>
        <w:t>Additionally, in order to preserve the intended tax treatment of the Distribution, we have agreed to comply with certain restrictions under current U.S. federal income tax laws for spin</w:t>
      </w:r>
      <w:r>
        <w:rPr>
          <w:rFonts w:ascii="MS PGothic" w:cs="MS PGothic" w:eastAsia="MS PGothic" w:hAnsi="MS PGothic"/>
          <w:sz w:val="18"/>
          <w:szCs w:val="18"/>
          <w:color w:val="auto"/>
        </w:rPr>
        <w:t>‑</w:t>
      </w:r>
      <w:r>
        <w:rPr>
          <w:rFonts w:ascii="Arial" w:cs="Arial" w:eastAsia="Arial" w:hAnsi="Arial"/>
          <w:sz w:val="18"/>
          <w:szCs w:val="18"/>
          <w:color w:val="auto"/>
        </w:rPr>
        <w:t>offs, including, refraining from engaging in certain transactions that would result in a fifty percent or greater change by vote or by value in our stock ownership. This restriction could discourage third parties from seeking to acquire us.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Our articles of incorporation designate the Eighth Judicial District Court of Clark County of the State of Nevada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person purchasing or otherwise acquiring any interest in any shares of our capital stock shall be deemed to have notice of and to have consented to this provision of our articles of incorporation. This choice of forum provision may limit our stockholders’ ability to bring certain claims, including claims against our directors, officers or employees, in a judicial forum that the stockholder finds favorable and therefore the choice of forum provision may discourage lawsuits or increase costs with respect to such claims.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other risks described from time to time in periodic and current reports we file with the SEC.</w:t>
      </w: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100 Inverness Terrace East, Englewood, Colorado 80112-5308 and our telephone number is</w:t>
      </w:r>
    </w:p>
    <w:p>
      <w:pPr>
        <w:spacing w:after="0" w:line="31" w:lineRule="exact"/>
        <w:rPr>
          <w:sz w:val="20"/>
          <w:szCs w:val="20"/>
          <w:color w:val="auto"/>
        </w:rPr>
      </w:pPr>
    </w:p>
    <w:p>
      <w:pPr>
        <w:jc w:val="both"/>
        <w:ind w:firstLine="8"/>
        <w:spacing w:after="0" w:line="255" w:lineRule="auto"/>
        <w:tabs>
          <w:tab w:leader="none" w:pos="5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706-4000. The following table sets forth certain information concerning our principal properties related to our Hughes segment (“Hughes”) and EchoStar Satellite Services segment (“ESS”) and to our other operations and administrative functions (“Corporate and Other”) as of December 31, 2020. We operate various facilities in the United States and abroad. We believe that our facilities are well maintained and are sufficient to meet our current and projected needs.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6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Segment(s)</w:t>
            </w:r>
          </w:p>
        </w:tc>
        <w:tc>
          <w:tcPr>
            <w:tcW w:w="5520" w:type="dxa"/>
            <w:vAlign w:val="bottom"/>
          </w:tcPr>
          <w:p>
            <w:pPr>
              <w:ind w:left="2380"/>
              <w:spacing w:after="0"/>
              <w:rPr>
                <w:sz w:val="20"/>
                <w:szCs w:val="20"/>
                <w:color w:val="auto"/>
              </w:rPr>
            </w:pPr>
            <w:r>
              <w:rPr>
                <w:rFonts w:ascii="Arial" w:cs="Arial" w:eastAsia="Arial" w:hAnsi="Arial"/>
                <w:sz w:val="18"/>
                <w:szCs w:val="18"/>
                <w:b w:val="1"/>
                <w:bCs w:val="1"/>
                <w:color w:val="auto"/>
              </w:rPr>
              <w:t>Function</w:t>
            </w:r>
          </w:p>
        </w:tc>
      </w:tr>
      <w:tr>
        <w:trPr>
          <w:trHeight w:val="223"/>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520" w:type="dxa"/>
            <w:vAlign w:val="bottom"/>
            <w:tcBorders>
              <w:top w:val="single" w:sz="8" w:color="auto"/>
            </w:tcBorders>
            <w:shd w:val="clear" w:color="auto" w:fill="CCEEFF"/>
          </w:tcPr>
          <w:p>
            <w:pPr>
              <w:spacing w:after="0"/>
              <w:rPr>
                <w:sz w:val="19"/>
                <w:szCs w:val="19"/>
                <w:color w:val="auto"/>
              </w:rPr>
            </w:pPr>
          </w:p>
        </w:tc>
      </w:tr>
      <w:tr>
        <w:trPr>
          <w:trHeight w:val="230"/>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Englewood, Colorado</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ESS/Corporate and Other</w:t>
            </w:r>
          </w:p>
        </w:tc>
        <w:tc>
          <w:tcPr>
            <w:tcW w:w="5520" w:type="dxa"/>
            <w:vAlign w:val="bottom"/>
          </w:tcPr>
          <w:p>
            <w:pPr>
              <w:ind w:left="20"/>
              <w:spacing w:after="0"/>
              <w:rPr>
                <w:sz w:val="20"/>
                <w:szCs w:val="20"/>
                <w:color w:val="auto"/>
              </w:rPr>
            </w:pPr>
            <w:r>
              <w:rPr>
                <w:rFonts w:ascii="Arial" w:cs="Arial" w:eastAsia="Arial" w:hAnsi="Arial"/>
                <w:sz w:val="18"/>
                <w:szCs w:val="18"/>
                <w:color w:val="auto"/>
              </w:rPr>
              <w:t>Corporate headquarters and engineering offices</w:t>
            </w:r>
          </w:p>
        </w:tc>
      </w:tr>
      <w:tr>
        <w:trPr>
          <w:trHeight w:val="175"/>
        </w:trPr>
        <w:tc>
          <w:tcPr>
            <w:tcW w:w="33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Germantown, Maryland</w:t>
            </w:r>
          </w:p>
        </w:tc>
        <w:tc>
          <w:tcPr>
            <w:tcW w:w="232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Hughes corporate headquarters, engineering offices, network</w:t>
            </w:r>
          </w:p>
        </w:tc>
      </w:tr>
      <w:tr>
        <w:trPr>
          <w:trHeight w:val="230"/>
        </w:trPr>
        <w:tc>
          <w:tcPr>
            <w:tcW w:w="3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shared hubs</w:t>
            </w:r>
          </w:p>
        </w:tc>
      </w:tr>
      <w:tr>
        <w:trPr>
          <w:trHeight w:val="175"/>
        </w:trPr>
        <w:tc>
          <w:tcPr>
            <w:tcW w:w="336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Griesheim, Germany</w:t>
            </w:r>
          </w:p>
        </w:tc>
        <w:tc>
          <w:tcPr>
            <w:tcW w:w="23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Hughes/Corporate and</w:t>
            </w:r>
          </w:p>
        </w:tc>
        <w:tc>
          <w:tcPr>
            <w:tcW w:w="5520" w:type="dxa"/>
            <w:vAlign w:val="bottom"/>
          </w:tcPr>
          <w:p>
            <w:pPr>
              <w:ind w:left="20"/>
              <w:spacing w:after="0" w:line="176" w:lineRule="exact"/>
              <w:rPr>
                <w:sz w:val="20"/>
                <w:szCs w:val="20"/>
                <w:color w:val="auto"/>
              </w:rPr>
            </w:pPr>
            <w:r>
              <w:rPr>
                <w:rFonts w:ascii="Arial" w:cs="Arial" w:eastAsia="Arial" w:hAnsi="Arial"/>
                <w:sz w:val="18"/>
                <w:szCs w:val="18"/>
                <w:color w:val="auto"/>
              </w:rPr>
              <w:t>Shared hub, operations, administrative offices and warehouse</w:t>
            </w:r>
          </w:p>
        </w:tc>
      </w:tr>
      <w:tr>
        <w:trPr>
          <w:trHeight w:val="230"/>
        </w:trPr>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Other</w:t>
            </w:r>
          </w:p>
        </w:tc>
        <w:tc>
          <w:tcPr>
            <w:tcW w:w="5520" w:type="dxa"/>
            <w:vAlign w:val="bottom"/>
          </w:tcPr>
          <w:p>
            <w:pPr>
              <w:spacing w:after="0"/>
              <w:rPr>
                <w:sz w:val="19"/>
                <w:szCs w:val="19"/>
                <w:color w:val="auto"/>
              </w:rPr>
            </w:pPr>
          </w:p>
        </w:tc>
      </w:tr>
      <w:tr>
        <w:trPr>
          <w:trHeight w:val="270"/>
        </w:trPr>
        <w:tc>
          <w:tcPr>
            <w:tcW w:w="3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520" w:type="dxa"/>
            <w:vAlign w:val="bottom"/>
            <w:shd w:val="clear" w:color="auto" w:fill="CCEEFF"/>
          </w:tcPr>
          <w:p>
            <w:pPr>
              <w:spacing w:after="0"/>
              <w:rPr>
                <w:sz w:val="23"/>
                <w:szCs w:val="23"/>
                <w:color w:val="auto"/>
              </w:rPr>
            </w:pPr>
          </w:p>
        </w:tc>
      </w:tr>
      <w:tr>
        <w:trPr>
          <w:trHeight w:val="229"/>
        </w:trPr>
        <w:tc>
          <w:tcPr>
            <w:tcW w:w="336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Leased:</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20" w:type="dxa"/>
            <w:vAlign w:val="bottom"/>
          </w:tcPr>
          <w:p>
            <w:pPr>
              <w:spacing w:after="0"/>
              <w:rPr>
                <w:sz w:val="19"/>
                <w:szCs w:val="19"/>
                <w:color w:val="auto"/>
              </w:rPr>
            </w:pPr>
          </w:p>
        </w:tc>
      </w:tr>
      <w:tr>
        <w:trPr>
          <w:trHeight w:val="229"/>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Gilbert, Arizona</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Gateways</w:t>
            </w:r>
          </w:p>
        </w:tc>
      </w:tr>
      <w:tr>
        <w:trPr>
          <w:trHeight w:val="230"/>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San Diego, California</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tcPr>
          <w:p>
            <w:pPr>
              <w:ind w:left="20"/>
              <w:spacing w:after="0"/>
              <w:rPr>
                <w:sz w:val="20"/>
                <w:szCs w:val="20"/>
                <w:color w:val="auto"/>
              </w:rPr>
            </w:pPr>
            <w:r>
              <w:rPr>
                <w:rFonts w:ascii="Arial" w:cs="Arial" w:eastAsia="Arial" w:hAnsi="Arial"/>
                <w:sz w:val="18"/>
                <w:szCs w:val="18"/>
                <w:color w:val="auto"/>
              </w:rPr>
              <w:t>Engineering and sales offices</w:t>
            </w:r>
          </w:p>
        </w:tc>
      </w:tr>
      <w:tr>
        <w:trPr>
          <w:trHeight w:val="229"/>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Englewood, Colorado</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Gateways and equipment</w:t>
            </w:r>
          </w:p>
        </w:tc>
      </w:tr>
      <w:tr>
        <w:trPr>
          <w:trHeight w:val="229"/>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Gaithersburg, Maryland</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tcPr>
          <w:p>
            <w:pPr>
              <w:ind w:left="20"/>
              <w:spacing w:after="0"/>
              <w:rPr>
                <w:sz w:val="20"/>
                <w:szCs w:val="20"/>
                <w:color w:val="auto"/>
              </w:rPr>
            </w:pPr>
            <w:r>
              <w:rPr>
                <w:rFonts w:ascii="Arial" w:cs="Arial" w:eastAsia="Arial" w:hAnsi="Arial"/>
                <w:sz w:val="18"/>
                <w:szCs w:val="18"/>
                <w:color w:val="auto"/>
              </w:rPr>
              <w:t>Manufacturing and testing facilities and logistics offices</w:t>
            </w:r>
          </w:p>
        </w:tc>
      </w:tr>
      <w:tr>
        <w:trPr>
          <w:trHeight w:val="230"/>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Gaithersburg, Maryland</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and administrative offices</w:t>
            </w:r>
          </w:p>
        </w:tc>
      </w:tr>
      <w:tr>
        <w:trPr>
          <w:trHeight w:val="229"/>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Southfield, Michigan</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tcPr>
          <w:p>
            <w:pPr>
              <w:ind w:left="20"/>
              <w:spacing w:after="0"/>
              <w:rPr>
                <w:sz w:val="20"/>
                <w:szCs w:val="20"/>
                <w:color w:val="auto"/>
              </w:rPr>
            </w:pPr>
            <w:r>
              <w:rPr>
                <w:rFonts w:ascii="Arial" w:cs="Arial" w:eastAsia="Arial" w:hAnsi="Arial"/>
                <w:sz w:val="18"/>
                <w:szCs w:val="18"/>
                <w:color w:val="auto"/>
              </w:rPr>
              <w:t>Shared hub and regional network management center</w:t>
            </w:r>
          </w:p>
        </w:tc>
      </w:tr>
      <w:tr>
        <w:trPr>
          <w:trHeight w:val="176"/>
        </w:trPr>
        <w:tc>
          <w:tcPr>
            <w:tcW w:w="33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Las Vegas, Nevada</w:t>
            </w:r>
          </w:p>
        </w:tc>
        <w:tc>
          <w:tcPr>
            <w:tcW w:w="232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Shared hub, antennae yards, gateway, backup network operation</w:t>
            </w:r>
          </w:p>
        </w:tc>
      </w:tr>
      <w:tr>
        <w:trPr>
          <w:trHeight w:val="229"/>
        </w:trPr>
        <w:tc>
          <w:tcPr>
            <w:tcW w:w="3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control center for Hughes corporate headquarters</w:t>
            </w:r>
          </w:p>
        </w:tc>
      </w:tr>
      <w:tr>
        <w:trPr>
          <w:trHeight w:val="230"/>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Cheyenne, Wyoming</w:t>
            </w: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rPr>
              <w:t>Hughes/ESS</w:t>
            </w:r>
          </w:p>
        </w:tc>
        <w:tc>
          <w:tcPr>
            <w:tcW w:w="5520" w:type="dxa"/>
            <w:vAlign w:val="bottom"/>
          </w:tcPr>
          <w:p>
            <w:pPr>
              <w:ind w:left="20"/>
              <w:spacing w:after="0"/>
              <w:rPr>
                <w:sz w:val="20"/>
                <w:szCs w:val="20"/>
                <w:color w:val="auto"/>
              </w:rPr>
            </w:pPr>
            <w:r>
              <w:rPr>
                <w:rFonts w:ascii="Arial" w:cs="Arial" w:eastAsia="Arial" w:hAnsi="Arial"/>
                <w:sz w:val="18"/>
                <w:szCs w:val="18"/>
                <w:color w:val="auto"/>
              </w:rPr>
              <w:t>Satellite access center, gateways and equipment</w:t>
            </w:r>
          </w:p>
        </w:tc>
      </w:tr>
      <w:tr>
        <w:trPr>
          <w:trHeight w:val="229"/>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Barueri, Brazil</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Shared hub</w:t>
            </w:r>
          </w:p>
        </w:tc>
      </w:tr>
      <w:tr>
        <w:trPr>
          <w:trHeight w:val="230"/>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Sao Paulo, Brazil</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tcPr>
          <w:p>
            <w:pPr>
              <w:ind w:left="20"/>
              <w:spacing w:after="0"/>
              <w:rPr>
                <w:sz w:val="20"/>
                <w:szCs w:val="20"/>
                <w:color w:val="auto"/>
              </w:rPr>
            </w:pPr>
            <w:r>
              <w:rPr>
                <w:rFonts w:ascii="Arial" w:cs="Arial" w:eastAsia="Arial" w:hAnsi="Arial"/>
                <w:sz w:val="18"/>
                <w:szCs w:val="18"/>
                <w:color w:val="auto"/>
              </w:rPr>
              <w:t>Hughes Brazil corporate headquarters, sales offices and warehouse</w:t>
            </w:r>
          </w:p>
        </w:tc>
      </w:tr>
      <w:tr>
        <w:trPr>
          <w:trHeight w:val="229"/>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Bangalore, India</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office and office space</w:t>
            </w:r>
          </w:p>
        </w:tc>
      </w:tr>
      <w:tr>
        <w:trPr>
          <w:trHeight w:val="176"/>
        </w:trPr>
        <w:tc>
          <w:tcPr>
            <w:tcW w:w="336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Gurgaon, India</w:t>
            </w:r>
          </w:p>
        </w:tc>
        <w:tc>
          <w:tcPr>
            <w:tcW w:w="23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Hughes</w:t>
            </w:r>
          </w:p>
        </w:tc>
        <w:tc>
          <w:tcPr>
            <w:tcW w:w="5520" w:type="dxa"/>
            <w:vAlign w:val="bottom"/>
          </w:tcPr>
          <w:p>
            <w:pPr>
              <w:ind w:left="20"/>
              <w:spacing w:after="0" w:line="176" w:lineRule="exact"/>
              <w:rPr>
                <w:sz w:val="20"/>
                <w:szCs w:val="20"/>
                <w:color w:val="auto"/>
              </w:rPr>
            </w:pPr>
            <w:r>
              <w:rPr>
                <w:rFonts w:ascii="Arial" w:cs="Arial" w:eastAsia="Arial" w:hAnsi="Arial"/>
                <w:sz w:val="18"/>
                <w:szCs w:val="18"/>
                <w:color w:val="auto"/>
              </w:rPr>
              <w:t>Administrative offices, shared hub, operations, warehouse, and</w:t>
            </w:r>
          </w:p>
        </w:tc>
      </w:tr>
      <w:tr>
        <w:trPr>
          <w:trHeight w:val="229"/>
        </w:trPr>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development center</w:t>
            </w:r>
          </w:p>
        </w:tc>
      </w:tr>
      <w:tr>
        <w:trPr>
          <w:trHeight w:val="230"/>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Delhi, India</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Hughes India corporate headquarters</w:t>
            </w:r>
          </w:p>
        </w:tc>
      </w:tr>
      <w:tr>
        <w:trPr>
          <w:trHeight w:val="243"/>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Milton Keynes, United Kingdom</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tcPr>
          <w:p>
            <w:pPr>
              <w:ind w:left="20"/>
              <w:spacing w:after="0"/>
              <w:rPr>
                <w:sz w:val="20"/>
                <w:szCs w:val="20"/>
                <w:color w:val="auto"/>
              </w:rPr>
            </w:pPr>
            <w:r>
              <w:rPr>
                <w:rFonts w:ascii="Arial" w:cs="Arial" w:eastAsia="Arial" w:hAnsi="Arial"/>
                <w:sz w:val="18"/>
                <w:szCs w:val="18"/>
                <w:color w:val="auto"/>
              </w:rPr>
              <w:t>Hughes Europe corporate headquarters and operations</w:t>
            </w:r>
          </w:p>
        </w:tc>
      </w:tr>
      <w:tr>
        <w:trPr>
          <w:trHeight w:val="539"/>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ITEM 3.   LEGAL PROCEEDINGS</w:t>
            </w: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tcPr>
          <w:p>
            <w:pPr>
              <w:spacing w:after="0"/>
              <w:rPr>
                <w:sz w:val="24"/>
                <w:szCs w:val="24"/>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legal proceedings, see Note 19 in our Accompanying Consolidated Financial Statements.</w:t>
      </w:r>
    </w:p>
    <w:p>
      <w:pPr>
        <w:spacing w:after="0" w:line="25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300"/>
        <w:spacing w:after="0" w:line="30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of and Dividends on the Registrant’s Common Equity and Related Stockholder Matters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r>
        <w:rPr>
          <w:rFonts w:ascii="Arial" w:cs="Arial" w:eastAsia="Arial" w:hAnsi="Arial"/>
          <w:sz w:val="18"/>
          <w:szCs w:val="18"/>
          <w:color w:val="auto"/>
        </w:rPr>
        <w:t>. Our Class A common stock is publicly traded on the NASDAQ Global Select Market under the symbol “SATS.”</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Holders. </w:t>
      </w:r>
      <w:r>
        <w:rPr>
          <w:rFonts w:ascii="Arial" w:cs="Arial" w:eastAsia="Arial" w:hAnsi="Arial"/>
          <w:sz w:val="18"/>
          <w:szCs w:val="18"/>
          <w:color w:val="auto"/>
        </w:rPr>
        <w:t>As of February 11, 2021, there were 46,011,533 shares of our Class A common stock outstanding held by 7,766 holders of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Class A common stock, not including stockholders who beneficially own Class A common stock held in nominee or street name. As of February 11, 2021, there were 47,687,039 shares of our Class B common stock outstanding, of which 196,967 shares were held by Charles W. Ergen, our Chairman and 47,490,072 shares were held in trusts and entities established for the benefit of Mr. Ergen’s family. There is currently no established trading market for our Class B common stock.</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We have not paid any cash dividends on our common stock in the past two years. We currently do not intend to declare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on our common stock. Payment of any future dividends will depend upon our earnings, capital requirements, contractual restrictions and other factors the board of directors considers appropriate. We currently intend to retain our earnings, if any, to support operations, future growth and expansion, although we have repurchased and may, in the future, repurchase shares of our common stock from time to time. Our ability to declare dividends is affected by the covenants in our subsidiary Hughes Satellite Systems Corporation’s indentures. See further discussion under Item 7. Management’s Discussion and Analysis of Financial Condition and Results of Operations — Liquidity and Capital Resources in this Form 10-K.</w:t>
      </w:r>
    </w:p>
    <w:p>
      <w:pPr>
        <w:spacing w:after="0" w:line="17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r>
        <w:rPr>
          <w:rFonts w:ascii="Arial" w:cs="Arial" w:eastAsia="Arial" w:hAnsi="Arial"/>
          <w:sz w:val="18"/>
          <w:szCs w:val="18"/>
          <w:color w:val="auto"/>
        </w:rPr>
        <w:t>. See Item 12. Security Ownership of Certain Beneficial Owners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Management and Related Stockholder Matters in this Form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previously authorized us to repurchase up to $500.0 million of our Class A common stock through and including December 31, 2020. On October 29, 2020, our Board of Directors terminated its prior authorization and authorized us to repurchase, pursuant to its new authorization, up to $500.0 million of our Class A common stock through and including December 31, 2021. Purchases under our repurchase authorization may be made through privately negotiated transactions, open market repurchases, one or more trading plans in accordance with Rule 10b5-1 under the Securities Exchange Act of 1934, as amended, or otherwise, subject to market conditions and other factors. We may elect not to purchase the maximum amount or any of the shares allowable under this program and we may also enter into additional share repurchase programs authorized by our Board of Directors. During the year ended December 31, 2020, we repurchased 1,905,906 shares of our Class A common stock under this program. From January 1, 2021 through February 11, 2021, we repurchased 2,851,841 shares of our Class A common stock under this program.</w:t>
      </w:r>
    </w:p>
    <w:p>
      <w:pPr>
        <w:spacing w:after="0" w:line="20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following table provides information regarding repurchases of our Class A common stock during the three months ended December 31, 2020: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Shares (or Units)</w:t>
            </w:r>
          </w:p>
        </w:tc>
        <w:tc>
          <w:tcPr>
            <w:tcW w:w="120" w:type="dxa"/>
            <w:vAlign w:val="bottom"/>
          </w:tcPr>
          <w:p>
            <w:pPr>
              <w:spacing w:after="0"/>
              <w:rPr>
                <w:sz w:val="11"/>
                <w:szCs w:val="11"/>
                <w:color w:val="auto"/>
              </w:rPr>
            </w:pPr>
          </w:p>
        </w:tc>
        <w:tc>
          <w:tcPr>
            <w:tcW w:w="152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rPr>
              <w:t>Value) of Shares (or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 Price Paid</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Purchased as Part of</w:t>
            </w:r>
          </w:p>
        </w:tc>
        <w:tc>
          <w:tcPr>
            <w:tcW w:w="1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Units) That May Yet Be</w:t>
            </w:r>
          </w:p>
        </w:tc>
        <w:tc>
          <w:tcPr>
            <w:tcW w:w="0" w:type="dxa"/>
            <w:vAlign w:val="bottom"/>
          </w:tcPr>
          <w:p>
            <w:pPr>
              <w:spacing w:after="0"/>
              <w:rPr>
                <w:sz w:val="1"/>
                <w:szCs w:val="1"/>
                <w:color w:val="auto"/>
              </w:rPr>
            </w:pPr>
          </w:p>
        </w:tc>
      </w:tr>
      <w:tr>
        <w:trPr>
          <w:trHeight w:val="135"/>
        </w:trPr>
        <w:tc>
          <w:tcPr>
            <w:tcW w:w="47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Shares (or Units)</w:t>
            </w:r>
          </w:p>
        </w:tc>
        <w:tc>
          <w:tcPr>
            <w:tcW w:w="1580" w:type="dxa"/>
            <w:vAlign w:val="bottom"/>
            <w:gridSpan w:val="3"/>
            <w:vMerge w:val="continue"/>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Publicly Disclosed</w:t>
            </w:r>
          </w:p>
        </w:tc>
        <w:tc>
          <w:tcPr>
            <w:tcW w:w="1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5"/>
        </w:trPr>
        <w:tc>
          <w:tcPr>
            <w:tcW w:w="4760" w:type="dxa"/>
            <w:vAlign w:val="bottom"/>
            <w:gridSpan w:val="2"/>
            <w:vMerge w:val="continue"/>
          </w:tcPr>
          <w:p>
            <w:pPr>
              <w:spacing w:after="0"/>
              <w:rPr>
                <w:sz w:val="15"/>
                <w:szCs w:val="15"/>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Purchased</w:t>
            </w: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 Share (or Unit)</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Plans or Program</w:t>
            </w:r>
          </w:p>
        </w:tc>
        <w:tc>
          <w:tcPr>
            <w:tcW w:w="120" w:type="dxa"/>
            <w:vAlign w:val="bottom"/>
          </w:tcPr>
          <w:p>
            <w:pPr>
              <w:spacing w:after="0"/>
              <w:rPr>
                <w:sz w:val="15"/>
                <w:szCs w:val="15"/>
                <w:color w:val="auto"/>
              </w:rPr>
            </w:pPr>
          </w:p>
        </w:tc>
        <w:tc>
          <w:tcPr>
            <w:tcW w:w="1520" w:type="dxa"/>
            <w:vAlign w:val="bottom"/>
          </w:tcPr>
          <w:p>
            <w:pPr>
              <w:jc w:val="center"/>
              <w:ind w:right="38"/>
              <w:spacing w:after="0"/>
              <w:rPr>
                <w:sz w:val="20"/>
                <w:szCs w:val="20"/>
                <w:color w:val="auto"/>
              </w:rPr>
            </w:pPr>
            <w:r>
              <w:rPr>
                <w:rFonts w:ascii="Arial" w:cs="Arial" w:eastAsia="Arial" w:hAnsi="Arial"/>
                <w:sz w:val="14"/>
                <w:szCs w:val="14"/>
                <w:b w:val="1"/>
                <w:bCs w:val="1"/>
                <w:color w:val="auto"/>
              </w:rPr>
              <w:t>Plans or Program (1)</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1 - 31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494,109</w:t>
            </w:r>
          </w:p>
        </w:tc>
        <w:tc>
          <w:tcPr>
            <w:tcW w:w="0" w:type="dxa"/>
            <w:vAlign w:val="bottom"/>
          </w:tcPr>
          <w:p>
            <w:pPr>
              <w:spacing w:after="0"/>
              <w:rPr>
                <w:sz w:val="1"/>
                <w:szCs w:val="1"/>
                <w:color w:val="auto"/>
              </w:rPr>
            </w:pPr>
          </w:p>
        </w:tc>
      </w:tr>
      <w:tr>
        <w:trPr>
          <w:trHeight w:val="230"/>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November 1 - 30</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9"/>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494,109</w:t>
            </w: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1 - 31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1,708,907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1,708,907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456,542</w:t>
            </w:r>
          </w:p>
        </w:tc>
        <w:tc>
          <w:tcPr>
            <w:tcW w:w="0" w:type="dxa"/>
            <w:vAlign w:val="bottom"/>
          </w:tcPr>
          <w:p>
            <w:pPr>
              <w:spacing w:after="0"/>
              <w:rPr>
                <w:sz w:val="1"/>
                <w:szCs w:val="1"/>
                <w:color w:val="auto"/>
              </w:rPr>
            </w:pPr>
          </w:p>
        </w:tc>
      </w:tr>
      <w:tr>
        <w:trPr>
          <w:trHeight w:val="223"/>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1,708,907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1,708,907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456,542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80" w:firstLine="9"/>
        <w:spacing w:after="0" w:line="258" w:lineRule="auto"/>
        <w:tabs>
          <w:tab w:leader="none" w:pos="234"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On October 29, 2019, our Board of Directors authorized us to repurchase up to $500.0 million of our Class A common stock through and including December 31, 2020. Purchases under our repurchase authorization may be made through privately negotiated transactions, open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both"/>
        <w:ind w:left="80"/>
        <w:spacing w:after="0" w:line="260" w:lineRule="auto"/>
        <w:rPr>
          <w:sz w:val="20"/>
          <w:szCs w:val="20"/>
          <w:color w:val="auto"/>
        </w:rPr>
      </w:pPr>
      <w:r>
        <w:rPr>
          <w:rFonts w:ascii="Arial" w:cs="Arial" w:eastAsia="Arial" w:hAnsi="Arial"/>
          <w:sz w:val="14"/>
          <w:szCs w:val="14"/>
          <w:color w:val="auto"/>
        </w:rPr>
        <w:t>market repurchases, one or more trading plans in accordance with Rule 10b5-1 under the Securities Exchange Act of 1934, as amended, or otherwise, subject to market conditions and other factors. We may elect to purchase some or all, or not to purchase the maximum amount or any of, the remaining shares allowable under this program and we may also enter into additional share repurchase programs authorized by our Board of Directors. All shares repurchased reflected in the table above have been converted to treasury shares.</w:t>
      </w:r>
    </w:p>
    <w:p>
      <w:pPr>
        <w:spacing w:after="0" w:line="35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present selected information relating to our consolidated financial condition and results of operations for the past five years. The selected financial data should be read in conjunction with Item 7. Management’s Discussion and Analysis of Financial Condition and Results of Operations and our Accompanying Consolidated Financial Statements. Historical financial data presented below may not be indicative of future financial condition.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14"/>
          </w:tcPr>
          <w:p>
            <w:pPr>
              <w:jc w:val="center"/>
              <w:ind w:right="380"/>
              <w:spacing w:after="0"/>
              <w:rPr>
                <w:sz w:val="20"/>
                <w:szCs w:val="20"/>
                <w:color w:val="auto"/>
              </w:rPr>
            </w:pPr>
            <w:r>
              <w:rPr>
                <w:rFonts w:ascii="Arial" w:cs="Arial" w:eastAsia="Arial" w:hAnsi="Arial"/>
                <w:sz w:val="18"/>
                <w:szCs w:val="18"/>
                <w:b w:val="1"/>
                <w:bCs w:val="1"/>
                <w:color w:val="auto"/>
              </w:rPr>
              <w:t>For the years ended December 31,</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gridSpan w:val="3"/>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50"/>
              <w:spacing w:after="0" w:line="223" w:lineRule="exact"/>
              <w:rPr>
                <w:sz w:val="20"/>
                <w:szCs w:val="20"/>
                <w:color w:val="auto"/>
              </w:rPr>
            </w:pPr>
            <w:r>
              <w:rPr>
                <w:rFonts w:ascii="Arial" w:cs="Arial" w:eastAsia="Arial" w:hAnsi="Arial"/>
                <w:sz w:val="18"/>
                <w:szCs w:val="18"/>
                <w:b w:val="1"/>
                <w:bCs w:val="1"/>
                <w:color w:val="auto"/>
                <w:w w:val="91"/>
              </w:rPr>
              <w:t>2017</w:t>
            </w:r>
            <w:r>
              <w:rPr>
                <w:rFonts w:ascii="Arial" w:cs="Arial" w:eastAsia="Arial" w:hAnsi="Arial"/>
                <w:sz w:val="23"/>
                <w:szCs w:val="23"/>
                <w:b w:val="1"/>
                <w:bCs w:val="1"/>
                <w:color w:val="auto"/>
                <w:w w:val="91"/>
                <w:vertAlign w:val="superscript"/>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23"/>
        </w:trPr>
        <w:tc>
          <w:tcPr>
            <w:tcW w:w="3680" w:type="dxa"/>
            <w:vAlign w:val="bottom"/>
            <w:gridSpan w:val="3"/>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revenue </w:t>
            </w:r>
            <w:r>
              <w:rPr>
                <w:rFonts w:ascii="Arial" w:cs="Arial" w:eastAsia="Arial" w:hAnsi="Arial"/>
                <w:sz w:val="23"/>
                <w:szCs w:val="23"/>
                <w:color w:val="auto"/>
                <w:vertAlign w:val="superscript"/>
              </w:rPr>
              <w:t>(2) (3)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1,887,907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1,886,081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1,762,638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1,525,155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1,447,223</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costs and expenses</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1,775,434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1,813,004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1,726,501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1,494,593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1,325,364</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112,473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73,077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36,137</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121,859</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68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from continuing operations</w:t>
            </w:r>
          </w:p>
        </w:tc>
        <w:tc>
          <w:tcPr>
            <w:tcW w:w="360" w:type="dxa"/>
            <w:vAlign w:val="bottom"/>
            <w:gridSpan w:val="4"/>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(40,150)</w:t>
            </w:r>
          </w:p>
        </w:tc>
        <w:tc>
          <w:tcPr>
            <w:tcW w:w="400" w:type="dxa"/>
            <w:vAlign w:val="bottom"/>
            <w:gridSpan w:val="3"/>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(102,318)</w:t>
            </w:r>
          </w:p>
        </w:tc>
        <w:tc>
          <w:tcPr>
            <w:tcW w:w="380" w:type="dxa"/>
            <w:vAlign w:val="bottom"/>
            <w:gridSpan w:val="3"/>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(134,204)</w:t>
            </w:r>
          </w:p>
        </w:tc>
        <w:tc>
          <w:tcPr>
            <w:tcW w:w="20" w:type="dxa"/>
            <w:vAlign w:val="bottom"/>
            <w:shd w:val="clear" w:color="auto" w:fill="CCEEFF"/>
          </w:tcPr>
          <w:p>
            <w:pPr>
              <w:spacing w:after="0"/>
              <w:rPr>
                <w:sz w:val="15"/>
                <w:szCs w:val="15"/>
                <w:color w:val="auto"/>
              </w:rPr>
            </w:pPr>
          </w:p>
        </w:tc>
        <w:tc>
          <w:tcPr>
            <w:tcW w:w="360" w:type="dxa"/>
            <w:vAlign w:val="bottom"/>
            <w:gridSpan w:val="3"/>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123,188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43,886</w:t>
            </w:r>
          </w:p>
        </w:tc>
        <w:tc>
          <w:tcPr>
            <w:tcW w:w="0" w:type="dxa"/>
            <w:vAlign w:val="bottom"/>
          </w:tcPr>
          <w:p>
            <w:pPr>
              <w:spacing w:after="0"/>
              <w:rPr>
                <w:sz w:val="1"/>
                <w:szCs w:val="1"/>
                <w:color w:val="auto"/>
              </w:rPr>
            </w:pPr>
          </w:p>
        </w:tc>
      </w:tr>
      <w:tr>
        <w:trPr>
          <w:trHeight w:val="229"/>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attributable to EchoStar common stock</w:t>
            </w:r>
          </w:p>
        </w:tc>
        <w:tc>
          <w:tcPr>
            <w:tcW w:w="360" w:type="dxa"/>
            <w:vAlign w:val="bottom"/>
            <w:gridSpan w:val="4"/>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3"/>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68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Basic earnings (losses) per share -</w:t>
            </w:r>
          </w:p>
        </w:tc>
        <w:tc>
          <w:tcPr>
            <w:tcW w:w="360" w:type="dxa"/>
            <w:vAlign w:val="bottom"/>
            <w:gridSpan w:val="4"/>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400" w:type="dxa"/>
            <w:vAlign w:val="bottom"/>
            <w:gridSpan w:val="3"/>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380" w:type="dxa"/>
            <w:vAlign w:val="bottom"/>
            <w:gridSpan w:val="3"/>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5"/>
                <w:szCs w:val="15"/>
                <w:color w:val="auto"/>
              </w:rPr>
            </w:pPr>
          </w:p>
        </w:tc>
        <w:tc>
          <w:tcPr>
            <w:tcW w:w="360" w:type="dxa"/>
            <w:vAlign w:val="bottom"/>
            <w:gridSpan w:val="3"/>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30"/>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360" w:type="dxa"/>
            <w:vAlign w:val="bottom"/>
            <w:gridSpan w:val="4"/>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3"/>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8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Diluted earnings (losses) per share -</w:t>
            </w:r>
          </w:p>
        </w:tc>
        <w:tc>
          <w:tcPr>
            <w:tcW w:w="360" w:type="dxa"/>
            <w:vAlign w:val="bottom"/>
            <w:gridSpan w:val="4"/>
            <w:vMerge w:val="restart"/>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(0.41)</w:t>
            </w:r>
          </w:p>
        </w:tc>
        <w:tc>
          <w:tcPr>
            <w:tcW w:w="400" w:type="dxa"/>
            <w:vAlign w:val="bottom"/>
            <w:gridSpan w:val="3"/>
            <w:vMerge w:val="restart"/>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(1.06)</w:t>
            </w:r>
          </w:p>
        </w:tc>
        <w:tc>
          <w:tcPr>
            <w:tcW w:w="38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5"/>
                <w:szCs w:val="15"/>
                <w:color w:val="auto"/>
              </w:rPr>
            </w:pPr>
          </w:p>
        </w:tc>
        <w:tc>
          <w:tcPr>
            <w:tcW w:w="36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4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continuing operations</w:t>
            </w:r>
          </w:p>
        </w:tc>
        <w:tc>
          <w:tcPr>
            <w:tcW w:w="360" w:type="dxa"/>
            <w:vAlign w:val="bottom"/>
            <w:gridSpan w:val="4"/>
            <w:vMerge w:val="continue"/>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400" w:type="dxa"/>
            <w:vAlign w:val="bottom"/>
            <w:gridSpan w:val="3"/>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380" w:type="dxa"/>
            <w:vAlign w:val="bottom"/>
            <w:gridSpan w:val="3"/>
            <w:vMerge w:val="continue"/>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gridSpan w:val="3"/>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62"/>
        </w:trPr>
        <w:tc>
          <w:tcPr>
            <w:tcW w:w="3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1"/>
          </w:tcPr>
          <w:p>
            <w:pPr>
              <w:jc w:val="center"/>
              <w:ind w:left="710"/>
              <w:spacing w:after="0"/>
              <w:rPr>
                <w:sz w:val="20"/>
                <w:szCs w:val="20"/>
                <w:color w:val="auto"/>
              </w:rPr>
            </w:pPr>
            <w:r>
              <w:rPr>
                <w:rFonts w:ascii="Arial" w:cs="Arial" w:eastAsia="Arial" w:hAnsi="Arial"/>
                <w:sz w:val="18"/>
                <w:szCs w:val="18"/>
                <w:b w:val="1"/>
                <w:bCs w:val="1"/>
                <w:color w:val="auto"/>
                <w:w w:val="99"/>
              </w:rPr>
              <w:t>As of December 31,</w:t>
            </w: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CCEEFF"/>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90"/>
              <w:spacing w:after="0" w:line="223" w:lineRule="exact"/>
              <w:rPr>
                <w:sz w:val="20"/>
                <w:szCs w:val="20"/>
                <w:color w:val="auto"/>
              </w:rPr>
            </w:pPr>
            <w:r>
              <w:rPr>
                <w:rFonts w:ascii="Arial" w:cs="Arial" w:eastAsia="Arial" w:hAnsi="Arial"/>
                <w:sz w:val="18"/>
                <w:szCs w:val="18"/>
                <w:b w:val="1"/>
                <w:bCs w:val="1"/>
                <w:color w:val="auto"/>
                <w:w w:val="91"/>
              </w:rPr>
              <w:t>2017</w:t>
            </w:r>
            <w:r>
              <w:rPr>
                <w:rFonts w:ascii="Arial" w:cs="Arial" w:eastAsia="Arial" w:hAnsi="Arial"/>
                <w:sz w:val="23"/>
                <w:szCs w:val="23"/>
                <w:b w:val="1"/>
                <w:bCs w:val="1"/>
                <w:color w:val="auto"/>
                <w:w w:val="91"/>
                <w:vertAlign w:val="superscript"/>
              </w:rPr>
              <w:t>(1)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69"/>
        </w:trPr>
        <w:tc>
          <w:tcPr>
            <w:tcW w:w="36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Cash and cash equivalents and marketable</w:t>
            </w:r>
          </w:p>
        </w:tc>
        <w:tc>
          <w:tcPr>
            <w:tcW w:w="20" w:type="dxa"/>
            <w:vAlign w:val="bottom"/>
            <w:shd w:val="clear" w:color="auto" w:fill="CCEEFF"/>
          </w:tcPr>
          <w:p>
            <w:pPr>
              <w:spacing w:after="0"/>
              <w:rPr>
                <w:sz w:val="14"/>
                <w:szCs w:val="14"/>
                <w:color w:val="auto"/>
              </w:rPr>
            </w:pPr>
          </w:p>
        </w:tc>
        <w:tc>
          <w:tcPr>
            <w:tcW w:w="360" w:type="dxa"/>
            <w:vAlign w:val="bottom"/>
            <w:gridSpan w:val="4"/>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2,534,276</w:t>
            </w:r>
          </w:p>
        </w:tc>
        <w:tc>
          <w:tcPr>
            <w:tcW w:w="20" w:type="dxa"/>
            <w:vAlign w:val="bottom"/>
            <w:shd w:val="clear" w:color="auto" w:fill="CCEEFF"/>
          </w:tcPr>
          <w:p>
            <w:pPr>
              <w:spacing w:after="0"/>
              <w:rPr>
                <w:sz w:val="14"/>
                <w:szCs w:val="14"/>
                <w:color w:val="auto"/>
              </w:rPr>
            </w:pPr>
          </w:p>
        </w:tc>
        <w:tc>
          <w:tcPr>
            <w:tcW w:w="400" w:type="dxa"/>
            <w:vAlign w:val="bottom"/>
            <w:gridSpan w:val="3"/>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2,460,054</w:t>
            </w:r>
          </w:p>
        </w:tc>
        <w:tc>
          <w:tcPr>
            <w:tcW w:w="20" w:type="dxa"/>
            <w:vAlign w:val="bottom"/>
            <w:shd w:val="clear" w:color="auto" w:fill="CCEEFF"/>
          </w:tcPr>
          <w:p>
            <w:pPr>
              <w:spacing w:after="0"/>
              <w:rPr>
                <w:sz w:val="14"/>
                <w:szCs w:val="14"/>
                <w:color w:val="auto"/>
              </w:rPr>
            </w:pPr>
          </w:p>
        </w:tc>
        <w:tc>
          <w:tcPr>
            <w:tcW w:w="380" w:type="dxa"/>
            <w:vAlign w:val="bottom"/>
            <w:gridSpan w:val="3"/>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3,210,458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gridSpan w:val="3"/>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3,245,617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3,092,881</w:t>
            </w:r>
          </w:p>
        </w:tc>
        <w:tc>
          <w:tcPr>
            <w:tcW w:w="0" w:type="dxa"/>
            <w:vAlign w:val="bottom"/>
          </w:tcPr>
          <w:p>
            <w:pPr>
              <w:spacing w:after="0"/>
              <w:rPr>
                <w:sz w:val="1"/>
                <w:szCs w:val="1"/>
                <w:color w:val="auto"/>
              </w:rPr>
            </w:pPr>
          </w:p>
        </w:tc>
      </w:tr>
      <w:tr>
        <w:trPr>
          <w:trHeight w:val="230"/>
        </w:trPr>
        <w:tc>
          <w:tcPr>
            <w:tcW w:w="3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investments securities</w:t>
            </w:r>
          </w:p>
        </w:tc>
        <w:tc>
          <w:tcPr>
            <w:tcW w:w="360" w:type="dxa"/>
            <w:vAlign w:val="bottom"/>
            <w:gridSpan w:val="4"/>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3"/>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7,073,352</w:t>
            </w:r>
          </w:p>
        </w:tc>
        <w:tc>
          <w:tcPr>
            <w:tcW w:w="2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7,154,298</w:t>
            </w:r>
          </w:p>
        </w:tc>
        <w:tc>
          <w:tcPr>
            <w:tcW w:w="20" w:type="dxa"/>
            <w:vAlign w:val="bottom"/>
          </w:tcPr>
          <w:p>
            <w:pPr>
              <w:spacing w:after="0"/>
              <w:rPr>
                <w:sz w:val="19"/>
                <w:szCs w:val="19"/>
                <w:color w:val="auto"/>
              </w:rPr>
            </w:pPr>
          </w:p>
        </w:tc>
        <w:tc>
          <w:tcPr>
            <w:tcW w:w="3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8,661,294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8,750,014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9,008,859</w:t>
            </w:r>
          </w:p>
        </w:tc>
        <w:tc>
          <w:tcPr>
            <w:tcW w:w="0" w:type="dxa"/>
            <w:vAlign w:val="bottom"/>
          </w:tcPr>
          <w:p>
            <w:pPr>
              <w:spacing w:after="0"/>
              <w:rPr>
                <w:sz w:val="1"/>
                <w:szCs w:val="1"/>
                <w:color w:val="auto"/>
              </w:rPr>
            </w:pPr>
          </w:p>
        </w:tc>
      </w:tr>
      <w:tr>
        <w:trPr>
          <w:trHeight w:val="230"/>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6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2,393,493</w:t>
            </w:r>
          </w:p>
        </w:tc>
        <w:tc>
          <w:tcPr>
            <w:tcW w:w="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2,389,168</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3,304,079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3,365,143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3,358,179</w:t>
            </w:r>
          </w:p>
        </w:tc>
        <w:tc>
          <w:tcPr>
            <w:tcW w:w="0" w:type="dxa"/>
            <w:vAlign w:val="bottom"/>
          </w:tcPr>
          <w:p>
            <w:pPr>
              <w:spacing w:after="0"/>
              <w:rPr>
                <w:sz w:val="1"/>
                <w:szCs w:val="1"/>
                <w:color w:val="auto"/>
              </w:rPr>
            </w:pPr>
          </w:p>
        </w:tc>
      </w:tr>
      <w:tr>
        <w:trPr>
          <w:trHeight w:val="24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Total stockholders’ equity</w:t>
            </w:r>
          </w:p>
        </w:tc>
        <w:tc>
          <w:tcPr>
            <w:tcW w:w="36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3,607,250</w:t>
            </w:r>
          </w:p>
        </w:tc>
        <w:tc>
          <w:tcPr>
            <w:tcW w:w="20" w:type="dxa"/>
            <w:vAlign w:val="bottom"/>
          </w:tcPr>
          <w:p>
            <w:pPr>
              <w:spacing w:after="0"/>
              <w:rPr>
                <w:sz w:val="21"/>
                <w:szCs w:val="21"/>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3,745,553</w:t>
            </w:r>
          </w:p>
        </w:tc>
        <w:tc>
          <w:tcPr>
            <w:tcW w:w="20" w:type="dxa"/>
            <w:vAlign w:val="bottom"/>
          </w:tcPr>
          <w:p>
            <w:pPr>
              <w:spacing w:after="0"/>
              <w:rPr>
                <w:sz w:val="21"/>
                <w:szCs w:val="21"/>
                <w:color w:val="auto"/>
              </w:rPr>
            </w:pPr>
          </w:p>
        </w:tc>
        <w:tc>
          <w:tcPr>
            <w:tcW w:w="3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4,155,474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4,177,385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4,006,805</w:t>
            </w:r>
          </w:p>
        </w:tc>
        <w:tc>
          <w:tcPr>
            <w:tcW w:w="0" w:type="dxa"/>
            <w:vAlign w:val="bottom"/>
          </w:tcPr>
          <w:p>
            <w:pPr>
              <w:spacing w:after="0"/>
              <w:rPr>
                <w:sz w:val="1"/>
                <w:szCs w:val="1"/>
                <w:color w:val="auto"/>
              </w:rPr>
            </w:pPr>
          </w:p>
        </w:tc>
      </w:tr>
      <w:tr>
        <w:trPr>
          <w:trHeight w:val="662"/>
        </w:trPr>
        <w:tc>
          <w:tcPr>
            <w:tcW w:w="36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Cash Flow Data:</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14"/>
          </w:tcPr>
          <w:p>
            <w:pPr>
              <w:jc w:val="center"/>
              <w:ind w:right="420"/>
              <w:spacing w:after="0"/>
              <w:rPr>
                <w:sz w:val="20"/>
                <w:szCs w:val="20"/>
                <w:color w:val="auto"/>
              </w:rPr>
            </w:pPr>
            <w:r>
              <w:rPr>
                <w:rFonts w:ascii="Arial" w:cs="Arial" w:eastAsia="Arial" w:hAnsi="Arial"/>
                <w:sz w:val="18"/>
                <w:szCs w:val="18"/>
                <w:b w:val="1"/>
                <w:bCs w:val="1"/>
                <w:color w:val="auto"/>
              </w:rPr>
              <w:t>For the years ended December 31,</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2017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23"/>
        </w:trPr>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flows from:</w:t>
            </w:r>
          </w:p>
        </w:tc>
        <w:tc>
          <w:tcPr>
            <w:tcW w:w="4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3"/>
          </w:tcPr>
          <w:p>
            <w:pPr>
              <w:ind w:left="220"/>
              <w:spacing w:after="0"/>
              <w:rPr>
                <w:sz w:val="20"/>
                <w:szCs w:val="20"/>
                <w:color w:val="auto"/>
              </w:rPr>
            </w:pPr>
            <w:r>
              <w:rPr>
                <w:rFonts w:ascii="Arial" w:cs="Arial" w:eastAsia="Arial" w:hAnsi="Arial"/>
                <w:sz w:val="18"/>
                <w:szCs w:val="18"/>
                <w:color w:val="auto"/>
              </w:rPr>
              <w:t>Operating activities</w:t>
            </w:r>
          </w:p>
        </w:tc>
        <w:tc>
          <w:tcPr>
            <w:tcW w:w="36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534,388</w:t>
            </w:r>
          </w:p>
        </w:tc>
        <w:tc>
          <w:tcPr>
            <w:tcW w:w="2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656,322</w:t>
            </w:r>
          </w:p>
        </w:tc>
        <w:tc>
          <w:tcPr>
            <w:tcW w:w="20" w:type="dxa"/>
            <w:vAlign w:val="bottom"/>
          </w:tcPr>
          <w:p>
            <w:pPr>
              <w:spacing w:after="0"/>
              <w:rPr>
                <w:sz w:val="19"/>
                <w:szCs w:val="19"/>
                <w:color w:val="auto"/>
              </w:rPr>
            </w:pPr>
          </w:p>
        </w:tc>
        <w:tc>
          <w:tcPr>
            <w:tcW w:w="3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734,522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726,892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803,343</w:t>
            </w:r>
          </w:p>
        </w:tc>
        <w:tc>
          <w:tcPr>
            <w:tcW w:w="0" w:type="dxa"/>
            <w:vAlign w:val="bottom"/>
          </w:tcPr>
          <w:p>
            <w:pPr>
              <w:spacing w:after="0"/>
              <w:rPr>
                <w:sz w:val="1"/>
                <w:szCs w:val="1"/>
                <w:color w:val="auto"/>
              </w:rPr>
            </w:pPr>
          </w:p>
        </w:tc>
      </w:tr>
      <w:tr>
        <w:trPr>
          <w:trHeight w:val="230"/>
        </w:trPr>
        <w:tc>
          <w:tcPr>
            <w:tcW w:w="3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36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(1,142,455)</w:t>
            </w:r>
          </w:p>
        </w:tc>
        <w:tc>
          <w:tcPr>
            <w:tcW w:w="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821,958</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(2,098,480)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(632,199)</w:t>
            </w:r>
          </w:p>
        </w:tc>
        <w:tc>
          <w:tcPr>
            <w:tcW w:w="0" w:type="dxa"/>
            <w:vAlign w:val="bottom"/>
          </w:tcPr>
          <w:p>
            <w:pPr>
              <w:spacing w:after="0"/>
              <w:rPr>
                <w:sz w:val="1"/>
                <w:szCs w:val="1"/>
                <w:color w:val="auto"/>
              </w:rPr>
            </w:pPr>
          </w:p>
        </w:tc>
      </w:tr>
      <w:tr>
        <w:trPr>
          <w:trHeight w:val="243"/>
        </w:trPr>
        <w:tc>
          <w:tcPr>
            <w:tcW w:w="3680" w:type="dxa"/>
            <w:vAlign w:val="bottom"/>
            <w:gridSpan w:val="3"/>
          </w:tcPr>
          <w:p>
            <w:pPr>
              <w:ind w:left="220"/>
              <w:spacing w:after="0"/>
              <w:rPr>
                <w:sz w:val="20"/>
                <w:szCs w:val="20"/>
                <w:color w:val="auto"/>
              </w:rPr>
            </w:pPr>
            <w:r>
              <w:rPr>
                <w:rFonts w:ascii="Arial" w:cs="Arial" w:eastAsia="Arial" w:hAnsi="Arial"/>
                <w:sz w:val="18"/>
                <w:szCs w:val="18"/>
                <w:color w:val="auto"/>
              </w:rPr>
              <w:t>Financing activities</w:t>
            </w:r>
          </w:p>
        </w:tc>
        <w:tc>
          <w:tcPr>
            <w:tcW w:w="36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(15,620)</w:t>
            </w:r>
          </w:p>
        </w:tc>
        <w:tc>
          <w:tcPr>
            <w:tcW w:w="20" w:type="dxa"/>
            <w:vAlign w:val="bottom"/>
          </w:tcPr>
          <w:p>
            <w:pPr>
              <w:spacing w:after="0"/>
              <w:rPr>
                <w:sz w:val="21"/>
                <w:szCs w:val="21"/>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(885,311)</w:t>
            </w:r>
          </w:p>
        </w:tc>
        <w:tc>
          <w:tcPr>
            <w:tcW w:w="20" w:type="dxa"/>
            <w:vAlign w:val="bottom"/>
          </w:tcPr>
          <w:p>
            <w:pPr>
              <w:spacing w:after="0"/>
              <w:rPr>
                <w:sz w:val="21"/>
                <w:szCs w:val="21"/>
                <w:color w:val="auto"/>
              </w:rPr>
            </w:pPr>
          </w:p>
        </w:tc>
        <w:tc>
          <w:tcPr>
            <w:tcW w:w="3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(136,563)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1,475,689</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left="340" w:hanging="332"/>
        <w:spacing w:after="0" w:line="250" w:lineRule="auto"/>
        <w:tabs>
          <w:tab w:leader="none" w:pos="368"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2017 Tax Act increased the complexity of our income tax accounting and resulted in significant adjustments to our deferred income tax accounts in 2017. As a result, our results of operations and balance sheet data for the years ended December 31, 2020, 2019, 2018 and 2017 are not comparable to our results of operations for the year ended December 31, 2016. See Note 15 to our Accompanying Consolidated Financial Statements for further information.</w:t>
      </w:r>
    </w:p>
    <w:p>
      <w:pPr>
        <w:ind w:left="340" w:hanging="332"/>
        <w:spacing w:after="0" w:line="241" w:lineRule="auto"/>
        <w:tabs>
          <w:tab w:leader="none" w:pos="379"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On January 1, 2018, we adopted Topic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using the modified retrospective approach. As a result, total revenue for the years ended December 31, 2020, 2019 and 2018 may not be comparable to prior years.</w:t>
      </w:r>
    </w:p>
    <w:p>
      <w:pPr>
        <w:ind w:left="340" w:hanging="332"/>
        <w:spacing w:after="0" w:line="264" w:lineRule="auto"/>
        <w:tabs>
          <w:tab w:leader="none" w:pos="392"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On January 1, 2019, we adopted Topic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using the modified retrospective approach. As a result, total revenue for the years ended December 31, 2020 and 2019 may not be comparable to prior years.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Management’s Discussion and Analysis of our Financial Condition and Results of Operations (“Management’s Discussion and Analysis”) should be read in conjunction with our Accompanying Consolidated Financial Statements.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Form 10-K for further discussion. For a discussion of additional risks, uncertainties and other factors that could impact our results of operations or financial condition, see Item 1A. Risk Factors of this Form 10-K. Further, such forward-looking statements speak only as of the date of this Form 10-K and we undertake no obligation to update them.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currently operate in two business segments: Hughes and ESS. These segments are consistent with the way we make decisions regarding the allocation of resources, as well as how operating results are reviewed by our chief operating decision maker, who is the Company’s Chief Executive Officer.</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operations also include various corporate departments (primarily Executive, Treasury, Strategic Development, Human Resources, IT,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Corporate and Other in our segment reporting.</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(together with DISH, “DISH Network”) and our joint venture Dish Mexico, S. de R.L. de C.V. (“Dish Mexico”) and its subsidiaries,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BSS Transaction, we and DISH Network agreed to indemnify each other against certain losses with respect to breaches of certain representations and covenants and certain retained and assumed liabilities, respectively. Additionally, we and DISH and certain of our and their subsidiaries (i) entered into certain customary agreements covering, among other things, matters relating to taxes, employees, intellectual property and the provision of transitional services; (ii) terminated certain previously existing agreements; and (iii) amended certain existing agreements and entered into certain new agreements pursuant to which we and DISH Network will obtain and provide certain products, services and rights from and to each other.</w:t>
      </w:r>
    </w:p>
    <w:p>
      <w:pPr>
        <w:spacing w:after="0" w:line="20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BSS Transaction was structured in a manner intended to be tax-free to us and our stockholders for U.S. federal income tax purposes and was accounted for as a spin-off to our shareholders as we did not receive any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35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consideration. Following the consummation of the BSS Transaction, we no longer operate the BSS Business, which was a substantial portion of our ESS segment. As a result of the BSS Transaction, the financial results of the BSS Business, except for certain real estate that transferred in the transaction, are presented as discontinued operations and, as such, excluded from continuing operations and segment results for the years ended December 31, 2019 and 2018, in our Accompanying Consolidated Financial Statements. See Note 5 in our Accompanying Consolidated Financial Statements for further discussion of our discontinued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Year Ended December 31, 2020</w:t>
      </w:r>
    </w:p>
    <w:p>
      <w:pPr>
        <w:spacing w:after="0" w:line="25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of $1.9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income (loss) of $112.5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(loss) from continuing operations of $(51.9) million</w:t>
      </w:r>
    </w:p>
    <w:p>
      <w:pPr>
        <w:spacing w:after="0" w:line="90" w:lineRule="exact"/>
        <w:rPr>
          <w:rFonts w:ascii="Arial" w:cs="Arial" w:eastAsia="Arial" w:hAnsi="Arial"/>
          <w:sz w:val="18"/>
          <w:szCs w:val="18"/>
          <w:color w:val="auto"/>
        </w:rPr>
      </w:pPr>
    </w:p>
    <w:p>
      <w:pPr>
        <w:ind w:left="660" w:hanging="328"/>
        <w:spacing w:after="0" w:line="292" w:lineRule="auto"/>
        <w:tabs>
          <w:tab w:leader="none" w:pos="6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(loss) attributable to EchoStar common stock of $(40.2) million and basic earnings (losses) per share of common stock of $(0.41)</w:t>
      </w:r>
    </w:p>
    <w:p>
      <w:pPr>
        <w:spacing w:after="0" w:line="9"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net income (loss) from discontinued operations and net income (loss) attributable to non-controlling interests (“EBITDA”) of $616.9 million (see reconciliation of this non-GAAP measure in 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December 31, 2020</w:t>
      </w:r>
    </w:p>
    <w:p>
      <w:pPr>
        <w:spacing w:after="0" w:line="25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assets of $7.1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liabilities of $3.5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stockholders’ equity of $3.6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and cash equivalents and marketable investment securities of $2.5 billion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Hughes segment is a global provider of broadband satellite technologies and broadband internet services to consumer customers and broadband network technologies, managed services, equipment, hardware, satellite services and communications solutions to consumer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incorporate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focus our efforts on growing our consumer revenue by maximizing utilization of our existing satellites while planning for new satellites to be launched or acquired. Our consumer revenue growth depends on our success in adding new and retaining existing subscribers across wholesale and retail channels, as well as increasing our ARPU. Service costs related to ongoing support for our direct and indirect customers and partners are typically impacted most significantly by our growth. The growth of our enterprise businesses relies heavily on global economic conditions and the competitive landscape for pricing relative to competitors and alternative technologies. We have seen a limited number of our enterprise customers file for bankruptcy protection. We have reserved an amount related to pre-petition receivables and are working closely with these customers on providing post-petition services and products, as well as working with the customer regarding collection of pre-petition amounts.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35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Hughes segment currently uses capacity from three of our satellites (the SPACEWAY 3 satellite, the EchoStar XVII satellite and the EchoStar XIX satellite), our Al Yah 3 Brazilian payload and additional satellite capacity acquired from third-party providers to provide services</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 our customers. Growth of our consumer subscriber base in the U.S. continues to be constrained where we are nearing or have reached maximum capacity in most areas. While these constraints are not expected to be resolved until we launch new satellites, we continue to focus on revenue growth in all areas and consumer subscriber growth in the areas where we have available capacity.</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May 2019, we entered into an agreement with Yahsat pursuant to which, in November 2019, Yahsat contributed its satellite communications services business in Brazil to one of our Brazilian subsidiaries in exchange for a 20% ownership interest in that subsidiary. The combined business provides broadband internet services and enterprise solutions in Brazil using the Telesat T19V satellite, the Eutelsat 65W satellite and Yahsat’s Al Yah 3 satellite. Under the terms of the agreement, Yahsat may also acquire, for further cash investments, additional minority ownership interests in the business in the future provided certain conditions are met.</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May 2019, we also entered into an agreement with Bharti, pursuant to which Bharti will contribute its VSAT telecommunications services and hardware business in India to our two existing Indian subsidiaries that conduct our VSAT services and hardware business. The combined entities will provide broadband satellite and hybrid solutions for enterprise networks. Upon consummation of the transaction, Bharti will have a 33% ownership interest in the combined business. The completion of the transaction is subject to customary regulatory approvals and closing conditions. No assurance can be given that the transaction will be consummated on the terms agreed to or at all.</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August 2018, we entered into an agreement with Yahsat to establish a new entity, BCS, to provide commercial Ka-band satellite broadband services across Africa, the Middle East and southwest Asia operating over Yahsat's Al Yah 2 and Al Yah 3 Ka-band satellites. The transaction was consummated in December 2018 when we invested $100.0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2017, we entered into a long-term contract for the design and construction of the EchoStar XXIV satellite, a new, next-generation, high throughput geostationary satellite. The EchoStar XXIV satellite is primarily intended to provide additional capacity for our HughesNet service in North, Central and South America as well as enterprise broadband services. Maxar Space, LLC (formerly Space Systems/Loral, LLC), the manufacturer of our EchoStar XXIV satellite, has notified us of a delay in completion of the satellite. The EchoStar XXIV satellite is expected to be launched in the second half of 2022. Further delays or impediments could have a material adverse impact on our business operations, future revenues, financial position and prospects, the completion of manufacture of the EchoStar XXIV satellite and our planned expansion of satellite broadband services throughout North, South and Central America. In December 2020, we entered into an agreement with a launch provider for the launch of EchoStar XXIV. Capital expenditures associated with the construction and launch of the EchoStar XXIV satellite are included in </w:t>
      </w:r>
      <w:r>
        <w:rPr>
          <w:rFonts w:ascii="Arial" w:cs="Arial" w:eastAsia="Arial" w:hAnsi="Arial"/>
          <w:sz w:val="18"/>
          <w:szCs w:val="18"/>
          <w:i w:val="1"/>
          <w:iCs w:val="1"/>
          <w:color w:val="auto"/>
        </w:rPr>
        <w:t>Corporate and Other</w:t>
      </w:r>
      <w:r>
        <w:rPr>
          <w:rFonts w:ascii="Arial" w:cs="Arial" w:eastAsia="Arial" w:hAnsi="Arial"/>
          <w:sz w:val="18"/>
          <w:szCs w:val="18"/>
          <w:color w:val="auto"/>
        </w:rPr>
        <w:t xml:space="preserve"> in our segment reporting.</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continue our efforts to expand our consumer satellite services business outside of the U.S. We have been delivering high-speed consumer satellite broadband services in Brazil since July 2016 and are also providing satellite broadband internet service in several other Latin American countries. Additionally, in September 2015, we entered into 15-year agreements with affiliates of Telesat Canada for Ka-band capacity on the Telesat T19V satellite located at the 63 degree west longitude orbital location, which was launched in July 2018. Telesat T19V was placed in service during the fourth quarter of 2018 and augmented the capacity being provided by the EUTELSAT 65 West A satellite and the EchoStar XIX satellite in South America.</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Our broadband subscribers include customers that subscribe to our HughesNet services in the U.S. and Latin America through retail, wholesale and small/medium enterprise service channels.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approximate number of broadband subscribers: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6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As of December 31,</w:t>
            </w:r>
          </w:p>
        </w:tc>
        <w:tc>
          <w:tcPr>
            <w:tcW w:w="1760" w:type="dxa"/>
            <w:vAlign w:val="bottom"/>
            <w:tcBorders>
              <w:bottom w:val="single" w:sz="8" w:color="auto"/>
            </w:tcBorders>
          </w:tcPr>
          <w:p>
            <w:pPr>
              <w:spacing w:after="0"/>
              <w:rPr>
                <w:sz w:val="20"/>
                <w:szCs w:val="20"/>
                <w:color w:val="auto"/>
              </w:rPr>
            </w:pPr>
          </w:p>
        </w:tc>
      </w:tr>
      <w:tr>
        <w:trPr>
          <w:trHeight w:val="223"/>
        </w:trPr>
        <w:tc>
          <w:tcPr>
            <w:tcW w:w="576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1,189,000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1,239,000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1,231,000</w:t>
            </w:r>
          </w:p>
        </w:tc>
      </w:tr>
      <w:tr>
        <w:trPr>
          <w:trHeight w:val="229"/>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238,000</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130,000</w:t>
            </w:r>
          </w:p>
        </w:tc>
      </w:tr>
      <w:tr>
        <w:trPr>
          <w:trHeight w:val="248"/>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broadband subscribers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1,564,000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1,477,000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1,361,000</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approximate number of net subscriber additions for each quarter in 2020:</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b w:val="1"/>
                <w:bCs w:val="1"/>
                <w:color w:val="auto"/>
              </w:rPr>
              <w:t>For the Three Months Ended</w:t>
            </w:r>
          </w:p>
        </w:tc>
        <w:tc>
          <w:tcPr>
            <w:tcW w:w="1520" w:type="dxa"/>
            <w:vAlign w:val="bottom"/>
            <w:tcBorders>
              <w:bottom w:val="single" w:sz="8" w:color="auto"/>
            </w:tcBorders>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c>
          <w:tcPr>
            <w:tcW w:w="1680" w:type="dxa"/>
            <w:vAlign w:val="bottom"/>
            <w:gridSpan w:val="2"/>
          </w:tcPr>
          <w:p>
            <w:pPr>
              <w:ind w:left="200"/>
              <w:spacing w:after="0"/>
              <w:rPr>
                <w:sz w:val="20"/>
                <w:szCs w:val="20"/>
                <w:color w:val="auto"/>
              </w:rPr>
            </w:pPr>
            <w:r>
              <w:rPr>
                <w:rFonts w:ascii="Arial" w:cs="Arial" w:eastAsia="Arial" w:hAnsi="Arial"/>
                <w:sz w:val="18"/>
                <w:szCs w:val="18"/>
                <w:b w:val="1"/>
                <w:bCs w:val="1"/>
                <w:color w:val="auto"/>
              </w:rPr>
              <w:t>September 30</w:t>
            </w:r>
          </w:p>
        </w:tc>
        <w:tc>
          <w:tcPr>
            <w:tcW w:w="1620" w:type="dxa"/>
            <w:vAlign w:val="bottom"/>
            <w:gridSpan w:val="2"/>
          </w:tcPr>
          <w:p>
            <w:pPr>
              <w:ind w:left="420"/>
              <w:spacing w:after="0"/>
              <w:rPr>
                <w:sz w:val="20"/>
                <w:szCs w:val="20"/>
                <w:color w:val="auto"/>
              </w:rPr>
            </w:pPr>
            <w:r>
              <w:rPr>
                <w:rFonts w:ascii="Arial" w:cs="Arial" w:eastAsia="Arial" w:hAnsi="Arial"/>
                <w:sz w:val="18"/>
                <w:szCs w:val="18"/>
                <w:b w:val="1"/>
                <w:bCs w:val="1"/>
                <w:color w:val="auto"/>
              </w:rPr>
              <w:t>June 30</w:t>
            </w: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540" w:type="dxa"/>
            <w:vAlign w:val="bottom"/>
            <w:tcBorders>
              <w:top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w w:val="98"/>
              </w:rPr>
              <w:t>(27,000)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rPr>
              <w:t>(28,000)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54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98"/>
              </w:rPr>
              <w:t>11,000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color w:val="auto"/>
                <w:w w:val="98"/>
              </w:rPr>
              <w:t>54,000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w:t>
            </w:r>
          </w:p>
        </w:tc>
      </w:tr>
      <w:tr>
        <w:trPr>
          <w:trHeight w:val="248"/>
        </w:trPr>
        <w:tc>
          <w:tcPr>
            <w:tcW w:w="4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subscriber additions</w:t>
            </w:r>
          </w:p>
        </w:tc>
        <w:tc>
          <w:tcPr>
            <w:tcW w:w="1540" w:type="dxa"/>
            <w:vAlign w:val="bottom"/>
            <w:tcBorders>
              <w:bottom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w w:val="98"/>
              </w:rPr>
              <w:t>(16,000)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w w:val="98"/>
              </w:rPr>
              <w:t>26,000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subscriber additions in the U.S. decreased in the fourth quarter compared to the third quarter of 2020. Growth of our U.S. consumer subscriber base in certain areas continues to be capacity constrained and we are managing the available capacity to maintain service quality to our existing subscribers. While the balancing of total subscribers relative to capacity utilization in the fourth quarter resulted in lower total subscribers, ARPU increased.</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Latin America, we continued to see growth in our subscriber base and ARPU. However, we experienced a decrease in our net subscriber additions in the fourth quarter compared to the third quarter of 2020. This was partly due to fewer subscriber activations, as potential customers reacted to the easing of COVID-19 pandemic restrictions. In addition, net subscriber additions were adversely impacted by a temporary increase in churn due to various factors, including changes we made to our collections processes.</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2020 and 2019, our Hughes segment had $1.3 billion and $1.4 billion of contracted revenue backlog, respectively. We define Hughes contracted revenue backlog as our expected future revenue under enterprise customer contracts that are non-cancelable, including lease revenue. Our contracted revenue backlog as of December 31, 2020 decreased primarily due to the effects of the COVID-19 pandemic, including lengthened or delayed sales cycles with some of our enterprise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 Our ESS segment, like others in the fixed satellite services industry, has encountered, and may continue to encounter, negative pressure on transponder rates and demand.</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2020 and 2019, our ESS segment had contracted revenue backlog of $6.7 million and $11.4 million, respectively. We define contracted revenue backlog for our ESS segment as contracted future satellite lease revenue. Of the total ESS contracted revenue backlog as of December 31, 2020, we expect to recognize $5.4 million of revenue in 2021.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Opportunities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The current COVID-19 pandemic has made even more evident the worldwide need and demand for connectivity and communications to facilitate an ever-increasing virtual global community and workplace. In addition to fiber and wireless systems, technologies such as geostationary high throughput satellites, LEO networks, MEO systems, balloons and High Altitude Platform Systems are expected to continue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satellite and other technologies, markets and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S-Band Strategy</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continue to explore the development and deployment of S-band technologies that we expect will reduce the cost of satellite communications for internet of things, machine-to-machine communications, public protection, disaster relief and other end-to-end services worldwide and the integration of our products and services into new global, hybrid networks that leverage multiple satellites and terrestrial technologies. We believe we remain in a unique position to deploy a MSS and CGC network in the E.U., the U.K. and other European countries through our EchoStar XXI satellite, which was placed into service in November 2017, and the EUTELSAT 10A payload. We have positioned ourselves to continue to develop the S-band spectrum globally by acquiring Sirion Global Pty Ltd., which we have renamed EchoStar Global which holds global S-band non-geostationary satellite spectrum rights for MSS. Additionally, we entered into a contract with Tyvak Nano-Satellite Systems, Inc. for the design and construction of S-band nano-satellites. We launched two nano-satellites in the third quarter of 2020. Following launch, both nano-satellites experienced technical anomalies that precluded them from fulfilling their intended regulatory milestone missions. We intend to seek milestone relief due to these force majeure events. We expect to launch our third nano-satellite in 2021. Our nano-satellites are designed to facilitate our continued growth in the global S-band market and enable us to leverage our acquisition of EchoStar Global. In addition, in Mexico we hold licenses for S-band MSS and terrestrial services.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5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a global provider of satellite technologies and services, internet services and communications equipment and networks, we may be prone to more targeted and persistent levels of cyber-attacks than other businesses. These risks may be more prevalent as we continue to expand and grow our business into other areas of the world outside of North America, some of which are still developing their cybersecurity infrastructure maturity. Detecting, deterring, preventing and mitigating incidents caused by hackers and other parties may result in significant costs to us and may expose our customers to financial or other harm that have the potential to significantly increase our liability.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35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Due to the COVID-19 pandemic, a large portion of our workforce has been working remotely and we expect certain portions of our workforce to continue to do so from time to time. While we have cybersecurity risk management tools to help protect our technology, information and networks that our employees access remotely, we cannot guarantee the security of the network that they will be using, the security status of the other non-company managed devices that might be on the network to which they are connected or the devices or networks used by third parties with whom our employees conduct business, such as customers, suppliers, vendors and other persons. Additionally, there continues to be a significant amount of COVID-19 related cyber-fraud and phishing attacks that continue to target our employees, vendors, suppliers, customers and others. Accordingly, we increased our cybersecurity efforts and resources as a result of the COVID-19 pandemic.</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treat cybersecurity risk seriously and are focused on maintaining the security of our and our partners’ systems, networks, technologies and data. We regularly review and revise our relevant policies and procedures, invest in and maintain internal resources, personnel and systems and review, modify and supplement our defenses through the use of various services, programs and outside vendors. Additionally, we provide resources to assist employees in better securing their home networks and remote connections. We also maintain agreements with third party vendors and experts to assist in our remediation and mitigation efforts if we experience or identify a material incident or threat. In addition, senior management and the Audit Committee of our Board of Directors are regularly briefed on cybersecurity matters.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December 8, 2020, the cyber security company FireEye announced that they detected a sophisticated nation state level cyber campaign that targeted FireEye, other public and private companies, and government organizations. FireEye reported that the attack against them was facilitated through the Orion IT management software owned by a company called SolarWinds. Based on information from FireEye, we reviewed all instances of SolarWinds software in use at the Company and have determined that the version we are using is not susceptible to the malware within the version that is compromised. We continue to receive information about these breaches from the U.S. government and private security firms, and we use this data to update our defense systems and to investigate our own networks for compromise. We will continue to update our systems as more information comes to light in reference to this adversary and their actions.</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not aware of any additional cyber-incidents with respect to our owned or leased satellites or other networks, equipment or systems that have had a material adverse effect on our business, costs, operations, prospects, results of operation or financial position during the year ended December 31, 2020 and through February 23, 2021. There can be no assurance, however, that any such incident can be detected or thwarted or will not have such a material adverse effect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the Year Ended December 31, 2019</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consolidated results of operations for the year ended December 31, 2020 compared to the year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xml:space="preserve">Statements of Operations Data </w:t>
            </w:r>
            <w:r>
              <w:rPr>
                <w:rFonts w:ascii="Arial" w:cs="Arial" w:eastAsia="Arial" w:hAnsi="Arial"/>
                <w:sz w:val="21"/>
                <w:szCs w:val="21"/>
                <w:b w:val="1"/>
                <w:bCs w:val="1"/>
                <w:color w:val="auto"/>
                <w:vertAlign w:val="superscript"/>
              </w:rPr>
              <w:t>(1)</w:t>
            </w:r>
          </w:p>
        </w:tc>
        <w:tc>
          <w:tcPr>
            <w:tcW w:w="160" w:type="dxa"/>
            <w:vAlign w:val="bottom"/>
          </w:tcPr>
          <w:p>
            <w:pPr>
              <w:spacing w:after="0"/>
              <w:rPr>
                <w:sz w:val="20"/>
                <w:szCs w:val="20"/>
                <w:color w:val="auto"/>
              </w:rPr>
            </w:pPr>
          </w:p>
        </w:tc>
        <w:tc>
          <w:tcPr>
            <w:tcW w:w="3300" w:type="dxa"/>
            <w:vAlign w:val="bottom"/>
            <w:gridSpan w:val="5"/>
          </w:tcPr>
          <w:p>
            <w:pPr>
              <w:ind w:left="60"/>
              <w:spacing w:after="0"/>
              <w:rPr>
                <w:sz w:val="20"/>
                <w:szCs w:val="20"/>
                <w:color w:val="auto"/>
              </w:rPr>
            </w:pPr>
            <w:r>
              <w:rPr>
                <w:rFonts w:ascii="Arial" w:cs="Arial" w:eastAsia="Arial" w:hAnsi="Arial"/>
                <w:sz w:val="18"/>
                <w:szCs w:val="18"/>
                <w:b w:val="1"/>
                <w:bCs w:val="1"/>
                <w:color w:val="auto"/>
              </w:rPr>
              <w:t>For the years ended December 31,</w:t>
            </w:r>
          </w:p>
        </w:tc>
        <w:tc>
          <w:tcPr>
            <w:tcW w:w="280" w:type="dxa"/>
            <w:vAlign w:val="bottom"/>
          </w:tcPr>
          <w:p>
            <w:pPr>
              <w:spacing w:after="0"/>
              <w:rPr>
                <w:sz w:val="20"/>
                <w:szCs w:val="20"/>
                <w:color w:val="auto"/>
              </w:rPr>
            </w:pPr>
          </w:p>
        </w:tc>
        <w:tc>
          <w:tcPr>
            <w:tcW w:w="1780" w:type="dxa"/>
            <w:vAlign w:val="bottom"/>
            <w:gridSpan w:val="3"/>
          </w:tcPr>
          <w:p>
            <w:pPr>
              <w:ind w:left="920"/>
              <w:spacing w:after="0"/>
              <w:rPr>
                <w:sz w:val="20"/>
                <w:szCs w:val="20"/>
                <w:color w:val="auto"/>
              </w:rPr>
            </w:pPr>
            <w:r>
              <w:rPr>
                <w:rFonts w:ascii="Arial" w:cs="Arial" w:eastAsia="Arial" w:hAnsi="Arial"/>
                <w:sz w:val="16"/>
                <w:szCs w:val="16"/>
                <w:b w:val="1"/>
                <w:bCs w:val="1"/>
                <w:color w:val="auto"/>
              </w:rPr>
              <w:t>Variance</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8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98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40"/>
              <w:spacing w:after="0"/>
              <w:rPr>
                <w:sz w:val="20"/>
                <w:szCs w:val="20"/>
                <w:color w:val="auto"/>
              </w:rPr>
            </w:pPr>
            <w:r>
              <w:rPr>
                <w:rFonts w:ascii="Arial" w:cs="Arial" w:eastAsia="Arial" w:hAnsi="Arial"/>
                <w:sz w:val="16"/>
                <w:szCs w:val="16"/>
                <w:color w:val="auto"/>
              </w:rPr>
              <w:t>Services and other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1,682,304</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1,619,271</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63,033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Equipment revenue</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205,603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266,810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1,887,907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1,886,081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6"/>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40"/>
              <w:spacing w:after="0"/>
              <w:rPr>
                <w:sz w:val="20"/>
                <w:szCs w:val="20"/>
                <w:color w:val="auto"/>
              </w:rPr>
            </w:pPr>
            <w:r>
              <w:rPr>
                <w:rFonts w:ascii="Arial" w:cs="Arial" w:eastAsia="Arial" w:hAnsi="Arial"/>
                <w:sz w:val="16"/>
                <w:szCs w:val="16"/>
                <w:color w:val="auto"/>
              </w:rPr>
              <w:t>Cost of sales - services and other</w:t>
            </w: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577,943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561,353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16,590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services and other revenue</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34.4 %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40"/>
              <w:spacing w:after="0"/>
              <w:rPr>
                <w:sz w:val="20"/>
                <w:szCs w:val="20"/>
                <w:color w:val="auto"/>
              </w:rPr>
            </w:pPr>
            <w:r>
              <w:rPr>
                <w:rFonts w:ascii="Arial" w:cs="Arial" w:eastAsia="Arial" w:hAnsi="Arial"/>
                <w:sz w:val="16"/>
                <w:szCs w:val="16"/>
                <w:color w:val="auto"/>
              </w:rPr>
              <w:t>Cost of sales - equipment</w:t>
            </w: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166,435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226,002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(59,567)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equipment revenue</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80.9 %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474,912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509,145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(34,233)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revenue</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27.0 %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4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29,448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25,739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3,709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revenue</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525,011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490,765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34,246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Impairment of long-lived assets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1,775,434</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1,813,004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(37,570)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112,473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73,077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39,982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82,352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40"/>
              <w:spacing w:after="0"/>
              <w:rPr>
                <w:sz w:val="20"/>
                <w:szCs w:val="20"/>
                <w:color w:val="auto"/>
              </w:rPr>
            </w:pPr>
            <w:r>
              <w:rPr>
                <w:rFonts w:ascii="Arial" w:cs="Arial" w:eastAsia="Arial" w:hAnsi="Arial"/>
                <w:sz w:val="16"/>
                <w:szCs w:val="16"/>
                <w:color w:val="auto"/>
              </w:rPr>
              <w:t>Interest expense, net of amounts capitalized</w:t>
            </w:r>
          </w:p>
        </w:tc>
        <w:tc>
          <w:tcPr>
            <w:tcW w:w="16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(147,927)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(251,016)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103,089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Gains (losses) on investments, net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(31,306)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28,912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40"/>
              <w:spacing w:after="0"/>
              <w:rPr>
                <w:sz w:val="20"/>
                <w:szCs w:val="20"/>
                <w:color w:val="auto"/>
              </w:rPr>
            </w:pPr>
            <w:r>
              <w:rPr>
                <w:rFonts w:ascii="Arial" w:cs="Arial" w:eastAsia="Arial" w:hAnsi="Arial"/>
                <w:sz w:val="16"/>
                <w:szCs w:val="16"/>
                <w:color w:val="auto"/>
              </w:rPr>
              <w:t>Equity in earnings (losses) of unconsolidated affiliates, net</w:t>
            </w:r>
          </w:p>
        </w:tc>
        <w:tc>
          <w:tcPr>
            <w:tcW w:w="16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(7,267)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(14,734)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7,467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transaction gains (losses), net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other income (expense), net</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(140,308)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(166,242)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25,934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0"/>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16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(27,835)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(93,165)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65,330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 benefit (provision), net</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(24,069)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(20,488)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0"/>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Net income (loss) from continuing operations</w:t>
            </w:r>
          </w:p>
        </w:tc>
        <w:tc>
          <w:tcPr>
            <w:tcW w:w="16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(51,904)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(113,653)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61,749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Net income (loss) from discontinued operations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39,401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0"/>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(51,904)</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(74,252)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62"/>
        </w:trPr>
        <w:tc>
          <w:tcPr>
            <w:tcW w:w="4680" w:type="dxa"/>
            <w:vAlign w:val="bottom"/>
            <w:gridSpan w:val="2"/>
            <w:shd w:val="clear" w:color="auto" w:fill="CCEEFF"/>
          </w:tcPr>
          <w:p>
            <w:pPr>
              <w:ind w:left="240"/>
              <w:spacing w:after="0" w:line="162" w:lineRule="exact"/>
              <w:rPr>
                <w:sz w:val="20"/>
                <w:szCs w:val="20"/>
                <w:color w:val="auto"/>
              </w:rPr>
            </w:pPr>
            <w:r>
              <w:rPr>
                <w:rFonts w:ascii="Arial" w:cs="Arial" w:eastAsia="Arial" w:hAnsi="Arial"/>
                <w:sz w:val="16"/>
                <w:szCs w:val="16"/>
                <w:color w:val="auto"/>
              </w:rPr>
              <w:t>Less: Net loss (income) attributable to non-controlling</w:t>
            </w: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11,754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11,335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68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Net income (loss) attributable to EchoStar Corporation</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vMerge w:val="restart"/>
          </w:tcPr>
          <w:p>
            <w:pPr>
              <w:jc w:val="right"/>
              <w:ind w:right="79"/>
              <w:spacing w:after="0"/>
              <w:rPr>
                <w:sz w:val="20"/>
                <w:szCs w:val="20"/>
                <w:color w:val="auto"/>
              </w:rPr>
            </w:pPr>
            <w:r>
              <w:rPr>
                <w:rFonts w:ascii="Arial" w:cs="Arial" w:eastAsia="Arial" w:hAnsi="Arial"/>
                <w:sz w:val="16"/>
                <w:szCs w:val="16"/>
                <w:color w:val="auto"/>
              </w:rPr>
              <w:t>(40,150)</w:t>
            </w:r>
          </w:p>
        </w:tc>
        <w:tc>
          <w:tcPr>
            <w:tcW w:w="100" w:type="dxa"/>
            <w:vAlign w:val="bottom"/>
          </w:tcPr>
          <w:p>
            <w:pPr>
              <w:spacing w:after="0"/>
              <w:rPr>
                <w:sz w:val="12"/>
                <w:szCs w:val="12"/>
                <w:color w:val="auto"/>
              </w:rPr>
            </w:pPr>
          </w:p>
        </w:tc>
        <w:tc>
          <w:tcPr>
            <w:tcW w:w="38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79"/>
              <w:spacing w:after="0"/>
              <w:rPr>
                <w:sz w:val="20"/>
                <w:szCs w:val="20"/>
                <w:color w:val="auto"/>
              </w:rPr>
            </w:pPr>
            <w:r>
              <w:rPr>
                <w:rFonts w:ascii="Arial" w:cs="Arial" w:eastAsia="Arial" w:hAnsi="Arial"/>
                <w:sz w:val="16"/>
                <w:szCs w:val="16"/>
                <w:color w:val="auto"/>
              </w:rPr>
              <w:t>(62,917)</w:t>
            </w:r>
          </w:p>
        </w:tc>
        <w:tc>
          <w:tcPr>
            <w:tcW w:w="100" w:type="dxa"/>
            <w:vAlign w:val="bottom"/>
          </w:tcPr>
          <w:p>
            <w:pPr>
              <w:spacing w:after="0"/>
              <w:rPr>
                <w:sz w:val="12"/>
                <w:szCs w:val="12"/>
                <w:color w:val="auto"/>
              </w:rPr>
            </w:pP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22,767</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194"/>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common stock</w:t>
            </w:r>
          </w:p>
        </w:tc>
        <w:tc>
          <w:tcPr>
            <w:tcW w:w="16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80" w:type="dxa"/>
            <w:vAlign w:val="bottom"/>
            <w:tcBorders>
              <w:bottom w:val="single" w:sz="8" w:color="CCEEFF"/>
            </w:tcBorders>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616,875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577,599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39,276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6"/>
                <w:szCs w:val="16"/>
                <w:color w:val="auto"/>
              </w:rPr>
              <w:t>Subscribers, end of period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8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1,564,000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1,477,000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 explanation of our key metrics is included in Explanation of Key Metrics and Other Items.</w:t>
      </w:r>
    </w:p>
    <w:p>
      <w:pPr>
        <w:spacing w:after="0" w:line="1" w:lineRule="exact"/>
        <w:rPr>
          <w:rFonts w:ascii="Arial" w:cs="Arial" w:eastAsia="Arial" w:hAnsi="Arial"/>
          <w:sz w:val="14"/>
          <w:szCs w:val="14"/>
          <w:color w:val="auto"/>
        </w:rPr>
      </w:pPr>
    </w:p>
    <w:p>
      <w:pPr>
        <w:ind w:left="340" w:hanging="332"/>
        <w:spacing w:after="0" w:line="264" w:lineRule="auto"/>
        <w:tabs>
          <w:tab w:leader="none" w:pos="352"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U.S. GAAP measure in our Accompanying Consolidated Financial Statements, is included in Results of Operations. For further information on our use of EBITDA, see Explanation of Key Metrics and Other Items.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our continuing operations for the years ended December 31, 2020 and 2019 unless otherwise stated.</w:t>
      </w:r>
    </w:p>
    <w:p>
      <w:pPr>
        <w:spacing w:after="0" w:line="252"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$1.7 billion for the year ended December 31, 2020, an increase of $63.0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3.9%, as compared to 2019.</w:t>
      </w:r>
    </w:p>
    <w:p>
      <w:pPr>
        <w:spacing w:after="0" w:line="171" w:lineRule="exact"/>
        <w:rPr>
          <w:sz w:val="20"/>
          <w:szCs w:val="20"/>
          <w:color w:val="auto"/>
        </w:rPr>
      </w:pPr>
    </w:p>
    <w:p>
      <w:pPr>
        <w:jc w:val="both"/>
        <w:ind w:left="900" w:hanging="406"/>
        <w:spacing w:after="0" w:line="260" w:lineRule="auto"/>
        <w:tabs>
          <w:tab w:leader="none" w:pos="8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Services and other revenue from our Hughes segment for the year ended December 31, 2020 increased by $69.2 million, or 4.4%, to $1.7 billion compared to 2019. The increase was primarily attributable to increases in sales of broadband services to our consumer customers of $109.3 million, partially offset by a decrease in sales of services to our enterprise customers of $35.9 million. These variances reflect the negative impact of exchange rate fluctuations of $35.6 million, primarily attributable to our consumer customers.</w:t>
      </w:r>
    </w:p>
    <w:p>
      <w:pPr>
        <w:spacing w:after="0" w:line="201" w:lineRule="exact"/>
        <w:rPr>
          <w:rFonts w:ascii="Arial" w:cs="Arial" w:eastAsia="Arial" w:hAnsi="Arial"/>
          <w:sz w:val="18"/>
          <w:szCs w:val="18"/>
          <w:color w:val="auto"/>
        </w:rPr>
      </w:pPr>
    </w:p>
    <w:p>
      <w:pPr>
        <w:jc w:val="both"/>
        <w:ind w:left="900" w:hanging="406"/>
        <w:spacing w:after="0" w:line="271" w:lineRule="auto"/>
        <w:tabs>
          <w:tab w:leader="none" w:pos="8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Services and other revenue from our Corporate and Other segment for the year ended December 31, 2020 decreased by $7.3 million, or 43.0%, to $9.7 million compared to 2019, primarily attributable to a decrease in income from certain real estate previously leased to DISH Network and transferred as part of the BSS Transaction.</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$205.6 million for the year ended December 31, 2020, a decrease of $61.2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22.9%, as compared to 2019. The decrease was primarily attributable to $43.2 million related to the bankruptcy of a certain customer and $38.9 million decreased sales to our international enterprise customers, partially offset by $24.7 million increased sales to our domestic enterprise customers. These variances reflect the negative impact of exchange rate fluctuations of $3.5 million, primarily attributable to our enterprise customers.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Cost of sales - services and other. </w:t>
      </w:r>
      <w:r>
        <w:rPr>
          <w:rFonts w:ascii="Arial" w:cs="Arial" w:eastAsia="Arial" w:hAnsi="Arial"/>
          <w:sz w:val="18"/>
          <w:szCs w:val="18"/>
          <w:color w:val="auto"/>
        </w:rPr>
        <w:t>Cost of sales - services and other totaled $577.9 million for the year ended December 31, 2020,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$16.6 million, or 3.0%, as compared to 2019. The increase was primarily attributable to the corresponding increase in services and other revenue.</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$166.4 million for the year ended December 31, 2020, a decrease of $59.6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26.4%, as compared to 2019. The decrease was primarily attributable to the corresponding reduction in equipment revenue.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$474.9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a decrease of $34.2 million, or 6.7%, as compared to 2019. The decrease was primarily attributable to expenses related to the license fee dispute in India of $9.4 million in 2019, certain legal proceedings of $ 25.7 million in 2019, and decreased sales and marketing expenses of $6.4 million in 2020, partially offset by increases in other general and administrative expenses of $7.3 million in 2020.</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$525.0 million for the year ended December 31, 2020,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$ 34.2 million, or 7.0%, as compared to 2019. The increase was primarily attributable to increases in depreciation expense of $21.8 million relating to our customer premises equipment and $13.4 million relating to the depreciation of assets acquired in the Yahsat Brazil JV Transaction of which $ 7.9 million are related to non-recurring accelerated depreciation of assets that were scheduled for replacement after the Yahsat Brazil JV Transaction.</w:t>
      </w: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 Impairment of long-lived assets totaled $1.7 million for the year ended December 31, 2020, attributable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impairment loss related to our nano-satellites which experienced technical anomalies following launch.</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$40.0 million for the year ended December 31, 2020, a decrease of $42.4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51.4%, as compared to 2019, primarily attributable to decreases in the yield on our marketable investment securities and lower cash balances.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$147.9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a decrease of $ 103.1 million, or 41.1%, as compared to 2019. The decrease was primarily attributable to a decrease of $29.0 million in interest expense and in amortization of deferred financing cost as a result of the purchase and maturity in June 2019 of our 6 1/2% Senior Secured Notes due in 2019, a decrease of $ 66.1 million of interest expense related to the license fee dispute in India, a decrease of $4.1 million related to a certain legal proceeding in 2019 and an increase of $4.8 million in capitalized interest in 2020 relating to the construction of the EchoStar XXIV satellite and its related infrastructure.</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were $31.3 million in losses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as compared to $28.9 million in gains for the year ended December 31, 2019, a negative change of $ 60.2 million. The change was primarily attributable to $ 69.0 million of net negative variances on marketable investment securities compared to 2019, partially offset by an $6.9 million loss in Other Equity Investments in 2020.</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 $7.3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losses for the year ended December 31, 2020, a decrease in losses of $7.5 million, or 50.7%, as compared to 2019. The decrease in losses was related to decreased losses from our investments in our equity method investees.</w:t>
      </w:r>
    </w:p>
    <w:p>
      <w:pPr>
        <w:spacing w:after="0" w:line="19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$6.0 million in gains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2020, as compared to $ 11.6 million in losses for the year ended December 31, 2019, a positive change of $17.6 million. The change was due to the net weakening of the U.S. dollar against certain foreign currencies in 2020 compared to 2019.</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$(24.1) million for the year ended December 31, 2020,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$(20.5) million for the year ended December 31, 2019. Our effective income tax rate was (86.5)% and (59.8)% for the years ended December 31, 2020 and 2019, respectively. The variations in our effective tax rate from the U.S. federal statutory rate for the year ended December 31, 2020 were primarily due to the increase in our valuation allowance associated with certain foreign losses, permanent book tax differences and the impact of state and local taxes, partially offset by the change in net losses that are capital in nature and research and experimentation credits. The variations in our current year effective tax rate from the U.S. federal statutory rate for the year ended December 31, 2019 were primarily due to the increase in our valuation allowance associated with certain foreign losses and by the impact of state and local taxes partially offset by the change in net unrealized gains that are capital in nature and research and experimentation credits.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Net income (loss) attributable to EchoStar Corporation common stock</w:t>
      </w:r>
      <w:r>
        <w:rPr>
          <w:rFonts w:ascii="Arial" w:cs="Arial" w:eastAsia="Arial" w:hAnsi="Arial"/>
          <w:sz w:val="18"/>
          <w:szCs w:val="18"/>
          <w:color w:val="auto"/>
        </w:rPr>
        <w:t>. Net income (loss) attributable to EchoStar Corporation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was $(40.2) million for the year ended December 31, 2020, as compared to $(62.9) million for the year ended December 31, 2019, a change of $22.8 million as set forth in the following table: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year ended December 31, 2019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(62,917)</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103,089</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including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39,396</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17,605</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net income (loss) attributable to non-controlling interest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income tax benefit (provision),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(3,581)</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net income (loss) from discontinued operations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(39,401)</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interest income,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(42,370)</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(60,218)</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Net income (loss) attributable to EchoStar Corporation for the year ended December 31, 2020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(40,150)</w:t>
            </w:r>
          </w:p>
        </w:tc>
      </w:tr>
      <w:tr>
        <w:trPr>
          <w:trHeight w:val="20"/>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table reconciles EBITDA to Net income (loss), the most directly comparable U.S. GAAP measure in our Accompanying Consolidated Financial Statements: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320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Pr>
          <w:p>
            <w:pPr>
              <w:spacing w:after="0"/>
              <w:rPr>
                <w:sz w:val="20"/>
                <w:szCs w:val="20"/>
                <w:color w:val="auto"/>
              </w:rPr>
            </w:pPr>
          </w:p>
        </w:tc>
        <w:tc>
          <w:tcPr>
            <w:tcW w:w="1800" w:type="dxa"/>
            <w:vAlign w:val="bottom"/>
            <w:gridSpan w:val="3"/>
          </w:tcPr>
          <w:p>
            <w:pPr>
              <w:ind w:left="900"/>
              <w:spacing w:after="0"/>
              <w:rPr>
                <w:sz w:val="20"/>
                <w:szCs w:val="20"/>
                <w:color w:val="auto"/>
              </w:rPr>
            </w:pPr>
            <w:r>
              <w:rPr>
                <w:rFonts w:ascii="Arial" w:cs="Arial" w:eastAsia="Arial" w:hAnsi="Arial"/>
                <w:sz w:val="18"/>
                <w:szCs w:val="18"/>
                <w:b w:val="1"/>
                <w:bCs w:val="1"/>
                <w:color w:val="auto"/>
              </w:rPr>
              <w:t>Variance</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9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(39,982)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(82,352)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42,370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Income tax provision (benefit),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Net loss (income) from discontinued operations</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39,401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75"/>
        </w:trPr>
        <w:tc>
          <w:tcPr>
            <w:tcW w:w="4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(income) attributable to non-controlling</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11,335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6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616,875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577,599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EBITDA was $616.9 million for the year ended December 31, 2020, an increase of $39.3 million, or 6.8%, as compared to 2019 as set forth in the following table: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year ended December 31, 2019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577,599</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73,642</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17,605</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7,467</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(60,218)</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EBITDA for the year ended December 31, 2020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616,875</w:t>
            </w:r>
          </w:p>
        </w:tc>
      </w:tr>
      <w:tr>
        <w:trPr>
          <w:trHeight w:val="21"/>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 and Capital Expenditures</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following tables present our operating results, capital expenditures and EBITDA by segment for the year ended December 31, 2020, as compared to the year ended December 31,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Hughes</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rPr>
              <w:t>ESS</w:t>
            </w:r>
          </w:p>
        </w:tc>
        <w:tc>
          <w:tcPr>
            <w:tcW w:w="40" w:type="dxa"/>
            <w:vAlign w:val="bottom"/>
          </w:tcPr>
          <w:p>
            <w:pPr>
              <w:spacing w:after="0"/>
              <w:rPr>
                <w:sz w:val="17"/>
                <w:szCs w:val="17"/>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rPr>
              <w:t>Corporate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9"/>
              </w:rPr>
              <w:t>Other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2020</w:t>
            </w: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1,860,834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17,398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9,675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1,887,907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355,197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EBITDA</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727,608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(118,606)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616,875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 ended December 31, 2019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1,852,742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1,886,081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308,781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109,293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418,074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7"/>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Hughes Segment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gridSpan w:val="9"/>
          </w:tcPr>
          <w:p>
            <w:pPr>
              <w:ind w:left="120"/>
              <w:spacing w:after="0"/>
              <w:rPr>
                <w:sz w:val="20"/>
                <w:szCs w:val="20"/>
                <w:color w:val="auto"/>
              </w:rPr>
            </w:pPr>
            <w:r>
              <w:rPr>
                <w:rFonts w:ascii="Arial" w:cs="Arial" w:eastAsia="Arial" w:hAnsi="Arial"/>
                <w:sz w:val="18"/>
                <w:szCs w:val="18"/>
                <w:b w:val="1"/>
                <w:bCs w:val="1"/>
                <w:color w:val="auto"/>
              </w:rPr>
              <w:t>For the years ended December 31,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6"/>
          </w:tcPr>
          <w:p>
            <w:pPr>
              <w:jc w:val="right"/>
              <w:ind w:right="1070"/>
              <w:spacing w:after="0"/>
              <w:rPr>
                <w:sz w:val="20"/>
                <w:szCs w:val="20"/>
                <w:color w:val="auto"/>
              </w:rPr>
            </w:pPr>
            <w:r>
              <w:rPr>
                <w:rFonts w:ascii="Arial" w:cs="Arial" w:eastAsia="Arial" w:hAnsi="Arial"/>
                <w:sz w:val="18"/>
                <w:szCs w:val="18"/>
                <w:b w:val="1"/>
                <w:bCs w:val="1"/>
                <w:color w:val="auto"/>
              </w:rPr>
              <w:t>Variance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1,860,834</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1,852,742</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355,197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308,781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46,416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625,660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101,948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revenue was $1.9 billion for the year ended December 31, 2020, an increase of $8.1 million, or 0.4%, as compared to 2019. Services and other revenue increased primarily due to increases in sales of broadband services to our consumer customers of $109.3 million, partially offset by a decrease in sales of services to our enterprise customers of $35.9 million. These variances reflect the negative impact of exchange rate fluctuations of $35.6 million, primarily attributable to our consumer customers. Equipment revenue decreased primarily due to $43.2 million related to the bankruptcy of a certain customer and $38.9 million decreased sales to our international enterprise customers, partially offset by $24.7 million increased sales to our domestic enterprise customers. These variances reflect the negative impact of exchange rate fluctuations of $3.5 million, primarily attributable to our enterprise customers.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Capital expenditures were $355.2 million for the year ended December 31, 2020, an increase of $46.4 million, or 15.0%, as compared to 2019, primarily due to increases in expenditures associated with our consumer business and construction of our satellite-related ground infrastructure.</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EBITDA was $727.6 million for the year ended December 31, 2020, an increase of $101.9 million, or 16.3%, as compared to 2019 as set forth in the following table: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47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Amounts</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for the year ended December 31, 2019</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625,660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8"/>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80,562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0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80" w:type="dxa"/>
            <w:vAlign w:val="bottom"/>
            <w:gridSpan w:val="2"/>
          </w:tcPr>
          <w:p>
            <w:pPr>
              <w:ind w:left="200"/>
              <w:spacing w:after="0"/>
              <w:rPr>
                <w:sz w:val="20"/>
                <w:szCs w:val="20"/>
                <w:color w:val="auto"/>
              </w:rPr>
            </w:pPr>
            <w:r>
              <w:rPr>
                <w:rFonts w:ascii="Arial" w:cs="Arial" w:eastAsia="Arial" w:hAnsi="Arial"/>
                <w:sz w:val="18"/>
                <w:szCs w:val="18"/>
                <w:color w:val="auto"/>
                <w:w w:val="99"/>
              </w:rPr>
              <w:t>Increase (decrease) in gains (losses) on investments, net</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8,770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82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80" w:type="dxa"/>
            <w:vAlign w:val="bottom"/>
            <w:gridSpan w:val="2"/>
          </w:tcPr>
          <w:p>
            <w:pPr>
              <w:ind w:left="200"/>
              <w:spacing w:after="0"/>
              <w:rPr>
                <w:sz w:val="20"/>
                <w:szCs w:val="20"/>
                <w:color w:val="auto"/>
              </w:rPr>
            </w:pPr>
            <w:r>
              <w:rPr>
                <w:rFonts w:ascii="Arial" w:cs="Arial" w:eastAsia="Arial" w:hAnsi="Arial"/>
                <w:sz w:val="18"/>
                <w:szCs w:val="18"/>
                <w:color w:val="auto"/>
              </w:rPr>
              <w:t>Increase (decrease) in other, net</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82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EBITDA for the year ended December 31, 2020</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727,608</w:t>
            </w: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ESS Segment</w:t>
            </w: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8"/>
        </w:trPr>
        <w:tc>
          <w:tcPr>
            <w:tcW w:w="48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gridSpan w:val="3"/>
          </w:tcPr>
          <w:p>
            <w:pPr>
              <w:jc w:val="right"/>
              <w:ind w:right="111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15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17,398</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3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Total revenue was $17.4 million for the year ended December 31, 2020, an increase of $1.1 million, or 7.0%, as compared to 2019, primarily due to an increase in transponder services provided to third parties.</w:t>
      </w:r>
    </w:p>
    <w:p>
      <w:pPr>
        <w:spacing w:after="0" w:line="14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EBITDA was $ 7.9 million for the year ended December 31, 2020, an increase of $0.9 million, or 12.6%, as compared to 2019, primarily due to the increase in overall ESS revenue.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gridSpan w:val="2"/>
          </w:tcPr>
          <w:p>
            <w:pPr>
              <w:spacing w:after="0"/>
              <w:rPr>
                <w:sz w:val="20"/>
                <w:szCs w:val="20"/>
                <w:color w:val="auto"/>
              </w:rPr>
            </w:pPr>
            <w:r>
              <w:rPr>
                <w:rFonts w:ascii="Arial" w:cs="Arial" w:eastAsia="Arial" w:hAnsi="Arial"/>
                <w:sz w:val="18"/>
                <w:szCs w:val="18"/>
                <w:i w:val="1"/>
                <w:iCs w:val="1"/>
                <w:color w:val="auto"/>
              </w:rPr>
              <w:t>Corporate and Other</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4"/>
        </w:trPr>
        <w:tc>
          <w:tcPr>
            <w:tcW w:w="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260" w:type="dxa"/>
            <w:vAlign w:val="bottom"/>
            <w:gridSpan w:val="6"/>
          </w:tcPr>
          <w:p>
            <w:pPr>
              <w:ind w:left="120"/>
              <w:spacing w:after="0"/>
              <w:rPr>
                <w:sz w:val="20"/>
                <w:szCs w:val="20"/>
                <w:color w:val="auto"/>
              </w:rPr>
            </w:pPr>
            <w:r>
              <w:rPr>
                <w:rFonts w:ascii="Arial" w:cs="Arial" w:eastAsia="Arial" w:hAnsi="Arial"/>
                <w:sz w:val="18"/>
                <w:szCs w:val="18"/>
                <w:b w:val="1"/>
                <w:bCs w:val="1"/>
                <w:color w:val="auto"/>
              </w:rPr>
              <w:t>For the years ended December 31,</w:t>
            </w:r>
          </w:p>
        </w:tc>
        <w:tc>
          <w:tcPr>
            <w:tcW w:w="280" w:type="dxa"/>
            <w:vAlign w:val="bottom"/>
          </w:tcPr>
          <w:p>
            <w:pPr>
              <w:spacing w:after="0"/>
              <w:rPr>
                <w:sz w:val="24"/>
                <w:szCs w:val="24"/>
                <w:color w:val="auto"/>
              </w:rPr>
            </w:pPr>
          </w:p>
        </w:tc>
        <w:tc>
          <w:tcPr>
            <w:tcW w:w="1860" w:type="dxa"/>
            <w:vAlign w:val="bottom"/>
            <w:gridSpan w:val="3"/>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23"/>
        </w:trPr>
        <w:tc>
          <w:tcPr>
            <w:tcW w:w="40" w:type="dxa"/>
            <w:vAlign w:val="bottom"/>
          </w:tcPr>
          <w:p>
            <w:pPr>
              <w:spacing w:after="0"/>
              <w:rPr>
                <w:sz w:val="19"/>
                <w:szCs w:val="19"/>
                <w:color w:val="auto"/>
              </w:rPr>
            </w:pPr>
          </w:p>
        </w:tc>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30"/>
        </w:trPr>
        <w:tc>
          <w:tcPr>
            <w:tcW w:w="4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53,560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109,293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(55,733)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30"/>
        </w:trPr>
        <w:tc>
          <w:tcPr>
            <w:tcW w:w="4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revenue was $9.7 million for the year ended December 31, 2020, a decrease of $7.4 million, or 43.4%, as compared to 2019 which was primarily attributable to a decrease in income from certain real estate previously leased to DISH Network and transferred as part of the BSS Transaction.</w:t>
      </w:r>
    </w:p>
    <w:p>
      <w:pPr>
        <w:spacing w:after="0" w:line="190"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Capital expenditures were $53.6 million for the year ended December 31, 2020, a decrease of $55.7 million, or 51.0%, as compared to 2019, primarily due to decreases in satellite expenditures on the EchoStar XXIV satellite.</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EBITDA was a loss of $118.6 million for the year ended December 31, 2020, an increased in loss of $63.6 million as compared to 2019 as set forth in the following table: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89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EBITDA for the year ended December 31, 2019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(55,055)</w:t>
            </w:r>
          </w:p>
        </w:tc>
      </w:tr>
      <w:tr>
        <w:trPr>
          <w:trHeight w:val="229"/>
        </w:trPr>
        <w:tc>
          <w:tcPr>
            <w:tcW w:w="8980" w:type="dxa"/>
            <w:vAlign w:val="bottom"/>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8,823</w:t>
            </w:r>
          </w:p>
        </w:tc>
      </w:tr>
      <w:tr>
        <w:trPr>
          <w:trHeight w:val="229"/>
        </w:trPr>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w:t>
            </w:r>
          </w:p>
        </w:tc>
      </w:tr>
      <w:tr>
        <w:trPr>
          <w:trHeight w:val="230"/>
        </w:trPr>
        <w:tc>
          <w:tcPr>
            <w:tcW w:w="8980" w:type="dxa"/>
            <w:vAlign w:val="bottom"/>
          </w:tcPr>
          <w:p>
            <w:pPr>
              <w:ind w:left="20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r>
      <w:tr>
        <w:trPr>
          <w:trHeight w:val="230"/>
        </w:trPr>
        <w:tc>
          <w:tcPr>
            <w:tcW w:w="8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(68,988)</w:t>
            </w:r>
          </w:p>
        </w:tc>
      </w:tr>
      <w:tr>
        <w:trPr>
          <w:trHeight w:val="248"/>
        </w:trPr>
        <w:tc>
          <w:tcPr>
            <w:tcW w:w="8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for the year ended December 31, 2020</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(118,606)</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the Year Ended December 31, 2018</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consolidated results of operations for the year ended December 31, 2019 compared to the year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 (1)</w:t>
            </w:r>
          </w:p>
        </w:tc>
        <w:tc>
          <w:tcPr>
            <w:tcW w:w="160" w:type="dxa"/>
            <w:vAlign w:val="bottom"/>
          </w:tcPr>
          <w:p>
            <w:pPr>
              <w:spacing w:after="0"/>
              <w:rPr>
                <w:sz w:val="20"/>
                <w:szCs w:val="20"/>
                <w:color w:val="auto"/>
              </w:rPr>
            </w:pPr>
          </w:p>
        </w:tc>
        <w:tc>
          <w:tcPr>
            <w:tcW w:w="3300" w:type="dxa"/>
            <w:vAlign w:val="bottom"/>
            <w:gridSpan w:val="5"/>
          </w:tcPr>
          <w:p>
            <w:pPr>
              <w:ind w:left="4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Pr>
          <w:p>
            <w:pPr>
              <w:spacing w:after="0"/>
              <w:rPr>
                <w:sz w:val="20"/>
                <w:szCs w:val="20"/>
                <w:color w:val="auto"/>
              </w:rPr>
            </w:pPr>
          </w:p>
        </w:tc>
        <w:tc>
          <w:tcPr>
            <w:tcW w:w="1780" w:type="dxa"/>
            <w:vAlign w:val="bottom"/>
            <w:gridSpan w:val="3"/>
          </w:tcPr>
          <w:p>
            <w:pPr>
              <w:ind w:left="920"/>
              <w:spacing w:after="0"/>
              <w:rPr>
                <w:sz w:val="20"/>
                <w:szCs w:val="20"/>
                <w:color w:val="auto"/>
              </w:rPr>
            </w:pPr>
            <w:r>
              <w:rPr>
                <w:rFonts w:ascii="Arial" w:cs="Arial" w:eastAsia="Arial" w:hAnsi="Arial"/>
                <w:sz w:val="16"/>
                <w:szCs w:val="16"/>
                <w:b w:val="1"/>
                <w:bCs w:val="1"/>
                <w:color w:val="auto"/>
              </w:rPr>
              <w:t>Variance</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8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0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40"/>
              <w:spacing w:after="0"/>
              <w:rPr>
                <w:sz w:val="20"/>
                <w:szCs w:val="20"/>
                <w:color w:val="auto"/>
              </w:rPr>
            </w:pPr>
            <w:r>
              <w:rPr>
                <w:rFonts w:ascii="Arial" w:cs="Arial" w:eastAsia="Arial" w:hAnsi="Arial"/>
                <w:sz w:val="16"/>
                <w:szCs w:val="16"/>
                <w:color w:val="auto"/>
              </w:rPr>
              <w:t>Services and other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1,619,271</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1,557,228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62,043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Equipment revenue</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266,810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205,410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1,886,081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1,762,638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123,443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96"/>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40"/>
              <w:spacing w:after="0"/>
              <w:rPr>
                <w:sz w:val="20"/>
                <w:szCs w:val="20"/>
                <w:color w:val="auto"/>
              </w:rPr>
            </w:pPr>
            <w:r>
              <w:rPr>
                <w:rFonts w:ascii="Arial" w:cs="Arial" w:eastAsia="Arial" w:hAnsi="Arial"/>
                <w:sz w:val="16"/>
                <w:szCs w:val="16"/>
                <w:color w:val="auto"/>
              </w:rPr>
              <w:t>Cost of sales - services and other</w:t>
            </w: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561,353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563,907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(2,554)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services and other revenue</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36.2 %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40"/>
              <w:spacing w:after="0"/>
              <w:rPr>
                <w:sz w:val="20"/>
                <w:szCs w:val="20"/>
                <w:color w:val="auto"/>
              </w:rPr>
            </w:pPr>
            <w:r>
              <w:rPr>
                <w:rFonts w:ascii="Arial" w:cs="Arial" w:eastAsia="Arial" w:hAnsi="Arial"/>
                <w:sz w:val="16"/>
                <w:szCs w:val="16"/>
                <w:color w:val="auto"/>
              </w:rPr>
              <w:t>Cost of sales - equipment</w:t>
            </w: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226,002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176,600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49,402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equipment revenue</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86.0 %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509,145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436,088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73,057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revenue</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24.7 %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4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25,739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27,570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revenue</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490,765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457,116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33,649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Impairment of long-lived assets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65,220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(65,220)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1,813,004</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1,726,501</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86,503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9"/>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73,077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36,137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36,940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82,352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80,275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40"/>
              <w:spacing w:after="0"/>
              <w:rPr>
                <w:sz w:val="20"/>
                <w:szCs w:val="20"/>
                <w:color w:val="auto"/>
              </w:rPr>
            </w:pPr>
            <w:r>
              <w:rPr>
                <w:rFonts w:ascii="Arial" w:cs="Arial" w:eastAsia="Arial" w:hAnsi="Arial"/>
                <w:sz w:val="16"/>
                <w:szCs w:val="16"/>
                <w:color w:val="auto"/>
              </w:rPr>
              <w:t>Interest expense, net of amounts capitalized</w:t>
            </w:r>
          </w:p>
        </w:tc>
        <w:tc>
          <w:tcPr>
            <w:tcW w:w="16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(251,016)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(219,288)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(31,728)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Gains (losses) on investments, net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28,912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(12,622)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41,534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40"/>
              <w:spacing w:after="0"/>
              <w:rPr>
                <w:sz w:val="20"/>
                <w:szCs w:val="20"/>
                <w:color w:val="auto"/>
              </w:rPr>
            </w:pPr>
            <w:r>
              <w:rPr>
                <w:rFonts w:ascii="Arial" w:cs="Arial" w:eastAsia="Arial" w:hAnsi="Arial"/>
                <w:sz w:val="16"/>
                <w:szCs w:val="16"/>
                <w:color w:val="auto"/>
              </w:rPr>
              <w:t>Equity in earnings (losses) of unconsolidated affiliates, net</w:t>
            </w:r>
          </w:p>
        </w:tc>
        <w:tc>
          <w:tcPr>
            <w:tcW w:w="16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(14,734)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(5,954)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transaction gains (losses), net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(15,583)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11,249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6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other income (expense), net</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(166,242)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(161,923)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0"/>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16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(93,165)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(125,786)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32,621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 benefit (provision), net</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(20,488)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(6,576)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Net income (loss) from continuing operations</w:t>
            </w:r>
          </w:p>
        </w:tc>
        <w:tc>
          <w:tcPr>
            <w:tcW w:w="16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(113,653)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(132,362)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18,709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Net income (loss) from 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39,401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93,729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(54,328)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(74,252)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(38,633)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(35,619)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162"/>
        </w:trPr>
        <w:tc>
          <w:tcPr>
            <w:tcW w:w="4680" w:type="dxa"/>
            <w:vAlign w:val="bottom"/>
            <w:gridSpan w:val="2"/>
            <w:shd w:val="clear" w:color="auto" w:fill="CCEEFF"/>
          </w:tcPr>
          <w:p>
            <w:pPr>
              <w:ind w:left="240"/>
              <w:spacing w:after="0" w:line="162" w:lineRule="exact"/>
              <w:rPr>
                <w:sz w:val="20"/>
                <w:szCs w:val="20"/>
                <w:color w:val="auto"/>
              </w:rPr>
            </w:pPr>
            <w:r>
              <w:rPr>
                <w:rFonts w:ascii="Arial" w:cs="Arial" w:eastAsia="Arial" w:hAnsi="Arial"/>
                <w:sz w:val="16"/>
                <w:szCs w:val="16"/>
                <w:color w:val="auto"/>
              </w:rPr>
              <w:t>Less: Net loss (income) attributable to non-controlling</w:t>
            </w: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11,335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(1,842)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13,177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68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Net income (loss) attributable to EchoStar Corporation</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vMerge w:val="restart"/>
          </w:tcPr>
          <w:p>
            <w:pPr>
              <w:jc w:val="right"/>
              <w:ind w:right="79"/>
              <w:spacing w:after="0"/>
              <w:rPr>
                <w:sz w:val="20"/>
                <w:szCs w:val="20"/>
                <w:color w:val="auto"/>
              </w:rPr>
            </w:pPr>
            <w:r>
              <w:rPr>
                <w:rFonts w:ascii="Arial" w:cs="Arial" w:eastAsia="Arial" w:hAnsi="Arial"/>
                <w:sz w:val="16"/>
                <w:szCs w:val="16"/>
                <w:color w:val="auto"/>
              </w:rPr>
              <w:t>(62,917)</w:t>
            </w:r>
          </w:p>
        </w:tc>
        <w:tc>
          <w:tcPr>
            <w:tcW w:w="100" w:type="dxa"/>
            <w:vAlign w:val="bottom"/>
          </w:tcPr>
          <w:p>
            <w:pPr>
              <w:spacing w:after="0"/>
              <w:rPr>
                <w:sz w:val="12"/>
                <w:szCs w:val="12"/>
                <w:color w:val="auto"/>
              </w:rPr>
            </w:pPr>
          </w:p>
        </w:tc>
        <w:tc>
          <w:tcPr>
            <w:tcW w:w="38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79"/>
              <w:spacing w:after="0"/>
              <w:rPr>
                <w:sz w:val="20"/>
                <w:szCs w:val="20"/>
                <w:color w:val="auto"/>
              </w:rPr>
            </w:pPr>
            <w:r>
              <w:rPr>
                <w:rFonts w:ascii="Arial" w:cs="Arial" w:eastAsia="Arial" w:hAnsi="Arial"/>
                <w:sz w:val="16"/>
                <w:szCs w:val="16"/>
                <w:color w:val="auto"/>
              </w:rPr>
              <w:t>(40,475)</w:t>
            </w:r>
          </w:p>
        </w:tc>
        <w:tc>
          <w:tcPr>
            <w:tcW w:w="12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(22,442)</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194"/>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common stock</w:t>
            </w:r>
          </w:p>
        </w:tc>
        <w:tc>
          <w:tcPr>
            <w:tcW w:w="16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EBITDA (2)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577,599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468,501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109,098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6"/>
                <w:szCs w:val="16"/>
                <w:color w:val="auto"/>
              </w:rPr>
              <w:t>Subscribers, end of period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8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1,477,000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1,361,000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116,000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9"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 explanation of our key metrics is included in Explanation of Key Metrics and Other Items.</w:t>
      </w:r>
    </w:p>
    <w:p>
      <w:pPr>
        <w:spacing w:after="0" w:line="1" w:lineRule="exact"/>
        <w:rPr>
          <w:rFonts w:ascii="Arial" w:cs="Arial" w:eastAsia="Arial" w:hAnsi="Arial"/>
          <w:sz w:val="14"/>
          <w:szCs w:val="14"/>
          <w:color w:val="auto"/>
        </w:rPr>
      </w:pPr>
    </w:p>
    <w:p>
      <w:pPr>
        <w:ind w:left="340" w:hanging="332"/>
        <w:spacing w:after="0" w:line="264" w:lineRule="auto"/>
        <w:tabs>
          <w:tab w:leader="none" w:pos="3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U.S. GAAP measure in our Accompanying Consolidated Financial Statements, is included in Results of Operations. For further information on our use of EBITDA, see Explanation of Key Metrics and Other Items.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$1.6 billion for the year ended December 31, 2019,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$62.0 million, or 4.0%, as compared to 2018.</w:t>
      </w:r>
    </w:p>
    <w:p>
      <w:pPr>
        <w:spacing w:after="0" w:line="171" w:lineRule="exact"/>
        <w:rPr>
          <w:sz w:val="20"/>
          <w:szCs w:val="20"/>
          <w:color w:val="auto"/>
        </w:rPr>
      </w:pPr>
    </w:p>
    <w:p>
      <w:pPr>
        <w:jc w:val="both"/>
        <w:ind w:left="660" w:hanging="328"/>
        <w:spacing w:after="0" w:line="264"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Services and other revenue from our Hughes segment for the year ended December 31, 2019 increased by $74.9 million, or 5.0%, to $1.6 billion, as compared to 2018. The increase was primarily attributable to increases in sales of broadband services to our consumer customers of $102.0 million, primarily offset by a decrease in sales of services to our enterprise customers of $30.7 million.</w:t>
      </w:r>
    </w:p>
    <w:p>
      <w:pPr>
        <w:spacing w:after="0" w:line="196"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Services and other revenue from our ESS segment for the year ended December 31, 2019 decreased by $11.0 million, or 40.3%, to $16.3 million, as compared to 2018. The decrease was due to a decrease of $9.2 million in transponder services provided to third parties and a decrease of $1.6 million in satellite capacity leased to DISH Network on the EchoStar IX satellite.</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totaled $266.8 million for the year ended December 31, 2019, an increase of $61.4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29.9%, as compared to 2018. The increase was primarily attributable to our Hughes segment due to increases in hardware sales of $45.9 million to our enterprise customers and $15.5 million to our mobile satellite systems customers.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$561.4 million for the year ended December 31, 2019,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$2.6 million, or 0.5%, as compared to 2018. The decrease was primarily attributable to our Hughes segment due to lower costs of services provided to our enterprise customers, partially offset by an increase in costs of services to our consumer customers.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totaled $226.0 million for the year ended December 31, 2019,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$49.4 million, or 28.0%, as compared to 2018. The increase was primarily attributable to our Hughes segment due to an increase in hardware sales to our enterprise customers and our mobile satellite systems customers.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$509.1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2019, an increase of $73.1 million, or 16.8%, as compared to 2018. The increase was primarily attributable to increases in (i) expense of $32.5 million related to certain legal proceedings, (ii) marketing and promotional expenses of $22.5 million from our Hughes segment mainly associated with our consumer business, (iii) bad debt expense of $5.0 million and (iv) other general and administrative expenses of $13.1 million.</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expenses totaled $490.8 million for the year ended December 31, 2019,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$33.6 million, or 7.4%, as compared to 2018. The increase was primarily from our Hughes segment and due to increases in depreciation expense of (i) $20.2 million relating to our customer premises equipment, (ii) $4.8 million relating the Telesat T19V satellite that was placed into service in the fourth quarter of 2018, (iii) $3.1 million relating to the decrease in depreciable life of the SPACEWAY 3 satellite and (iv) $2.0 million relating to the depreciation of assets acquired from Yahsat in Brazil.</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 There was no impairment of long-lived assets for the year ended December 31, 2019, compared to $65.2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2018, which was primarily attributable to the determination that the fair value of our 45 degree west longitude regulatory authorization was de minimis and our recognition of a loss on the assets and in-substance liquidation of the business related to it.</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$251.0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2019, an increase of $31.7 million, or 14.5%, as compared to 2018. The increase was primarily due to an increase of $76.3 million in interest expense associated with certain legal proceedings. The increase was partially offset by a decrease of $39.1 million in interest expense and the amortization of deferred financing cost as a result of the repurchase and maturity of our 6 1/2% Senior Secured Notes due 2019 (the “2019 Senior Secured Notes”) and a net increase of $4.3 million in capitalized interest relating to the construction of the EchoStar XXIV satellite.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$28.9 million for the year ended December 31, 2019,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$(12.6) million for the year ended December 31, 2018. The change was primarily attributable to an increase in gains on marketable investment securities of $78.2 million in 2019, partially offset by $36.7 million in losses on certain investments in 2019.</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losses of unconsolidated affiliates, net totaled $ (14.7)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2019, as compared to $(6.0) million for the year ended December 31, 2018. The change was primarily related to an increase in loss from our equity method investments. Additionally, in the fourth quarter of 2019, we changed our accounting policy to record our share of net earnings or losses of investees on a three-month lag.</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$(11.6)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2019, as compared to $(15.6) million for the year ended December 31, 2018. The change was primarily due to the net strengthening of the U.S. dollar against certain foreign currencies in 2019 compared to 2018.</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totaled $(0.2) million for the year ended December 31, 2019, as compared to $11.2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2018. The decrease in income of $11.4 million was primarily due to a net gain of $ 9.6 million due to the one-time settlement of certain amounts due to and from a third party vendor in 2018 and a net decrease of $2.8 million in dividends received from certain marketable equity securities in 2019 compared to 2018.</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$(20.5) million for the year ended December 31, 2019,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 (6.6) million for the year ended December 31, 2018. Our effective income tax rate was (59.8)% and (5.5)% for the years ended December 31, 2019 and 2018, respectively. The variations in our current year effective tax rate from the U.S. federal statutory rate for the year ended December 31, 2019 were primarily due to the increase in our valuation allowance associated with certain foreign losses and by the impact of state and local taxes partially offset by the change in valuation allowance related to net unrealized gains that are capital in nature and research and experimentation credits. For the year ended December 31, 2018, we recorded a tax provision of zero related to the tax on deemed mandatory repatriation of our unrepatriated foreign earnings. As a result of the release of new treasury regulations in June 2019, we have recorded additional tax expense of $1.5 million on deemed mandatory repatriation of certain deferred foreign earnings. The variations in our effective tax rate from the U.S. federal statutory rate for the year ended December 31, 2018 were primarily due to research and experimentation credits and the change in our valuation allowance associated with unrealized gains that are capital in nature, partially offset by the impact of state and local taxes and the increase in our valuation allowance associated with certain foreign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Net income (loss) attributable to EchoStar Corporation common stock. </w:t>
      </w:r>
      <w:r>
        <w:rPr>
          <w:rFonts w:ascii="Arial" w:cs="Arial" w:eastAsia="Arial" w:hAnsi="Arial"/>
          <w:sz w:val="18"/>
          <w:szCs w:val="18"/>
          <w:color w:val="auto"/>
        </w:rPr>
        <w:t>Net income (loss) attributable to EchoStar Corporation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was a net loss of $(62.9) million for the year ended December 31, 2019, as compared to net income of $(40.5) million for the year ended December 31, 2018, as set forth in the following table:</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89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EchoStar Corporation for the year ended December 31, 2018</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(40,475)</w:t>
            </w:r>
          </w:p>
        </w:tc>
      </w:tr>
      <w:tr>
        <w:trPr>
          <w:trHeight w:val="229"/>
        </w:trPr>
        <w:tc>
          <w:tcPr>
            <w:tcW w:w="8980" w:type="dxa"/>
            <w:vAlign w:val="bottom"/>
          </w:tcPr>
          <w:p>
            <w:pPr>
              <w:ind w:left="20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41,534</w:t>
            </w:r>
          </w:p>
        </w:tc>
      </w:tr>
      <w:tr>
        <w:trPr>
          <w:trHeight w:val="230"/>
        </w:trPr>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operating income (loss), including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36,940</w:t>
            </w:r>
          </w:p>
        </w:tc>
      </w:tr>
      <w:tr>
        <w:trPr>
          <w:trHeight w:val="229"/>
        </w:trPr>
        <w:tc>
          <w:tcPr>
            <w:tcW w:w="8980" w:type="dxa"/>
            <w:vAlign w:val="bottom"/>
          </w:tcPr>
          <w:p>
            <w:pPr>
              <w:ind w:left="20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13,177</w:t>
            </w:r>
          </w:p>
        </w:tc>
      </w:tr>
      <w:tr>
        <w:trPr>
          <w:trHeight w:val="229"/>
        </w:trPr>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r>
      <w:tr>
        <w:trPr>
          <w:trHeight w:val="230"/>
        </w:trPr>
        <w:tc>
          <w:tcPr>
            <w:tcW w:w="8980" w:type="dxa"/>
            <w:vAlign w:val="bottom"/>
          </w:tcPr>
          <w:p>
            <w:pPr>
              <w:ind w:left="200"/>
              <w:spacing w:after="0"/>
              <w:rPr>
                <w:sz w:val="20"/>
                <w:szCs w:val="20"/>
                <w:color w:val="auto"/>
              </w:rPr>
            </w:pPr>
            <w:r>
              <w:rPr>
                <w:rFonts w:ascii="Arial" w:cs="Arial" w:eastAsia="Arial" w:hAnsi="Arial"/>
                <w:sz w:val="18"/>
                <w:szCs w:val="18"/>
                <w:color w:val="auto"/>
              </w:rPr>
              <w:t>Increase (decrease) in interest income,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2,077</w:t>
            </w:r>
          </w:p>
        </w:tc>
      </w:tr>
      <w:tr>
        <w:trPr>
          <w:trHeight w:val="229"/>
        </w:trPr>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r>
      <w:tr>
        <w:trPr>
          <w:trHeight w:val="230"/>
        </w:trPr>
        <w:tc>
          <w:tcPr>
            <w:tcW w:w="8980" w:type="dxa"/>
            <w:vAlign w:val="bottom"/>
          </w:tcPr>
          <w:p>
            <w:pPr>
              <w:ind w:left="20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(11,415)</w:t>
            </w:r>
          </w:p>
        </w:tc>
      </w:tr>
      <w:tr>
        <w:trPr>
          <w:trHeight w:val="229"/>
        </w:trPr>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income tax benefit (provision),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(13,912)</w:t>
            </w:r>
          </w:p>
        </w:tc>
      </w:tr>
      <w:tr>
        <w:trPr>
          <w:trHeight w:val="229"/>
        </w:trPr>
        <w:tc>
          <w:tcPr>
            <w:tcW w:w="8980" w:type="dxa"/>
            <w:vAlign w:val="bottom"/>
          </w:tcPr>
          <w:p>
            <w:pPr>
              <w:ind w:left="20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(31,728)</w:t>
            </w:r>
          </w:p>
        </w:tc>
      </w:tr>
      <w:tr>
        <w:trPr>
          <w:trHeight w:val="230"/>
        </w:trPr>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net income (loss) from discontinued operations</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(54,328)</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Net income (loss) attributable to EchoStar Corporation for the year ended December 31, 2019</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(62,917)</w:t>
            </w:r>
          </w:p>
        </w:tc>
      </w:tr>
      <w:tr>
        <w:trPr>
          <w:trHeight w:val="21"/>
        </w:trPr>
        <w:tc>
          <w:tcPr>
            <w:tcW w:w="8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table reconciles EBITDA to </w:t>
      </w:r>
      <w:r>
        <w:rPr>
          <w:rFonts w:ascii="Arial" w:cs="Arial" w:eastAsia="Arial" w:hAnsi="Arial"/>
          <w:sz w:val="18"/>
          <w:szCs w:val="18"/>
          <w:i w:val="1"/>
          <w:iCs w:val="1"/>
          <w:color w:val="auto"/>
        </w:rPr>
        <w:t>Net income (loss)</w:t>
      </w:r>
      <w:r>
        <w:rPr>
          <w:rFonts w:ascii="Arial" w:cs="Arial" w:eastAsia="Arial" w:hAnsi="Arial"/>
          <w:sz w:val="18"/>
          <w:szCs w:val="18"/>
          <w:color w:val="auto"/>
        </w:rPr>
        <w:t>, the most directly comparable U.S. GAAP measure in our Accompanying Consolidated Financial Statements: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b w:val="1"/>
                <w:bCs w:val="1"/>
                <w:color w:val="auto"/>
              </w:rPr>
              <w:t>For the Years Ended December 31,</w:t>
            </w:r>
          </w:p>
        </w:tc>
        <w:tc>
          <w:tcPr>
            <w:tcW w:w="240" w:type="dxa"/>
            <w:vAlign w:val="bottom"/>
          </w:tcPr>
          <w:p>
            <w:pPr>
              <w:spacing w:after="0"/>
              <w:rPr>
                <w:sz w:val="20"/>
                <w:szCs w:val="20"/>
                <w:color w:val="auto"/>
              </w:rPr>
            </w:pPr>
          </w:p>
        </w:tc>
        <w:tc>
          <w:tcPr>
            <w:tcW w:w="1820" w:type="dxa"/>
            <w:vAlign w:val="bottom"/>
            <w:gridSpan w:val="3"/>
          </w:tcPr>
          <w:p>
            <w:pPr>
              <w:ind w:left="920"/>
              <w:spacing w:after="0"/>
              <w:rPr>
                <w:sz w:val="20"/>
                <w:szCs w:val="20"/>
                <w:color w:val="auto"/>
              </w:rPr>
            </w:pPr>
            <w:r>
              <w:rPr>
                <w:rFonts w:ascii="Arial" w:cs="Arial" w:eastAsia="Arial" w:hAnsi="Arial"/>
                <w:sz w:val="18"/>
                <w:szCs w:val="18"/>
                <w:b w:val="1"/>
                <w:bCs w:val="1"/>
                <w:color w:val="auto"/>
              </w:rPr>
              <w:t>Variance</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Amounts</w:t>
            </w:r>
          </w:p>
        </w:tc>
        <w:tc>
          <w:tcPr>
            <w:tcW w:w="9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(82,352)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(80,275)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Income tax provision (benefit),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Net loss (income) from discontinued operations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(93,729)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54,328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175"/>
        </w:trPr>
        <w:tc>
          <w:tcPr>
            <w:tcW w:w="4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(income) attributable to non-controlling</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13,177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6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468,501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3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EBITDA was $577.6 million for the year ended December 31, 2019, an increase of $109.1 million, or 23.3%, as compared to 2018 as set forth in the following table: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gridSpan w:val="2"/>
          </w:tcPr>
          <w:p>
            <w:pPr>
              <w:ind w:left="28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for the year ended EBITDA for the year ended December 31, 2018</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70,589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(8,780)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EBITDA for the year ended EBITDA for the year ended December 31, 2019</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020" w:type="dxa"/>
            <w:vAlign w:val="bottom"/>
            <w:gridSpan w:val="2"/>
            <w:vMerge w:val="restart"/>
          </w:tcPr>
          <w:p>
            <w:pPr>
              <w:jc w:val="right"/>
              <w:ind w:right="3210"/>
              <w:spacing w:after="0"/>
              <w:rPr>
                <w:sz w:val="20"/>
                <w:szCs w:val="20"/>
                <w:color w:val="auto"/>
              </w:rPr>
            </w:pPr>
            <w:r>
              <w:rPr>
                <w:rFonts w:ascii="Arial" w:cs="Arial" w:eastAsia="Arial" w:hAnsi="Arial"/>
                <w:sz w:val="18"/>
                <w:szCs w:val="18"/>
                <w:color w:val="auto"/>
              </w:rPr>
              <w:t>44</w:t>
            </w: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90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89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 and Capital Expenditures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tables present our operating results, capital expenditures and EBITDA by segment for the year ended December 31, 2019 compared to the year ended December 31, 2018. Capital expenditures in the table below are net of refunds and other receipts related to property and equipment.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Hughes</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rPr>
              <w:t>ESS</w:t>
            </w:r>
          </w:p>
        </w:tc>
        <w:tc>
          <w:tcPr>
            <w:tcW w:w="40" w:type="dxa"/>
            <w:vAlign w:val="bottom"/>
          </w:tcPr>
          <w:p>
            <w:pPr>
              <w:spacing w:after="0"/>
              <w:rPr>
                <w:sz w:val="17"/>
                <w:szCs w:val="17"/>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rPr>
              <w:t>Corporate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9"/>
              </w:rPr>
              <w:t>Other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2019</w:t>
            </w: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1,852,742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16,257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17,082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1,886,081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308,781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109,293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EBITDA</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625,660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6,994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577,599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 ended December 31, 2018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1,716,528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1,762,638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390,108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(76,757)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164,091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477,442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(150,582)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7"/>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Hughes Segment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gridSpan w:val="9"/>
          </w:tcPr>
          <w:p>
            <w:pPr>
              <w:ind w:left="120"/>
              <w:spacing w:after="0"/>
              <w:rPr>
                <w:sz w:val="20"/>
                <w:szCs w:val="20"/>
                <w:color w:val="auto"/>
              </w:rPr>
            </w:pPr>
            <w:r>
              <w:rPr>
                <w:rFonts w:ascii="Arial" w:cs="Arial" w:eastAsia="Arial" w:hAnsi="Arial"/>
                <w:sz w:val="18"/>
                <w:szCs w:val="18"/>
                <w:b w:val="1"/>
                <w:bCs w:val="1"/>
                <w:color w:val="auto"/>
              </w:rPr>
              <w:t>For the years ended December 31,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7"/>
          </w:tcPr>
          <w:p>
            <w:pPr>
              <w:jc w:val="right"/>
              <w:ind w:right="120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1,852,742</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1,716,169</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136,214</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308,781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390,108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(81,327)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601,319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revenue was $1.9 billion for the year ended December 31, 2019, an increase of $136.2 million, or 7.9%, as compared to 2018. The increase was primarily due to an increase of $102.0 million in sales of broadband services to our consumer customers and net increases in hardware sales of $45.9 million to our enterprise customers and $ 15.5 million to our mobile satellite systems customers. The increase was partially offset by a decrease of $30.7 million in sales of services to our enterprise customers.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Capital expenditures were $308.8 million for the year ended December 31, 2019, a decrease of $81.3 million, or 20.8%, as compared to 2018, primarily due to net decreases in capital expenditures associated with the construction and infrastructure of our satellites and in our consumer and enterprise businesses.</w:t>
      </w:r>
    </w:p>
    <w:p>
      <w:pPr>
        <w:spacing w:after="0" w:line="190"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EBITDA was $625.7 million for the year ended December 31, 2019, an increase of $24.3 million, or 4.0%, as compared to 2018, as set forth in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year ended EBITDA for the year ended December 31, 2018</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601,319</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23,115</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13,177</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2,614</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(5,477)</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(8,890)</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EBITDA for the year ended EBITDA for the year ended December 31, 2019</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625,660</w:t>
            </w:r>
          </w:p>
        </w:tc>
      </w:tr>
      <w:tr>
        <w:trPr>
          <w:trHeight w:val="21"/>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gridSpan w:val="2"/>
          </w:tcPr>
          <w:p>
            <w:pPr>
              <w:spacing w:after="0"/>
              <w:rPr>
                <w:sz w:val="20"/>
                <w:szCs w:val="20"/>
                <w:color w:val="auto"/>
              </w:rPr>
            </w:pPr>
            <w:r>
              <w:rPr>
                <w:rFonts w:ascii="Arial" w:cs="Arial" w:eastAsia="Arial" w:hAnsi="Arial"/>
                <w:sz w:val="18"/>
                <w:szCs w:val="18"/>
                <w:i w:val="1"/>
                <w:iCs w:val="1"/>
                <w:color w:val="auto"/>
              </w:rPr>
              <w:t>ESS Segment</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7"/>
        </w:trPr>
        <w:tc>
          <w:tcPr>
            <w:tcW w:w="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Pr>
          <w:p>
            <w:pPr>
              <w:spacing w:after="0"/>
              <w:rPr>
                <w:sz w:val="24"/>
                <w:szCs w:val="24"/>
                <w:color w:val="auto"/>
              </w:rPr>
            </w:pPr>
          </w:p>
        </w:tc>
        <w:tc>
          <w:tcPr>
            <w:tcW w:w="1880" w:type="dxa"/>
            <w:vAlign w:val="bottom"/>
            <w:gridSpan w:val="3"/>
          </w:tcPr>
          <w:p>
            <w:pPr>
              <w:ind w:left="96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Amounts</w:t>
            </w:r>
          </w:p>
        </w:tc>
        <w:tc>
          <w:tcPr>
            <w:tcW w:w="10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23"/>
        </w:trPr>
        <w:tc>
          <w:tcPr>
            <w:tcW w:w="40" w:type="dxa"/>
            <w:vAlign w:val="bottom"/>
          </w:tcPr>
          <w:p>
            <w:pPr>
              <w:spacing w:after="0"/>
              <w:rPr>
                <w:sz w:val="19"/>
                <w:szCs w:val="19"/>
                <w:color w:val="auto"/>
              </w:rPr>
            </w:pPr>
          </w:p>
        </w:tc>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8"/>
              </w:rPr>
              <w:t>27,009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8"/>
              </w:rPr>
              <w:t>(10,974)</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29"/>
        </w:trPr>
        <w:tc>
          <w:tcPr>
            <w:tcW w:w="4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center"/>
              <w:ind w:left="370"/>
              <w:spacing w:after="0"/>
              <w:rPr>
                <w:sz w:val="20"/>
                <w:szCs w:val="20"/>
                <w:color w:val="auto"/>
              </w:rPr>
            </w:pPr>
            <w:r>
              <w:rPr>
                <w:rFonts w:ascii="Arial" w:cs="Arial" w:eastAsia="Arial" w:hAnsi="Arial"/>
                <w:sz w:val="18"/>
                <w:szCs w:val="18"/>
                <w:color w:val="auto"/>
              </w:rPr>
              <w:t>(76,757)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center"/>
              <w:ind w:left="470"/>
              <w:spacing w:after="0"/>
              <w:rPr>
                <w:sz w:val="20"/>
                <w:szCs w:val="20"/>
                <w:color w:val="auto"/>
              </w:rPr>
            </w:pPr>
            <w:r>
              <w:rPr>
                <w:rFonts w:ascii="Arial" w:cs="Arial" w:eastAsia="Arial" w:hAnsi="Arial"/>
                <w:sz w:val="18"/>
                <w:szCs w:val="18"/>
                <w:color w:val="auto"/>
              </w:rPr>
              <w:t>76,757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4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8"/>
              </w:rPr>
              <w:t>17,764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8"/>
              </w:rPr>
              <w:t>(10,770)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bl>
    <w:p>
      <w:pPr>
        <w:spacing w:after="0" w:line="3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revenue was $16.3 million for the year ended December 31, 2019, a decrease of $11.0 million, or 40.3%, as compared to 2018. The decrease was attributable to a net decrease of $ 9.2 million in transponder services provided to third parties and a decrease of $1.6 million in satellite capacity leased to DISH Network on the EchoStar IX satellite.</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were no capital expenditures for the year ended for the year ended December 31, 2019, as there were no new satellites under construction in our ESS segment during the year. The negative capital expenditure in 2018 for $ 76.8 million is primarily driven by a reimbursement of $77.5 million related to the EchoStar 105/SES-11 satellite received in the first quarter of 2018.</w:t>
      </w:r>
    </w:p>
    <w:p>
      <w:pPr>
        <w:spacing w:after="0" w:line="190"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EBITDA was $7.0 million for the year ended December 31, 2019, a decrease of $10.8 million, or 60.6%, as compared to 2018, primarily due to the decrease in overall ESS revenue.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gridSpan w:val="2"/>
          </w:tcPr>
          <w:p>
            <w:pPr>
              <w:spacing w:after="0"/>
              <w:rPr>
                <w:sz w:val="20"/>
                <w:szCs w:val="20"/>
                <w:color w:val="auto"/>
              </w:rPr>
            </w:pPr>
            <w:r>
              <w:rPr>
                <w:rFonts w:ascii="Arial" w:cs="Arial" w:eastAsia="Arial" w:hAnsi="Arial"/>
                <w:sz w:val="18"/>
                <w:szCs w:val="18"/>
                <w:i w:val="1"/>
                <w:iCs w:val="1"/>
                <w:color w:val="auto"/>
              </w:rPr>
              <w:t>Corporate and Other</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7"/>
        </w:trPr>
        <w:tc>
          <w:tcPr>
            <w:tcW w:w="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Pr>
          <w:p>
            <w:pPr>
              <w:spacing w:after="0"/>
              <w:rPr>
                <w:sz w:val="24"/>
                <w:szCs w:val="24"/>
                <w:color w:val="auto"/>
              </w:rPr>
            </w:pPr>
          </w:p>
        </w:tc>
        <w:tc>
          <w:tcPr>
            <w:tcW w:w="1880" w:type="dxa"/>
            <w:vAlign w:val="bottom"/>
            <w:gridSpan w:val="3"/>
          </w:tcPr>
          <w:p>
            <w:pPr>
              <w:ind w:left="96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Amounts</w:t>
            </w:r>
          </w:p>
        </w:tc>
        <w:tc>
          <w:tcPr>
            <w:tcW w:w="10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23"/>
        </w:trPr>
        <w:tc>
          <w:tcPr>
            <w:tcW w:w="40" w:type="dxa"/>
            <w:vAlign w:val="bottom"/>
          </w:tcPr>
          <w:p>
            <w:pPr>
              <w:spacing w:after="0"/>
              <w:rPr>
                <w:sz w:val="19"/>
                <w:szCs w:val="19"/>
                <w:color w:val="auto"/>
              </w:rPr>
            </w:pPr>
          </w:p>
        </w:tc>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4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109,293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164,091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(54,798)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4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r>
    </w:tbl>
    <w:p>
      <w:pPr>
        <w:spacing w:after="0" w:line="31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Capital expenditures were $109.3 million for the year ended December 31, 2019, a decrease of $54.8 million, or 33.4%, as compared to 2018, primarily due to decreases in satellite expenditures on the EchoStar XXIV satellite.</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EBITDA was $(55.1) million for the year ended December 31, 2019, an increase of $95.5 million, or 63.4%, as compared to 2018, as set forth in the following table:</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89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EBITDA for the year ended December 31, 2018</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(150,582)</w:t>
            </w:r>
          </w:p>
        </w:tc>
      </w:tr>
      <w:tr>
        <w:trPr>
          <w:trHeight w:val="230"/>
        </w:trPr>
        <w:tc>
          <w:tcPr>
            <w:tcW w:w="8980" w:type="dxa"/>
            <w:vAlign w:val="bottom"/>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58,246</w:t>
            </w:r>
          </w:p>
        </w:tc>
      </w:tr>
      <w:tr>
        <w:trPr>
          <w:trHeight w:val="229"/>
        </w:trPr>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50,424</w:t>
            </w:r>
          </w:p>
        </w:tc>
      </w:tr>
      <w:tr>
        <w:trPr>
          <w:trHeight w:val="230"/>
        </w:trPr>
        <w:tc>
          <w:tcPr>
            <w:tcW w:w="8980" w:type="dxa"/>
            <w:vAlign w:val="bottom"/>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1,379</w:t>
            </w:r>
          </w:p>
        </w:tc>
      </w:tr>
      <w:tr>
        <w:trPr>
          <w:trHeight w:val="230"/>
        </w:trPr>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r>
      <w:tr>
        <w:trPr>
          <w:trHeight w:val="230"/>
        </w:trPr>
        <w:tc>
          <w:tcPr>
            <w:tcW w:w="8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(11,219)</w:t>
            </w:r>
          </w:p>
        </w:tc>
      </w:tr>
      <w:tr>
        <w:trPr>
          <w:trHeight w:val="248"/>
        </w:trPr>
        <w:tc>
          <w:tcPr>
            <w:tcW w:w="8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for the year ended December 31, 2019</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(55,055)</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consider all liquid investments purchased with an original maturity of 90 days or less to be cash equivalents. See Item 7A. Quantitative and Qualitative Disclosures about Market Risk in this Form 10-K for further discussion regarding our marketable investment securities.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2020 and 2019, our cash, cash equivalents and marketable investment securities totaled $2.5 billion and $2.5 billion, respectively, of which $1.6 billion and $0.9 billion, respectively, we held as marketable investment securities, consisting of various debt and equity instruments including corporate bonds, corporate equity securities, government bonds and mutual funds.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following discussion highlights our cash flow activities, which include results from continuing and discontinued operations, for the years ended December 31, 2020, 2019 and 2018</w:t>
      </w:r>
      <w:r>
        <w:rPr>
          <w:rFonts w:ascii="Arial" w:cs="Arial" w:eastAsia="Arial" w:hAnsi="Arial"/>
          <w:sz w:val="18"/>
          <w:szCs w:val="18"/>
          <w:i w:val="1"/>
          <w:iCs w:val="1"/>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5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typically reinvest the cash flow from operating activities in our business. For the years ended December 31, 2020, 2019 and 2018, we reported net cash flows from operating activities of $534.4 million, $656.3 million and $734.5 million, respectively.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For the year ended December 31, 2020, we reported net cash flows from operating activities of $534.4 million, a decrease of $ 121.9 million, as compared to 2019. The decrease was primarily attributable to lower net income, as adjusted to exclude (i) </w:t>
      </w:r>
      <w:r>
        <w:rPr>
          <w:rFonts w:ascii="Arial" w:cs="Arial" w:eastAsia="Arial" w:hAnsi="Arial"/>
          <w:sz w:val="18"/>
          <w:szCs w:val="18"/>
          <w:i w:val="1"/>
          <w:iCs w:val="1"/>
          <w:color w:val="auto"/>
        </w:rPr>
        <w:t>Depreciation and amortization;</w:t>
      </w:r>
    </w:p>
    <w:p>
      <w:pPr>
        <w:jc w:val="both"/>
        <w:ind w:firstLine="8"/>
        <w:spacing w:after="0" w:line="255" w:lineRule="auto"/>
        <w:tabs>
          <w:tab w:leader="none" w:pos="25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(iii)</w:t>
      </w:r>
      <w:r>
        <w:rPr>
          <w:rFonts w:ascii="Arial" w:cs="Arial" w:eastAsia="Arial" w:hAnsi="Arial"/>
          <w:sz w:val="18"/>
          <w:szCs w:val="18"/>
          <w:i w:val="1"/>
          <w:iCs w:val="1"/>
          <w:color w:val="auto"/>
        </w:rPr>
        <w:t xml:space="preserve"> Losses (gains) on investments, net; </w:t>
      </w:r>
      <w:r>
        <w:rPr>
          <w:rFonts w:ascii="Arial" w:cs="Arial" w:eastAsia="Arial" w:hAnsi="Arial"/>
          <w:sz w:val="18"/>
          <w:szCs w:val="18"/>
          <w:color w:val="auto"/>
        </w:rPr>
        <w:t>(iv)</w:t>
      </w:r>
      <w:r>
        <w:rPr>
          <w:rFonts w:ascii="Arial" w:cs="Arial" w:eastAsia="Arial" w:hAnsi="Arial"/>
          <w:sz w:val="18"/>
          <w:szCs w:val="18"/>
          <w:i w:val="1"/>
          <w:iCs w:val="1"/>
          <w:color w:val="auto"/>
        </w:rPr>
        <w:t xml:space="preserve"> Equity in earnings of unconsolidated affiliates, net; </w:t>
      </w:r>
      <w:r>
        <w:rPr>
          <w:rFonts w:ascii="Arial" w:cs="Arial" w:eastAsia="Arial" w:hAnsi="Arial"/>
          <w:sz w:val="18"/>
          <w:szCs w:val="18"/>
          <w:color w:val="auto"/>
        </w:rPr>
        <w:t>(v)</w:t>
      </w:r>
      <w:r>
        <w:rPr>
          <w:rFonts w:ascii="Arial" w:cs="Arial" w:eastAsia="Arial" w:hAnsi="Arial"/>
          <w:sz w:val="18"/>
          <w:szCs w:val="18"/>
          <w:i w:val="1"/>
          <w:iCs w:val="1"/>
          <w:color w:val="auto"/>
        </w:rPr>
        <w:t xml:space="preserve"> Foreign currency transaction (gains) losses, net; </w:t>
      </w:r>
      <w:r>
        <w:rPr>
          <w:rFonts w:ascii="Arial" w:cs="Arial" w:eastAsia="Arial" w:hAnsi="Arial"/>
          <w:sz w:val="18"/>
          <w:szCs w:val="18"/>
          <w:color w:val="auto"/>
        </w:rPr>
        <w:t>(vi)</w:t>
      </w:r>
      <w:r>
        <w:rPr>
          <w:rFonts w:ascii="Arial" w:cs="Arial" w:eastAsia="Arial" w:hAnsi="Arial"/>
          <w:sz w:val="18"/>
          <w:szCs w:val="18"/>
          <w:i w:val="1"/>
          <w:iCs w:val="1"/>
          <w:color w:val="auto"/>
        </w:rPr>
        <w:t xml:space="preserve"> Deferred tax provision (benefit), net; </w:t>
      </w:r>
      <w:r>
        <w:rPr>
          <w:rFonts w:ascii="Arial" w:cs="Arial" w:eastAsia="Arial" w:hAnsi="Arial"/>
          <w:sz w:val="18"/>
          <w:szCs w:val="18"/>
          <w:color w:val="auto"/>
        </w:rPr>
        <w:t>(vii)</w:t>
      </w:r>
      <w:r>
        <w:rPr>
          <w:rFonts w:ascii="Arial" w:cs="Arial" w:eastAsia="Arial" w:hAnsi="Arial"/>
          <w:sz w:val="18"/>
          <w:szCs w:val="18"/>
          <w:i w:val="1"/>
          <w:iCs w:val="1"/>
          <w:color w:val="auto"/>
        </w:rPr>
        <w:t xml:space="preserve"> Stock-based compensation; </w:t>
      </w:r>
      <w:r>
        <w:rPr>
          <w:rFonts w:ascii="Arial" w:cs="Arial" w:eastAsia="Arial" w:hAnsi="Arial"/>
          <w:sz w:val="18"/>
          <w:szCs w:val="18"/>
          <w:color w:val="auto"/>
        </w:rPr>
        <w:t>(viii)</w:t>
      </w:r>
      <w:r>
        <w:rPr>
          <w:rFonts w:ascii="Arial" w:cs="Arial" w:eastAsia="Arial" w:hAnsi="Arial"/>
          <w:sz w:val="18"/>
          <w:szCs w:val="18"/>
          <w:i w:val="1"/>
          <w:iCs w:val="1"/>
          <w:color w:val="auto"/>
        </w:rPr>
        <w:t xml:space="preserve"> Amortization of debt issuance costs; </w:t>
      </w:r>
      <w:r>
        <w:rPr>
          <w:rFonts w:ascii="Arial" w:cs="Arial" w:eastAsia="Arial" w:hAnsi="Arial"/>
          <w:sz w:val="18"/>
          <w:szCs w:val="18"/>
          <w:color w:val="auto"/>
        </w:rPr>
        <w:t>and (ix) changes in</w:t>
      </w:r>
      <w:r>
        <w:rPr>
          <w:rFonts w:ascii="Arial" w:cs="Arial" w:eastAsia="Arial" w:hAnsi="Arial"/>
          <w:sz w:val="18"/>
          <w:szCs w:val="18"/>
          <w:i w:val="1"/>
          <w:iCs w:val="1"/>
          <w:color w:val="auto"/>
        </w:rPr>
        <w:t xml:space="preserve"> Other, net, </w:t>
      </w:r>
      <w:r>
        <w:rPr>
          <w:rFonts w:ascii="Arial" w:cs="Arial" w:eastAsia="Arial" w:hAnsi="Arial"/>
          <w:sz w:val="18"/>
          <w:szCs w:val="18"/>
          <w:color w:val="auto"/>
        </w:rPr>
        <w:t>of $42.0 million. The decrease in cash flows was also attributable to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$80.0 million resulting from timing differences in operating assets and liabilities.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For the year ended December 31, 2019, we reported net cash flows from operating activities of $ 656.3 million, a decrease of $78.2 million, as compared to 2018. The decrease was primarily attributable to lower net income, as adjusted to exclude (i) </w:t>
      </w:r>
      <w:r>
        <w:rPr>
          <w:rFonts w:ascii="Arial" w:cs="Arial" w:eastAsia="Arial" w:hAnsi="Arial"/>
          <w:sz w:val="18"/>
          <w:szCs w:val="18"/>
          <w:i w:val="1"/>
          <w:iCs w:val="1"/>
          <w:color w:val="auto"/>
        </w:rPr>
        <w:t>Depreciation and amortization;</w:t>
      </w:r>
    </w:p>
    <w:p>
      <w:pPr>
        <w:jc w:val="both"/>
        <w:ind w:firstLine="8"/>
        <w:spacing w:after="0" w:line="255" w:lineRule="auto"/>
        <w:tabs>
          <w:tab w:leader="none" w:pos="25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(iii)</w:t>
      </w:r>
      <w:r>
        <w:rPr>
          <w:rFonts w:ascii="Arial" w:cs="Arial" w:eastAsia="Arial" w:hAnsi="Arial"/>
          <w:sz w:val="18"/>
          <w:szCs w:val="18"/>
          <w:i w:val="1"/>
          <w:iCs w:val="1"/>
          <w:color w:val="auto"/>
        </w:rPr>
        <w:t xml:space="preserve"> Losses (gains) on investments, net; </w:t>
      </w:r>
      <w:r>
        <w:rPr>
          <w:rFonts w:ascii="Arial" w:cs="Arial" w:eastAsia="Arial" w:hAnsi="Arial"/>
          <w:sz w:val="18"/>
          <w:szCs w:val="18"/>
          <w:color w:val="auto"/>
        </w:rPr>
        <w:t>(iv)</w:t>
      </w:r>
      <w:r>
        <w:rPr>
          <w:rFonts w:ascii="Arial" w:cs="Arial" w:eastAsia="Arial" w:hAnsi="Arial"/>
          <w:sz w:val="18"/>
          <w:szCs w:val="18"/>
          <w:i w:val="1"/>
          <w:iCs w:val="1"/>
          <w:color w:val="auto"/>
        </w:rPr>
        <w:t xml:space="preserve"> Equity in earnings of unconsolidated affiliates, net; </w:t>
      </w:r>
      <w:r>
        <w:rPr>
          <w:rFonts w:ascii="Arial" w:cs="Arial" w:eastAsia="Arial" w:hAnsi="Arial"/>
          <w:sz w:val="18"/>
          <w:szCs w:val="18"/>
          <w:color w:val="auto"/>
        </w:rPr>
        <w:t>(v)</w:t>
      </w:r>
      <w:r>
        <w:rPr>
          <w:rFonts w:ascii="Arial" w:cs="Arial" w:eastAsia="Arial" w:hAnsi="Arial"/>
          <w:sz w:val="18"/>
          <w:szCs w:val="18"/>
          <w:i w:val="1"/>
          <w:iCs w:val="1"/>
          <w:color w:val="auto"/>
        </w:rPr>
        <w:t xml:space="preserve"> Foreign currency transaction (gains) losses, net; </w:t>
      </w:r>
      <w:r>
        <w:rPr>
          <w:rFonts w:ascii="Arial" w:cs="Arial" w:eastAsia="Arial" w:hAnsi="Arial"/>
          <w:sz w:val="18"/>
          <w:szCs w:val="18"/>
          <w:color w:val="auto"/>
        </w:rPr>
        <w:t>(vi)</w:t>
      </w:r>
      <w:r>
        <w:rPr>
          <w:rFonts w:ascii="Arial" w:cs="Arial" w:eastAsia="Arial" w:hAnsi="Arial"/>
          <w:sz w:val="18"/>
          <w:szCs w:val="18"/>
          <w:i w:val="1"/>
          <w:iCs w:val="1"/>
          <w:color w:val="auto"/>
        </w:rPr>
        <w:t xml:space="preserve"> Dividends received from unconsolidated entity; </w:t>
      </w:r>
      <w:r>
        <w:rPr>
          <w:rFonts w:ascii="Arial" w:cs="Arial" w:eastAsia="Arial" w:hAnsi="Arial"/>
          <w:sz w:val="18"/>
          <w:szCs w:val="18"/>
          <w:color w:val="auto"/>
        </w:rPr>
        <w:t>and (viii) changes in</w:t>
      </w:r>
      <w:r>
        <w:rPr>
          <w:rFonts w:ascii="Arial" w:cs="Arial" w:eastAsia="Arial" w:hAnsi="Arial"/>
          <w:sz w:val="18"/>
          <w:szCs w:val="18"/>
          <w:i w:val="1"/>
          <w:iCs w:val="1"/>
          <w:color w:val="auto"/>
        </w:rPr>
        <w:t xml:space="preserve"> Other, net, </w:t>
      </w:r>
      <w:r>
        <w:rPr>
          <w:rFonts w:ascii="Arial" w:cs="Arial" w:eastAsia="Arial" w:hAnsi="Arial"/>
          <w:sz w:val="18"/>
          <w:szCs w:val="18"/>
          <w:color w:val="auto"/>
        </w:rPr>
        <w:t>of $141.1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cash flows was partially offset by an increase of $62.9 million resulting from timing differences in operating assets and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investing activities generally include purchases and sales of marketable investment securities, capital expenditures, acquisitions and strategic investments. For the years ended December 31, 2020, 2019 and 2018, we reported net cash flows from investing activities of $(1.1) billion, $0.8 billion and $(2.1) billion, respectively.</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year ended December 31, 2020, we had net sales and maturities of marketable investment securities of $2.1 billion, partially offset by net purchases of marketable investment securities of $2.8 billion, expenditures for property and equipment of $408.8 million, expenditures of externally marketed software of $38.7 million, and purchase of other investments of $5.5 million.</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year ended December 31, 2019, we had net sales and maturities of marketable investment securities of $2.4 billion, partially offset by net purchases of marketable investment securities of $993.4 million, expenditures for property and equipment of $418.6 million, and purchase of other investments of $93.7 million.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year ended December 31, 2018, we had net purchases of marketable investment securities of $3.0 billion, expenditures for property and equipment of $555.1 million and investments in unconsolidated affiliates of $116.0 million, partially offset by net sales and maturities of marketable investment securities of $1.5 billion, and a reimbursement of $77.5 million related to the EchoStar 105/SES-11 satellite.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financing activities generally include proceeds related to the issuance of debt and cash used for the repurchase, redemption or payment of debt and finance lease obligations, payments relating to stock and debt repurchases and the proceeds from Class A common stock options exercised and stock issued under our stock incentive plans and employee stock purchase plan. For the years ended December 31, 2020, 2019 and 2018, we reported net cash flows from financing activities of $(15.6) million, $(885.3) million and $(136.6) million, respectively.</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year ended December 31, 2020, we had cash outflows of $ 43.5 million for the repurchase of shares of our Class A common stock, partially offset by cash inflows of $18.2 million for the contribution by noncontrolling interest holder and $10.1 million in net proceeds received from Class A common stock issued under the Employee Stock Purchase Plan.</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2019, we had cash outflows of $920.9 million for the repurchasing and maturity of debt, $29.3 million for the payment of finance lease obligations and $7.3 million for the purchase of non-controlling shareholder interests in a subsidiary of ours that were held by an unaffiliated third party, partially offset by $67.3 million in net proceeds received from the exercise of Class A common stock options.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year ended December 31, 2018, we had cash outflows of $70.2 million for the repurchasing and maturity of debt, $41.0 million for the payment of finance lease obligations and $33.3 million for the repurchase of shares of Class A common stock, partially offset by $9.4 million in net proceeds received from the exercise of Class A common stock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11"/>
          </w:tcPr>
          <w:p>
            <w:pPr>
              <w:spacing w:after="0"/>
              <w:rPr>
                <w:sz w:val="20"/>
                <w:szCs w:val="20"/>
                <w:color w:val="auto"/>
              </w:rPr>
            </w:pPr>
            <w:r>
              <w:rPr>
                <w:rFonts w:ascii="Arial" w:cs="Arial" w:eastAsia="Arial" w:hAnsi="Arial"/>
                <w:sz w:val="16"/>
                <w:szCs w:val="16"/>
                <w:b w:val="1"/>
                <w:bCs w:val="1"/>
                <w:color w:val="auto"/>
              </w:rPr>
              <w:t>Payments Due in the Years Ending December 31,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10"/>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860" w:type="dxa"/>
            <w:vAlign w:val="bottom"/>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Thereafter</w:t>
            </w:r>
          </w:p>
        </w:tc>
      </w:tr>
      <w:tr>
        <w:trPr>
          <w:trHeight w:val="209"/>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900,000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1,500,000</w:t>
            </w:r>
          </w:p>
        </w:tc>
      </w:tr>
      <w:tr>
        <w:trPr>
          <w:trHeight w:val="216"/>
        </w:trPr>
        <w:tc>
          <w:tcPr>
            <w:tcW w:w="2700" w:type="dxa"/>
            <w:vAlign w:val="bottom"/>
          </w:tcPr>
          <w:p>
            <w:pPr>
              <w:ind w:left="20"/>
              <w:spacing w:after="0"/>
              <w:rPr>
                <w:sz w:val="20"/>
                <w:szCs w:val="20"/>
                <w:color w:val="auto"/>
              </w:rPr>
            </w:pPr>
            <w:r>
              <w:rPr>
                <w:rFonts w:ascii="Arial" w:cs="Arial" w:eastAsia="Arial" w:hAnsi="Arial"/>
                <w:sz w:val="16"/>
                <w:szCs w:val="16"/>
                <w:color w:val="auto"/>
              </w:rPr>
              <w:t>Interest on long-term debt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568,711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123,396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89,063</w:t>
            </w: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Satellite-related commitments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487,665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125,717</w:t>
            </w:r>
          </w:p>
        </w:tc>
      </w:tr>
      <w:tr>
        <w:trPr>
          <w:trHeight w:val="216"/>
        </w:trPr>
        <w:tc>
          <w:tcPr>
            <w:tcW w:w="2700" w:type="dxa"/>
            <w:vAlign w:val="bottom"/>
          </w:tcPr>
          <w:p>
            <w:pPr>
              <w:ind w:left="20"/>
              <w:spacing w:after="0"/>
              <w:rPr>
                <w:sz w:val="20"/>
                <w:szCs w:val="20"/>
                <w:color w:val="auto"/>
              </w:rPr>
            </w:pPr>
            <w:r>
              <w:rPr>
                <w:rFonts w:ascii="Arial" w:cs="Arial" w:eastAsia="Arial" w:hAnsi="Arial"/>
                <w:sz w:val="16"/>
                <w:szCs w:val="16"/>
                <w:color w:val="auto"/>
              </w:rPr>
              <w:t>Operating lease obligations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176,001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21,051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20,409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19,628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86,194</w:t>
            </w: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obligations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700" w:type="dxa"/>
            <w:vAlign w:val="bottom"/>
          </w:tcPr>
          <w:p>
            <w:pPr>
              <w:ind w:left="2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3,632,985</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1,268,447</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183,020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131,469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126,170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122,905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1,800,974</w:t>
            </w:r>
          </w:p>
        </w:tc>
      </w:tr>
      <w:tr>
        <w:trPr>
          <w:trHeight w:val="21"/>
        </w:trPr>
        <w:tc>
          <w:tcPr>
            <w:tcW w:w="2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table above does not include amounts related to deferred tax liabilities, unrecognized tax positions and certain other amounts recorded in our non-current liabilities as the timing of any payments is uncertain. The table also excludes long-term deferred revenue and other long-term liabilities that do not require future cash payments. Additionally, our satellite-related commitments include payments pursuant to agreements for the construction of the EchoStar XXIV satellite, payments pursuant to the EchoStar XXIV launch contract, payments pursuant to regulatory authorizations, non-lease costs associated with our finance lease satellites, in-orbit incentives relating to certain satellites and commitments for satellite service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generally do not engage in off-balance sheet financing activities or use derivative financial instruments for hedge accounting or speculative purposes.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2020, we had foreign currency forward contracts with a notional value of $12.1 million in place to partially mitigate foreign currency exchange risk. From time to time, we may enter into foreign currency forward contracts, or take other measures, to mitigate risks associated with foreign currency denominated assets, liabilities, commitments and anticipated foreign currency transactions.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980" w:type="dxa"/>
            <w:vAlign w:val="bottom"/>
          </w:tcPr>
          <w:p>
            <w:pPr>
              <w:spacing w:after="0"/>
              <w:rPr>
                <w:sz w:val="20"/>
                <w:szCs w:val="20"/>
                <w:color w:val="auto"/>
              </w:rPr>
            </w:pPr>
            <w:r>
              <w:rPr>
                <w:rFonts w:ascii="Arial" w:cs="Arial" w:eastAsia="Arial" w:hAnsi="Arial"/>
                <w:sz w:val="18"/>
                <w:szCs w:val="18"/>
                <w:i w:val="1"/>
                <w:iCs w:val="1"/>
                <w:color w:val="auto"/>
              </w:rPr>
              <w:t>Letters of Credit</w:t>
            </w:r>
          </w:p>
        </w:tc>
        <w:tc>
          <w:tcPr>
            <w:tcW w:w="4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67"/>
        </w:trPr>
        <w:tc>
          <w:tcPr>
            <w:tcW w:w="8980" w:type="dxa"/>
            <w:vAlign w:val="bottom"/>
          </w:tcPr>
          <w:p>
            <w:pPr>
              <w:spacing w:after="0"/>
              <w:rPr>
                <w:sz w:val="20"/>
                <w:szCs w:val="20"/>
                <w:color w:val="auto"/>
              </w:rPr>
            </w:pPr>
            <w:r>
              <w:rPr>
                <w:rFonts w:ascii="Arial" w:cs="Arial" w:eastAsia="Arial" w:hAnsi="Arial"/>
                <w:sz w:val="18"/>
                <w:szCs w:val="18"/>
                <w:color w:val="auto"/>
              </w:rPr>
              <w:t>The following table presents the components of our letters of credit as of December 31, 2020</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45"/>
        </w:trPr>
        <w:tc>
          <w:tcPr>
            <w:tcW w:w="89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Insurance bonds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19,251</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arrangement available to our foreign subsidiaries</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31,210</w:t>
            </w:r>
          </w:p>
        </w:tc>
      </w:tr>
      <w:tr>
        <w:trPr>
          <w:trHeight w:val="223"/>
        </w:trPr>
        <w:tc>
          <w:tcPr>
            <w:tcW w:w="8980" w:type="dxa"/>
            <w:vAlign w:val="bottom"/>
          </w:tcPr>
          <w:p>
            <w:pPr>
              <w:ind w:left="240"/>
              <w:spacing w:after="0"/>
              <w:rPr>
                <w:sz w:val="20"/>
                <w:szCs w:val="20"/>
                <w:color w:val="auto"/>
              </w:rPr>
            </w:pPr>
            <w:r>
              <w:rPr>
                <w:rFonts w:ascii="Arial" w:cs="Arial" w:eastAsia="Arial" w:hAnsi="Arial"/>
                <w:sz w:val="18"/>
                <w:szCs w:val="18"/>
                <w:color w:val="auto"/>
              </w:rPr>
              <w:t>Total letters of credit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59,620</w:t>
            </w:r>
          </w:p>
        </w:tc>
      </w:tr>
      <w:tr>
        <w:trPr>
          <w:trHeight w:val="20"/>
        </w:trPr>
        <w:tc>
          <w:tcPr>
            <w:tcW w:w="8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Certain letters of credit are secured by assets of our foreign subsidiaries.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Satellites</w:t>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acquire or lease additional satellites in the future to provide satellite services at additional orbital locations or to improve the quality of our satellite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the agreements governing certain portions of our long-term debt and our joint venture agreements with Yahsat, we are required, subject to certain limitations on coverage, to maintain only for the SPACEWAY 3 satellite, the EchoStar XVII satellite and the Al Yah 3 Brazilian payload, insurance or other contractual arrangements during the commercial in-orbit service of such satellite or payload. Our other satellites and payloads, either in orbit or under construction, are not covered by launch or in-orbit insurance or other contractual arrangements. We will continue to assess circumstances going forward and make insurance-related decisions on a case-by-case basis.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Capital Requirements</w:t>
      </w:r>
    </w:p>
    <w:p>
      <w:pPr>
        <w:spacing w:after="0" w:line="2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average revenue per subscriber across our wholesale and retail channels. Revenue in our enterprise and equipment businesses relies heavily on global economic conditions and the competitive landscape for pricing relative to competitors and alternative technologies. Service costs related to ongoing support of our direct and indirect customers and partners are typically impacted most significantly by our growth. There can be no assurance that we will have positive cash flows from operations. Our cash flow could be adversely impacted as a result of the prolonged effect of the COVID-19 pandemic on global activity. Furthermore, if we experience negative cash flows, our existing cash and marketable investment securities balances may be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a significant amount of outstanding indebtedness. As of December 31, 2020, our total indebtedness was $2.4 billion. Our liquidity requirements will continue to be significant, primarily due to our remaining debt service requirements and the design and construction of our new EchoStar XXIV satellite. Our 7 5/8% Senior Unsecured Notes due 2021 (the “2021 Notes”) with an outstanding principal balance of $900.0 million mature and are due and payable in June 2021. We may from time to time seek to purchase amounts of our outstanding debt in open market purchases, privately negotiated transactions or otherwise, depending on market conditions, our liquidity needs and other factors. The amounts we may repurchase may be material.</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our future capital expenditures are likely to increase if we make acquisitions or additional investments in infrastructure, technologies or joint ventures to support and expand our business, or if we decide to purchase or build additional satellites or other technologies or assets. Other aspects of our business operations may also require additional capital. We also expect to owe U.S. Federal income tax for 2021.</w:t>
      </w:r>
    </w:p>
    <w:p>
      <w:pPr>
        <w:spacing w:after="0" w:line="19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anticipate that our existing cash and marketable investment securities are sufficient to repay our 2021 Notes that mature and are due and payable in June 2021 and to fund the currently anticipated operations of our business through the next twelve months.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previously authorized us to repurchase up to $500.0 million of our Class A common stock through and including December 31, 2020. On October 29, 2020, our Board of Directors terminated its prior authorization and authorized us to repurchase, pursuant to its new authorization, up to $500.0 million of our Class A common stock through and including December 31, 2021. Purchases under our repurchase authorization may be made through privately negotiated transactions, open market repurchases, one or more trading plans in accordance with Rule 10b5-1 under the Securities Exchange Act of 1934, as amended, or otherwise, subject to market conditions and other factors. We may elect not to purchase the maximum amount or any of the shares allowable under this program and we may also enter into additional share repurchase programs authorized by our Board of Directors. During the year ended December 31, 2020, we repurchased 1,905,906 shares of our Class A common stock under this program. From January 1, 2021 through February 11, 2021, we repurchased 2,851,841 shares of our Class A common stock under this program.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our Accompanying Consolidated Financial Statements in conformity with U.S. GAAP requires us to make certain estimates, judgments and assumptions that affect the reported amounts of assets and liabilities at the date of the balance sheets, the reported amounts of revenue and expenses for each reporting period, and certain information disclosed in our Accompanying Consolidated Financial Statements. We base our estimates, judgments and assumptions on historical experience and on various other factors that we believe to be relevant under the circumstances. Actual results may differ from previously estimated amounts, and such differences may be material to our Accompanying Consolidated Financial Statements. We review our estimates and assumptions periodically, and the effects of revisions are reflected in the period they occur or prospectively if the revised estimate affects future periods. The following represent what we believe are the critical accounting policies that may involve a high degree of estimation, judgment and complexity. For a summary of our significant accounting policies, including those discussed below, see Note 2 in our Accompanying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an accrual for litigation and other loss contingencies when we determine that a loss is probable and the amount of the loss can be reasonably estimated. Legal fees and other costs of defending legal proceedings are charged to expense as incurred. A significant amount of management judgment is required in determining whether an accrual should be recorded for a loss contingency and the amount of such accrual. Estimates generally are developed in consultation with legal counsel and are based on an analysis of potential outcomes. Due to the inherent uncertainty in determining the likelihood of potential outcomes and the potential financial statement impact of such outcomes, it is possible that upon further development or resolution of a contingent matter, charges related to existing loss contingencies could be recorded in future periods, which could be material to our consolidated results of operations and financial position.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Hughes segment enters into contracts to design, develop and deliver telecommunication networks to customers in our enterprise and mobile satellite systems markets. Those contracts require significant effort to develop and construct the network over an extended time period. Revenue from such contracts is recognized over time using an appropriate method to measure progress toward completion. Depending on the nature of the arrangement, we measure progress toward completion using the cost-to-cost input method or the units-of-delivery output method. Under the cost-to-cost method, revenue reflects the ratio of costs incurred to estimated total costs at completion. Under the units-of-delivery method, revenue and related costs are recognized as products are delivered based on the expected profit for the entire agreement. Profit margins on long-term contracts are based on estimates of total revenue and costs at completion. We review and revise our estimates periodically and recognize related adjustments in the period in which the revisions are made. Estimated losses on contracts are recorded in the period in which they are identified. Changes in our periodic estimates for these contracts could result in significant adjustments to our revenue or costs, which could be material to our consolidated results of operations.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some of our contracts with customers include leased equipment. These contracts are reviewed to assess whether they meet the definition of a lease, including determination of the proper revenue classification. Lease revenue is recognized either over time for operating leases or when the leased asset is de-recognized for sales-type leases.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our long-lived assets other than goodwill and intangible assets with indefinite lives for impairment whenever events and changes in circumstances indicate that their carrying amounts may not be recoverable. The carrying amount of a long-lived asset or asset group is considered to not be recoverable when the market value or estimated future undiscounted cash flows from such asset or asset group is less than its carrying amount. In that event, an impairment loss is recorded in the determination of operating income based on the amount by which the carrying amount exceeds the estimated fair value of the long-lived asset or asset group. The estimated fair value is determined primarily using market value or cash flow techniques reflecting the estimated cash flows and discount rate that would be assumed by a market participant for the asset or asset group under review. Our discounted cash flow estimates typically include assumptions based on unobservable inputs and may reflect probability-weighting of alternative scenarios. Estimated losses on long-lived assets to be disposed of by sale may be determined in a similar manner, except that fair value estimates are reduced for estimated selling costs. Changes in estimates of future cash flows, discount rates and other assumptions could result in recognition of additional impairment losses in future periods.</w:t>
      </w:r>
    </w:p>
    <w:p>
      <w:pPr>
        <w:spacing w:after="0" w:line="20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evaluate goodwill and intangible assets with indefinite lives for impairment on an annual basis or whenever events and changes in circumstances indicate the carrying amounts may not be recoverable. Our impairment assessment typically begins with a qualitative assessment to determine whether it is more likely than not the fair value of the indefinite lived asset or reporting unit is less than its carrying amount. The qualitative assessment includes comparing the overall financial performance against the planned results. Additionally, fair value is assessed under certain events and circumstances, including macroeconomic conditions, industry and market considerations, cost factors, and other relevant entity-specific events which requires significant judgment. If we determine in the qualitative assessment that it is more likely than not that the fair value is less than its carrying value, then we estimate the fair value using discounted cash flows or market value and compare the estimated fair value to its carrying value. If the carrying value exceeds the fair value, then an impairment is recognized for the difference.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investments</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periodically evaluate all of our investments to determine whether events or changes in circumstances have occurred that may have a significant adverse effect on the fair value of the investment and/or if there has been observable price changes in orderly transactions for identical or similar securities of the same issuer. We consider information if provided to us by our investees such as current financial statements, business plans, investment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documentation, capitalization tables, liquidation waterfalls, and board materials, and we may make additional inquiries of investee management.</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Indicators of impairment may include, but are not limited to, unprofitable operations, material loss contingencies, changes in business strategy, changes in the investees’ enterprise value and changes in the investees’ investment pricing. When we determine that one of our other investments is impaired we reduce its carrying value to its estimated fair value and recognize the impairment loss. Additionally, when there has been an observable price change to a cost method investment, we adjust the carrying amount of the investment to its then estimated fair value and recognize the investment gain or loss.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a discussion of new accounting pronouncements, see Note 2 in our Accompanying Consolidated Financial Statements. We are continuing to assess the impact of adopting certain recently issued accounting pronouncements on our Accompanying Consolidated Financial Statements and related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 However, like many communications infrastructure equipment vendors, a higher amount of our hardware revenue occurs in the second half of the year due to our customers’ annual procurement and budget cycles.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not generally affected by seasonal impacts.</w:t>
      </w:r>
    </w:p>
    <w:p>
      <w:pPr>
        <w:spacing w:after="0" w:line="252"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We cannot predict with any certainty whether these trends will continue in the near future as the economy and our customers react to the COVID-19 pandemic and experience associated disruptions and dislocations.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Inflation has not materially affected our operations during the past three years but we are unable to predict the extent or nature of any future inflationary pressure at this time. We believe that our ability to increase the prices charged for our products and services in future periods will depend primarily on competitive pressures or contractual terms. However, we may not be able to maintain pricing levels consistent with inflationary pressure on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primarily includes the sales of consumer and enterprise broadband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and other contracted services, revenue associated with satellite and transponder leases and services, satellite uplinking/downlinking, subscriber wholesale service fees for the HughesNet service professional services and facilities rental revenue.</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primarily includes broadband equipment and networks sold to customers in our consumer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markets.</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and enterprise customers, maintenance and other contracted services, costs associated with satellite and transponder leases and services, professional services and facilities rental.</w:t>
      </w:r>
    </w:p>
    <w:p>
      <w:pPr>
        <w:spacing w:after="0" w:line="19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sold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 our consumer and enterprise markets. It also includes certain other costs associated with the deployment of equipment to our customers.</w:t>
      </w:r>
    </w:p>
    <w:p>
      <w:pPr>
        <w:spacing w:after="0" w:line="200" w:lineRule="exact"/>
        <w:rPr>
          <w:sz w:val="20"/>
          <w:szCs w:val="20"/>
          <w:color w:val="auto"/>
        </w:rPr>
      </w:pP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primarily includes selling and marketing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employee-related costs associated with administrative services (e.g., information systems, human resources and other services), including stock-based compensation expense. It also includes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professional fees (e.g. legal, information systems and accounting services) and other expenses associated with facilities and administrative services.</w:t>
      </w:r>
    </w:p>
    <w:p>
      <w:pPr>
        <w:spacing w:after="0" w:line="144"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products to support future growth and provide new technology and innovation to our customers.</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 Impairment of long-lived assets includes our impairment losses related to our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goodwill, regulatory authorizations and other intangible assets.</w:t>
      </w:r>
    </w:p>
    <w:p>
      <w:pPr>
        <w:spacing w:after="0" w:line="144"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primarily includes interest earned on our cash, cash equivalents and marketable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including premium amortization and discount accretion on debt securities.</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debt and finance lease obligations (net of capitalized interest), amortization of debt issuance costs and interest expense related to certain legal proceedings.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primarily includes changes in fair value of our 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equity securities and debt securities without readily determinable fair value and adjustments to the carrying amount of investments in unconsolidated affiliates and marketable equity securities resulting from impairments and observable price changes.</w:t>
      </w:r>
    </w:p>
    <w:p>
      <w:pPr>
        <w:spacing w:after="0" w:line="17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losses from our investments accounted for using the equity method.</w:t>
      </w:r>
    </w:p>
    <w:p>
      <w:pPr>
        <w:spacing w:after="0" w:line="14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Foreign currency transaction gains (losses), net</w:t>
      </w:r>
      <w:r>
        <w:rPr>
          <w:rFonts w:ascii="Arial" w:cs="Arial" w:eastAsia="Arial" w:hAnsi="Arial"/>
          <w:sz w:val="18"/>
          <w:szCs w:val="18"/>
          <w:color w:val="auto"/>
        </w:rPr>
        <w:t>. Foreign currency transaction gains (losses), net include gains and losses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re-measurement of transactions denominated in foreign currencies.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dividends received from our marketable investment securities and other non-operating income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items that are not appropriately classified elsewhere in the Consolidated Statements of Operations in our Accompanying Consolidated Financial Statements.</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Net income (loss) from discontinued operations</w:t>
      </w:r>
      <w:r>
        <w:rPr>
          <w:rFonts w:ascii="Arial" w:cs="Arial" w:eastAsia="Arial" w:hAnsi="Arial"/>
          <w:sz w:val="18"/>
          <w:szCs w:val="18"/>
          <w:color w:val="auto"/>
        </w:rPr>
        <w:t>. Net income (loss) from discontinued operations includes the financial results of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transferred in the BSS Transaction, except for certain real estate that transferred in the transaction.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 (“EBITDA”)</w:t>
      </w:r>
      <w:r>
        <w:rPr>
          <w:rFonts w:ascii="Arial" w:cs="Arial" w:eastAsia="Arial" w:hAnsi="Arial"/>
          <w:sz w:val="18"/>
          <w:szCs w:val="18"/>
          <w:color w:val="auto"/>
        </w:rPr>
        <w:t>. EBITDA is defined as Net income (loss) excluding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and expense, net, Income tax benefit (provision), net, Depreciation and amortization, Net income (loss) from discontinued operations and Net income (loss) attributable to non-controlling interests. EBITDA is not a measure determined in accordance with U.S. GAAP. This non-GAAP measure is reconciled to Net income (loss) in our discussion of Results of Operations above. EBITDA should not be considered in isolation or as a substitute for operating 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20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 xml:space="preserve">Subscribers. </w:t>
      </w:r>
      <w:r>
        <w:rPr>
          <w:rFonts w:ascii="Arial" w:cs="Arial" w:eastAsia="Arial" w:hAnsi="Arial"/>
          <w:sz w:val="18"/>
          <w:szCs w:val="18"/>
          <w:color w:val="auto"/>
        </w:rPr>
        <w:t>Subscribers include customers that subscribe to our HughesNet service, through retail, wholesale and small/medium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service channels.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 Associated with Financial Instruments and Foreign Currency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December 31, 2020, our cash, cash equivalents and current marketable investment securities had a fair value of $2.5 billion. Of this amount, a total of $2.5 billion was invested in: (a) cash; (b) commercial paper and corporate notes with an overall average maturity of less than one year and rated in one of the four highest rating categories by at least two nationally recognized statistical rating organizations;</w:t>
      </w:r>
    </w:p>
    <w:p>
      <w:pPr>
        <w:spacing w:after="0" w:line="2" w:lineRule="exact"/>
        <w:rPr>
          <w:sz w:val="20"/>
          <w:szCs w:val="20"/>
          <w:color w:val="auto"/>
        </w:rPr>
      </w:pPr>
    </w:p>
    <w:p>
      <w:pPr>
        <w:jc w:val="both"/>
        <w:ind w:firstLine="8"/>
        <w:spacing w:after="0" w:line="253" w:lineRule="auto"/>
        <w:tabs>
          <w:tab w:leader="none" w:pos="317"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debt instruments of the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cash, cash equivalents and current marketable debt securities investment portfolio of $2.5 billion as of December 31, 2020, a hypothetical 10% change in average interest rates during 2020 would not have had a material impact on the fair value of our cash, cash equivalents and debt securities portfolio due to the limited duration of our investments.</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cash, cash equivalents and current marketable debt securities had an average annual rate of return for the year ended December 31, 2020 of 0.93%. A change in interest rates would affect our future annual interest income from this portfolio, since funds would be re-invested at different rates as the instruments mature. A hypothetical 10% decrease in average interest rates during 2020 would have resulted in a decrease of $2.2 million in annual interest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Marketable Investment Securities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2020, we held investments in the publicly traded securities of several companies with a fair value of $24.4 million. These investments, which are held for strategic and financial purposes, are concentrated in a small number of companies, are highly speculative and have historically experienced, and continue to experience volatility. The fair value of these investments are subject to significant fluctuations in fair value and can be significantly impacted by the risk of adverse changes in securities markets generally, as well as risks related to the performance of the companies whose securities we have invested in, risks associated with specific industries and other factors. In general, our strategic marketable investment securities portfolio is not significantly impacted by interest rate fluctuations as it currently consists primarily of equity securities, the value of which is more closely related to factors specific to the underlying business. A hypothetical 10% adverse change in the market price of our public strategic equity investments during 2020 would have resulted in a decrease of $2.4 million in the fair value of these investments.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December 31, 2020, we had $133.9 million of other equity investments and other debt investments of privately held companies that we hold for strategic business purposes. The fair value of these investments is not readily determinable. We periodically review these investments and may adjust the carrying amount to their estimated fair value when there are indications of impairment, observable prices changes for the investments or observable transactions of the same investments. A hypothetical adverse change equal to 10% of the carrying amount of these equity instruments during 2020 would have resulted in a decrease of $13.4 million in the value of these investments.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sell them, we will not be able to recover our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international business is conducted in a variety of foreign currencies with our largest exposures being to the Brazilian real, the Indian rupee, European euro and the British pound. Transactions in foreign currencies are converted into U.S. dollars using exchange rates in effect on the dates of the transactions. This exposes us to fluctuations in foreign currency exchange rates.</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objective in managing our exposure to foreign currency changes is to reduce earnings and cash flow volatility associated with foreign currency exchange rate fluctuations, primarily resulting from loans to foreign subsidiaries in U.S. dollars. Accordingly, we may enter into foreign currency forward contracts, or take other measures, to mitigate risks associated with foreign currency denominated assets, liabilities, commitments and anticipated foreign currency transactions. As of December 31, 2020, we had foreign currency forward contracts with a notional value of $12.1 million in place to partially mitigate foreign currency exchange risk. The estimated fair values of the foreign currency contracts were not material as of December 31, 2020. The impact of a hypothetical 10% adverse change in exchange rates on the carrying amount of the net assets and liabilities of our foreign subsidiaries during 2020 would have resulted in an estimated loss to the cumulative translation adjustment of $60.8 million as of December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currency exchange risk.</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Our Accompanying Consolidated Financial Statements are included in Item 15 of this Form 10-K.</w:t>
      </w: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(the “Exchange Act”)) as of the end of the period covered by this Form 10-K. Based upon that evaluation, our Chief Executive Officer and Chief Financial Officer concluded that our disclosure controls and procedures were effective as of the end of the period covered by this Form 10-K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15d-15(f) under the Exchange Act) that occurred during the three months ended December 31, 2020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225" w:lineRule="exact"/>
        <w:rPr>
          <w:sz w:val="20"/>
          <w:szCs w:val="20"/>
          <w:color w:val="auto"/>
        </w:rPr>
      </w:pPr>
    </w:p>
    <w:p>
      <w:pPr>
        <w:ind w:left="660" w:hanging="409"/>
        <w:spacing w:after="0" w:line="292" w:lineRule="auto"/>
        <w:tabs>
          <w:tab w:leader="none" w:pos="6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9" w:lineRule="exact"/>
        <w:rPr>
          <w:rFonts w:ascii="Arial" w:cs="Arial" w:eastAsia="Arial" w:hAnsi="Arial"/>
          <w:sz w:val="18"/>
          <w:szCs w:val="18"/>
          <w:color w:val="auto"/>
        </w:rPr>
      </w:pPr>
    </w:p>
    <w:p>
      <w:pPr>
        <w:jc w:val="both"/>
        <w:ind w:left="660" w:right="20" w:hanging="409"/>
        <w:spacing w:after="0" w:line="271" w:lineRule="auto"/>
        <w:tabs>
          <w:tab w:leader="none" w:pos="7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generally accepted accounting principles in the United States, and that our receipts and expenditures are being made only in accordance with authorizations of our management and our directors; and</w:t>
      </w:r>
    </w:p>
    <w:p>
      <w:pPr>
        <w:spacing w:after="0" w:line="27" w:lineRule="exact"/>
        <w:rPr>
          <w:rFonts w:ascii="Arial" w:cs="Arial" w:eastAsia="Arial" w:hAnsi="Arial"/>
          <w:sz w:val="18"/>
          <w:szCs w:val="18"/>
          <w:color w:val="auto"/>
        </w:rPr>
      </w:pPr>
    </w:p>
    <w:p>
      <w:pPr>
        <w:ind w:left="660" w:right="20" w:hanging="409"/>
        <w:spacing w:after="0" w:line="292" w:lineRule="auto"/>
        <w:tabs>
          <w:tab w:leader="none" w:pos="7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based on the framework in Internal Control—Integrated Framework (2013) issued by the Committee of Sponsoring Organizations of the Treadway Commission. Based on this evaluation, our management has concluded that our internal control over financial reporting was effective as of December 31, 2020.</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KPMG LLP, an independent registered public accounting firm, as stated in their report which appears in Item 15(a) of this Form 10-K.</w:t>
      </w:r>
    </w:p>
    <w:p>
      <w:pPr>
        <w:spacing w:after="0" w:line="1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February 23, 2021, we issued a press release (the “Press Release”) announcing our financial results for the quarter and year ended December 31, 2020. A copy of the Press Release is furnished herewith as Exhibit 99.1. The foregoing information, including the exhibit related thereto, is furnished in response to Item 2.02 of Form 8-K and shall not be deemed “filed” for the purposes of Section 18 of the Exchange Act, or otherwise, and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required by this Item with respect to the identity and business experience of our directors and corporate governance will be set forth in our Proxy Statement for the 2021 Annual Meeting of Shareholders, which will be filed no later than 120 days after December 31, 2020, under the caption “Election of Directors,” which information is hereby incorporated herein by reference.</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information required by this Item with respect to the identity and business experience of our executive officers is set forth in Part I of this Form 10-K under the caption Item 1. Business — Information about our Executive Officers.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with respect to our code of ethics is contained in Part I of this Form 10-K under the caption Item 1.</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Business — Website Access.</w:t>
      </w:r>
    </w:p>
    <w:p>
      <w:pPr>
        <w:spacing w:after="0" w:line="22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2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Shareholders, which will be filed no later than 120 days after December 31, 2020, under the caption “Executive Compensation and Other Information,” which information is hereby incorporated herein by reference.</w:t>
      </w:r>
    </w:p>
    <w:p>
      <w:pPr>
        <w:spacing w:after="0" w:line="188" w:lineRule="exact"/>
        <w:rPr>
          <w:sz w:val="20"/>
          <w:szCs w:val="20"/>
          <w:color w:val="auto"/>
        </w:rPr>
      </w:pPr>
    </w:p>
    <w:p>
      <w:pPr>
        <w:ind w:left="940" w:right="540" w:hanging="971"/>
        <w:spacing w:after="0" w:line="303" w:lineRule="auto"/>
        <w:tabs>
          <w:tab w:leader="none" w:pos="9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Shareholders, which will be filed no later than 120 days after December 31, 2020, under the captions “Election of Directors,” “Equity Security Ownership” and “Equity Compensation Plan Information,” which information is hereby incorporated herein by reference.</w:t>
      </w:r>
    </w:p>
    <w:p>
      <w:pPr>
        <w:spacing w:after="0" w:line="18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2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Shareholders, which will be filed no later than 120 days after December 31, 2020, under the caption “Certain Relationships and Related Party Transactions,” which information is hereby incorporated herein by reference.</w:t>
      </w:r>
    </w:p>
    <w:p>
      <w:pPr>
        <w:spacing w:after="0" w:line="18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Shareholders, which will be filed no later than 120 days after December 31, 2020, under the caption “Principal Accountant Fees and Services,” which information is hereby incorporated herein by reference.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227"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The following documents are filed as part of this report:</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p>
        </w:tc>
        <w:tc>
          <w:tcPr>
            <w:tcW w:w="8360" w:type="dxa"/>
            <w:vAlign w:val="bottom"/>
            <w:gridSpan w:val="10"/>
            <w:vMerge w:val="restart"/>
          </w:tcPr>
          <w:p>
            <w:pPr>
              <w:ind w:left="160"/>
              <w:spacing w:after="0"/>
              <w:rPr>
                <w:sz w:val="20"/>
                <w:szCs w:val="20"/>
                <w:color w:val="auto"/>
              </w:rPr>
            </w:pPr>
            <w:r>
              <w:rPr>
                <w:rFonts w:ascii="Arial" w:cs="Arial" w:eastAsia="Arial" w:hAnsi="Arial"/>
                <w:sz w:val="18"/>
                <w:szCs w:val="18"/>
                <w:color w:val="auto"/>
              </w:rPr>
              <w:t>(1) Consolidated Financial Statements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00" w:type="dxa"/>
            <w:vAlign w:val="bottom"/>
          </w:tcPr>
          <w:p>
            <w:pPr>
              <w:spacing w:after="0"/>
              <w:rPr>
                <w:sz w:val="18"/>
                <w:szCs w:val="18"/>
                <w:color w:val="auto"/>
              </w:rPr>
            </w:pPr>
          </w:p>
        </w:tc>
        <w:tc>
          <w:tcPr>
            <w:tcW w:w="8360" w:type="dxa"/>
            <w:vAlign w:val="bottom"/>
            <w:gridSpan w:val="10"/>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500" w:type="dxa"/>
            <w:vAlign w:val="bottom"/>
          </w:tcPr>
          <w:p>
            <w:pPr>
              <w:spacing w:after="0"/>
              <w:rPr>
                <w:sz w:val="24"/>
                <w:szCs w:val="24"/>
                <w:color w:val="auto"/>
              </w:rPr>
            </w:pPr>
          </w:p>
        </w:tc>
        <w:tc>
          <w:tcPr>
            <w:tcW w:w="9480" w:type="dxa"/>
            <w:vAlign w:val="bottom"/>
            <w:gridSpan w:val="12"/>
          </w:tcPr>
          <w:p>
            <w:pPr>
              <w:ind w:left="44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Index to Consolidated Financial Statements</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10"/>
          </w:tcPr>
          <w:p>
            <w:pPr>
              <w:jc w:val="right"/>
              <w:ind w:right="82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69">
              <w:r>
                <w:rPr>
                  <w:rFonts w:ascii="Arial" w:cs="Arial" w:eastAsia="Arial" w:hAnsi="Arial"/>
                  <w:sz w:val="18"/>
                  <w:szCs w:val="18"/>
                  <w:u w:val="single" w:color="auto"/>
                  <w:color w:val="0000FF"/>
                  <w:w w:val="96"/>
                </w:rPr>
                <w:t>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9480" w:type="dxa"/>
            <w:vAlign w:val="bottom"/>
            <w:gridSpan w:val="12"/>
          </w:tcPr>
          <w:p>
            <w:pPr>
              <w:ind w:left="44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Report of Independent Registered Public Accounting Firm</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10"/>
          </w:tcPr>
          <w:p>
            <w:pPr>
              <w:jc w:val="right"/>
              <w:ind w:right="82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70">
              <w:r>
                <w:rPr>
                  <w:rFonts w:ascii="Arial" w:cs="Arial" w:eastAsia="Arial" w:hAnsi="Arial"/>
                  <w:sz w:val="18"/>
                  <w:szCs w:val="18"/>
                  <w:u w:val="single" w:color="auto"/>
                  <w:color w:val="0000FF"/>
                  <w:w w:val="96"/>
                </w:rPr>
                <w:t>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9480" w:type="dxa"/>
            <w:vAlign w:val="bottom"/>
            <w:gridSpan w:val="12"/>
          </w:tcPr>
          <w:p>
            <w:pPr>
              <w:ind w:left="44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Consolidated Balance Sheets as of December 31, 2020 and 2019</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10"/>
          </w:tcPr>
          <w:p>
            <w:pPr>
              <w:jc w:val="right"/>
              <w:ind w:right="82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72">
              <w:r>
                <w:rPr>
                  <w:rFonts w:ascii="Arial" w:cs="Arial" w:eastAsia="Arial" w:hAnsi="Arial"/>
                  <w:sz w:val="18"/>
                  <w:szCs w:val="18"/>
                  <w:u w:val="single" w:color="auto"/>
                  <w:color w:val="0000FF"/>
                  <w:w w:val="96"/>
                </w:rPr>
                <w:t>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9480" w:type="dxa"/>
            <w:vAlign w:val="bottom"/>
            <w:gridSpan w:val="12"/>
          </w:tcPr>
          <w:p>
            <w:pPr>
              <w:ind w:left="44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Consolidated Statements of Operations for the years ended December 31, 2020, 2019 and 2018</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10"/>
          </w:tcPr>
          <w:p>
            <w:pPr>
              <w:jc w:val="right"/>
              <w:ind w:right="82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74">
              <w:r>
                <w:rPr>
                  <w:rFonts w:ascii="Arial" w:cs="Arial" w:eastAsia="Arial" w:hAnsi="Arial"/>
                  <w:sz w:val="18"/>
                  <w:szCs w:val="18"/>
                  <w:u w:val="single" w:color="auto"/>
                  <w:color w:val="0000FF"/>
                  <w:w w:val="96"/>
                </w:rPr>
                <w:t>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9480" w:type="dxa"/>
            <w:vAlign w:val="bottom"/>
            <w:gridSpan w:val="12"/>
            <w:vMerge w:val="restart"/>
          </w:tcPr>
          <w:p>
            <w:pPr>
              <w:ind w:left="440"/>
              <w:spacing w:after="0"/>
              <w:rPr>
                <w:rFonts w:ascii="Arial" w:cs="Arial" w:eastAsia="Arial" w:hAnsi="Arial"/>
                <w:sz w:val="18"/>
                <w:szCs w:val="18"/>
                <w:color w:val="0000FF"/>
              </w:rPr>
            </w:pPr>
            <w:hyperlink w:anchor="page75">
              <w:r>
                <w:rPr>
                  <w:rFonts w:ascii="Arial" w:cs="Arial" w:eastAsia="Arial" w:hAnsi="Arial"/>
                  <w:sz w:val="18"/>
                  <w:szCs w:val="18"/>
                  <w:color w:val="0000FF"/>
                </w:rPr>
                <w:t>Consolidated Statements of Comprehensive Income (Loss) for the years ended December 31,</w:t>
              </w:r>
            </w:hyperlink>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9480" w:type="dxa"/>
            <w:vAlign w:val="bottom"/>
            <w:gridSpan w:val="12"/>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10"/>
            <w:vMerge w:val="restart"/>
          </w:tcPr>
          <w:p>
            <w:pPr>
              <w:jc w:val="right"/>
              <w:ind w:right="82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75">
              <w:r>
                <w:rPr>
                  <w:rFonts w:ascii="Arial" w:cs="Arial" w:eastAsia="Arial" w:hAnsi="Arial"/>
                  <w:sz w:val="18"/>
                  <w:szCs w:val="18"/>
                  <w:u w:val="single" w:color="auto"/>
                  <w:color w:val="0000FF"/>
                  <w:w w:val="96"/>
                </w:rPr>
                <w:t>7</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2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75">
              <w:r>
                <w:rPr>
                  <w:rFonts w:ascii="Arial" w:cs="Arial" w:eastAsia="Arial" w:hAnsi="Arial"/>
                  <w:sz w:val="18"/>
                  <w:szCs w:val="18"/>
                  <w:color w:val="0000FF"/>
                </w:rPr>
                <w:t>2020, 2019 and 2018</w:t>
              </w:r>
            </w:hyperlink>
          </w:p>
        </w:tc>
        <w:tc>
          <w:tcPr>
            <w:tcW w:w="140" w:type="dxa"/>
            <w:vAlign w:val="bottom"/>
          </w:tcPr>
          <w:p>
            <w:pPr>
              <w:spacing w:after="0"/>
              <w:rPr>
                <w:sz w:val="13"/>
                <w:szCs w:val="13"/>
                <w:color w:val="auto"/>
              </w:rPr>
            </w:pPr>
          </w:p>
        </w:tc>
        <w:tc>
          <w:tcPr>
            <w:tcW w:w="56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9480" w:type="dxa"/>
            <w:vAlign w:val="bottom"/>
            <w:gridSpan w:val="12"/>
          </w:tcPr>
          <w:p>
            <w:pPr>
              <w:ind w:left="440"/>
              <w:spacing w:after="0"/>
              <w:rPr>
                <w:rFonts w:ascii="Arial" w:cs="Arial" w:eastAsia="Arial" w:hAnsi="Arial"/>
                <w:sz w:val="18"/>
                <w:szCs w:val="18"/>
                <w:color w:val="0000FF"/>
              </w:rPr>
            </w:pPr>
            <w:hyperlink w:anchor="page76">
              <w:r>
                <w:rPr>
                  <w:rFonts w:ascii="Arial" w:cs="Arial" w:eastAsia="Arial" w:hAnsi="Arial"/>
                  <w:sz w:val="18"/>
                  <w:szCs w:val="18"/>
                  <w:color w:val="0000FF"/>
                </w:rPr>
                <w:t>Consolidated Statements of Changes in Stockholders' Equity for the years ended December 31,</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10"/>
            <w:vMerge w:val="restart"/>
          </w:tcPr>
          <w:p>
            <w:pPr>
              <w:jc w:val="right"/>
              <w:ind w:right="82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76">
              <w:r>
                <w:rPr>
                  <w:rFonts w:ascii="Arial" w:cs="Arial" w:eastAsia="Arial" w:hAnsi="Arial"/>
                  <w:sz w:val="18"/>
                  <w:szCs w:val="18"/>
                  <w:u w:val="single" w:color="auto"/>
                  <w:color w:val="0000FF"/>
                  <w:w w:val="96"/>
                </w:rPr>
                <w:t>8</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4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76">
              <w:r>
                <w:rPr>
                  <w:rFonts w:ascii="Arial" w:cs="Arial" w:eastAsia="Arial" w:hAnsi="Arial"/>
                  <w:sz w:val="18"/>
                  <w:szCs w:val="18"/>
                  <w:color w:val="0000FF"/>
                </w:rPr>
                <w:t>2020, 2019 and 2018</w:t>
              </w:r>
            </w:hyperlink>
          </w:p>
        </w:tc>
        <w:tc>
          <w:tcPr>
            <w:tcW w:w="56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9480" w:type="dxa"/>
            <w:vAlign w:val="bottom"/>
            <w:gridSpan w:val="12"/>
          </w:tcPr>
          <w:p>
            <w:pPr>
              <w:ind w:left="44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Consolidated Statements of Cash Flows for the years ended December 31, 2020, 2019 and 2018</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10"/>
          </w:tcPr>
          <w:p>
            <w:pPr>
              <w:jc w:val="right"/>
              <w:ind w:right="82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77">
              <w:r>
                <w:rPr>
                  <w:rFonts w:ascii="Arial" w:cs="Arial" w:eastAsia="Arial" w:hAnsi="Arial"/>
                  <w:sz w:val="18"/>
                  <w:szCs w:val="18"/>
                  <w:u w:val="single" w:color="auto"/>
                  <w:color w:val="0000FF"/>
                  <w:w w:val="96"/>
                </w:rPr>
                <w:t>9</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9480" w:type="dxa"/>
            <w:vAlign w:val="bottom"/>
            <w:gridSpan w:val="12"/>
          </w:tcPr>
          <w:p>
            <w:pPr>
              <w:ind w:left="44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Notes to Consolidated Financial Statements</w:t>
              </w:r>
            </w:hyperlink>
          </w:p>
        </w:tc>
        <w:tc>
          <w:tcPr>
            <w:tcW w:w="1280" w:type="dxa"/>
            <w:vAlign w:val="bottom"/>
            <w:gridSpan w:val="12"/>
          </w:tcPr>
          <w:p>
            <w:pPr>
              <w:jc w:val="right"/>
              <w:ind w:right="820"/>
              <w:spacing w:after="0"/>
              <w:rPr>
                <w:rFonts w:ascii="Arial" w:cs="Arial" w:eastAsia="Arial" w:hAnsi="Arial"/>
                <w:sz w:val="18"/>
                <w:szCs w:val="18"/>
                <w:color w:val="auto"/>
              </w:rPr>
            </w:pPr>
            <w:r>
              <w:rPr>
                <w:rFonts w:ascii="Arial" w:cs="Arial" w:eastAsia="Arial" w:hAnsi="Arial"/>
                <w:sz w:val="18"/>
                <w:szCs w:val="18"/>
                <w:color w:val="auto"/>
              </w:rPr>
              <w:t>F-</w:t>
            </w:r>
            <w:hyperlink w:anchor="page79">
              <w:r>
                <w:rPr>
                  <w:rFonts w:ascii="Arial" w:cs="Arial" w:eastAsia="Arial" w:hAnsi="Arial"/>
                  <w:sz w:val="18"/>
                  <w:szCs w:val="18"/>
                  <w:u w:val="single" w:color="auto"/>
                  <w:color w:val="0000FF"/>
                </w:rPr>
                <w:t>11</w:t>
              </w:r>
            </w:hyperlink>
          </w:p>
        </w:tc>
        <w:tc>
          <w:tcPr>
            <w:tcW w:w="0" w:type="dxa"/>
            <w:vAlign w:val="bottom"/>
          </w:tcPr>
          <w:p>
            <w:pPr>
              <w:spacing w:after="0"/>
              <w:rPr>
                <w:sz w:val="1"/>
                <w:szCs w:val="1"/>
                <w:color w:val="auto"/>
              </w:rPr>
            </w:pPr>
          </w:p>
        </w:tc>
      </w:tr>
      <w:tr>
        <w:trPr>
          <w:trHeight w:val="538"/>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9480" w:type="dxa"/>
            <w:vAlign w:val="bottom"/>
            <w:gridSpan w:val="12"/>
          </w:tcPr>
          <w:p>
            <w:pPr>
              <w:ind w:left="80"/>
              <w:spacing w:after="0"/>
              <w:rPr>
                <w:sz w:val="20"/>
                <w:szCs w:val="20"/>
                <w:color w:val="auto"/>
              </w:rPr>
            </w:pPr>
            <w:r>
              <w:rPr>
                <w:rFonts w:ascii="Arial" w:cs="Arial" w:eastAsia="Arial" w:hAnsi="Arial"/>
                <w:sz w:val="18"/>
                <w:szCs w:val="18"/>
                <w:color w:val="auto"/>
              </w:rPr>
              <w:t>Exhibits</w:t>
            </w: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00" w:type="dxa"/>
            <w:vAlign w:val="bottom"/>
          </w:tcPr>
          <w:p>
            <w:pPr>
              <w:jc w:val="right"/>
              <w:ind w:right="90"/>
              <w:spacing w:after="0"/>
              <w:rPr>
                <w:rFonts w:ascii="Arial" w:cs="Arial" w:eastAsia="Arial" w:hAnsi="Arial"/>
                <w:sz w:val="18"/>
                <w:szCs w:val="18"/>
                <w:u w:val="single" w:color="auto"/>
                <w:color w:val="0000FF"/>
                <w:w w:val="93"/>
              </w:rPr>
            </w:pPr>
            <w:hyperlink r:id="rId71">
              <w:r>
                <w:rPr>
                  <w:rFonts w:ascii="Arial" w:cs="Arial" w:eastAsia="Arial" w:hAnsi="Arial"/>
                  <w:sz w:val="18"/>
                  <w:szCs w:val="18"/>
                  <w:u w:val="single" w:color="auto"/>
                  <w:color w:val="0000FF"/>
                  <w:w w:val="93"/>
                </w:rPr>
                <w:t>2.1*</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FF"/>
              </w:rPr>
            </w:pPr>
            <w:hyperlink r:id="rId71">
              <w:r>
                <w:rPr>
                  <w:rFonts w:ascii="Arial" w:cs="Arial" w:eastAsia="Arial" w:hAnsi="Arial"/>
                  <w:sz w:val="18"/>
                  <w:szCs w:val="18"/>
                  <w:color w:val="0000FF"/>
                </w:rPr>
                <w:t>Form of Separation Agreement between EchoStar Corporation and DISH Network Corporation (incorporated by reference to</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Exhibit 2.1 to Amendment No. 1 of EchoStar Corporation’s Form 10 filed December 12, 2007, Commission File No. 001-</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c>
          <w:tcPr>
            <w:tcW w:w="600" w:type="dxa"/>
            <w:vAlign w:val="bottom"/>
            <w:tcBorders>
              <w:bottom w:val="single" w:sz="8" w:color="0000FF"/>
            </w:tcBorders>
            <w:gridSpan w:val="2"/>
          </w:tcPr>
          <w:p>
            <w:pPr>
              <w:spacing w:after="0" w:line="156"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33807).</w:t>
              </w:r>
            </w:hyperlink>
          </w:p>
        </w:tc>
        <w:tc>
          <w:tcPr>
            <w:tcW w:w="10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500" w:type="dxa"/>
            <w:vAlign w:val="bottom"/>
          </w:tcPr>
          <w:p>
            <w:pPr>
              <w:jc w:val="right"/>
              <w:ind w:right="90"/>
              <w:spacing w:after="0"/>
              <w:rPr>
                <w:rFonts w:ascii="Arial" w:cs="Arial" w:eastAsia="Arial" w:hAnsi="Arial"/>
                <w:sz w:val="18"/>
                <w:szCs w:val="18"/>
                <w:u w:val="single" w:color="auto"/>
                <w:color w:val="0000FF"/>
                <w:w w:val="93"/>
              </w:rPr>
            </w:pPr>
            <w:hyperlink r:id="rId72">
              <w:r>
                <w:rPr>
                  <w:rFonts w:ascii="Arial" w:cs="Arial" w:eastAsia="Arial" w:hAnsi="Arial"/>
                  <w:sz w:val="18"/>
                  <w:szCs w:val="18"/>
                  <w:u w:val="single" w:color="auto"/>
                  <w:color w:val="0000FF"/>
                  <w:w w:val="93"/>
                </w:rPr>
                <w:t>2.2*</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FF"/>
              </w:rPr>
            </w:pPr>
            <w:hyperlink r:id="rId72">
              <w:r>
                <w:rPr>
                  <w:rFonts w:ascii="Arial" w:cs="Arial" w:eastAsia="Arial" w:hAnsi="Arial"/>
                  <w:sz w:val="18"/>
                  <w:szCs w:val="18"/>
                  <w:color w:val="0000FF"/>
                </w:rPr>
                <w:t>Agreement and Plan of Merger between EchoStar Corporation, EchoStar Satellite Services L.L.C., Broadband Acquisition</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Corporation and Hughes Communications, Inc. dated as of February 13, 2011 (incorporated by reference to Exhibit 2.1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20" w:type="dxa"/>
            <w:vAlign w:val="bottom"/>
            <w:gridSpan w:val="18"/>
          </w:tcPr>
          <w:p>
            <w:pPr>
              <w:spacing w:after="0"/>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Hughes Communications Inc.’s Current Report on Form 8-K, filed February 15, 2011, Commission File No. 1-33040). ****</w:t>
              </w:r>
            </w:hyperlink>
          </w:p>
        </w:tc>
        <w:tc>
          <w:tcPr>
            <w:tcW w:w="20" w:type="dxa"/>
            <w:vAlign w:val="bottom"/>
          </w:tcPr>
          <w:p>
            <w:pPr>
              <w:spacing w:after="0"/>
              <w:rPr>
                <w:sz w:val="20"/>
                <w:szCs w:val="20"/>
                <w:color w:val="auto"/>
              </w:rPr>
            </w:pPr>
          </w:p>
        </w:tc>
        <w:tc>
          <w:tcPr>
            <w:tcW w:w="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93"/>
              </w:rPr>
              <w:t>2.3*</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FF"/>
              </w:rPr>
            </w:pPr>
            <w:hyperlink r:id="rId73">
              <w:r>
                <w:rPr>
                  <w:rFonts w:ascii="Arial" w:cs="Arial" w:eastAsia="Arial" w:hAnsi="Arial"/>
                  <w:sz w:val="18"/>
                  <w:szCs w:val="18"/>
                  <w:color w:val="0000FF"/>
                </w:rPr>
                <w:t>Master Transaction Agreement by and among DISH Network Corporation, BSS Merger Sub Inc., EchoStar Corporation, and</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EchoStar BSS Corporation, dated as of May 19, 2019 (incorporated by reference to Exhibit 2.1 to EchoStar Corporation’s</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Quarterly Report on Form 10-Q for the quarter ended June 30, 2019, filed August 8, 2019, Commission File No. 001-33807).</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c>
          <w:tcPr>
            <w:tcW w:w="2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w:t>
              </w:r>
            </w:hyperlink>
          </w:p>
        </w:tc>
        <w:tc>
          <w:tcPr>
            <w:tcW w:w="3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8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500" w:type="dxa"/>
            <w:vAlign w:val="bottom"/>
          </w:tcPr>
          <w:p>
            <w:pPr>
              <w:jc w:val="right"/>
              <w:ind w:right="90"/>
              <w:spacing w:after="0"/>
              <w:rPr>
                <w:rFonts w:ascii="Arial" w:cs="Arial" w:eastAsia="Arial" w:hAnsi="Arial"/>
                <w:sz w:val="18"/>
                <w:szCs w:val="18"/>
                <w:u w:val="single" w:color="auto"/>
                <w:color w:val="0000FF"/>
                <w:w w:val="93"/>
              </w:rPr>
            </w:pPr>
            <w:hyperlink r:id="rId74">
              <w:r>
                <w:rPr>
                  <w:rFonts w:ascii="Arial" w:cs="Arial" w:eastAsia="Arial" w:hAnsi="Arial"/>
                  <w:sz w:val="18"/>
                  <w:szCs w:val="18"/>
                  <w:u w:val="single" w:color="auto"/>
                  <w:color w:val="0000FF"/>
                  <w:w w:val="93"/>
                </w:rPr>
                <w:t>3.1*</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FF"/>
              </w:rPr>
            </w:pPr>
            <w:hyperlink r:id="rId74">
              <w:r>
                <w:rPr>
                  <w:rFonts w:ascii="Arial" w:cs="Arial" w:eastAsia="Arial" w:hAnsi="Arial"/>
                  <w:sz w:val="18"/>
                  <w:szCs w:val="18"/>
                  <w:color w:val="0000FF"/>
                </w:rPr>
                <w:t>Articles of Incorporation of EchoStar Corporation (incorporated by reference to Exhibit 3.1 to Amendment No. 1 of EchoStar</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5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74">
              <w:r>
                <w:rPr>
                  <w:rFonts w:ascii="Arial" w:cs="Arial" w:eastAsia="Arial" w:hAnsi="Arial"/>
                  <w:sz w:val="18"/>
                  <w:szCs w:val="18"/>
                  <w:color w:val="0000FF"/>
                  <w:w w:val="99"/>
                </w:rPr>
                <w:t>Corporation’s Form 10 filed December 12, 2007, Commission File No. 001-33807).</w:t>
              </w:r>
            </w:hyperlink>
          </w:p>
        </w:tc>
        <w:tc>
          <w:tcPr>
            <w:tcW w:w="2240" w:type="dxa"/>
            <w:vAlign w:val="bottom"/>
            <w:tcBorders>
              <w:top w:val="single" w:sz="8" w:color="0000FF"/>
            </w:tcBorders>
            <w:gridSpan w:val="5"/>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500" w:type="dxa"/>
            <w:vAlign w:val="bottom"/>
          </w:tcPr>
          <w:p>
            <w:pPr>
              <w:jc w:val="right"/>
              <w:ind w:right="90"/>
              <w:spacing w:after="0"/>
              <w:rPr>
                <w:rFonts w:ascii="Arial" w:cs="Arial" w:eastAsia="Arial" w:hAnsi="Arial"/>
                <w:sz w:val="18"/>
                <w:szCs w:val="18"/>
                <w:u w:val="single" w:color="auto"/>
                <w:color w:val="0000FF"/>
                <w:w w:val="93"/>
              </w:rPr>
            </w:pPr>
            <w:hyperlink r:id="rId75">
              <w:r>
                <w:rPr>
                  <w:rFonts w:ascii="Arial" w:cs="Arial" w:eastAsia="Arial" w:hAnsi="Arial"/>
                  <w:sz w:val="18"/>
                  <w:szCs w:val="18"/>
                  <w:u w:val="single" w:color="auto"/>
                  <w:color w:val="0000FF"/>
                  <w:w w:val="93"/>
                </w:rPr>
                <w:t>3.2*</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FF"/>
              </w:rPr>
            </w:pPr>
            <w:hyperlink r:id="rId75">
              <w:r>
                <w:rPr>
                  <w:rFonts w:ascii="Arial" w:cs="Arial" w:eastAsia="Arial" w:hAnsi="Arial"/>
                  <w:sz w:val="18"/>
                  <w:szCs w:val="18"/>
                  <w:color w:val="0000FF"/>
                </w:rPr>
                <w:t>Amendment to the Articles of Incorporation of EchoStar Corporation (incorporated by reference to Exhibit 3.1 to EchoStar</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9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75">
              <w:r>
                <w:rPr>
                  <w:rFonts w:ascii="Arial" w:cs="Arial" w:eastAsia="Arial" w:hAnsi="Arial"/>
                  <w:sz w:val="18"/>
                  <w:szCs w:val="18"/>
                  <w:color w:val="0000FF"/>
                  <w:w w:val="99"/>
                </w:rPr>
                <w:t>Corporation’s Current Report on Form 8-K filed January 25, 2008, Commission File No. 001-33807).</w:t>
              </w:r>
            </w:hyperlink>
          </w:p>
        </w:tc>
        <w:tc>
          <w:tcPr>
            <w:tcW w:w="8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500" w:type="dxa"/>
            <w:vAlign w:val="bottom"/>
          </w:tcPr>
          <w:p>
            <w:pPr>
              <w:jc w:val="right"/>
              <w:ind w:right="90"/>
              <w:spacing w:after="0"/>
              <w:rPr>
                <w:rFonts w:ascii="Arial" w:cs="Arial" w:eastAsia="Arial" w:hAnsi="Arial"/>
                <w:sz w:val="18"/>
                <w:szCs w:val="18"/>
                <w:u w:val="single" w:color="auto"/>
                <w:color w:val="0000FF"/>
                <w:w w:val="93"/>
              </w:rPr>
            </w:pPr>
            <w:hyperlink r:id="rId76">
              <w:r>
                <w:rPr>
                  <w:rFonts w:ascii="Arial" w:cs="Arial" w:eastAsia="Arial" w:hAnsi="Arial"/>
                  <w:sz w:val="18"/>
                  <w:szCs w:val="18"/>
                  <w:u w:val="single" w:color="auto"/>
                  <w:color w:val="0000FF"/>
                  <w:w w:val="93"/>
                </w:rPr>
                <w:t>3.3*</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FF"/>
              </w:rPr>
            </w:pPr>
            <w:hyperlink r:id="rId76">
              <w:r>
                <w:rPr>
                  <w:rFonts w:ascii="Arial" w:cs="Arial" w:eastAsia="Arial" w:hAnsi="Arial"/>
                  <w:sz w:val="18"/>
                  <w:szCs w:val="18"/>
                  <w:color w:val="0000FF"/>
                </w:rPr>
                <w:t>Certificate of Amendment to Articles of Incorporation of EchoStar Corporation, dated as of May 4, 2016 (incorporated by</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reference to Exhibit 3.1 to EchoStar Corporation’s Current Report on Form 8-K, filed May 5, 2016, Commission File No. 001-</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c>
          <w:tcPr>
            <w:tcW w:w="6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4"/>
              </w:rPr>
            </w:pPr>
            <w:hyperlink r:id="rId76">
              <w:r>
                <w:rPr>
                  <w:rFonts w:ascii="Arial" w:cs="Arial" w:eastAsia="Arial" w:hAnsi="Arial"/>
                  <w:sz w:val="18"/>
                  <w:szCs w:val="18"/>
                  <w:color w:val="0000FF"/>
                  <w:w w:val="94"/>
                </w:rPr>
                <w:t>33807).</w:t>
              </w:r>
            </w:hyperlink>
          </w:p>
        </w:tc>
        <w:tc>
          <w:tcPr>
            <w:tcW w:w="1040" w:type="dxa"/>
            <w:vAlign w:val="bottom"/>
            <w:tcBorders>
              <w:top w:val="single" w:sz="8" w:color="0000FF"/>
            </w:tcBorders>
          </w:tcPr>
          <w:p>
            <w:pPr>
              <w:spacing w:after="0"/>
              <w:rPr>
                <w:sz w:val="13"/>
                <w:szCs w:val="13"/>
                <w:color w:val="auto"/>
              </w:rPr>
            </w:pPr>
          </w:p>
        </w:tc>
        <w:tc>
          <w:tcPr>
            <w:tcW w:w="38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500" w:type="dxa"/>
            <w:vAlign w:val="bottom"/>
          </w:tcPr>
          <w:p>
            <w:pPr>
              <w:jc w:val="right"/>
              <w:ind w:right="90"/>
              <w:spacing w:after="0"/>
              <w:rPr>
                <w:rFonts w:ascii="Arial" w:cs="Arial" w:eastAsia="Arial" w:hAnsi="Arial"/>
                <w:sz w:val="18"/>
                <w:szCs w:val="18"/>
                <w:u w:val="single" w:color="auto"/>
                <w:color w:val="0000FF"/>
                <w:w w:val="93"/>
              </w:rPr>
            </w:pPr>
            <w:hyperlink r:id="rId77">
              <w:r>
                <w:rPr>
                  <w:rFonts w:ascii="Arial" w:cs="Arial" w:eastAsia="Arial" w:hAnsi="Arial"/>
                  <w:sz w:val="18"/>
                  <w:szCs w:val="18"/>
                  <w:u w:val="single" w:color="auto"/>
                  <w:color w:val="0000FF"/>
                  <w:w w:val="93"/>
                </w:rPr>
                <w:t>3.4*</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FF"/>
              </w:rPr>
            </w:pPr>
            <w:hyperlink r:id="rId77">
              <w:r>
                <w:rPr>
                  <w:rFonts w:ascii="Arial" w:cs="Arial" w:eastAsia="Arial" w:hAnsi="Arial"/>
                  <w:sz w:val="18"/>
                  <w:szCs w:val="18"/>
                  <w:color w:val="0000FF"/>
                </w:rPr>
                <w:t>Certificate of Withdrawal of Certificate of Designation of EchoStar Corporation (incorporated by reference to Exhibit 31 to</w:t>
              </w:r>
            </w:hyperlink>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20" w:type="dxa"/>
            <w:vAlign w:val="bottom"/>
            <w:tcBorders>
              <w:top w:val="single" w:sz="8" w:color="0000FF"/>
            </w:tcBorders>
            <w:gridSpan w:val="10"/>
          </w:tcPr>
          <w:p>
            <w:pPr>
              <w:spacing w:after="0"/>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EchoStar Corporation’s Current Report on Form 8-K, filed March 6, 2017, Commission File No. 001-33807).</w:t>
              </w:r>
            </w:hyperlink>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00" w:type="dxa"/>
            <w:vAlign w:val="bottom"/>
          </w:tcPr>
          <w:p>
            <w:pPr>
              <w:jc w:val="right"/>
              <w:ind w:right="90"/>
              <w:spacing w:after="0"/>
              <w:rPr>
                <w:rFonts w:ascii="Arial" w:cs="Arial" w:eastAsia="Arial" w:hAnsi="Arial"/>
                <w:sz w:val="18"/>
                <w:szCs w:val="18"/>
                <w:u w:val="single" w:color="auto"/>
                <w:color w:val="0000FF"/>
                <w:w w:val="93"/>
              </w:rPr>
            </w:pPr>
            <w:hyperlink r:id="rId78">
              <w:r>
                <w:rPr>
                  <w:rFonts w:ascii="Arial" w:cs="Arial" w:eastAsia="Arial" w:hAnsi="Arial"/>
                  <w:sz w:val="18"/>
                  <w:szCs w:val="18"/>
                  <w:u w:val="single" w:color="auto"/>
                  <w:color w:val="0000FF"/>
                  <w:w w:val="93"/>
                </w:rPr>
                <w:t>3.5*</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FF"/>
              </w:rPr>
            </w:pPr>
            <w:hyperlink r:id="rId78">
              <w:r>
                <w:rPr>
                  <w:rFonts w:ascii="Arial" w:cs="Arial" w:eastAsia="Arial" w:hAnsi="Arial"/>
                  <w:sz w:val="18"/>
                  <w:szCs w:val="18"/>
                  <w:color w:val="0000FF"/>
                </w:rPr>
                <w:t>Bylaws of EchoStar Corporation (incorporated by reference to Exhibit 3.2 to Amendment No. 1 of EchoStar Corporation’s</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78">
              <w:r>
                <w:rPr>
                  <w:rFonts w:ascii="Arial" w:cs="Arial" w:eastAsia="Arial" w:hAnsi="Arial"/>
                  <w:sz w:val="18"/>
                  <w:szCs w:val="18"/>
                  <w:color w:val="0000FF"/>
                  <w:w w:val="99"/>
                </w:rPr>
                <w:t>Form 10 filed December 12, 2007, Commission File No. 001-33807).</w:t>
              </w:r>
            </w:hyperlink>
          </w:p>
        </w:tc>
        <w:tc>
          <w:tcPr>
            <w:tcW w:w="3360" w:type="dxa"/>
            <w:vAlign w:val="bottom"/>
            <w:tcBorders>
              <w:top w:val="single" w:sz="8" w:color="0000FF"/>
            </w:tcBorders>
            <w:gridSpan w:val="6"/>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4.1*</w:t>
              </w:r>
            </w:hyperlink>
          </w:p>
        </w:tc>
        <w:tc>
          <w:tcPr>
            <w:tcW w:w="10420" w:type="dxa"/>
            <w:vAlign w:val="bottom"/>
            <w:gridSpan w:val="27"/>
          </w:tcPr>
          <w:p>
            <w:pPr>
              <w:spacing w:after="0"/>
              <w:rPr>
                <w:rFonts w:ascii="Arial" w:cs="Arial" w:eastAsia="Arial" w:hAnsi="Arial"/>
                <w:sz w:val="18"/>
                <w:szCs w:val="18"/>
                <w:color w:val="0000FF"/>
              </w:rPr>
            </w:pPr>
            <w:hyperlink r:id="rId80">
              <w:r>
                <w:rPr>
                  <w:rFonts w:ascii="Arial" w:cs="Arial" w:eastAsia="Arial" w:hAnsi="Arial"/>
                  <w:sz w:val="18"/>
                  <w:szCs w:val="18"/>
                  <w:color w:val="0000FF"/>
                </w:rPr>
                <w:t>Specimen Class A Common Stock Certificate of EchoStar Corporation (incorporated by reference to Exhibit 4.1 to</w:t>
              </w:r>
            </w:hyperlink>
          </w:p>
        </w:tc>
      </w:tr>
      <w:tr>
        <w:trPr>
          <w:trHeight w:val="236"/>
        </w:trPr>
        <w:tc>
          <w:tcPr>
            <w:tcW w:w="1160" w:type="dxa"/>
            <w:vAlign w:val="bottom"/>
          </w:tcPr>
          <w:p>
            <w:pPr>
              <w:spacing w:after="0"/>
              <w:rPr>
                <w:sz w:val="20"/>
                <w:szCs w:val="20"/>
                <w:color w:val="auto"/>
              </w:rPr>
            </w:pPr>
          </w:p>
        </w:tc>
        <w:tc>
          <w:tcPr>
            <w:tcW w:w="10240" w:type="dxa"/>
            <w:vAlign w:val="bottom"/>
            <w:tcBorders>
              <w:top w:val="single" w:sz="8" w:color="0000FF"/>
            </w:tcBorders>
            <w:gridSpan w:val="18"/>
          </w:tcPr>
          <w:p>
            <w:pPr>
              <w:spacing w:after="0"/>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Amendment No. 1 of EchoStar Corporation’s Form 10 filed December 12, 2007, Commission File No. 001-33807).</w:t>
              </w:r>
            </w:hyperlink>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160" w:type="dxa"/>
            <w:vAlign w:val="bottom"/>
          </w:tcPr>
          <w:p>
            <w:pPr>
              <w:spacing w:after="0"/>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4.2*</w:t>
              </w:r>
            </w:hyperlink>
          </w:p>
        </w:tc>
        <w:tc>
          <w:tcPr>
            <w:tcW w:w="10420" w:type="dxa"/>
            <w:vAlign w:val="bottom"/>
            <w:gridSpan w:val="27"/>
          </w:tcPr>
          <w:p>
            <w:pPr>
              <w:spacing w:after="0"/>
              <w:rPr>
                <w:rFonts w:ascii="Arial" w:cs="Arial" w:eastAsia="Arial" w:hAnsi="Arial"/>
                <w:sz w:val="18"/>
                <w:szCs w:val="18"/>
                <w:color w:val="0000FF"/>
              </w:rPr>
            </w:pPr>
            <w:hyperlink r:id="rId81">
              <w:r>
                <w:rPr>
                  <w:rFonts w:ascii="Arial" w:cs="Arial" w:eastAsia="Arial" w:hAnsi="Arial"/>
                  <w:sz w:val="18"/>
                  <w:szCs w:val="18"/>
                  <w:color w:val="0000FF"/>
                </w:rPr>
                <w:t>Indenture relating to the EH Holding Corporation (currently known as Hughes Satellite Systems Corporation) 7 5/8% Senior</w:t>
              </w:r>
            </w:hyperlink>
          </w:p>
        </w:tc>
      </w:tr>
      <w:tr>
        <w:trPr>
          <w:trHeight w:val="156"/>
        </w:trPr>
        <w:tc>
          <w:tcPr>
            <w:tcW w:w="1160" w:type="dxa"/>
            <w:vAlign w:val="bottom"/>
          </w:tcPr>
          <w:p>
            <w:pPr>
              <w:spacing w:after="0"/>
              <w:rPr>
                <w:sz w:val="13"/>
                <w:szCs w:val="13"/>
                <w:color w:val="auto"/>
              </w:rPr>
            </w:pPr>
          </w:p>
        </w:tc>
        <w:tc>
          <w:tcPr>
            <w:tcW w:w="104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81">
              <w:r>
                <w:rPr>
                  <w:rFonts w:ascii="Arial" w:cs="Arial" w:eastAsia="Arial" w:hAnsi="Arial"/>
                  <w:sz w:val="18"/>
                  <w:szCs w:val="18"/>
                  <w:color w:val="0000FF"/>
                </w:rPr>
                <w:t>Unsecured Notes due 2021, dated as of June 1, 2011, by and among EH Holding Corporation, the guarantors listed on the</w:t>
              </w:r>
            </w:hyperlink>
          </w:p>
        </w:tc>
        <w:tc>
          <w:tcPr>
            <w:tcW w:w="2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101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81">
              <w:r>
                <w:rPr>
                  <w:rFonts w:ascii="Arial" w:cs="Arial" w:eastAsia="Arial" w:hAnsi="Arial"/>
                  <w:sz w:val="18"/>
                  <w:szCs w:val="18"/>
                  <w:color w:val="0000FF"/>
                </w:rPr>
                <w:t>signature page thereto, and Wells Fargo Bank, National Association, as trustee (incorporated by reference to Exhibit 4.2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36"/>
        </w:trPr>
        <w:tc>
          <w:tcPr>
            <w:tcW w:w="1160" w:type="dxa"/>
            <w:vAlign w:val="bottom"/>
          </w:tcPr>
          <w:p>
            <w:pPr>
              <w:spacing w:after="0"/>
              <w:rPr>
                <w:sz w:val="20"/>
                <w:szCs w:val="20"/>
                <w:color w:val="auto"/>
              </w:rPr>
            </w:pPr>
          </w:p>
        </w:tc>
        <w:tc>
          <w:tcPr>
            <w:tcW w:w="9980" w:type="dxa"/>
            <w:vAlign w:val="bottom"/>
            <w:tcBorders>
              <w:top w:val="single" w:sz="8" w:color="0000FF"/>
            </w:tcBorders>
            <w:gridSpan w:val="5"/>
          </w:tcPr>
          <w:p>
            <w:pPr>
              <w:spacing w:after="0"/>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EchoStar Corporation’s Current Report on Form 8-K filed June 2, 2011, Commission File No. 001-33807).</w:t>
              </w:r>
            </w:hyperlink>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r>
      <w:tr>
        <w:trPr>
          <w:trHeight w:val="392"/>
        </w:trPr>
        <w:tc>
          <w:tcPr>
            <w:tcW w:w="1160" w:type="dxa"/>
            <w:vAlign w:val="bottom"/>
          </w:tcPr>
          <w:p>
            <w:pPr>
              <w:spacing w:after="0"/>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4.3*</w:t>
              </w:r>
            </w:hyperlink>
          </w:p>
        </w:tc>
        <w:tc>
          <w:tcPr>
            <w:tcW w:w="10420" w:type="dxa"/>
            <w:vAlign w:val="bottom"/>
            <w:gridSpan w:val="27"/>
          </w:tcPr>
          <w:p>
            <w:pPr>
              <w:spacing w:after="0"/>
              <w:rPr>
                <w:rFonts w:ascii="Arial" w:cs="Arial" w:eastAsia="Arial" w:hAnsi="Arial"/>
                <w:sz w:val="18"/>
                <w:szCs w:val="18"/>
                <w:color w:val="0000FF"/>
              </w:rPr>
            </w:pPr>
            <w:hyperlink r:id="rId82">
              <w:r>
                <w:rPr>
                  <w:rFonts w:ascii="Arial" w:cs="Arial" w:eastAsia="Arial" w:hAnsi="Arial"/>
                  <w:sz w:val="18"/>
                  <w:szCs w:val="18"/>
                  <w:color w:val="0000FF"/>
                </w:rPr>
                <w:t>Supplemental Indenture relating to the 7 5/8% Senior Unsecured Notes due 2021 of EH Holding Corporation (currently known</w:t>
              </w:r>
            </w:hyperlink>
          </w:p>
        </w:tc>
      </w:tr>
      <w:tr>
        <w:trPr>
          <w:trHeight w:val="156"/>
        </w:trPr>
        <w:tc>
          <w:tcPr>
            <w:tcW w:w="1160" w:type="dxa"/>
            <w:vAlign w:val="bottom"/>
          </w:tcPr>
          <w:p>
            <w:pPr>
              <w:spacing w:after="0"/>
              <w:rPr>
                <w:sz w:val="13"/>
                <w:szCs w:val="13"/>
                <w:color w:val="auto"/>
              </w:rPr>
            </w:pPr>
          </w:p>
        </w:tc>
        <w:tc>
          <w:tcPr>
            <w:tcW w:w="1032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as Hughes Satellite Systems Corporation), dated as of June 8, 2011, by and among EH Holding Corporation, the guarantors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10380" w:type="dxa"/>
            <w:vAlign w:val="bottom"/>
            <w:gridSpan w:val="25"/>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listed on the signature page thereto, and Wells Fargo Bank, National Association, as trustee (incorporated by reference to</w:t>
              </w:r>
            </w:hyperlink>
          </w:p>
        </w:tc>
        <w:tc>
          <w:tcPr>
            <w:tcW w:w="40" w:type="dxa"/>
            <w:vAlign w:val="bottom"/>
            <w:gridSpan w:val="2"/>
          </w:tcPr>
          <w:p>
            <w:pPr>
              <w:spacing w:after="0"/>
              <w:rPr>
                <w:sz w:val="13"/>
                <w:szCs w:val="13"/>
                <w:color w:val="auto"/>
              </w:rPr>
            </w:pPr>
          </w:p>
        </w:tc>
      </w:tr>
      <w:tr>
        <w:trPr>
          <w:trHeight w:val="236"/>
        </w:trPr>
        <w:tc>
          <w:tcPr>
            <w:tcW w:w="1160" w:type="dxa"/>
            <w:vAlign w:val="bottom"/>
          </w:tcPr>
          <w:p>
            <w:pPr>
              <w:spacing w:after="0"/>
              <w:rPr>
                <w:sz w:val="20"/>
                <w:szCs w:val="20"/>
                <w:color w:val="auto"/>
              </w:rPr>
            </w:pPr>
          </w:p>
        </w:tc>
        <w:tc>
          <w:tcPr>
            <w:tcW w:w="10360" w:type="dxa"/>
            <w:vAlign w:val="bottom"/>
            <w:tcBorders>
              <w:top w:val="single" w:sz="8" w:color="0000FF"/>
            </w:tcBorders>
            <w:gridSpan w:val="24"/>
          </w:tcPr>
          <w:p>
            <w:pPr>
              <w:spacing w:after="0"/>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Exhibit 4.3 to EchoStar Corporation’s Current Report on Form 8-K filed June 9, 2011, Commission File No. 001-33807).</w:t>
              </w:r>
            </w:hyperlink>
          </w:p>
        </w:tc>
        <w:tc>
          <w:tcPr>
            <w:tcW w:w="60" w:type="dxa"/>
            <w:vAlign w:val="bottom"/>
            <w:gridSpan w:val="3"/>
          </w:tcPr>
          <w:p>
            <w:pPr>
              <w:spacing w:after="0"/>
              <w:rPr>
                <w:sz w:val="20"/>
                <w:szCs w:val="20"/>
                <w:color w:val="auto"/>
              </w:rPr>
            </w:pPr>
          </w:p>
        </w:tc>
      </w:tr>
      <w:tr>
        <w:trPr>
          <w:trHeight w:val="392"/>
        </w:trPr>
        <w:tc>
          <w:tcPr>
            <w:tcW w:w="1160" w:type="dxa"/>
            <w:vAlign w:val="bottom"/>
          </w:tcPr>
          <w:p>
            <w:pPr>
              <w:spacing w:after="0"/>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4.4*</w:t>
              </w:r>
            </w:hyperlink>
          </w:p>
        </w:tc>
        <w:tc>
          <w:tcPr>
            <w:tcW w:w="10420" w:type="dxa"/>
            <w:vAlign w:val="bottom"/>
            <w:gridSpan w:val="27"/>
          </w:tcPr>
          <w:p>
            <w:pPr>
              <w:spacing w:after="0"/>
              <w:rPr>
                <w:rFonts w:ascii="Arial" w:cs="Arial" w:eastAsia="Arial" w:hAnsi="Arial"/>
                <w:sz w:val="18"/>
                <w:szCs w:val="18"/>
                <w:color w:val="0000FF"/>
              </w:rPr>
            </w:pPr>
            <w:hyperlink r:id="rId83">
              <w:r>
                <w:rPr>
                  <w:rFonts w:ascii="Arial" w:cs="Arial" w:eastAsia="Arial" w:hAnsi="Arial"/>
                  <w:sz w:val="18"/>
                  <w:szCs w:val="18"/>
                  <w:color w:val="0000FF"/>
                </w:rPr>
                <w:t>Registration Rights Agreement, dated as of June 1, 2011, among EH Holding Corporation (currently known as Hughes</w:t>
              </w:r>
            </w:hyperlink>
          </w:p>
        </w:tc>
      </w:tr>
      <w:tr>
        <w:trPr>
          <w:trHeight w:val="155"/>
        </w:trPr>
        <w:tc>
          <w:tcPr>
            <w:tcW w:w="1160" w:type="dxa"/>
            <w:vAlign w:val="bottom"/>
          </w:tcPr>
          <w:p>
            <w:pPr>
              <w:spacing w:after="0"/>
              <w:rPr>
                <w:sz w:val="13"/>
                <w:szCs w:val="13"/>
                <w:color w:val="auto"/>
              </w:rPr>
            </w:pPr>
          </w:p>
        </w:tc>
        <w:tc>
          <w:tcPr>
            <w:tcW w:w="103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Satellite Systems Corporation), the guarantors listed on the signature page thereto and Deutsche Bank Securities Inc.</w:t>
              </w:r>
            </w:hyperlink>
          </w:p>
        </w:tc>
        <w:tc>
          <w:tcPr>
            <w:tcW w:w="80" w:type="dxa"/>
            <w:vAlign w:val="bottom"/>
            <w:gridSpan w:val="4"/>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100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(incorporated by reference to Exhibit 4.3 to EchoStar Corporation’s Current Report on Form 8-K filed June 2,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26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r:id="rId83">
              <w:r>
                <w:rPr>
                  <w:rFonts w:ascii="Arial" w:cs="Arial" w:eastAsia="Arial" w:hAnsi="Arial"/>
                  <w:sz w:val="18"/>
                  <w:szCs w:val="18"/>
                  <w:color w:val="0000FF"/>
                  <w:w w:val="99"/>
                </w:rPr>
                <w:t>Commission File No. 001-33807).</w:t>
              </w:r>
            </w:hyperlink>
          </w:p>
        </w:tc>
        <w:tc>
          <w:tcPr>
            <w:tcW w:w="73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453"/>
        </w:trPr>
        <w:tc>
          <w:tcPr>
            <w:tcW w:w="1160" w:type="dxa"/>
            <w:vAlign w:val="bottom"/>
          </w:tcPr>
          <w:p>
            <w:pPr>
              <w:spacing w:after="0"/>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4.5*</w:t>
              </w:r>
            </w:hyperlink>
          </w:p>
        </w:tc>
        <w:tc>
          <w:tcPr>
            <w:tcW w:w="10420" w:type="dxa"/>
            <w:vAlign w:val="bottom"/>
            <w:gridSpan w:val="27"/>
          </w:tcPr>
          <w:p>
            <w:pPr>
              <w:spacing w:after="0"/>
              <w:rPr>
                <w:rFonts w:ascii="Arial" w:cs="Arial" w:eastAsia="Arial" w:hAnsi="Arial"/>
                <w:sz w:val="18"/>
                <w:szCs w:val="18"/>
                <w:color w:val="0000FF"/>
              </w:rPr>
            </w:pPr>
            <w:hyperlink r:id="rId84">
              <w:r>
                <w:rPr>
                  <w:rFonts w:ascii="Arial" w:cs="Arial" w:eastAsia="Arial" w:hAnsi="Arial"/>
                  <w:sz w:val="18"/>
                  <w:szCs w:val="18"/>
                  <w:color w:val="0000FF"/>
                </w:rPr>
                <w:t>Security Agreement, dated as of June 8, 2011, among EH Holding Corporation (currently known as Hughes Satellite Systems</w:t>
              </w:r>
            </w:hyperlink>
          </w:p>
        </w:tc>
      </w:tr>
      <w:tr>
        <w:trPr>
          <w:trHeight w:val="156"/>
        </w:trPr>
        <w:tc>
          <w:tcPr>
            <w:tcW w:w="1160" w:type="dxa"/>
            <w:vAlign w:val="bottom"/>
          </w:tcPr>
          <w:p>
            <w:pPr>
              <w:spacing w:after="0"/>
              <w:rPr>
                <w:sz w:val="13"/>
                <w:szCs w:val="13"/>
                <w:color w:val="auto"/>
              </w:rPr>
            </w:pPr>
          </w:p>
        </w:tc>
        <w:tc>
          <w:tcPr>
            <w:tcW w:w="101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Corporation), the guarantors listed on the signature pages thereto, and U.S. Bank National Association, as successor</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10180" w:type="dxa"/>
            <w:vAlign w:val="bottom"/>
            <w:gridSpan w:val="15"/>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collateral agent (incorporated by reference to Exhibit 4.1 to EchoStar Corporation’s Current Report on Form 8-K filed June 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100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2011, Commission File No. 001-33807).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453"/>
        </w:trPr>
        <w:tc>
          <w:tcPr>
            <w:tcW w:w="1160" w:type="dxa"/>
            <w:vAlign w:val="bottom"/>
          </w:tcPr>
          <w:p>
            <w:pPr>
              <w:spacing w:after="0"/>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4.6*</w:t>
              </w:r>
            </w:hyperlink>
          </w:p>
        </w:tc>
        <w:tc>
          <w:tcPr>
            <w:tcW w:w="10420" w:type="dxa"/>
            <w:vAlign w:val="bottom"/>
            <w:gridSpan w:val="27"/>
          </w:tcPr>
          <w:p>
            <w:pPr>
              <w:spacing w:after="0"/>
              <w:rPr>
                <w:rFonts w:ascii="Arial" w:cs="Arial" w:eastAsia="Arial" w:hAnsi="Arial"/>
                <w:sz w:val="18"/>
                <w:szCs w:val="18"/>
                <w:color w:val="0000FF"/>
              </w:rPr>
            </w:pPr>
            <w:hyperlink r:id="rId85">
              <w:r>
                <w:rPr>
                  <w:rFonts w:ascii="Arial" w:cs="Arial" w:eastAsia="Arial" w:hAnsi="Arial"/>
                  <w:sz w:val="18"/>
                  <w:szCs w:val="18"/>
                  <w:color w:val="0000FF"/>
                </w:rPr>
                <w:t>Second Supplemental Indenture relating to the 7 5/8% Senior Unsecured Notes due 2021 of Hughes Satellite Systems</w:t>
              </w:r>
            </w:hyperlink>
          </w:p>
        </w:tc>
      </w:tr>
      <w:tr>
        <w:trPr>
          <w:trHeight w:val="156"/>
        </w:trPr>
        <w:tc>
          <w:tcPr>
            <w:tcW w:w="1160" w:type="dxa"/>
            <w:vAlign w:val="bottom"/>
          </w:tcPr>
          <w:p>
            <w:pPr>
              <w:spacing w:after="0"/>
              <w:rPr>
                <w:sz w:val="13"/>
                <w:szCs w:val="13"/>
                <w:color w:val="auto"/>
              </w:rPr>
            </w:pPr>
          </w:p>
        </w:tc>
        <w:tc>
          <w:tcPr>
            <w:tcW w:w="101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Corporation, dated as of March 28, 2014, by and among Hughes Satellite Systems Corporation, the guarantors and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101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supplemental guarantors listed on the signature pages thereto, and Wells Fargo Bank, National Association, as trustee</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42"/>
        </w:trPr>
        <w:tc>
          <w:tcPr>
            <w:tcW w:w="1160" w:type="dxa"/>
            <w:vAlign w:val="bottom"/>
          </w:tcPr>
          <w:p>
            <w:pPr>
              <w:spacing w:after="0"/>
              <w:rPr>
                <w:sz w:val="12"/>
                <w:szCs w:val="12"/>
                <w:color w:val="auto"/>
              </w:rPr>
            </w:pPr>
          </w:p>
        </w:tc>
        <w:tc>
          <w:tcPr>
            <w:tcW w:w="10020" w:type="dxa"/>
            <w:vAlign w:val="bottom"/>
            <w:tcBorders>
              <w:top w:val="single" w:sz="8" w:color="0000FF"/>
            </w:tcBorders>
            <w:gridSpan w:val="7"/>
          </w:tcPr>
          <w:p>
            <w:pPr>
              <w:spacing w:after="0" w:line="142" w:lineRule="exact"/>
              <w:rPr>
                <w:rFonts w:ascii="Arial" w:cs="Arial" w:eastAsia="Arial" w:hAnsi="Arial"/>
                <w:sz w:val="16"/>
                <w:szCs w:val="16"/>
                <w:u w:val="single" w:color="auto"/>
                <w:color w:val="0000FF"/>
              </w:rPr>
            </w:pPr>
            <w:hyperlink r:id="rId85">
              <w:r>
                <w:rPr>
                  <w:rFonts w:ascii="Arial" w:cs="Arial" w:eastAsia="Arial" w:hAnsi="Arial"/>
                  <w:sz w:val="16"/>
                  <w:szCs w:val="16"/>
                  <w:u w:val="single" w:color="auto"/>
                  <w:color w:val="0000FF"/>
                </w:rPr>
                <w:t>(incorporated by reference to Exhibit 4.2 to EchoStar Corporation’s Quarterly Report on Form 10-Q for the quarter ended</w:t>
              </w:r>
            </w:hyperlink>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43"/>
        </w:trPr>
        <w:tc>
          <w:tcPr>
            <w:tcW w:w="1160" w:type="dxa"/>
            <w:vAlign w:val="bottom"/>
          </w:tcPr>
          <w:p>
            <w:pPr>
              <w:spacing w:after="0"/>
              <w:rPr>
                <w:sz w:val="21"/>
                <w:szCs w:val="21"/>
                <w:color w:val="auto"/>
              </w:rPr>
            </w:pPr>
          </w:p>
        </w:tc>
        <w:tc>
          <w:tcPr>
            <w:tcW w:w="10420" w:type="dxa"/>
            <w:vAlign w:val="bottom"/>
            <w:gridSpan w:val="27"/>
          </w:tcPr>
          <w:p>
            <w:pPr>
              <w:spacing w:after="0"/>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March 31, 2014, filed May 9, 2014, Commission File No. 001-33807).</w:t>
              </w:r>
            </w:hyperlink>
          </w:p>
        </w:tc>
      </w:tr>
      <w:tr>
        <w:trPr>
          <w:trHeight w:val="463"/>
        </w:trPr>
        <w:tc>
          <w:tcPr>
            <w:tcW w:w="1160" w:type="dxa"/>
            <w:vAlign w:val="bottom"/>
          </w:tcPr>
          <w:p>
            <w:pPr>
              <w:spacing w:after="0"/>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4.7*</w:t>
              </w:r>
            </w:hyperlink>
          </w:p>
        </w:tc>
        <w:tc>
          <w:tcPr>
            <w:tcW w:w="10420" w:type="dxa"/>
            <w:vAlign w:val="bottom"/>
            <w:gridSpan w:val="27"/>
          </w:tcPr>
          <w:p>
            <w:pPr>
              <w:spacing w:after="0"/>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Form of Note for 7 5/8% Senior Unsecured Notes due 2021 (included as part of Exhibit 4.3).</w:t>
              </w:r>
            </w:hyperlink>
          </w:p>
        </w:tc>
      </w:tr>
      <w:tr>
        <w:trPr>
          <w:trHeight w:val="428"/>
        </w:trPr>
        <w:tc>
          <w:tcPr>
            <w:tcW w:w="1160" w:type="dxa"/>
            <w:vAlign w:val="bottom"/>
          </w:tcPr>
          <w:p>
            <w:pPr>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4.8*</w:t>
              </w:r>
            </w:hyperlink>
          </w:p>
        </w:tc>
        <w:tc>
          <w:tcPr>
            <w:tcW w:w="10420" w:type="dxa"/>
            <w:vAlign w:val="bottom"/>
            <w:gridSpan w:val="27"/>
          </w:tcPr>
          <w:p>
            <w:pPr>
              <w:spacing w:after="0"/>
              <w:rPr>
                <w:rFonts w:ascii="Arial" w:cs="Arial" w:eastAsia="Arial" w:hAnsi="Arial"/>
                <w:sz w:val="18"/>
                <w:szCs w:val="18"/>
                <w:color w:val="0000FF"/>
              </w:rPr>
            </w:pPr>
            <w:hyperlink r:id="rId86">
              <w:r>
                <w:rPr>
                  <w:rFonts w:ascii="Arial" w:cs="Arial" w:eastAsia="Arial" w:hAnsi="Arial"/>
                  <w:sz w:val="18"/>
                  <w:szCs w:val="18"/>
                  <w:color w:val="0000FF"/>
                </w:rPr>
                <w:t>Indenture, relating to the 5.250% Senior Secured Notes, dated as of July 27, 2016, among Hughes Satellite Systems</w:t>
              </w:r>
            </w:hyperlink>
          </w:p>
        </w:tc>
      </w:tr>
      <w:tr>
        <w:trPr>
          <w:trHeight w:val="155"/>
        </w:trPr>
        <w:tc>
          <w:tcPr>
            <w:tcW w:w="116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Corporation, the guarantors party thereto, U.S. Bank National Association, as trustee and successor collateral agent</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10260" w:type="dxa"/>
            <w:vAlign w:val="bottom"/>
            <w:tcBorders>
              <w:bottom w:val="single" w:sz="8" w:color="0000FF"/>
            </w:tcBorders>
            <w:gridSpan w:val="19"/>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(incorporated by reference to Exhibit 4.1 to EchoStar Corporation’s Current Report on Form 8-K filed on July 27, 2016,</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2680" w:type="dxa"/>
            <w:vAlign w:val="bottom"/>
            <w:tcBorders>
              <w:bottom w:val="single" w:sz="8" w:color="0000FF"/>
            </w:tcBorders>
          </w:tcPr>
          <w:p>
            <w:pPr>
              <w:spacing w:after="0" w:line="156" w:lineRule="exact"/>
              <w:rPr>
                <w:rFonts w:ascii="Arial" w:cs="Arial" w:eastAsia="Arial" w:hAnsi="Arial"/>
                <w:sz w:val="18"/>
                <w:szCs w:val="18"/>
                <w:color w:val="0000FF"/>
                <w:w w:val="99"/>
              </w:rPr>
            </w:pPr>
            <w:hyperlink r:id="rId86">
              <w:r>
                <w:rPr>
                  <w:rFonts w:ascii="Arial" w:cs="Arial" w:eastAsia="Arial" w:hAnsi="Arial"/>
                  <w:sz w:val="18"/>
                  <w:szCs w:val="18"/>
                  <w:color w:val="0000FF"/>
                  <w:w w:val="99"/>
                </w:rPr>
                <w:t>Commission File No. 001-33807).</w:t>
              </w:r>
            </w:hyperlink>
          </w:p>
        </w:tc>
        <w:tc>
          <w:tcPr>
            <w:tcW w:w="7620" w:type="dxa"/>
            <w:vAlign w:val="bottom"/>
            <w:gridSpan w:val="20"/>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9"/>
        </w:trPr>
        <w:tc>
          <w:tcPr>
            <w:tcW w:w="1160" w:type="dxa"/>
            <w:vAlign w:val="bottom"/>
          </w:tcPr>
          <w:p>
            <w:pPr>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4.9*</w:t>
              </w:r>
            </w:hyperlink>
          </w:p>
        </w:tc>
        <w:tc>
          <w:tcPr>
            <w:tcW w:w="10420" w:type="dxa"/>
            <w:vAlign w:val="bottom"/>
            <w:gridSpan w:val="27"/>
          </w:tcPr>
          <w:p>
            <w:pPr>
              <w:spacing w:after="0"/>
              <w:rPr>
                <w:rFonts w:ascii="Arial" w:cs="Arial" w:eastAsia="Arial" w:hAnsi="Arial"/>
                <w:sz w:val="18"/>
                <w:szCs w:val="18"/>
                <w:color w:val="0000FF"/>
              </w:rPr>
            </w:pPr>
            <w:hyperlink r:id="rId87">
              <w:r>
                <w:rPr>
                  <w:rFonts w:ascii="Arial" w:cs="Arial" w:eastAsia="Arial" w:hAnsi="Arial"/>
                  <w:sz w:val="18"/>
                  <w:szCs w:val="18"/>
                  <w:color w:val="0000FF"/>
                </w:rPr>
                <w:t>Indenture, relating to the 6.625% Senior Unsecured Notes, dated as of July 27, 2016, among Hughes Satellite Systems</w:t>
              </w:r>
            </w:hyperlink>
          </w:p>
        </w:tc>
      </w:tr>
      <w:tr>
        <w:trPr>
          <w:trHeight w:val="156"/>
        </w:trPr>
        <w:tc>
          <w:tcPr>
            <w:tcW w:w="116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87">
              <w:r>
                <w:rPr>
                  <w:rFonts w:ascii="Arial" w:cs="Arial" w:eastAsia="Arial" w:hAnsi="Arial"/>
                  <w:sz w:val="18"/>
                  <w:szCs w:val="18"/>
                  <w:color w:val="0000FF"/>
                  <w:w w:val="99"/>
                </w:rPr>
                <w:t>Corporation, the guarantors party thereto and U.S. Bank National Association, as trustee (incorporated by reference to Exhibit</w:t>
              </w:r>
            </w:hyperlink>
          </w:p>
        </w:tc>
        <w:tc>
          <w:tcPr>
            <w:tcW w:w="200" w:type="dxa"/>
            <w:vAlign w:val="bottom"/>
            <w:tcBorders>
              <w:bottom w:val="single" w:sz="8" w:color="0000FF"/>
            </w:tcBorders>
            <w:gridSpan w:val="10"/>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36"/>
        </w:trPr>
        <w:tc>
          <w:tcPr>
            <w:tcW w:w="1160" w:type="dxa"/>
            <w:vAlign w:val="bottom"/>
          </w:tcPr>
          <w:p>
            <w:pPr>
              <w:spacing w:after="0"/>
              <w:rPr>
                <w:sz w:val="20"/>
                <w:szCs w:val="20"/>
                <w:color w:val="auto"/>
              </w:rPr>
            </w:pPr>
          </w:p>
        </w:tc>
        <w:tc>
          <w:tcPr>
            <w:tcW w:w="10280" w:type="dxa"/>
            <w:vAlign w:val="bottom"/>
            <w:gridSpan w:val="20"/>
          </w:tcPr>
          <w:p>
            <w:pPr>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4.2 to EchoStar Corporation’s Current Report on Form 8-K filed on July 27, 2016, Commission File No. 001-33807).</w:t>
              </w:r>
            </w:hyperlink>
          </w:p>
        </w:tc>
        <w:tc>
          <w:tcPr>
            <w:tcW w:w="140" w:type="dxa"/>
            <w:vAlign w:val="bottom"/>
            <w:gridSpan w:val="7"/>
          </w:tcPr>
          <w:p>
            <w:pPr>
              <w:spacing w:after="0"/>
              <w:rPr>
                <w:sz w:val="20"/>
                <w:szCs w:val="20"/>
                <w:color w:val="auto"/>
              </w:rPr>
            </w:pPr>
          </w:p>
        </w:tc>
      </w:tr>
      <w:tr>
        <w:trPr>
          <w:trHeight w:val="392"/>
        </w:trPr>
        <w:tc>
          <w:tcPr>
            <w:tcW w:w="1160" w:type="dxa"/>
            <w:vAlign w:val="bottom"/>
          </w:tcPr>
          <w:p>
            <w:pPr>
              <w:spacing w:after="0"/>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4.10*</w:t>
              </w:r>
            </w:hyperlink>
          </w:p>
        </w:tc>
        <w:tc>
          <w:tcPr>
            <w:tcW w:w="10420" w:type="dxa"/>
            <w:vAlign w:val="bottom"/>
            <w:tcBorders>
              <w:bottom w:val="single" w:sz="8" w:color="0000FF"/>
            </w:tcBorders>
            <w:gridSpan w:val="27"/>
          </w:tcPr>
          <w:p>
            <w:pPr>
              <w:spacing w:after="0"/>
              <w:rPr>
                <w:rFonts w:ascii="Arial" w:cs="Arial" w:eastAsia="Arial" w:hAnsi="Arial"/>
                <w:sz w:val="18"/>
                <w:szCs w:val="18"/>
                <w:color w:val="0000FF"/>
              </w:rPr>
            </w:pPr>
            <w:hyperlink r:id="rId88">
              <w:r>
                <w:rPr>
                  <w:rFonts w:ascii="Arial" w:cs="Arial" w:eastAsia="Arial" w:hAnsi="Arial"/>
                  <w:sz w:val="18"/>
                  <w:szCs w:val="18"/>
                  <w:color w:val="0000FF"/>
                </w:rPr>
                <w:t>Registration Rights Agreement, dated as of July 27, 2016, among Hughes Satellite Systems Corporation, the guarantors</w:t>
              </w:r>
            </w:hyperlink>
          </w:p>
        </w:tc>
      </w:tr>
      <w:tr>
        <w:trPr>
          <w:trHeight w:val="156"/>
        </w:trPr>
        <w:tc>
          <w:tcPr>
            <w:tcW w:w="1160" w:type="dxa"/>
            <w:vAlign w:val="bottom"/>
          </w:tcPr>
          <w:p>
            <w:pPr>
              <w:spacing w:after="0"/>
              <w:rPr>
                <w:sz w:val="13"/>
                <w:szCs w:val="13"/>
                <w:color w:val="auto"/>
              </w:rPr>
            </w:pPr>
          </w:p>
        </w:tc>
        <w:tc>
          <w:tcPr>
            <w:tcW w:w="10420" w:type="dxa"/>
            <w:vAlign w:val="bottom"/>
            <w:gridSpan w:val="27"/>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party thereto and Deutsche Bank Securities Inc. (incorporated by reference to Exhibit 4.3 to EchoStar Corporation’s Current</w:t>
              </w:r>
            </w:hyperlink>
          </w:p>
        </w:tc>
      </w:tr>
      <w:tr>
        <w:trPr>
          <w:trHeight w:val="155"/>
        </w:trPr>
        <w:tc>
          <w:tcPr>
            <w:tcW w:w="116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88">
              <w:r>
                <w:rPr>
                  <w:rFonts w:ascii="Arial" w:cs="Arial" w:eastAsia="Arial" w:hAnsi="Arial"/>
                  <w:sz w:val="18"/>
                  <w:szCs w:val="18"/>
                  <w:color w:val="0000FF"/>
                  <w:w w:val="99"/>
                </w:rPr>
                <w:t>Report on Form 8-K filed on July 27, 2016, Commission File No. 001-33807).</w:t>
              </w:r>
            </w:hyperlink>
          </w:p>
        </w:tc>
        <w:tc>
          <w:tcPr>
            <w:tcW w:w="426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53"/>
        </w:trPr>
        <w:tc>
          <w:tcPr>
            <w:tcW w:w="1160" w:type="dxa"/>
            <w:vAlign w:val="bottom"/>
          </w:tcPr>
          <w:p>
            <w:pPr>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4.11*</w:t>
              </w:r>
            </w:hyperlink>
          </w:p>
        </w:tc>
        <w:tc>
          <w:tcPr>
            <w:tcW w:w="10420" w:type="dxa"/>
            <w:vAlign w:val="bottom"/>
            <w:gridSpan w:val="27"/>
          </w:tcPr>
          <w:p>
            <w:pPr>
              <w:spacing w:after="0"/>
              <w:rPr>
                <w:rFonts w:ascii="Arial" w:cs="Arial" w:eastAsia="Arial" w:hAnsi="Arial"/>
                <w:sz w:val="18"/>
                <w:szCs w:val="18"/>
                <w:color w:val="0000FF"/>
              </w:rPr>
            </w:pPr>
            <w:hyperlink r:id="rId89">
              <w:r>
                <w:rPr>
                  <w:rFonts w:ascii="Arial" w:cs="Arial" w:eastAsia="Arial" w:hAnsi="Arial"/>
                  <w:sz w:val="18"/>
                  <w:szCs w:val="18"/>
                  <w:color w:val="0000FF"/>
                </w:rPr>
                <w:t>Additional Secured Party Joinder, dated as of July 27, 2016, among U.S. Bank National Association, as trustee and</w:t>
              </w:r>
            </w:hyperlink>
          </w:p>
        </w:tc>
      </w:tr>
      <w:tr>
        <w:trPr>
          <w:trHeight w:val="155"/>
        </w:trPr>
        <w:tc>
          <w:tcPr>
            <w:tcW w:w="1160" w:type="dxa"/>
            <w:vAlign w:val="bottom"/>
          </w:tcPr>
          <w:p>
            <w:pPr>
              <w:spacing w:after="0"/>
              <w:rPr>
                <w:sz w:val="13"/>
                <w:szCs w:val="13"/>
                <w:color w:val="auto"/>
              </w:rPr>
            </w:pPr>
          </w:p>
        </w:tc>
        <w:tc>
          <w:tcPr>
            <w:tcW w:w="102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successor collateral agent, and Hughes Satellite Systems Corporation (incorporated by reference to Exhibit 4.4 to EchoStar</w:t>
              </w:r>
            </w:hyperlink>
          </w:p>
        </w:tc>
        <w:tc>
          <w:tcPr>
            <w:tcW w:w="200" w:type="dxa"/>
            <w:vAlign w:val="bottom"/>
            <w:gridSpan w:val="10"/>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102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Corporation’s Current Report on Form 8-K filed on July 27, 2016, Commission File No. 001-33807).</w:t>
              </w:r>
            </w:hyperlink>
          </w:p>
        </w:tc>
        <w:tc>
          <w:tcPr>
            <w:tcW w:w="220" w:type="dxa"/>
            <w:vAlign w:val="bottom"/>
            <w:gridSpan w:val="11"/>
          </w:tcPr>
          <w:p>
            <w:pPr>
              <w:spacing w:after="0"/>
              <w:rPr>
                <w:sz w:val="13"/>
                <w:szCs w:val="13"/>
                <w:color w:val="auto"/>
              </w:rPr>
            </w:pPr>
          </w:p>
        </w:tc>
      </w:tr>
      <w:tr>
        <w:trPr>
          <w:trHeight w:val="497"/>
        </w:trPr>
        <w:tc>
          <w:tcPr>
            <w:tcW w:w="1160" w:type="dxa"/>
            <w:vAlign w:val="bottom"/>
          </w:tcPr>
          <w:p>
            <w:pPr>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4.12*</w:t>
              </w:r>
            </w:hyperlink>
          </w:p>
        </w:tc>
        <w:tc>
          <w:tcPr>
            <w:tcW w:w="7880" w:type="dxa"/>
            <w:vAlign w:val="bottom"/>
            <w:tcBorders>
              <w:top w:val="single" w:sz="8" w:color="0000FF"/>
            </w:tcBorders>
            <w:gridSpan w:val="4"/>
          </w:tcPr>
          <w:p>
            <w:pPr>
              <w:spacing w:after="0"/>
              <w:rPr>
                <w:rFonts w:ascii="Arial" w:cs="Arial" w:eastAsia="Arial" w:hAnsi="Arial"/>
                <w:sz w:val="18"/>
                <w:szCs w:val="18"/>
                <w:color w:val="0000FF"/>
              </w:rPr>
            </w:pPr>
            <w:hyperlink r:id="rId86">
              <w:r>
                <w:rPr>
                  <w:rFonts w:ascii="Arial" w:cs="Arial" w:eastAsia="Arial" w:hAnsi="Arial"/>
                  <w:sz w:val="18"/>
                  <w:szCs w:val="18"/>
                  <w:u w:val="single" w:color="auto"/>
                  <w:color w:val="0000FF"/>
                </w:rPr>
                <w:t>Form of 5.250% Senior Secured Note due 2026 (included as part of Exhibit 4.13)</w:t>
              </w:r>
              <w:r>
                <w:rPr>
                  <w:rFonts w:ascii="Arial" w:cs="Arial" w:eastAsia="Arial" w:hAnsi="Arial"/>
                  <w:sz w:val="18"/>
                  <w:szCs w:val="18"/>
                  <w:color w:val="0000FF"/>
                </w:rPr>
                <w:t>.</w:t>
              </w:r>
            </w:hyperlink>
          </w:p>
        </w:tc>
        <w:tc>
          <w:tcPr>
            <w:tcW w:w="2540" w:type="dxa"/>
            <w:vAlign w:val="bottom"/>
            <w:gridSpan w:val="23"/>
          </w:tcPr>
          <w:p>
            <w:pPr>
              <w:spacing w:after="0"/>
              <w:rPr>
                <w:sz w:val="24"/>
                <w:szCs w:val="24"/>
                <w:color w:val="auto"/>
              </w:rPr>
            </w:pPr>
          </w:p>
        </w:tc>
      </w:tr>
      <w:tr>
        <w:trPr>
          <w:trHeight w:val="473"/>
        </w:trPr>
        <w:tc>
          <w:tcPr>
            <w:tcW w:w="1160" w:type="dxa"/>
            <w:vAlign w:val="bottom"/>
          </w:tcPr>
          <w:p>
            <w:pPr>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4.13*</w:t>
              </w:r>
            </w:hyperlink>
          </w:p>
        </w:tc>
        <w:tc>
          <w:tcPr>
            <w:tcW w:w="10420" w:type="dxa"/>
            <w:vAlign w:val="bottom"/>
            <w:gridSpan w:val="27"/>
          </w:tcPr>
          <w:p>
            <w:pPr>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Form of 6.625% Senior Unsecured Note due 2026 (included as part of Exhibit 4.14).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ectPr>
          <w:pgSz w:w="11900" w:h="16838" w:orient="portrait"/>
          <w:cols w:equalWidth="0" w:num="1">
            <w:col w:w="11180"/>
          </w:cols>
          <w:pgMar w:left="320" w:top="11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rFonts w:ascii="Arial" w:cs="Arial" w:eastAsia="Arial" w:hAnsi="Arial"/>
          <w:sz w:val="17"/>
          <w:szCs w:val="17"/>
          <w:u w:val="single" w:color="auto"/>
          <w:color w:val="0000FF"/>
        </w:rPr>
      </w:pPr>
      <w:hyperlink r:id="rId91">
        <w:r>
          <w:rPr>
            <w:rFonts w:ascii="Arial" w:cs="Arial" w:eastAsia="Arial" w:hAnsi="Arial"/>
            <w:sz w:val="17"/>
            <w:szCs w:val="17"/>
            <w:u w:val="single" w:color="auto"/>
            <w:color w:val="0000FF"/>
          </w:rPr>
          <w:t>4.14*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rFonts w:ascii="Arial" w:cs="Arial" w:eastAsia="Arial" w:hAnsi="Arial"/>
          <w:sz w:val="17"/>
          <w:szCs w:val="17"/>
          <w:u w:val="single" w:color="auto"/>
          <w:color w:val="0000FF"/>
        </w:rPr>
      </w:pPr>
      <w:hyperlink r:id="rId92">
        <w:r>
          <w:rPr>
            <w:rFonts w:ascii="Arial" w:cs="Arial" w:eastAsia="Arial" w:hAnsi="Arial"/>
            <w:sz w:val="17"/>
            <w:szCs w:val="17"/>
            <w:u w:val="single" w:color="auto"/>
            <w:color w:val="0000FF"/>
          </w:rPr>
          <w:t>4.15*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rFonts w:ascii="Arial" w:cs="Arial" w:eastAsia="Arial" w:hAnsi="Arial"/>
          <w:sz w:val="17"/>
          <w:szCs w:val="17"/>
          <w:u w:val="single" w:color="auto"/>
          <w:color w:val="0000FF"/>
        </w:rPr>
      </w:pPr>
      <w:hyperlink r:id="rId93">
        <w:r>
          <w:rPr>
            <w:rFonts w:ascii="Arial" w:cs="Arial" w:eastAsia="Arial" w:hAnsi="Arial"/>
            <w:sz w:val="17"/>
            <w:szCs w:val="17"/>
            <w:u w:val="single" w:color="auto"/>
            <w:color w:val="0000FF"/>
          </w:rPr>
          <w:t>4.16*</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19" w:lineRule="auto"/>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Supplemental Indenture relating to Hughes Satellite Systems Corporation’s 5.250% Senior Secured Notes due 2026, dated</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March 23, 2017, by and among Hughes Satellite Systems Corporation, the guarantors and the supplemental guarantor listed</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on the signature pages thereto, U.S. Bank National Association, as trustee and successor collateral agent (incorporated by</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reference to Exhibit 4.19 to Hughes Satellite Systems Corporation’s Registration Statement on Form S-4, filed April 6, 2017,</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Commission File No. 333-179121).</w:t>
        </w:r>
      </w:hyperlink>
    </w:p>
    <w:p>
      <w:pPr>
        <w:spacing w:after="0" w:line="230" w:lineRule="exact"/>
        <w:rPr>
          <w:rFonts w:ascii="Arial" w:cs="Arial" w:eastAsia="Arial" w:hAnsi="Arial"/>
          <w:sz w:val="18"/>
          <w:szCs w:val="18"/>
          <w:u w:val="single" w:color="auto"/>
          <w:color w:val="0000FF"/>
        </w:rPr>
      </w:pPr>
    </w:p>
    <w:p>
      <w:pPr>
        <w:jc w:val="both"/>
        <w:spacing w:after="0" w:line="219" w:lineRule="auto"/>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Supplemental Indenture relating to Hughes Satellite Systems Corporation’s 6.625% Senior Notes due 2026, dated as of</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March 23, 2017, by and among Hughes Satellite Systems Corporation, the guarantors and the supplemental guarantor listed</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on the signature pages thereto and U.S. Bank National Association, as trustee (incorporated by reference to Exhibit 4.20 to</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Hughes Satellite Systems Corporation’s Registration Statement on Form S-4, filed April 6, 2017, Commission File No. 333-</w:t>
        </w:r>
      </w:hyperlink>
      <w:hyperlink r:id="rId92">
        <w:r>
          <w:rPr>
            <w:rFonts w:ascii="Arial" w:cs="Arial" w:eastAsia="Arial" w:hAnsi="Arial"/>
            <w:sz w:val="18"/>
            <w:szCs w:val="18"/>
            <w:u w:val="single" w:color="auto"/>
            <w:color w:val="0000FF"/>
          </w:rPr>
          <w:t>179121).</w:t>
        </w:r>
      </w:hyperlink>
    </w:p>
    <w:p>
      <w:pPr>
        <w:spacing w:after="0" w:line="257" w:lineRule="exact"/>
        <w:rPr>
          <w:rFonts w:ascii="Arial" w:cs="Arial" w:eastAsia="Arial" w:hAnsi="Arial"/>
          <w:sz w:val="18"/>
          <w:szCs w:val="18"/>
          <w:u w:val="single" w:color="auto"/>
          <w:color w:val="0000FF"/>
        </w:rPr>
      </w:pPr>
    </w:p>
    <w:p>
      <w:pPr>
        <w:jc w:val="both"/>
        <w:spacing w:after="0" w:line="219" w:lineRule="auto"/>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Third Supplemental Indenture relating to Hughes Satellite Systems Corporation’s 7⅝% Senior Notes due 2021, dated March</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23, 2017, by and among Hughes Satellite Systems Corporation, the guarantors and the supplemental guarantor listed on the</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signature pages thereto and Wells Fargo Bank, National Association, as trustee (incorporated by reference to Exhibit 4.22 to</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Hughes Satellite Systems Corporation’s Registration Statement on Form S-4, filed April 6, 2017, Commission File No. 333-</w:t>
        </w:r>
      </w:hyperlink>
      <w:hyperlink r:id="rId93">
        <w:r>
          <w:rPr>
            <w:rFonts w:ascii="Arial" w:cs="Arial" w:eastAsia="Arial" w:hAnsi="Arial"/>
            <w:sz w:val="18"/>
            <w:szCs w:val="18"/>
            <w:u w:val="single" w:color="auto"/>
            <w:color w:val="0000FF"/>
          </w:rPr>
          <w:t>179121).</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460" w:space="720"/>
            <w:col w:w="10000"/>
          </w:cols>
          <w:pgMar w:left="320" w:top="116" w:right="399" w:bottom="1440" w:gutter="0" w:footer="0" w:header="0"/>
          <w:type w:val="continuous"/>
        </w:sectPr>
      </w:pPr>
    </w:p>
    <w:p>
      <w:pPr>
        <w:spacing w:after="0" w:line="62" w:lineRule="exact"/>
        <w:rPr>
          <w:rFonts w:ascii="Arial" w:cs="Arial" w:eastAsia="Arial" w:hAnsi="Arial"/>
          <w:sz w:val="18"/>
          <w:szCs w:val="18"/>
          <w:u w:val="single" w:color="auto"/>
          <w:color w:val="0000FF"/>
        </w:rPr>
      </w:pPr>
    </w:p>
    <w:tbl>
      <w:tblPr>
        <w:tblLayout w:type="fixed"/>
        <w:tblInd w:w="20" w:type="dxa"/>
        <w:tblCellMar>
          <w:top w:w="0" w:type="dxa"/>
          <w:left w:w="0" w:type="dxa"/>
          <w:bottom w:w="0" w:type="dxa"/>
          <w:right w:w="0" w:type="dxa"/>
        </w:tblCellMar>
      </w:tblPr>
      <w:tr>
        <w:trPr>
          <w:trHeight w:val="207"/>
        </w:trPr>
        <w:tc>
          <w:tcPr>
            <w:tcW w:w="1160" w:type="dxa"/>
            <w:vAlign w:val="bottom"/>
          </w:tcPr>
          <w:p>
            <w:pPr>
              <w:jc w:val="right"/>
              <w:ind w:right="650"/>
              <w:spacing w:after="0"/>
              <w:rPr>
                <w:rFonts w:ascii="Arial" w:cs="Arial" w:eastAsia="Arial" w:hAnsi="Arial"/>
                <w:sz w:val="18"/>
                <w:szCs w:val="18"/>
                <w:color w:val="0000FF"/>
                <w:w w:val="95"/>
              </w:rPr>
            </w:pPr>
            <w:hyperlink r:id="rId94">
              <w:r>
                <w:rPr>
                  <w:rFonts w:ascii="Arial" w:cs="Arial" w:eastAsia="Arial" w:hAnsi="Arial"/>
                  <w:sz w:val="18"/>
                  <w:szCs w:val="18"/>
                  <w:u w:val="single" w:color="auto"/>
                  <w:color w:val="0000FF"/>
                  <w:w w:val="95"/>
                </w:rPr>
                <w:t>4.17</w:t>
              </w:r>
            </w:hyperlink>
            <w:r>
              <w:rPr>
                <w:rFonts w:ascii="Arial" w:cs="Arial" w:eastAsia="Arial" w:hAnsi="Arial"/>
                <w:sz w:val="18"/>
                <w:szCs w:val="18"/>
                <w:color w:val="000000"/>
                <w:w w:val="95"/>
              </w:rPr>
              <w:t>*</w:t>
            </w:r>
          </w:p>
        </w:tc>
        <w:tc>
          <w:tcPr>
            <w:tcW w:w="10080" w:type="dxa"/>
            <w:vAlign w:val="bottom"/>
            <w:gridSpan w:val="6"/>
          </w:tcPr>
          <w:p>
            <w:pPr>
              <w:spacing w:after="0"/>
              <w:rPr>
                <w:rFonts w:ascii="Arial" w:cs="Arial" w:eastAsia="Arial" w:hAnsi="Arial"/>
                <w:sz w:val="18"/>
                <w:szCs w:val="18"/>
                <w:color w:val="0000FF"/>
              </w:rPr>
            </w:pPr>
            <w:hyperlink r:id="rId94">
              <w:r>
                <w:rPr>
                  <w:rFonts w:ascii="Arial" w:cs="Arial" w:eastAsia="Arial" w:hAnsi="Arial"/>
                  <w:sz w:val="18"/>
                  <w:szCs w:val="18"/>
                  <w:color w:val="0000FF"/>
                </w:rPr>
                <w:t>Joinder Agreement, dated as of August 10, 2017, to the Security Agreement dated as of June 8, 2011, by and between HNS</w:t>
              </w:r>
            </w:hyperlink>
          </w:p>
        </w:tc>
      </w:tr>
      <w:tr>
        <w:trPr>
          <w:trHeight w:val="156"/>
        </w:trPr>
        <w:tc>
          <w:tcPr>
            <w:tcW w:w="1160" w:type="dxa"/>
            <w:vAlign w:val="bottom"/>
          </w:tcPr>
          <w:p>
            <w:pPr>
              <w:spacing w:after="0"/>
              <w:rPr>
                <w:sz w:val="13"/>
                <w:szCs w:val="13"/>
                <w:color w:val="auto"/>
              </w:rPr>
            </w:pPr>
          </w:p>
        </w:tc>
        <w:tc>
          <w:tcPr>
            <w:tcW w:w="1004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Americas, L.L.C., HNS Americas II, L.L.C. and U.S. Bank National Association, as successor collateral agent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94">
              <w:r>
                <w:rPr>
                  <w:rFonts w:ascii="Arial" w:cs="Arial" w:eastAsia="Arial" w:hAnsi="Arial"/>
                  <w:sz w:val="18"/>
                  <w:szCs w:val="18"/>
                  <w:color w:val="0000FF"/>
                  <w:w w:val="99"/>
                </w:rPr>
                <w:t>reference to Exhibit 4.24 to EchoStar Corporation’s Annual Report on Form 10-K for the year ended December 31, 2017, filed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10060" w:type="dxa"/>
            <w:vAlign w:val="bottom"/>
            <w:gridSpan w:val="5"/>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February 22, 2018, Commission File No. 001-33807).</w:t>
              </w:r>
            </w:hyperlink>
          </w:p>
        </w:tc>
        <w:tc>
          <w:tcPr>
            <w:tcW w:w="2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4240" w:type="dxa"/>
            <w:vAlign w:val="bottom"/>
            <w:shd w:val="clear" w:color="auto" w:fill="0000FF"/>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160" w:type="dxa"/>
            <w:vAlign w:val="bottom"/>
          </w:tcPr>
          <w:p>
            <w:pPr>
              <w:jc w:val="right"/>
              <w:ind w:right="650"/>
              <w:spacing w:after="0"/>
              <w:rPr>
                <w:rFonts w:ascii="Arial" w:cs="Arial" w:eastAsia="Arial" w:hAnsi="Arial"/>
                <w:sz w:val="18"/>
                <w:szCs w:val="18"/>
                <w:color w:val="0000FF"/>
                <w:w w:val="95"/>
              </w:rPr>
            </w:pPr>
            <w:hyperlink r:id="rId95">
              <w:r>
                <w:rPr>
                  <w:rFonts w:ascii="Arial" w:cs="Arial" w:eastAsia="Arial" w:hAnsi="Arial"/>
                  <w:sz w:val="18"/>
                  <w:szCs w:val="18"/>
                  <w:u w:val="single" w:color="auto"/>
                  <w:color w:val="0000FF"/>
                  <w:w w:val="95"/>
                </w:rPr>
                <w:t>4.18</w:t>
              </w:r>
            </w:hyperlink>
            <w:r>
              <w:rPr>
                <w:rFonts w:ascii="Arial" w:cs="Arial" w:eastAsia="Arial" w:hAnsi="Arial"/>
                <w:sz w:val="18"/>
                <w:szCs w:val="18"/>
                <w:color w:val="000000"/>
                <w:w w:val="95"/>
              </w:rPr>
              <w:t>*</w:t>
            </w:r>
          </w:p>
        </w:tc>
        <w:tc>
          <w:tcPr>
            <w:tcW w:w="10080" w:type="dxa"/>
            <w:vAlign w:val="bottom"/>
            <w:gridSpan w:val="6"/>
          </w:tcPr>
          <w:p>
            <w:pPr>
              <w:spacing w:after="0"/>
              <w:rPr>
                <w:rFonts w:ascii="Arial" w:cs="Arial" w:eastAsia="Arial" w:hAnsi="Arial"/>
                <w:sz w:val="18"/>
                <w:szCs w:val="18"/>
                <w:color w:val="0000FF"/>
              </w:rPr>
            </w:pPr>
            <w:hyperlink r:id="rId95">
              <w:r>
                <w:rPr>
                  <w:rFonts w:ascii="Arial" w:cs="Arial" w:eastAsia="Arial" w:hAnsi="Arial"/>
                  <w:sz w:val="18"/>
                  <w:szCs w:val="18"/>
                  <w:color w:val="0000FF"/>
                </w:rPr>
                <w:t>Second Supplemental Indenture relating to Hughes Satellite Systems Corporation’s 5.250% Senior Secured Notes due 2026,</w:t>
              </w:r>
            </w:hyperlink>
          </w:p>
        </w:tc>
      </w:tr>
      <w:tr>
        <w:trPr>
          <w:trHeight w:val="155"/>
        </w:trPr>
        <w:tc>
          <w:tcPr>
            <w:tcW w:w="1160" w:type="dxa"/>
            <w:vAlign w:val="bottom"/>
          </w:tcPr>
          <w:p>
            <w:pPr>
              <w:spacing w:after="0"/>
              <w:rPr>
                <w:sz w:val="13"/>
                <w:szCs w:val="13"/>
                <w:color w:val="auto"/>
              </w:rPr>
            </w:pPr>
          </w:p>
        </w:tc>
        <w:tc>
          <w:tcPr>
            <w:tcW w:w="10020" w:type="dxa"/>
            <w:vAlign w:val="bottom"/>
            <w:tcBorders>
              <w:top w:val="single" w:sz="8" w:color="0000FF"/>
            </w:tcBorders>
            <w:gridSpan w:val="3"/>
          </w:tcPr>
          <w:p>
            <w:pPr>
              <w:spacing w:after="0" w:line="154" w:lineRule="exact"/>
              <w:rPr>
                <w:rFonts w:ascii="Arial" w:cs="Arial" w:eastAsia="Arial" w:hAnsi="Arial"/>
                <w:sz w:val="17"/>
                <w:szCs w:val="17"/>
                <w:u w:val="single" w:color="auto"/>
                <w:color w:val="0000FF"/>
              </w:rPr>
            </w:pPr>
            <w:hyperlink r:id="rId95">
              <w:r>
                <w:rPr>
                  <w:rFonts w:ascii="Arial" w:cs="Arial" w:eastAsia="Arial" w:hAnsi="Arial"/>
                  <w:sz w:val="17"/>
                  <w:szCs w:val="17"/>
                  <w:u w:val="single" w:color="auto"/>
                  <w:color w:val="0000FF"/>
                </w:rPr>
                <w:t>dated August 10, 2017, by and among Hughes Satellite Systems Corporation, the guarantors and the supplemental guarantor</w:t>
              </w:r>
            </w:hyperlink>
          </w:p>
        </w:tc>
        <w:tc>
          <w:tcPr>
            <w:tcW w:w="60" w:type="dxa"/>
            <w:vAlign w:val="bottom"/>
            <w:gridSpan w:val="3"/>
          </w:tcPr>
          <w:p>
            <w:pPr>
              <w:spacing w:after="0"/>
              <w:rPr>
                <w:sz w:val="13"/>
                <w:szCs w:val="13"/>
                <w:color w:val="auto"/>
              </w:rPr>
            </w:pPr>
          </w:p>
        </w:tc>
      </w:tr>
    </w:tbl>
    <w:p>
      <w:pPr>
        <w:jc w:val="both"/>
        <w:ind w:left="1180"/>
        <w:spacing w:after="0" w:line="221" w:lineRule="auto"/>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listed on the signature pages thereto, U.S. Bank National Association, as trustee and successor collateral agent (incorporated</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by reference to Exhibit 4.25 to EchoStar Corporation’s Annual Report on Form 10-K for the year ended December 31, 2017,</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filed February 22, 2018, Commission File No. 001-33807).</w:t>
        </w:r>
      </w:hyperlink>
    </w:p>
    <w:p>
      <w:pPr>
        <w:sectPr>
          <w:pgSz w:w="11900" w:h="16838" w:orient="portrait"/>
          <w:cols w:equalWidth="0" w:num="1">
            <w:col w:w="11180"/>
          </w:cols>
          <w:pgMar w:left="320" w:top="116" w:right="399" w:bottom="1440" w:gutter="0" w:footer="0" w:header="0"/>
          <w:type w:val="continuous"/>
        </w:sectPr>
      </w:pPr>
    </w:p>
    <w:p>
      <w:pPr>
        <w:spacing w:after="0" w:line="230" w:lineRule="exact"/>
        <w:rPr>
          <w:rFonts w:ascii="Arial" w:cs="Arial" w:eastAsia="Arial" w:hAnsi="Arial"/>
          <w:sz w:val="18"/>
          <w:szCs w:val="18"/>
          <w:u w:val="single" w:color="auto"/>
          <w:color w:val="0000FF"/>
        </w:rPr>
      </w:pPr>
    </w:p>
    <w:p>
      <w:pPr>
        <w:ind w:left="20"/>
        <w:spacing w:after="0"/>
        <w:rPr>
          <w:rFonts w:ascii="Arial" w:cs="Arial" w:eastAsia="Arial" w:hAnsi="Arial"/>
          <w:sz w:val="17"/>
          <w:szCs w:val="17"/>
          <w:color w:val="0000FF"/>
        </w:rPr>
      </w:pPr>
      <w:hyperlink r:id="rId96">
        <w:r>
          <w:rPr>
            <w:rFonts w:ascii="Arial" w:cs="Arial" w:eastAsia="Arial" w:hAnsi="Arial"/>
            <w:sz w:val="17"/>
            <w:szCs w:val="17"/>
            <w:u w:val="single" w:color="auto"/>
            <w:color w:val="0000FF"/>
          </w:rPr>
          <w:t>4.19</w:t>
        </w:r>
      </w:hyperlink>
      <w:r>
        <w:rPr>
          <w:rFonts w:ascii="Arial" w:cs="Arial" w:eastAsia="Arial" w:hAnsi="Arial"/>
          <w:sz w:val="17"/>
          <w:szCs w:val="17"/>
          <w:color w:val="000000"/>
        </w:rPr>
        <w:t>*</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79" w:lineRule="exact"/>
        <w:rPr>
          <w:rFonts w:ascii="Arial" w:cs="Arial" w:eastAsia="Arial" w:hAnsi="Arial"/>
          <w:sz w:val="18"/>
          <w:szCs w:val="18"/>
          <w:u w:val="single" w:color="auto"/>
          <w:color w:val="0000FF"/>
        </w:rPr>
      </w:pPr>
    </w:p>
    <w:p>
      <w:pPr>
        <w:ind w:left="20"/>
        <w:spacing w:after="0"/>
        <w:rPr>
          <w:rFonts w:ascii="Arial" w:cs="Arial" w:eastAsia="Arial" w:hAnsi="Arial"/>
          <w:sz w:val="17"/>
          <w:szCs w:val="17"/>
          <w:color w:val="0000FF"/>
        </w:rPr>
      </w:pPr>
      <w:hyperlink r:id="rId97">
        <w:r>
          <w:rPr>
            <w:rFonts w:ascii="Arial" w:cs="Arial" w:eastAsia="Arial" w:hAnsi="Arial"/>
            <w:sz w:val="17"/>
            <w:szCs w:val="17"/>
            <w:u w:val="single" w:color="auto"/>
            <w:color w:val="0000FF"/>
          </w:rPr>
          <w:t>4.20</w:t>
        </w:r>
      </w:hyperlink>
      <w:r>
        <w:rPr>
          <w:rFonts w:ascii="Arial" w:cs="Arial" w:eastAsia="Arial" w:hAnsi="Arial"/>
          <w:sz w:val="17"/>
          <w:szCs w:val="17"/>
          <w:color w:val="000000"/>
        </w:rPr>
        <w:t>*</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10" w:lineRule="exact"/>
        <w:rPr>
          <w:rFonts w:ascii="Arial" w:cs="Arial" w:eastAsia="Arial" w:hAnsi="Arial"/>
          <w:sz w:val="18"/>
          <w:szCs w:val="18"/>
          <w:u w:val="single" w:color="auto"/>
          <w:color w:val="0000FF"/>
        </w:rPr>
      </w:pPr>
    </w:p>
    <w:p>
      <w:pPr>
        <w:jc w:val="both"/>
        <w:spacing w:after="0" w:line="219" w:lineRule="auto"/>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Second Supplemental Indenture relating to Hughes Satellite Systems Corporation’s 6.625% Senior Notes due 2026, dated as</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of August 10, 2017, by and among Hughes Satellite Systems Corporation, the guarantors and the supplemental guarantor</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listed on the signature pages thereto and U.S. Bank National Association, as trustee (incorporated by reference to</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Exhibit 4.26 to EchoStar Corporation’s Annual Report on Form 10-K for the year ended December 31, 2017, filed February</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22, 2018, Commission File No. 001-33807).</w:t>
        </w:r>
      </w:hyperlink>
    </w:p>
    <w:p>
      <w:pPr>
        <w:spacing w:after="0" w:line="257" w:lineRule="exact"/>
        <w:rPr>
          <w:rFonts w:ascii="Arial" w:cs="Arial" w:eastAsia="Arial" w:hAnsi="Arial"/>
          <w:sz w:val="18"/>
          <w:szCs w:val="18"/>
          <w:u w:val="single" w:color="auto"/>
          <w:color w:val="0000FF"/>
        </w:rPr>
      </w:pPr>
    </w:p>
    <w:p>
      <w:pPr>
        <w:jc w:val="both"/>
        <w:spacing w:after="0" w:line="219" w:lineRule="auto"/>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Fourth Supplemental Indenture relating to Hughes Satellite Systems Corporation’s 7⅝% Senior Notes due 2021, dated</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August 10, 2017, by and among Hughes Satellite Systems Corporation, the guarantors and the supplemental guarantor listed</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on the signature pages thereto and Wells Fargo Bank, National Association, as trustee (incorporated by reference to</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Exhibit 4.28 to EchoStar Corporation’s Annual Report on Form 10-K for the year ended December 31, 2017, filed February</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22, 2018, Commission File No. 001-33807).</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460" w:space="720"/>
            <w:col w:w="10000"/>
          </w:cols>
          <w:pgMar w:left="320" w:top="116" w:right="399" w:bottom="1440" w:gutter="0" w:footer="0" w:header="0"/>
          <w:type w:val="continuous"/>
        </w:sectPr>
      </w:pPr>
    </w:p>
    <w:p>
      <w:pPr>
        <w:spacing w:after="0" w:line="71" w:lineRule="exact"/>
        <w:rPr>
          <w:rFonts w:ascii="Arial" w:cs="Arial" w:eastAsia="Arial" w:hAnsi="Arial"/>
          <w:sz w:val="18"/>
          <w:szCs w:val="18"/>
          <w:u w:val="single" w:color="auto"/>
          <w:color w:val="0000FF"/>
        </w:rPr>
      </w:pPr>
    </w:p>
    <w:p>
      <w:pPr>
        <w:jc w:val="both"/>
        <w:ind w:left="1180" w:hanging="1146"/>
        <w:spacing w:after="0" w:line="223" w:lineRule="auto"/>
        <w:tabs>
          <w:tab w:leader="none" w:pos="1160" w:val="left"/>
        </w:tabs>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4.21*</w:t>
        </w:r>
      </w:hyperlink>
      <w:r>
        <w:rPr>
          <w:rFonts w:ascii="Arial" w:cs="Arial" w:eastAsia="Arial" w:hAnsi="Arial"/>
          <w:sz w:val="18"/>
          <w:szCs w:val="18"/>
          <w:u w:val="single" w:color="auto"/>
          <w:color w:val="0000FF"/>
        </w:rPr>
        <w:tab/>
      </w:r>
      <w:hyperlink r:id="rId98">
        <w:r>
          <w:rPr>
            <w:rFonts w:ascii="Arial" w:cs="Arial" w:eastAsia="Arial" w:hAnsi="Arial"/>
            <w:sz w:val="18"/>
            <w:szCs w:val="18"/>
            <w:u w:val="single" w:color="auto"/>
            <w:color w:val="0000FF"/>
          </w:rPr>
          <w:t>Joinder Agreement, dated as of June 12, 2019, to the Security Agreement dated as of June 8, 2011, by and between</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EchoStar BSS Corporation, EchoStar FSS L.L.C. and U.S. Bank National Association, as successor collateral agent</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(incorporated by reference to Exhibit 4.1 to EchoStar Corporation’s Quarterly Report on Form 10-Q for the quarter ended</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June 30, 2019, filed August 8, 2019, Commission File No. 001-33807).</w:t>
        </w:r>
      </w:hyperlink>
    </w:p>
    <w:p>
      <w:pPr>
        <w:spacing w:after="0" w:line="230" w:lineRule="exact"/>
        <w:rPr>
          <w:rFonts w:ascii="Arial" w:cs="Arial" w:eastAsia="Arial" w:hAnsi="Arial"/>
          <w:sz w:val="18"/>
          <w:szCs w:val="18"/>
          <w:u w:val="single" w:color="auto"/>
          <w:color w:val="0000FF"/>
        </w:rPr>
      </w:pPr>
    </w:p>
    <w:p>
      <w:pPr>
        <w:jc w:val="both"/>
        <w:ind w:left="1180" w:hanging="1146"/>
        <w:spacing w:after="0" w:line="219" w:lineRule="auto"/>
        <w:tabs>
          <w:tab w:leader="none" w:pos="1160" w:val="left"/>
        </w:tabs>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4.22*</w:t>
        </w:r>
      </w:hyperlink>
      <w:r>
        <w:rPr>
          <w:rFonts w:ascii="Arial" w:cs="Arial" w:eastAsia="Arial" w:hAnsi="Arial"/>
          <w:sz w:val="18"/>
          <w:szCs w:val="18"/>
          <w:u w:val="single" w:color="auto"/>
          <w:color w:val="0000FF"/>
        </w:rPr>
        <w:tab/>
      </w:r>
      <w:hyperlink r:id="rId99">
        <w:r>
          <w:rPr>
            <w:rFonts w:ascii="Arial" w:cs="Arial" w:eastAsia="Arial" w:hAnsi="Arial"/>
            <w:sz w:val="18"/>
            <w:szCs w:val="18"/>
            <w:u w:val="single" w:color="auto"/>
            <w:color w:val="0000FF"/>
          </w:rPr>
          <w:t>Third Supplemental Indenture relating to Hughes Satellite Systems Corporation’s 5.250% Senior Secured Notes due 2026,</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dated June 12, 2019, by and among Hughes Satellite Systems Corporation, the guarantors and the supplemental guarantors</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listed on the signature pages thereto, U.S. Bank National Association, as trustee and successor collateral agent (incorporated</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by reference to Exhibit 4.2 to EchoStar Corporation’s Quarterly Report on Form 10-Q for the quarter ended June 30, 2019,</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filed August 8, 2019, Commission File No. 001-33807).</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51"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gridSpan w:val="2"/>
          </w:tcPr>
          <w:p>
            <w:pPr>
              <w:spacing w:after="0"/>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4.23*</w:t>
              </w:r>
            </w:hyperlink>
          </w:p>
        </w:tc>
        <w:tc>
          <w:tcPr>
            <w:tcW w:w="10400" w:type="dxa"/>
            <w:vAlign w:val="bottom"/>
            <w:gridSpan w:val="29"/>
          </w:tcPr>
          <w:p>
            <w:pPr>
              <w:spacing w:after="0"/>
              <w:rPr>
                <w:rFonts w:ascii="Arial" w:cs="Arial" w:eastAsia="Arial" w:hAnsi="Arial"/>
                <w:sz w:val="18"/>
                <w:szCs w:val="18"/>
                <w:color w:val="0000FF"/>
              </w:rPr>
            </w:pPr>
            <w:hyperlink r:id="rId101">
              <w:r>
                <w:rPr>
                  <w:rFonts w:ascii="Arial" w:cs="Arial" w:eastAsia="Arial" w:hAnsi="Arial"/>
                  <w:sz w:val="18"/>
                  <w:szCs w:val="18"/>
                  <w:color w:val="0000FF"/>
                </w:rPr>
                <w:t>Third Supplemental Indenture relating to Hughes Satellite Systems Corporation’s 6.625% Senior Notes due 2026, dated as of</w:t>
              </w:r>
            </w:hyperlink>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June 12, 2019, by and among Hughes Satellite Systems Corporation, the guarantors and the supplemental guarantors listed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0" w:type="dxa"/>
            <w:vAlign w:val="bottom"/>
            <w:gridSpan w:val="19"/>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on the signature pages thereto and U.S. Bank National Association, as trustee (incorporated by reference to Exhibit 4.3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20" w:type="dxa"/>
            <w:vAlign w:val="bottom"/>
            <w:tcBorders>
              <w:top w:val="single" w:sz="8" w:color="0000FF"/>
            </w:tcBorders>
            <w:gridSpan w:val="11"/>
          </w:tcPr>
          <w:p>
            <w:pPr>
              <w:spacing w:after="0" w:line="142" w:lineRule="exact"/>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EchoStar Corporation’s Quarterly Report on Form 10-Q for the quarter ended June 30, 2019, filed August 8,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0" w:type="dxa"/>
            <w:vAlign w:val="bottom"/>
            <w:gridSpan w:val="29"/>
          </w:tcPr>
          <w:p>
            <w:pPr>
              <w:spacing w:after="0"/>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Commission File No. 001-33807).</w:t>
              </w:r>
            </w:hyperlink>
          </w:p>
        </w:tc>
        <w:tc>
          <w:tcPr>
            <w:tcW w:w="0" w:type="dxa"/>
            <w:vAlign w:val="bottom"/>
          </w:tcPr>
          <w:p>
            <w:pPr>
              <w:spacing w:after="0"/>
              <w:rPr>
                <w:sz w:val="1"/>
                <w:szCs w:val="1"/>
                <w:color w:val="auto"/>
              </w:rPr>
            </w:pPr>
          </w:p>
        </w:tc>
      </w:tr>
      <w:tr>
        <w:trPr>
          <w:trHeight w:val="419"/>
        </w:trPr>
        <w:tc>
          <w:tcPr>
            <w:tcW w:w="1160" w:type="dxa"/>
            <w:vAlign w:val="bottom"/>
            <w:gridSpan w:val="2"/>
          </w:tcPr>
          <w:p>
            <w:pPr>
              <w:spacing w:after="0"/>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4.24*</w:t>
              </w:r>
            </w:hyperlink>
          </w:p>
        </w:tc>
        <w:tc>
          <w:tcPr>
            <w:tcW w:w="10400" w:type="dxa"/>
            <w:vAlign w:val="bottom"/>
            <w:gridSpan w:val="29"/>
          </w:tcPr>
          <w:p>
            <w:pPr>
              <w:spacing w:after="0"/>
              <w:rPr>
                <w:rFonts w:ascii="Arial" w:cs="Arial" w:eastAsia="Arial" w:hAnsi="Arial"/>
                <w:sz w:val="18"/>
                <w:szCs w:val="18"/>
                <w:color w:val="0000FF"/>
              </w:rPr>
            </w:pPr>
            <w:hyperlink r:id="rId102">
              <w:r>
                <w:rPr>
                  <w:rFonts w:ascii="Arial" w:cs="Arial" w:eastAsia="Arial" w:hAnsi="Arial"/>
                  <w:sz w:val="18"/>
                  <w:szCs w:val="18"/>
                  <w:color w:val="0000FF"/>
                </w:rPr>
                <w:t>Fifth Supplemental Indenture relating to Hughes Satellite Systems Corporation’s 7⅝% Senior Notes due 2021, dated June</w:t>
              </w:r>
            </w:hyperlink>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6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12, 2019, by and among Hughes Satellite Systems Corporation, the guarantors and the supplemental guarantors listed on the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80" w:type="dxa"/>
            <w:vAlign w:val="bottom"/>
            <w:tcBorders>
              <w:bottom w:val="single" w:sz="8" w:color="0000FF"/>
            </w:tcBorders>
            <w:gridSpan w:val="23"/>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signature pages thereto and Wells Fargo Bank, National Association, as trustee (incorporated by reference to Exhibit 4.4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360" w:type="dxa"/>
            <w:vAlign w:val="bottom"/>
            <w:gridSpan w:val="27"/>
          </w:tcPr>
          <w:p>
            <w:pPr>
              <w:spacing w:after="0" w:line="142" w:lineRule="exact"/>
              <w:rPr>
                <w:rFonts w:ascii="Arial" w:cs="Arial" w:eastAsia="Arial" w:hAnsi="Arial"/>
                <w:sz w:val="16"/>
                <w:szCs w:val="16"/>
                <w:u w:val="single" w:color="auto"/>
                <w:color w:val="0000FF"/>
              </w:rPr>
            </w:pPr>
            <w:hyperlink r:id="rId102">
              <w:r>
                <w:rPr>
                  <w:rFonts w:ascii="Arial" w:cs="Arial" w:eastAsia="Arial" w:hAnsi="Arial"/>
                  <w:sz w:val="16"/>
                  <w:szCs w:val="16"/>
                  <w:u w:val="single" w:color="auto"/>
                  <w:color w:val="0000FF"/>
                </w:rPr>
                <w:t>EchoStar Corporation’s Quarterly Report on Form 10-Q for the quarter ended June 30, 2019, filed August 8,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0" w:type="dxa"/>
            <w:vAlign w:val="bottom"/>
            <w:gridSpan w:val="29"/>
          </w:tcPr>
          <w:p>
            <w:pPr>
              <w:spacing w:after="0"/>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Commission File No. 001-33807).</w:t>
              </w:r>
            </w:hyperlink>
          </w:p>
        </w:tc>
        <w:tc>
          <w:tcPr>
            <w:tcW w:w="0" w:type="dxa"/>
            <w:vAlign w:val="bottom"/>
          </w:tcPr>
          <w:p>
            <w:pPr>
              <w:spacing w:after="0"/>
              <w:rPr>
                <w:sz w:val="1"/>
                <w:szCs w:val="1"/>
                <w:color w:val="auto"/>
              </w:rPr>
            </w:pPr>
          </w:p>
        </w:tc>
      </w:tr>
      <w:tr>
        <w:trPr>
          <w:trHeight w:val="419"/>
        </w:trPr>
        <w:tc>
          <w:tcPr>
            <w:tcW w:w="1160" w:type="dxa"/>
            <w:vAlign w:val="bottom"/>
            <w:gridSpan w:val="2"/>
          </w:tcPr>
          <w:p>
            <w:pPr>
              <w:spacing w:after="0"/>
              <w:rPr>
                <w:rFonts w:ascii="Arial" w:cs="Arial" w:eastAsia="Arial" w:hAnsi="Arial"/>
                <w:sz w:val="18"/>
                <w:szCs w:val="18"/>
                <w:color w:val="0000FF"/>
              </w:rPr>
            </w:pPr>
            <w:hyperlink r:id="rId103">
              <w:r>
                <w:rPr>
                  <w:rFonts w:ascii="Arial" w:cs="Arial" w:eastAsia="Arial" w:hAnsi="Arial"/>
                  <w:sz w:val="18"/>
                  <w:szCs w:val="18"/>
                  <w:color w:val="0000FF"/>
                </w:rPr>
                <w:t>4.</w:t>
              </w:r>
            </w:hyperlink>
            <w:r>
              <w:rPr>
                <w:rFonts w:ascii="Arial" w:cs="Arial" w:eastAsia="Arial" w:hAnsi="Arial"/>
                <w:sz w:val="18"/>
                <w:szCs w:val="18"/>
                <w:u w:val="single" w:color="auto"/>
                <w:color w:val="0000FF"/>
              </w:rPr>
              <w:t>25*</w:t>
            </w:r>
          </w:p>
        </w:tc>
        <w:tc>
          <w:tcPr>
            <w:tcW w:w="10400" w:type="dxa"/>
            <w:vAlign w:val="bottom"/>
            <w:gridSpan w:val="29"/>
          </w:tcPr>
          <w:p>
            <w:pPr>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Description of our Capital Stock ((incorporated by reference to Exhibit 4.25 to EchoStar Corporations’ Annual Report on Form</w:t>
              </w:r>
            </w:hyperlink>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140" w:type="dxa"/>
            <w:vAlign w:val="bottom"/>
            <w:gridSpan w:val="16"/>
          </w:tcPr>
          <w:p>
            <w:pPr>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10-K for the year ended December 31, 2019, filed February 20, 2020, Commission File No. 001-33807).</w:t>
              </w:r>
            </w:hyperlink>
          </w:p>
        </w:tc>
        <w:tc>
          <w:tcPr>
            <w:tcW w:w="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40" w:type="dxa"/>
            <w:vAlign w:val="bottom"/>
            <w:gridSpan w:val="2"/>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60" w:type="dxa"/>
            <w:vAlign w:val="bottom"/>
            <w:gridSpan w:val="3"/>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40" w:type="dxa"/>
            <w:vAlign w:val="bottom"/>
            <w:gridSpan w:val="2"/>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10.1*</w:t>
              </w:r>
            </w:hyperlink>
          </w:p>
        </w:tc>
        <w:tc>
          <w:tcPr>
            <w:tcW w:w="10400" w:type="dxa"/>
            <w:vAlign w:val="bottom"/>
            <w:gridSpan w:val="29"/>
          </w:tcPr>
          <w:p>
            <w:pPr>
              <w:spacing w:after="0"/>
              <w:rPr>
                <w:rFonts w:ascii="Arial" w:cs="Arial" w:eastAsia="Arial" w:hAnsi="Arial"/>
                <w:sz w:val="18"/>
                <w:szCs w:val="18"/>
                <w:color w:val="0000FF"/>
              </w:rPr>
            </w:pPr>
            <w:hyperlink r:id="rId104">
              <w:r>
                <w:rPr>
                  <w:rFonts w:ascii="Arial" w:cs="Arial" w:eastAsia="Arial" w:hAnsi="Arial"/>
                  <w:sz w:val="18"/>
                  <w:szCs w:val="18"/>
                  <w:color w:val="0000FF"/>
                </w:rPr>
                <w:t>Form of Tax Sharing Agreement between EchoStar Corporation and DISH Network Corporation (incorporated by reference to</w:t>
              </w:r>
            </w:hyperlink>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Exhibit 10.2 to Amendment No. 1 of EchoStar Corporation’s Form 10 filed December 12, 2007, Commission File No. 001-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r:id="rId104">
              <w:r>
                <w:rPr>
                  <w:rFonts w:ascii="Arial" w:cs="Arial" w:eastAsia="Arial" w:hAnsi="Arial"/>
                  <w:sz w:val="18"/>
                  <w:szCs w:val="18"/>
                  <w:color w:val="0000FF"/>
                  <w:w w:val="94"/>
                </w:rPr>
                <w:t>33807).</w:t>
              </w:r>
            </w:hyperlink>
          </w:p>
        </w:tc>
        <w:tc>
          <w:tcPr>
            <w:tcW w:w="84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4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160" w:type="dxa"/>
            <w:vAlign w:val="bottom"/>
            <w:gridSpan w:val="2"/>
          </w:tcPr>
          <w:p>
            <w:pPr>
              <w:spacing w:after="0"/>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10.2*</w:t>
              </w:r>
            </w:hyperlink>
          </w:p>
        </w:tc>
        <w:tc>
          <w:tcPr>
            <w:tcW w:w="10400" w:type="dxa"/>
            <w:vAlign w:val="bottom"/>
            <w:gridSpan w:val="29"/>
          </w:tcPr>
          <w:p>
            <w:pPr>
              <w:spacing w:after="0"/>
              <w:rPr>
                <w:rFonts w:ascii="Arial" w:cs="Arial" w:eastAsia="Arial" w:hAnsi="Arial"/>
                <w:sz w:val="18"/>
                <w:szCs w:val="18"/>
                <w:color w:val="0000FF"/>
              </w:rPr>
            </w:pPr>
            <w:hyperlink r:id="rId105">
              <w:r>
                <w:rPr>
                  <w:rFonts w:ascii="Arial" w:cs="Arial" w:eastAsia="Arial" w:hAnsi="Arial"/>
                  <w:sz w:val="18"/>
                  <w:szCs w:val="18"/>
                  <w:color w:val="0000FF"/>
                </w:rPr>
                <w:t>Form of EchoStar Corporation 2008 Class B CEO Stock Option Plan (incorporated by reference to Exhibit 10.25 to</w:t>
              </w:r>
            </w:hyperlink>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40" w:type="dxa"/>
            <w:vAlign w:val="bottom"/>
            <w:tcBorders>
              <w:top w:val="single" w:sz="8" w:color="0000FF"/>
            </w:tcBorders>
            <w:gridSpan w:val="21"/>
          </w:tcPr>
          <w:p>
            <w:pPr>
              <w:spacing w:after="0"/>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Amendment No. 1 of EchoStar Corporation’s Form 10 filed December 12, 2007, Commission File No. 001-33807).**</w:t>
              </w:r>
            </w:hyperlink>
          </w:p>
        </w:tc>
        <w:tc>
          <w:tcPr>
            <w:tcW w:w="6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Arial" w:cs="Arial" w:eastAsia="Arial" w:hAnsi="Arial"/>
                <w:sz w:val="18"/>
                <w:szCs w:val="18"/>
                <w:color w:val="auto"/>
              </w:rPr>
              <w:t>10.3*</w:t>
            </w:r>
          </w:p>
        </w:tc>
        <w:tc>
          <w:tcPr>
            <w:tcW w:w="10400" w:type="dxa"/>
            <w:vAlign w:val="bottom"/>
            <w:gridSpan w:val="29"/>
          </w:tcPr>
          <w:p>
            <w:pPr>
              <w:spacing w:after="0"/>
              <w:rPr>
                <w:rFonts w:ascii="Arial" w:cs="Arial" w:eastAsia="Arial" w:hAnsi="Arial"/>
                <w:sz w:val="18"/>
                <w:szCs w:val="18"/>
                <w:color w:val="0000FF"/>
              </w:rPr>
            </w:pPr>
            <w:hyperlink r:id="rId106">
              <w:r>
                <w:rPr>
                  <w:rFonts w:ascii="Arial" w:cs="Arial" w:eastAsia="Arial" w:hAnsi="Arial"/>
                  <w:sz w:val="18"/>
                  <w:szCs w:val="18"/>
                  <w:color w:val="0000FF"/>
                </w:rPr>
                <w:t>Amended and Restated EchoStar Corporation 2008 Stock Incentive Plan (the “2008 Stock Incentive Plan”) (incorporated by</w:t>
              </w:r>
            </w:hyperlink>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reference to EchoStar Corporation’s Definitive Proxy Statement on Form 14, filed September 18, 2014, Commission File</w:t>
              </w:r>
            </w:hyperlink>
          </w:p>
        </w:tc>
        <w:tc>
          <w:tcPr>
            <w:tcW w:w="6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40" w:type="dxa"/>
            <w:vAlign w:val="bottom"/>
            <w:tcBorders>
              <w:bottom w:val="single" w:sz="8" w:color="0000FF"/>
            </w:tcBorders>
            <w:gridSpan w:val="2"/>
          </w:tcPr>
          <w:p>
            <w:pPr>
              <w:spacing w:after="0" w:line="156" w:lineRule="exact"/>
              <w:rPr>
                <w:rFonts w:ascii="Arial" w:cs="Arial" w:eastAsia="Arial" w:hAnsi="Arial"/>
                <w:sz w:val="18"/>
                <w:szCs w:val="18"/>
                <w:color w:val="0000FF"/>
                <w:w w:val="98"/>
              </w:rPr>
            </w:pPr>
            <w:hyperlink r:id="rId106">
              <w:r>
                <w:rPr>
                  <w:rFonts w:ascii="Arial" w:cs="Arial" w:eastAsia="Arial" w:hAnsi="Arial"/>
                  <w:sz w:val="18"/>
                  <w:szCs w:val="18"/>
                  <w:color w:val="0000FF"/>
                  <w:w w:val="98"/>
                </w:rPr>
                <w:t>No. 001-33807).**</w:t>
              </w:r>
            </w:hyperlink>
          </w:p>
        </w:tc>
        <w:tc>
          <w:tcPr>
            <w:tcW w:w="888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color w:val="auto"/>
              </w:rPr>
              <w:t>10.4*</w:t>
            </w:r>
          </w:p>
        </w:tc>
        <w:tc>
          <w:tcPr>
            <w:tcW w:w="10400" w:type="dxa"/>
            <w:vAlign w:val="bottom"/>
            <w:gridSpan w:val="29"/>
          </w:tcPr>
          <w:p>
            <w:pPr>
              <w:spacing w:after="0"/>
              <w:rPr>
                <w:rFonts w:ascii="Arial" w:cs="Arial" w:eastAsia="Arial" w:hAnsi="Arial"/>
                <w:sz w:val="18"/>
                <w:szCs w:val="18"/>
                <w:color w:val="0000FF"/>
              </w:rPr>
            </w:pPr>
            <w:hyperlink r:id="rId107">
              <w:r>
                <w:rPr>
                  <w:rFonts w:ascii="Arial" w:cs="Arial" w:eastAsia="Arial" w:hAnsi="Arial"/>
                  <w:sz w:val="18"/>
                  <w:szCs w:val="18"/>
                  <w:color w:val="0000FF"/>
                </w:rPr>
                <w:t>Amended and Restated EchoStar Corporation 2008 Non-Employee Director Stock Option Plan (the “2008 Non-Employee</w:t>
              </w:r>
            </w:hyperlink>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3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Director Stock Option Plan”) (incorporated by reference to EchoStar Corporation’s Definitive Proxy Statement on Form 14,</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3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filed March 31, 2009, Commission File No. 001-33807).**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color w:val="auto"/>
              </w:rPr>
              <w:t>10.5*</w:t>
            </w:r>
          </w:p>
        </w:tc>
        <w:tc>
          <w:tcPr>
            <w:tcW w:w="10400" w:type="dxa"/>
            <w:vAlign w:val="bottom"/>
            <w:gridSpan w:val="29"/>
          </w:tcPr>
          <w:p>
            <w:pPr>
              <w:spacing w:after="0"/>
              <w:rPr>
                <w:rFonts w:ascii="Arial" w:cs="Arial" w:eastAsia="Arial" w:hAnsi="Arial"/>
                <w:sz w:val="18"/>
                <w:szCs w:val="18"/>
                <w:color w:val="0000FF"/>
              </w:rPr>
            </w:pPr>
            <w:hyperlink r:id="rId108">
              <w:r>
                <w:rPr>
                  <w:rFonts w:ascii="Arial" w:cs="Arial" w:eastAsia="Arial" w:hAnsi="Arial"/>
                  <w:sz w:val="18"/>
                  <w:szCs w:val="18"/>
                  <w:color w:val="0000FF"/>
                </w:rPr>
                <w:t>Allocation Agreement, dated August 4, 2009, between EchoStar Corporation and DISH Network Corporation (incorporated by</w:t>
              </w:r>
            </w:hyperlink>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16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reference from Exhibit 10.4 to EchoStar Corporation’s Quarterly Report on Form 10-Q for the quarter ended September 30,</w:t>
              </w:r>
            </w:hyperlink>
          </w:p>
        </w:tc>
        <w:tc>
          <w:tcPr>
            <w:tcW w:w="20" w:type="dxa"/>
            <w:vAlign w:val="bottom"/>
            <w:tcBorders>
              <w:bottom w:val="single" w:sz="8" w:color="0000FF"/>
            </w:tcBorders>
          </w:tcPr>
          <w:p>
            <w:pPr>
              <w:spacing w:after="0"/>
              <w:rPr>
                <w:sz w:val="13"/>
                <w:szCs w:val="13"/>
                <w:color w:val="auto"/>
              </w:rPr>
            </w:pPr>
          </w:p>
        </w:tc>
        <w:tc>
          <w:tcPr>
            <w:tcW w:w="160" w:type="dxa"/>
            <w:vAlign w:val="bottom"/>
            <w:tcBorders>
              <w:bottom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140" w:type="dxa"/>
            <w:vAlign w:val="bottom"/>
            <w:tcBorders>
              <w:bottom w:val="single" w:sz="8" w:color="0000FF"/>
            </w:tcBorders>
            <w:gridSpan w:val="7"/>
          </w:tcPr>
          <w:p>
            <w:pPr>
              <w:spacing w:after="0" w:line="156" w:lineRule="exact"/>
              <w:rPr>
                <w:rFonts w:ascii="Arial" w:cs="Arial" w:eastAsia="Arial" w:hAnsi="Arial"/>
                <w:sz w:val="18"/>
                <w:szCs w:val="18"/>
                <w:color w:val="0000FF"/>
                <w:w w:val="99"/>
              </w:rPr>
            </w:pPr>
            <w:hyperlink r:id="rId108">
              <w:r>
                <w:rPr>
                  <w:rFonts w:ascii="Arial" w:cs="Arial" w:eastAsia="Arial" w:hAnsi="Arial"/>
                  <w:sz w:val="18"/>
                  <w:szCs w:val="18"/>
                  <w:color w:val="0000FF"/>
                  <w:w w:val="99"/>
                </w:rPr>
                <w:t>2009, filed November 9, 2009, Commission File No. 001-33807).</w:t>
              </w:r>
            </w:hyperlink>
          </w:p>
        </w:tc>
        <w:tc>
          <w:tcPr>
            <w:tcW w:w="5200" w:type="dxa"/>
            <w:vAlign w:val="bottom"/>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color w:val="auto"/>
              </w:rPr>
              <w:t>10.6*</w:t>
            </w:r>
          </w:p>
        </w:tc>
        <w:tc>
          <w:tcPr>
            <w:tcW w:w="10400" w:type="dxa"/>
            <w:vAlign w:val="bottom"/>
            <w:gridSpan w:val="29"/>
          </w:tcPr>
          <w:p>
            <w:pPr>
              <w:spacing w:after="0"/>
              <w:rPr>
                <w:rFonts w:ascii="Arial" w:cs="Arial" w:eastAsia="Arial" w:hAnsi="Arial"/>
                <w:sz w:val="18"/>
                <w:szCs w:val="18"/>
                <w:color w:val="0000FF"/>
              </w:rPr>
            </w:pPr>
            <w:hyperlink r:id="rId109">
              <w:r>
                <w:rPr>
                  <w:rFonts w:ascii="Arial" w:cs="Arial" w:eastAsia="Arial" w:hAnsi="Arial"/>
                  <w:sz w:val="18"/>
                  <w:szCs w:val="18"/>
                  <w:color w:val="0000FF"/>
                </w:rPr>
                <w:t>Employment  Agreement,  dated  as  of  April  23,  2005  between  Hughes  Network  Systems,  LLC  and  Pradman  Kaul</w:t>
              </w:r>
            </w:hyperlink>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3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(incorporated by reference to Exhibit 10.3 to Hughes Communications Inc.’s Registration Statement on Form S-1, filed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5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109">
              <w:r>
                <w:rPr>
                  <w:rFonts w:ascii="Arial" w:cs="Arial" w:eastAsia="Arial" w:hAnsi="Arial"/>
                  <w:sz w:val="18"/>
                  <w:szCs w:val="18"/>
                  <w:color w:val="0000FF"/>
                  <w:w w:val="99"/>
                </w:rPr>
                <w:t>December 5, 2005, Commission File No. 333-130136).**</w:t>
              </w:r>
            </w:hyperlink>
          </w:p>
        </w:tc>
        <w:tc>
          <w:tcPr>
            <w:tcW w:w="5440" w:type="dxa"/>
            <w:vAlign w:val="bottom"/>
            <w:tcBorders>
              <w:top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color w:val="auto"/>
              </w:rPr>
              <w:t>10.7*</w:t>
            </w:r>
          </w:p>
        </w:tc>
        <w:tc>
          <w:tcPr>
            <w:tcW w:w="10400" w:type="dxa"/>
            <w:vAlign w:val="bottom"/>
            <w:gridSpan w:val="29"/>
          </w:tcPr>
          <w:p>
            <w:pPr>
              <w:spacing w:after="0"/>
              <w:rPr>
                <w:rFonts w:ascii="Arial" w:cs="Arial" w:eastAsia="Arial" w:hAnsi="Arial"/>
                <w:sz w:val="18"/>
                <w:szCs w:val="18"/>
                <w:color w:val="0000FF"/>
              </w:rPr>
            </w:pPr>
            <w:hyperlink r:id="rId110">
              <w:r>
                <w:rPr>
                  <w:rFonts w:ascii="Arial" w:cs="Arial" w:eastAsia="Arial" w:hAnsi="Arial"/>
                  <w:sz w:val="18"/>
                  <w:szCs w:val="18"/>
                  <w:color w:val="0000FF"/>
                </w:rPr>
                <w:t>Amendment to Employment Agreement, dated as of December 23, 2010 between Hughes Communications, Inc. and</w:t>
              </w:r>
            </w:hyperlink>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1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Pradman Kaul (incorporated by reference to Exhibit 10.29 to Hughes Communications Inc.’s Annual Report on Form 10-K,</w:t>
              </w:r>
            </w:hyperlink>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filed March 7, 2011, Commission File No. 001-33040).**</w:t>
              </w:r>
            </w:hyperlink>
          </w:p>
        </w:tc>
        <w:tc>
          <w:tcPr>
            <w:tcW w:w="5700" w:type="dxa"/>
            <w:vAlign w:val="bottom"/>
            <w:tcBorders>
              <w:top w:val="single" w:sz="8" w:color="0000FF"/>
            </w:tcBorders>
            <w:gridSpan w:val="11"/>
          </w:tcPr>
          <w:p>
            <w:pPr>
              <w:spacing w:after="0"/>
              <w:rPr>
                <w:sz w:val="13"/>
                <w:szCs w:val="13"/>
                <w:color w:val="auto"/>
              </w:rPr>
            </w:pPr>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color w:val="auto"/>
              </w:rPr>
              <w:t>10.8*</w:t>
            </w:r>
          </w:p>
        </w:tc>
        <w:tc>
          <w:tcPr>
            <w:tcW w:w="10400" w:type="dxa"/>
            <w:vAlign w:val="bottom"/>
            <w:gridSpan w:val="29"/>
          </w:tcPr>
          <w:p>
            <w:pPr>
              <w:spacing w:after="0"/>
              <w:rPr>
                <w:rFonts w:ascii="Arial" w:cs="Arial" w:eastAsia="Arial" w:hAnsi="Arial"/>
                <w:sz w:val="18"/>
                <w:szCs w:val="18"/>
                <w:color w:val="0000FF"/>
              </w:rPr>
            </w:pPr>
            <w:hyperlink r:id="rId111">
              <w:r>
                <w:rPr>
                  <w:rFonts w:ascii="Arial" w:cs="Arial" w:eastAsia="Arial" w:hAnsi="Arial"/>
                  <w:sz w:val="18"/>
                  <w:szCs w:val="18"/>
                  <w:color w:val="0000FF"/>
                </w:rPr>
                <w:t>Amendment to Employment Agreement, dated as of April 1, 2016, between Hughes Communications, Inc. and Pradman Kaul</w:t>
              </w:r>
            </w:hyperlink>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1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(incorporated by reference to Exhibit 10.1 EchoStar Corporation’s Current Report on Form 8-K, filed April 6, 2016,</w:t>
              </w:r>
            </w:hyperlink>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111">
              <w:r>
                <w:rPr>
                  <w:rFonts w:ascii="Arial" w:cs="Arial" w:eastAsia="Arial" w:hAnsi="Arial"/>
                  <w:sz w:val="18"/>
                  <w:szCs w:val="18"/>
                  <w:color w:val="0000FF"/>
                  <w:w w:val="99"/>
                </w:rPr>
                <w:t>Commission File No. 001-33807).**</w:t>
              </w:r>
            </w:hyperlink>
          </w:p>
        </w:tc>
        <w:tc>
          <w:tcPr>
            <w:tcW w:w="72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color w:val="auto"/>
              </w:rPr>
              <w:t>10.9*</w:t>
            </w:r>
          </w:p>
        </w:tc>
        <w:tc>
          <w:tcPr>
            <w:tcW w:w="10400" w:type="dxa"/>
            <w:vAlign w:val="bottom"/>
            <w:gridSpan w:val="29"/>
          </w:tcPr>
          <w:p>
            <w:pPr>
              <w:spacing w:after="0"/>
              <w:rPr>
                <w:rFonts w:ascii="Arial" w:cs="Arial" w:eastAsia="Arial" w:hAnsi="Arial"/>
                <w:sz w:val="18"/>
                <w:szCs w:val="18"/>
                <w:color w:val="0000FF"/>
              </w:rPr>
            </w:pPr>
            <w:hyperlink r:id="rId112">
              <w:r>
                <w:rPr>
                  <w:rFonts w:ascii="Arial" w:cs="Arial" w:eastAsia="Arial" w:hAnsi="Arial"/>
                  <w:sz w:val="18"/>
                  <w:szCs w:val="18"/>
                  <w:color w:val="0000FF"/>
                </w:rPr>
                <w:t>Form of Restricted Stock Unit Agreement for 2008 Stock Incentive Plan — Executive or Director (incorporated by reference to</w:t>
              </w:r>
            </w:hyperlink>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3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Exhibit 10.1 to EchoStar Corporation’s Quarterly Report on Form 10-Q for the quarter ended September 30, 2015, filed</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112">
              <w:r>
                <w:rPr>
                  <w:rFonts w:ascii="Arial" w:cs="Arial" w:eastAsia="Arial" w:hAnsi="Arial"/>
                  <w:sz w:val="18"/>
                  <w:szCs w:val="18"/>
                  <w:color w:val="0000FF"/>
                  <w:w w:val="99"/>
                </w:rPr>
                <w:t>November 6, 2015, Commission File No. 001-33807).**</w:t>
              </w:r>
            </w:hyperlink>
          </w:p>
        </w:tc>
        <w:tc>
          <w:tcPr>
            <w:tcW w:w="5820" w:type="dxa"/>
            <w:vAlign w:val="bottom"/>
            <w:tcBorders>
              <w:top w:val="single" w:sz="8" w:color="0000FF"/>
            </w:tcBorders>
            <w:gridSpan w:val="16"/>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color w:val="auto"/>
              </w:rPr>
              <w:t>10.10*</w:t>
            </w:r>
          </w:p>
        </w:tc>
        <w:tc>
          <w:tcPr>
            <w:tcW w:w="10400" w:type="dxa"/>
            <w:vAlign w:val="bottom"/>
            <w:gridSpan w:val="29"/>
          </w:tcPr>
          <w:p>
            <w:pPr>
              <w:spacing w:after="0"/>
              <w:rPr>
                <w:rFonts w:ascii="Arial" w:cs="Arial" w:eastAsia="Arial" w:hAnsi="Arial"/>
                <w:sz w:val="18"/>
                <w:szCs w:val="18"/>
                <w:color w:val="0000FF"/>
              </w:rPr>
            </w:pPr>
            <w:hyperlink r:id="rId113">
              <w:r>
                <w:rPr>
                  <w:rFonts w:ascii="Arial" w:cs="Arial" w:eastAsia="Arial" w:hAnsi="Arial"/>
                  <w:sz w:val="18"/>
                  <w:szCs w:val="18"/>
                  <w:color w:val="0000FF"/>
                </w:rPr>
                <w:t>Form of Stock Option Agreement for 2008 Stock Incentive Plan (1999) (incorporated by reference to Exhibit 10.39 to</w:t>
              </w:r>
            </w:hyperlink>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EchoStar Corporation’s Annual Report on Form 10-K for the year ended December 31, 2015, filed February 24, 2016,</w:t>
              </w:r>
            </w:hyperlink>
          </w:p>
        </w:tc>
        <w:tc>
          <w:tcPr>
            <w:tcW w:w="32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113">
              <w:r>
                <w:rPr>
                  <w:rFonts w:ascii="Arial" w:cs="Arial" w:eastAsia="Arial" w:hAnsi="Arial"/>
                  <w:sz w:val="18"/>
                  <w:szCs w:val="18"/>
                  <w:color w:val="0000FF"/>
                  <w:w w:val="99"/>
                </w:rPr>
                <w:t>Commission File No. 001-33807).**</w:t>
              </w:r>
            </w:hyperlink>
          </w:p>
        </w:tc>
        <w:tc>
          <w:tcPr>
            <w:tcW w:w="7240" w:type="dxa"/>
            <w:vAlign w:val="bottom"/>
            <w:tcBorders>
              <w:top w:val="single" w:sz="8" w:color="0000FF"/>
            </w:tcBorders>
            <w:gridSpan w:val="10"/>
          </w:tcPr>
          <w:p>
            <w:pPr>
              <w:spacing w:after="0"/>
              <w:rPr>
                <w:sz w:val="13"/>
                <w:szCs w:val="13"/>
                <w:color w:val="auto"/>
              </w:rPr>
            </w:pPr>
          </w:p>
        </w:tc>
        <w:tc>
          <w:tcPr>
            <w:tcW w:w="34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115">
        <w:r>
          <w:rPr>
            <w:rFonts w:ascii="Arial" w:cs="Arial" w:eastAsia="Arial" w:hAnsi="Arial"/>
            <w:sz w:val="18"/>
            <w:szCs w:val="18"/>
            <w:u w:val="single" w:color="auto"/>
            <w:color w:val="0000FF"/>
          </w:rPr>
          <w:t>Form of Stock Option Agreement for 2008 Stock Incentive Plan — Employee (2008) (incorporated by reference to Exhibit</w:t>
        </w:r>
      </w:hyperlink>
    </w:p>
    <w:p>
      <w:pPr>
        <w:ind w:left="1180"/>
        <w:spacing w:after="0" w:line="203" w:lineRule="auto"/>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10.40 to EchoStar Corporation’s Annual Report on Form 10-K for the year ended December 31, 2015, filed February 24,</w:t>
        </w:r>
      </w:hyperlink>
    </w:p>
    <w:p>
      <w:pPr>
        <w:ind w:left="1180"/>
        <w:spacing w:after="0"/>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2016, Commission File No. 001-33807).**</w:t>
        </w:r>
      </w:hyperlink>
    </w:p>
    <w:p>
      <w:pPr>
        <w:spacing w:after="0" w:line="234" w:lineRule="exact"/>
        <w:rPr>
          <w:sz w:val="20"/>
          <w:szCs w:val="20"/>
          <w:color w:val="auto"/>
        </w:rPr>
      </w:pPr>
    </w:p>
    <w:p>
      <w:pPr>
        <w:ind w:left="20"/>
        <w:spacing w:after="0"/>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116">
        <w:r>
          <w:rPr>
            <w:rFonts w:ascii="Arial" w:cs="Arial" w:eastAsia="Arial" w:hAnsi="Arial"/>
            <w:sz w:val="18"/>
            <w:szCs w:val="18"/>
            <w:u w:val="single" w:color="auto"/>
            <w:color w:val="0000FF"/>
          </w:rPr>
          <w:t>Form of Stock Option Agreement for 2008 Stock Incentive Plan — Executive (2008) (incorporated by reference to Exhibit</w:t>
        </w:r>
      </w:hyperlink>
    </w:p>
    <w:p>
      <w:pPr>
        <w:ind w:left="1180"/>
        <w:spacing w:after="0" w:line="203"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10.41 to EchoStar Corporation’s Annual Report on Form 10-K for the year ended December 31, 2015, filed February 24,</w:t>
        </w:r>
      </w:hyperlink>
    </w:p>
    <w:p>
      <w:pPr>
        <w:ind w:left="1180"/>
        <w:spacing w:after="0"/>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2016, Commission File No. 001-33807).**</w:t>
        </w:r>
      </w:hyperlink>
    </w:p>
    <w:p>
      <w:pPr>
        <w:spacing w:after="0" w:line="234" w:lineRule="exact"/>
        <w:rPr>
          <w:sz w:val="20"/>
          <w:szCs w:val="20"/>
          <w:color w:val="auto"/>
        </w:rPr>
      </w:pPr>
    </w:p>
    <w:p>
      <w:pPr>
        <w:ind w:left="20"/>
        <w:spacing w:after="0"/>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117">
        <w:r>
          <w:rPr>
            <w:rFonts w:ascii="Arial" w:cs="Arial" w:eastAsia="Arial" w:hAnsi="Arial"/>
            <w:sz w:val="18"/>
            <w:szCs w:val="18"/>
            <w:u w:val="single" w:color="auto"/>
            <w:color w:val="0000FF"/>
          </w:rPr>
          <w:t>Form of Stock Option Agreement for 2008 Stock Incentive Plan — Employee (2014) (incorporated by reference to Exhibit</w:t>
        </w:r>
      </w:hyperlink>
    </w:p>
    <w:p>
      <w:pPr>
        <w:ind w:left="1180"/>
        <w:spacing w:after="0" w:line="203" w:lineRule="auto"/>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10.42 to EchoStar Corporation’s Annual Report on Form 10-K for the year ended December 31, 2015, filed February 24,</w:t>
        </w:r>
      </w:hyperlink>
    </w:p>
    <w:p>
      <w:pPr>
        <w:ind w:left="1180"/>
        <w:spacing w:after="0"/>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2016, Commission File No. 001-33807).**</w:t>
        </w:r>
      </w:hyperlink>
    </w:p>
    <w:p>
      <w:pPr>
        <w:spacing w:after="0" w:line="234" w:lineRule="exact"/>
        <w:rPr>
          <w:sz w:val="20"/>
          <w:szCs w:val="20"/>
          <w:color w:val="auto"/>
        </w:rPr>
      </w:pPr>
    </w:p>
    <w:p>
      <w:pPr>
        <w:ind w:left="20"/>
        <w:spacing w:after="0"/>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18">
        <w:r>
          <w:rPr>
            <w:rFonts w:ascii="Arial" w:cs="Arial" w:eastAsia="Arial" w:hAnsi="Arial"/>
            <w:sz w:val="18"/>
            <w:szCs w:val="18"/>
            <w:u w:val="single" w:color="auto"/>
            <w:color w:val="0000FF"/>
          </w:rPr>
          <w:t>Form of Stock Option Agreement for 2008 Stock Incentive Plan — Executive (2014) (incorporated by reference to Exhibit</w:t>
        </w:r>
      </w:hyperlink>
    </w:p>
    <w:p>
      <w:pPr>
        <w:ind w:left="1180"/>
        <w:spacing w:after="0" w:line="203" w:lineRule="auto"/>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10.43 to EchoStar Corporation’s Annual Report on Form 10-K for the year ended December 31, 2015, filed February 24,</w:t>
        </w:r>
      </w:hyperlink>
    </w:p>
    <w:p>
      <w:pPr>
        <w:ind w:left="1180"/>
        <w:spacing w:after="0"/>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2016, Commission File No. 001-33807). **</w:t>
        </w:r>
      </w:hyperlink>
    </w:p>
    <w:p>
      <w:pPr>
        <w:spacing w:after="0" w:line="244" w:lineRule="exact"/>
        <w:rPr>
          <w:sz w:val="20"/>
          <w:szCs w:val="20"/>
          <w:color w:val="auto"/>
        </w:rPr>
      </w:pPr>
    </w:p>
    <w:p>
      <w:pPr>
        <w:jc w:val="both"/>
        <w:ind w:left="1180" w:hanging="1146"/>
        <w:spacing w:after="0" w:line="229"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19">
        <w:r>
          <w:rPr>
            <w:rFonts w:ascii="Arial" w:cs="Arial" w:eastAsia="Arial" w:hAnsi="Arial"/>
            <w:sz w:val="18"/>
            <w:szCs w:val="18"/>
            <w:u w:val="single" w:color="auto"/>
            <w:color w:val="0000FF"/>
          </w:rPr>
          <w:t>Form of Non-Employee Director Stock Option Agreement for 2008 Non-Employee Director Stock Option Plan (incorporated</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by reference to Exhibit 10.44 to EchoStar Corporation’s Annual Report on Form 10-K for the year ended December 31, 2015,</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filed February 24, 2016, Commission File No. 001-33807). **</w:t>
        </w:r>
      </w:hyperlink>
    </w:p>
    <w:p>
      <w:pPr>
        <w:spacing w:after="0" w:line="231" w:lineRule="exact"/>
        <w:rPr>
          <w:rFonts w:ascii="Arial" w:cs="Arial" w:eastAsia="Arial" w:hAnsi="Arial"/>
          <w:sz w:val="18"/>
          <w:szCs w:val="18"/>
          <w:u w:val="single" w:color="auto"/>
          <w:color w:val="0000FF"/>
        </w:rPr>
      </w:pPr>
    </w:p>
    <w:p>
      <w:pPr>
        <w:jc w:val="both"/>
        <w:ind w:left="1180" w:hanging="1146"/>
        <w:spacing w:after="0" w:line="229"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20">
        <w:r>
          <w:rPr>
            <w:rFonts w:ascii="Arial" w:cs="Arial" w:eastAsia="Arial" w:hAnsi="Arial"/>
            <w:sz w:val="18"/>
            <w:szCs w:val="18"/>
            <w:u w:val="single" w:color="auto"/>
            <w:color w:val="0000FF"/>
          </w:rPr>
          <w:t>Form of Restricted Stock Unit Agreement for 2008 Stock Incentive Plan — Executive or Director (2011) (incorporated by</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reference to Exhibit 10.45 to EchoStar Corporation’s Annual Report on Form 10-K for the year ended December 31, 2015,</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filed February 24, 2016, Commission File No. 001-33807).**</w:t>
        </w:r>
      </w:hyperlink>
    </w:p>
    <w:p>
      <w:pPr>
        <w:spacing w:after="0" w:line="222" w:lineRule="exact"/>
        <w:rPr>
          <w:rFonts w:ascii="Arial" w:cs="Arial" w:eastAsia="Arial" w:hAnsi="Arial"/>
          <w:sz w:val="18"/>
          <w:szCs w:val="18"/>
          <w:u w:val="single" w:color="auto"/>
          <w:color w:val="0000FF"/>
        </w:rPr>
      </w:pPr>
    </w:p>
    <w:p>
      <w:pPr>
        <w:ind w:left="20"/>
        <w:spacing w:after="0"/>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21">
        <w:r>
          <w:rPr>
            <w:rFonts w:ascii="Arial" w:cs="Arial" w:eastAsia="Arial" w:hAnsi="Arial"/>
            <w:sz w:val="18"/>
            <w:szCs w:val="18"/>
            <w:u w:val="single" w:color="auto"/>
            <w:color w:val="0000FF"/>
          </w:rPr>
          <w:t>EchoStar Corporation Executive Officer Bonus Incentive Plan, dated as of May 4, 2016 (incorporated by reference to Exhibit</w:t>
        </w:r>
      </w:hyperlink>
    </w:p>
    <w:p>
      <w:pPr>
        <w:ind w:left="1180"/>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10.1 to EchoStar Corporation’s Current Report on Form 8-K, filed May 5, 2016, Commission File No. 001-33807).**</w:t>
        </w:r>
      </w:hyperlink>
    </w:p>
    <w:p>
      <w:pPr>
        <w:spacing w:after="0" w:line="244" w:lineRule="exact"/>
        <w:rPr>
          <w:rFonts w:ascii="Arial" w:cs="Arial" w:eastAsia="Arial" w:hAnsi="Arial"/>
          <w:sz w:val="18"/>
          <w:szCs w:val="18"/>
          <w:u w:val="single" w:color="auto"/>
          <w:color w:val="0000FF"/>
        </w:rPr>
      </w:pPr>
    </w:p>
    <w:p>
      <w:pPr>
        <w:jc w:val="both"/>
        <w:ind w:left="1180" w:hanging="1146"/>
        <w:spacing w:after="0" w:line="219"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122">
        <w:r>
          <w:rPr>
            <w:rFonts w:ascii="Arial" w:cs="Arial" w:eastAsia="Arial" w:hAnsi="Arial"/>
            <w:sz w:val="18"/>
            <w:szCs w:val="18"/>
            <w:u w:val="single" w:color="auto"/>
            <w:color w:val="0000FF"/>
          </w:rPr>
          <w:t>Share Exchange Agreement among DISH Network Corporation, DISH Network L.L.C., DISH Operating L.L.C., EchoStar</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Corporation, EchoStar Broadcasting Holding Parent L.L.C., EchoStar Broadcasting Holding Corporation, EchoStar</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Technologies Holding Corporation, and EchoStar Technologies L.L.C., dated as of January 31, 2017 (incorporated by</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reference to Exhibit 10.1 to EchoStar Corporation’s Quarterly Report on Form 10-Q for the quarter ended March 31, 2017,</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filed May 10, 2017, Commission File No. 001-33807. ***/****</w:t>
        </w:r>
      </w:hyperlink>
    </w:p>
    <w:p>
      <w:pPr>
        <w:spacing w:after="0" w:line="230" w:lineRule="exact"/>
        <w:rPr>
          <w:rFonts w:ascii="Arial" w:cs="Arial" w:eastAsia="Arial" w:hAnsi="Arial"/>
          <w:sz w:val="18"/>
          <w:szCs w:val="18"/>
          <w:u w:val="single" w:color="auto"/>
          <w:color w:val="0000FF"/>
        </w:rPr>
      </w:pPr>
    </w:p>
    <w:p>
      <w:pPr>
        <w:jc w:val="both"/>
        <w:ind w:left="1180" w:right="20" w:hanging="1146"/>
        <w:spacing w:after="0" w:line="245"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23">
        <w:r>
          <w:rPr>
            <w:rFonts w:ascii="Arial" w:cs="Arial" w:eastAsia="Arial" w:hAnsi="Arial"/>
            <w:sz w:val="18"/>
            <w:szCs w:val="18"/>
            <w:u w:val="single" w:color="auto"/>
            <w:color w:val="0000FF"/>
          </w:rPr>
          <w:t>EchoStar Corporation 2017 Stock Incentive Plan (incorporated by reference to EchoStar Corporation’s Definitive Proxy</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Statement on Form 14, filed March 23, 2017, Commission File No. 001-33807).**</w:t>
        </w:r>
      </w:hyperlink>
    </w:p>
    <w:p>
      <w:pPr>
        <w:spacing w:after="0" w:line="216" w:lineRule="exact"/>
        <w:rPr>
          <w:sz w:val="20"/>
          <w:szCs w:val="20"/>
          <w:color w:val="auto"/>
        </w:rPr>
      </w:pPr>
    </w:p>
    <w:p>
      <w:pPr>
        <w:ind w:left="20"/>
        <w:spacing w:after="0"/>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23">
        <w:r>
          <w:rPr>
            <w:rFonts w:ascii="Arial" w:cs="Arial" w:eastAsia="Arial" w:hAnsi="Arial"/>
            <w:sz w:val="18"/>
            <w:szCs w:val="18"/>
            <w:u w:val="single" w:color="auto"/>
            <w:color w:val="0000FF"/>
          </w:rPr>
          <w:t>EchoStar  Corporation  2017  Non-Employee  Director  Stock  Incentive  Plan  (incorporated  by  reference  to  EchoStar</w:t>
        </w:r>
      </w:hyperlink>
    </w:p>
    <w:p>
      <w:pPr>
        <w:jc w:val="center"/>
        <w:ind w:right="-19"/>
        <w:spacing w:after="0"/>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Corporation’s Definitive Proxy Statement on Form 14, filed March 23, 2017, Commission File No. 001-33807).**</w:t>
        </w:r>
      </w:hyperlink>
    </w:p>
    <w:p>
      <w:pPr>
        <w:spacing w:after="0" w:line="234" w:lineRule="exact"/>
        <w:rPr>
          <w:sz w:val="20"/>
          <w:szCs w:val="20"/>
          <w:color w:val="auto"/>
        </w:rPr>
      </w:pPr>
    </w:p>
    <w:p>
      <w:pPr>
        <w:ind w:left="20"/>
        <w:spacing w:after="0"/>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23">
        <w:r>
          <w:rPr>
            <w:rFonts w:ascii="Arial" w:cs="Arial" w:eastAsia="Arial" w:hAnsi="Arial"/>
            <w:sz w:val="18"/>
            <w:szCs w:val="18"/>
            <w:u w:val="single" w:color="auto"/>
            <w:color w:val="0000FF"/>
          </w:rPr>
          <w:t>Amended and Restated EchoStar Corporation 2017 Employee Stock Purchase Plan (incorporated by reference to EchoStar</w:t>
        </w:r>
      </w:hyperlink>
    </w:p>
    <w:p>
      <w:pPr>
        <w:jc w:val="center"/>
        <w:ind w:right="-19"/>
        <w:spacing w:after="0"/>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Corporation’s Definitive Proxy Statement on Form 14, filed March 23, 2017, Commission File No. 001-33807).**</w:t>
        </w:r>
      </w:hyperlink>
    </w:p>
    <w:p>
      <w:pPr>
        <w:spacing w:after="0" w:line="244" w:lineRule="exact"/>
        <w:rPr>
          <w:sz w:val="20"/>
          <w:szCs w:val="20"/>
          <w:color w:val="auto"/>
        </w:rPr>
      </w:pPr>
    </w:p>
    <w:p>
      <w:pPr>
        <w:jc w:val="both"/>
        <w:ind w:left="1180" w:hanging="1146"/>
        <w:spacing w:after="0" w:line="229"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24">
        <w:r>
          <w:rPr>
            <w:rFonts w:ascii="Arial" w:cs="Arial" w:eastAsia="Arial" w:hAnsi="Arial"/>
            <w:sz w:val="18"/>
            <w:szCs w:val="18"/>
            <w:u w:val="single" w:color="auto"/>
            <w:color w:val="0000FF"/>
          </w:rPr>
          <w:t>EchoStar Non-Qualified Plan -- Executive Plan and Adoption Agreement, as amended (incorporated by reference to Exhibit</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10.1 to EchoStar Corporation’s Quarterly Report on Form 10-Q for the quarter ended June 30, 2017, filed August 9, 2017,</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Commission File No. 001-33807).**</w:t>
        </w:r>
      </w:hyperlink>
    </w:p>
    <w:p>
      <w:pPr>
        <w:spacing w:after="0" w:line="231" w:lineRule="exact"/>
        <w:rPr>
          <w:rFonts w:ascii="Arial" w:cs="Arial" w:eastAsia="Arial" w:hAnsi="Arial"/>
          <w:sz w:val="18"/>
          <w:szCs w:val="18"/>
          <w:u w:val="single" w:color="auto"/>
          <w:color w:val="0000FF"/>
        </w:rPr>
      </w:pPr>
    </w:p>
    <w:p>
      <w:pPr>
        <w:jc w:val="both"/>
        <w:ind w:left="1180" w:hanging="1146"/>
        <w:spacing w:after="0" w:line="229"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25">
        <w:r>
          <w:rPr>
            <w:rFonts w:ascii="Arial" w:cs="Arial" w:eastAsia="Arial" w:hAnsi="Arial"/>
            <w:sz w:val="18"/>
            <w:szCs w:val="18"/>
            <w:u w:val="single" w:color="auto"/>
            <w:color w:val="0000FF"/>
          </w:rPr>
          <w:t>Form of Stock Option Agreement for the EchoStar Corporation 2017 Stock Incentive Plan - Employee (2017) (incorporated by</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reference to Exhibit 10.2 to EchoStar Corporation’s Quarterly Report on Form 10-Q for the quarter ended June 30, 2017, filed</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August 9, 2017, Commission File No. 001-33807).**</w:t>
        </w:r>
      </w:hyperlink>
    </w:p>
    <w:p>
      <w:pPr>
        <w:spacing w:after="0" w:line="231" w:lineRule="exact"/>
        <w:rPr>
          <w:rFonts w:ascii="Arial" w:cs="Arial" w:eastAsia="Arial" w:hAnsi="Arial"/>
          <w:sz w:val="18"/>
          <w:szCs w:val="18"/>
          <w:u w:val="single" w:color="auto"/>
          <w:color w:val="0000FF"/>
        </w:rPr>
      </w:pPr>
    </w:p>
    <w:p>
      <w:pPr>
        <w:jc w:val="both"/>
        <w:ind w:left="1180" w:hanging="1146"/>
        <w:spacing w:after="0" w:line="229"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26">
        <w:r>
          <w:rPr>
            <w:rFonts w:ascii="Arial" w:cs="Arial" w:eastAsia="Arial" w:hAnsi="Arial"/>
            <w:sz w:val="18"/>
            <w:szCs w:val="18"/>
            <w:u w:val="single" w:color="auto"/>
            <w:color w:val="0000FF"/>
          </w:rPr>
          <w:t>Form of Stock Option Agreement for the EchoStar Corporation 2017 Stock Incentive Plan - Executive (2017) (incorporated by</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reference to Exhibit 10.3 to EchoStar Corporation’s Quarterly Report on Form 10-Q for the quarter ended June 30, 2017, filed</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August 9, 2017, Commission File No. 001-33807). **</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52"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10.25*</w:t>
            </w:r>
          </w:p>
        </w:tc>
        <w:tc>
          <w:tcPr>
            <w:tcW w:w="10260" w:type="dxa"/>
            <w:vAlign w:val="bottom"/>
            <w:gridSpan w:val="29"/>
          </w:tcPr>
          <w:p>
            <w:pPr>
              <w:spacing w:after="0"/>
              <w:rPr>
                <w:rFonts w:ascii="Arial" w:cs="Arial" w:eastAsia="Arial" w:hAnsi="Arial"/>
                <w:sz w:val="18"/>
                <w:szCs w:val="18"/>
                <w:color w:val="0000FF"/>
              </w:rPr>
            </w:pPr>
            <w:hyperlink r:id="rId128">
              <w:r>
                <w:rPr>
                  <w:rFonts w:ascii="Arial" w:cs="Arial" w:eastAsia="Arial" w:hAnsi="Arial"/>
                  <w:sz w:val="18"/>
                  <w:szCs w:val="18"/>
                  <w:color w:val="0000FF"/>
                </w:rPr>
                <w:t>Form of Non-Employee Director Stock Option Agreement for the EchoStar Corporation 2017 Non-Employee Director Stock</w:t>
              </w:r>
            </w:hyperlink>
          </w:p>
        </w:tc>
      </w:tr>
      <w:tr>
        <w:trPr>
          <w:trHeight w:val="156"/>
        </w:trPr>
        <w:tc>
          <w:tcPr>
            <w:tcW w:w="116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Incentive Plan (incorporated by reference to Exhibit 10.4 to EchoStar Corporation’s Quarterly Report on Form 10-Q for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6920" w:type="dxa"/>
            <w:vAlign w:val="bottom"/>
            <w:tcBorders>
              <w:bottom w:val="single" w:sz="8" w:color="0000FF"/>
            </w:tcBorders>
            <w:gridSpan w:val="9"/>
          </w:tcPr>
          <w:p>
            <w:pPr>
              <w:spacing w:after="0" w:line="156" w:lineRule="exact"/>
              <w:rPr>
                <w:rFonts w:ascii="Arial" w:cs="Arial" w:eastAsia="Arial" w:hAnsi="Arial"/>
                <w:sz w:val="18"/>
                <w:szCs w:val="18"/>
                <w:color w:val="0000FF"/>
                <w:w w:val="99"/>
              </w:rPr>
            </w:pPr>
            <w:hyperlink r:id="rId128">
              <w:r>
                <w:rPr>
                  <w:rFonts w:ascii="Arial" w:cs="Arial" w:eastAsia="Arial" w:hAnsi="Arial"/>
                  <w:sz w:val="18"/>
                  <w:szCs w:val="18"/>
                  <w:color w:val="0000FF"/>
                  <w:w w:val="99"/>
                </w:rPr>
                <w:t>quarter ended June 30, 2017, filed August 9, 2017, Commission File No. 001-33807).**</w:t>
              </w:r>
            </w:hyperlink>
          </w:p>
        </w:tc>
        <w:tc>
          <w:tcPr>
            <w:tcW w:w="3320" w:type="dxa"/>
            <w:vAlign w:val="bottom"/>
            <w:gridSpan w:val="19"/>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18"/>
                <w:szCs w:val="18"/>
                <w:color w:val="auto"/>
              </w:rPr>
              <w:t>10.26*</w:t>
            </w:r>
          </w:p>
        </w:tc>
        <w:tc>
          <w:tcPr>
            <w:tcW w:w="10260" w:type="dxa"/>
            <w:vAlign w:val="bottom"/>
            <w:gridSpan w:val="29"/>
          </w:tcPr>
          <w:p>
            <w:pPr>
              <w:spacing w:after="0"/>
              <w:rPr>
                <w:rFonts w:ascii="Arial" w:cs="Arial" w:eastAsia="Arial" w:hAnsi="Arial"/>
                <w:sz w:val="18"/>
                <w:szCs w:val="18"/>
                <w:color w:val="0000FF"/>
              </w:rPr>
            </w:pPr>
            <w:hyperlink r:id="rId129">
              <w:r>
                <w:rPr>
                  <w:rFonts w:ascii="Arial" w:cs="Arial" w:eastAsia="Arial" w:hAnsi="Arial"/>
                  <w:sz w:val="18"/>
                  <w:szCs w:val="18"/>
                  <w:color w:val="0000FF"/>
                </w:rPr>
                <w:t>Form of Restricted Stock Unit Agreement for the EchoStar Corporation 2017 Stock Incentive Plan - Executive (2017)</w:t>
              </w:r>
            </w:hyperlink>
          </w:p>
        </w:tc>
      </w:tr>
      <w:tr>
        <w:trPr>
          <w:trHeight w:val="156"/>
        </w:trPr>
        <w:tc>
          <w:tcPr>
            <w:tcW w:w="1160" w:type="dxa"/>
            <w:vAlign w:val="bottom"/>
          </w:tcPr>
          <w:p>
            <w:pPr>
              <w:spacing w:after="0"/>
              <w:rPr>
                <w:sz w:val="13"/>
                <w:szCs w:val="13"/>
                <w:color w:val="auto"/>
              </w:rPr>
            </w:pPr>
          </w:p>
        </w:tc>
        <w:tc>
          <w:tcPr>
            <w:tcW w:w="101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(incorporated by reference to Exhibit 10.5 to EchoStar Corporation’s Quarterly Report on Form 10-Q for the quarter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100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June 30, 2017, filed August 9, 2017, Commission File No. 001-33807).**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18"/>
                <w:szCs w:val="18"/>
                <w:color w:val="auto"/>
              </w:rPr>
              <w:t>10.27*</w:t>
            </w:r>
          </w:p>
        </w:tc>
        <w:tc>
          <w:tcPr>
            <w:tcW w:w="10260" w:type="dxa"/>
            <w:vAlign w:val="bottom"/>
            <w:gridSpan w:val="29"/>
          </w:tcPr>
          <w:p>
            <w:pPr>
              <w:spacing w:after="0"/>
              <w:rPr>
                <w:rFonts w:ascii="Arial" w:cs="Arial" w:eastAsia="Arial" w:hAnsi="Arial"/>
                <w:sz w:val="18"/>
                <w:szCs w:val="18"/>
                <w:color w:val="0000FF"/>
              </w:rPr>
            </w:pPr>
            <w:hyperlink r:id="rId130">
              <w:r>
                <w:rPr>
                  <w:rFonts w:ascii="Arial" w:cs="Arial" w:eastAsia="Arial" w:hAnsi="Arial"/>
                  <w:sz w:val="18"/>
                  <w:szCs w:val="18"/>
                  <w:color w:val="0000FF"/>
                </w:rPr>
                <w:t>Letter Agreement between EchoStar Corporation and DISH Network Corporation, dated August 3, 2018, amending that</w:t>
              </w:r>
            </w:hyperlink>
          </w:p>
        </w:tc>
      </w:tr>
      <w:tr>
        <w:trPr>
          <w:trHeight w:val="156"/>
        </w:trPr>
        <w:tc>
          <w:tcPr>
            <w:tcW w:w="116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certain Form of Tax Sharing Agreement between EchoStar Corporation and DISH Network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10000" w:type="dxa"/>
            <w:vAlign w:val="bottom"/>
            <w:tcBorders>
              <w:bottom w:val="single" w:sz="8" w:color="0000FF"/>
            </w:tcBorders>
            <w:gridSpan w:val="16"/>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Exhibit 10.1 to EchoStar Corporation’s Quarterly Report on Form 10-Q for the quarter ended September 2018,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4260" w:type="dxa"/>
            <w:vAlign w:val="bottom"/>
            <w:tcBorders>
              <w:bottom w:val="single" w:sz="8" w:color="0000FF"/>
            </w:tcBorders>
            <w:gridSpan w:val="5"/>
          </w:tcPr>
          <w:p>
            <w:pPr>
              <w:spacing w:after="0" w:line="156" w:lineRule="exact"/>
              <w:rPr>
                <w:rFonts w:ascii="Arial" w:cs="Arial" w:eastAsia="Arial" w:hAnsi="Arial"/>
                <w:sz w:val="18"/>
                <w:szCs w:val="18"/>
                <w:color w:val="0000FF"/>
                <w:w w:val="99"/>
              </w:rPr>
            </w:pPr>
            <w:hyperlink r:id="rId130">
              <w:r>
                <w:rPr>
                  <w:rFonts w:ascii="Arial" w:cs="Arial" w:eastAsia="Arial" w:hAnsi="Arial"/>
                  <w:sz w:val="18"/>
                  <w:szCs w:val="18"/>
                  <w:color w:val="0000FF"/>
                  <w:w w:val="99"/>
                </w:rPr>
                <w:t>November 8, 2018, Commission File No. 001-33807).</w:t>
              </w:r>
            </w:hyperlink>
          </w:p>
        </w:tc>
        <w:tc>
          <w:tcPr>
            <w:tcW w:w="586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18"/>
                <w:szCs w:val="18"/>
                <w:color w:val="auto"/>
              </w:rPr>
              <w:t>10.28*</w:t>
            </w:r>
          </w:p>
        </w:tc>
        <w:tc>
          <w:tcPr>
            <w:tcW w:w="10260" w:type="dxa"/>
            <w:vAlign w:val="bottom"/>
            <w:gridSpan w:val="29"/>
          </w:tcPr>
          <w:p>
            <w:pPr>
              <w:spacing w:after="0"/>
              <w:rPr>
                <w:rFonts w:ascii="Arial" w:cs="Arial" w:eastAsia="Arial" w:hAnsi="Arial"/>
                <w:sz w:val="18"/>
                <w:szCs w:val="18"/>
                <w:color w:val="0000FF"/>
              </w:rPr>
            </w:pPr>
            <w:hyperlink r:id="rId131">
              <w:r>
                <w:rPr>
                  <w:rFonts w:ascii="Arial" w:cs="Arial" w:eastAsia="Arial" w:hAnsi="Arial"/>
                  <w:sz w:val="18"/>
                  <w:szCs w:val="18"/>
                  <w:color w:val="0000FF"/>
                </w:rPr>
                <w:t>Amendment to EchoStar Non-Qualified Plan -- Executive Plan and Adoption Agreement, dated November 1, 2018</w:t>
              </w:r>
            </w:hyperlink>
          </w:p>
        </w:tc>
      </w:tr>
      <w:tr>
        <w:trPr>
          <w:trHeight w:val="155"/>
        </w:trPr>
        <w:tc>
          <w:tcPr>
            <w:tcW w:w="116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(incorporated by reference to Exhibit 10.35 to EchoStar Corporation’s Annual Report on Form 10-K for the year ended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10140" w:type="dxa"/>
            <w:vAlign w:val="bottom"/>
            <w:gridSpan w:val="23"/>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December 31, 2018, filed February 21, 2019, Commission File No. 001-33807).**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10.29*</w:t>
            </w:r>
          </w:p>
        </w:tc>
        <w:tc>
          <w:tcPr>
            <w:tcW w:w="10260" w:type="dxa"/>
            <w:vAlign w:val="bottom"/>
            <w:gridSpan w:val="29"/>
          </w:tcPr>
          <w:p>
            <w:pPr>
              <w:spacing w:after="0"/>
              <w:rPr>
                <w:rFonts w:ascii="Arial" w:cs="Arial" w:eastAsia="Arial" w:hAnsi="Arial"/>
                <w:sz w:val="18"/>
                <w:szCs w:val="18"/>
                <w:color w:val="0000FF"/>
              </w:rPr>
            </w:pPr>
            <w:hyperlink r:id="rId132">
              <w:r>
                <w:rPr>
                  <w:rFonts w:ascii="Arial" w:cs="Arial" w:eastAsia="Arial" w:hAnsi="Arial"/>
                  <w:sz w:val="18"/>
                  <w:szCs w:val="18"/>
                  <w:color w:val="0000FF"/>
                </w:rPr>
                <w:t>Amended and Restated EchoStar Corporation Executive Officer Bonus Incentive Plan, dated as of April 30, 2019</w:t>
              </w:r>
            </w:hyperlink>
          </w:p>
        </w:tc>
      </w:tr>
      <w:tr>
        <w:trPr>
          <w:trHeight w:val="155"/>
        </w:trPr>
        <w:tc>
          <w:tcPr>
            <w:tcW w:w="1160" w:type="dxa"/>
            <w:vAlign w:val="bottom"/>
          </w:tcPr>
          <w:p>
            <w:pPr>
              <w:spacing w:after="0"/>
              <w:rPr>
                <w:sz w:val="13"/>
                <w:szCs w:val="13"/>
                <w:color w:val="auto"/>
              </w:rPr>
            </w:pPr>
          </w:p>
        </w:tc>
        <w:tc>
          <w:tcPr>
            <w:tcW w:w="102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(incorporated by reference to Exhibit 10.1 to EchoStar Corporation’s Quarterly Report on Form 10-Q for the quarter ended</w:t>
              </w:r>
            </w:hyperlink>
          </w:p>
        </w:tc>
        <w:tc>
          <w:tcPr>
            <w:tcW w:w="40" w:type="dxa"/>
            <w:vAlign w:val="bottom"/>
            <w:gridSpan w:val="2"/>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100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June 30, 2019, filed August 8, 2019, Commission File No. 001-33807).**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18"/>
                <w:szCs w:val="18"/>
                <w:color w:val="auto"/>
              </w:rPr>
              <w:t>10.30*</w:t>
            </w:r>
          </w:p>
        </w:tc>
        <w:tc>
          <w:tcPr>
            <w:tcW w:w="10260" w:type="dxa"/>
            <w:vAlign w:val="bottom"/>
            <w:gridSpan w:val="29"/>
          </w:tcPr>
          <w:p>
            <w:pPr>
              <w:spacing w:after="0"/>
              <w:rPr>
                <w:rFonts w:ascii="Arial" w:cs="Arial" w:eastAsia="Arial" w:hAnsi="Arial"/>
                <w:sz w:val="18"/>
                <w:szCs w:val="18"/>
                <w:color w:val="0000FF"/>
              </w:rPr>
            </w:pPr>
            <w:hyperlink r:id="rId133">
              <w:r>
                <w:rPr>
                  <w:rFonts w:ascii="Arial" w:cs="Arial" w:eastAsia="Arial" w:hAnsi="Arial"/>
                  <w:sz w:val="18"/>
                  <w:szCs w:val="18"/>
                  <w:color w:val="0000FF"/>
                </w:rPr>
                <w:t>Contract between EchoStar XXIV L.L.C. and Space Systems/Loral, LLC (currently known as Maxar Space LLC) for the</w:t>
              </w:r>
            </w:hyperlink>
          </w:p>
        </w:tc>
      </w:tr>
      <w:tr>
        <w:trPr>
          <w:trHeight w:val="156"/>
        </w:trPr>
        <w:tc>
          <w:tcPr>
            <w:tcW w:w="1160" w:type="dxa"/>
            <w:vAlign w:val="bottom"/>
          </w:tcPr>
          <w:p>
            <w:pPr>
              <w:spacing w:after="0"/>
              <w:rPr>
                <w:sz w:val="13"/>
                <w:szCs w:val="13"/>
                <w:color w:val="auto"/>
              </w:rPr>
            </w:pPr>
          </w:p>
        </w:tc>
        <w:tc>
          <w:tcPr>
            <w:tcW w:w="102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Jupiter 3 Satellite programs, dated as April 19, 2017 (incorporated by reference to Exhibit 10.30 to EchoStar Corporations’</w:t>
              </w:r>
            </w:hyperlink>
          </w:p>
        </w:tc>
        <w:tc>
          <w:tcPr>
            <w:tcW w:w="60" w:type="dxa"/>
            <w:vAlign w:val="bottom"/>
            <w:gridSpan w:val="3"/>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100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Annual Report on Form 10-K for the year ended December 31, 2019, filed February 20, 2020, Commission File No. 001-</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12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33">
              <w:r>
                <w:rPr>
                  <w:rFonts w:ascii="Arial" w:cs="Arial" w:eastAsia="Arial" w:hAnsi="Arial"/>
                  <w:sz w:val="18"/>
                  <w:szCs w:val="18"/>
                  <w:color w:val="0000FF"/>
                  <w:w w:val="98"/>
                </w:rPr>
                <w:t>33807). ***/****</w:t>
              </w:r>
            </w:hyperlink>
          </w:p>
        </w:tc>
        <w:tc>
          <w:tcPr>
            <w:tcW w:w="13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66"/>
        </w:trPr>
        <w:tc>
          <w:tcPr>
            <w:tcW w:w="1160" w:type="dxa"/>
            <w:vAlign w:val="bottom"/>
          </w:tcPr>
          <w:p>
            <w:pPr>
              <w:spacing w:after="0"/>
              <w:rPr>
                <w:sz w:val="20"/>
                <w:szCs w:val="20"/>
                <w:color w:val="auto"/>
              </w:rPr>
            </w:pPr>
            <w:r>
              <w:rPr>
                <w:rFonts w:ascii="Arial" w:cs="Arial" w:eastAsia="Arial" w:hAnsi="Arial"/>
                <w:sz w:val="18"/>
                <w:szCs w:val="18"/>
                <w:color w:val="auto"/>
              </w:rPr>
              <w:t>10.31*</w:t>
            </w:r>
          </w:p>
        </w:tc>
        <w:tc>
          <w:tcPr>
            <w:tcW w:w="8940" w:type="dxa"/>
            <w:vAlign w:val="bottom"/>
            <w:tcBorders>
              <w:bottom w:val="single" w:sz="8" w:color="0000FF"/>
            </w:tcBorders>
            <w:gridSpan w:val="10"/>
          </w:tcPr>
          <w:p>
            <w:pPr>
              <w:spacing w:after="0"/>
              <w:rPr>
                <w:rFonts w:ascii="Arial" w:cs="Arial" w:eastAsia="Arial" w:hAnsi="Arial"/>
                <w:sz w:val="18"/>
                <w:szCs w:val="18"/>
                <w:color w:val="0000FF"/>
                <w:w w:val="99"/>
              </w:rPr>
            </w:pPr>
            <w:hyperlink r:id="rId134">
              <w:r>
                <w:rPr>
                  <w:rFonts w:ascii="Arial" w:cs="Arial" w:eastAsia="Arial" w:hAnsi="Arial"/>
                  <w:sz w:val="18"/>
                  <w:szCs w:val="18"/>
                  <w:color w:val="0000FF"/>
                  <w:w w:val="99"/>
                </w:rPr>
                <w:t>Amendment to EchoStar Non-Qualified Plan – Executive Plan and Adoption Agreement, dated October 21, 2019</w:t>
              </w:r>
            </w:hyperlink>
          </w:p>
        </w:tc>
        <w:tc>
          <w:tcPr>
            <w:tcW w:w="1320" w:type="dxa"/>
            <w:vAlign w:val="bottom"/>
            <w:gridSpan w:val="19"/>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260" w:type="dxa"/>
            <w:vAlign w:val="bottom"/>
            <w:gridSpan w:val="29"/>
          </w:tcPr>
          <w:p>
            <w:pPr>
              <w:spacing w:after="0" w:line="182" w:lineRule="exact"/>
              <w:rPr>
                <w:rFonts w:ascii="Arial" w:cs="Arial" w:eastAsia="Arial" w:hAnsi="Arial"/>
                <w:sz w:val="18"/>
                <w:szCs w:val="18"/>
                <w:color w:val="0000FF"/>
              </w:rPr>
            </w:pPr>
            <w:hyperlink r:id="rId134">
              <w:r>
                <w:rPr>
                  <w:rFonts w:ascii="Arial" w:cs="Arial" w:eastAsia="Arial" w:hAnsi="Arial"/>
                  <w:sz w:val="18"/>
                  <w:szCs w:val="18"/>
                  <w:color w:val="0000FF"/>
                </w:rPr>
                <w:t>(incorporated by reference to Exhibit 10.1 to EchoStar Corporation’s Quarterly Report on Form 10-Q for the quarter ended</w:t>
              </w:r>
            </w:hyperlink>
          </w:p>
        </w:tc>
      </w:tr>
      <w:tr>
        <w:trPr>
          <w:trHeight w:val="183"/>
        </w:trPr>
        <w:tc>
          <w:tcPr>
            <w:tcW w:w="1160" w:type="dxa"/>
            <w:vAlign w:val="bottom"/>
          </w:tcPr>
          <w:p>
            <w:pPr>
              <w:spacing w:after="0"/>
              <w:rPr>
                <w:sz w:val="15"/>
                <w:szCs w:val="15"/>
                <w:color w:val="auto"/>
              </w:rPr>
            </w:pPr>
          </w:p>
        </w:tc>
        <w:tc>
          <w:tcPr>
            <w:tcW w:w="65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134">
              <w:r>
                <w:rPr>
                  <w:rFonts w:ascii="Arial" w:cs="Arial" w:eastAsia="Arial" w:hAnsi="Arial"/>
                  <w:sz w:val="18"/>
                  <w:szCs w:val="18"/>
                  <w:color w:val="0000FF"/>
                  <w:w w:val="99"/>
                </w:rPr>
                <w:t>September 30, 2020, filed November 5, 2020, Commission File No. 001-33807). **</w:t>
              </w:r>
            </w:hyperlink>
          </w:p>
        </w:tc>
        <w:tc>
          <w:tcPr>
            <w:tcW w:w="3120" w:type="dxa"/>
            <w:vAlign w:val="bottom"/>
            <w:tcBorders>
              <w:top w:val="single" w:sz="8" w:color="0000FF"/>
            </w:tcBorders>
            <w:gridSpan w:val="5"/>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8"/>
          </w:tcPr>
          <w:p>
            <w:pPr>
              <w:spacing w:after="0"/>
              <w:rPr>
                <w:sz w:val="15"/>
                <w:szCs w:val="15"/>
                <w:color w:val="auto"/>
              </w:rPr>
            </w:pPr>
          </w:p>
        </w:tc>
      </w:tr>
      <w:tr>
        <w:trPr>
          <w:trHeight w:val="236"/>
        </w:trPr>
        <w:tc>
          <w:tcPr>
            <w:tcW w:w="1160" w:type="dxa"/>
            <w:vAlign w:val="bottom"/>
          </w:tcPr>
          <w:p>
            <w:pPr>
              <w:spacing w:after="0"/>
              <w:rPr>
                <w:sz w:val="20"/>
                <w:szCs w:val="20"/>
                <w:color w:val="auto"/>
              </w:rPr>
            </w:pPr>
            <w:r>
              <w:rPr>
                <w:rFonts w:ascii="Arial" w:cs="Arial" w:eastAsia="Arial" w:hAnsi="Arial"/>
                <w:sz w:val="18"/>
                <w:szCs w:val="18"/>
                <w:color w:val="auto"/>
              </w:rPr>
              <w:t>10.32*</w:t>
            </w:r>
          </w:p>
        </w:tc>
        <w:tc>
          <w:tcPr>
            <w:tcW w:w="10260" w:type="dxa"/>
            <w:vAlign w:val="bottom"/>
            <w:gridSpan w:val="29"/>
          </w:tcPr>
          <w:p>
            <w:pPr>
              <w:spacing w:after="0"/>
              <w:rPr>
                <w:rFonts w:ascii="Arial" w:cs="Arial" w:eastAsia="Arial" w:hAnsi="Arial"/>
                <w:sz w:val="18"/>
                <w:szCs w:val="18"/>
                <w:color w:val="0000FF"/>
              </w:rPr>
            </w:pPr>
            <w:hyperlink r:id="rId135">
              <w:r>
                <w:rPr>
                  <w:rFonts w:ascii="Arial" w:cs="Arial" w:eastAsia="Arial" w:hAnsi="Arial"/>
                  <w:sz w:val="18"/>
                  <w:szCs w:val="18"/>
                  <w:color w:val="0000FF"/>
                </w:rPr>
                <w:t>Amendment No. 1 to Contract between EchoStar XXIV L.L.C. and SpaceSystems/Loral, LLC (currently known as Maxar</w:t>
              </w:r>
            </w:hyperlink>
          </w:p>
        </w:tc>
      </w:tr>
      <w:tr>
        <w:trPr>
          <w:trHeight w:val="20"/>
        </w:trPr>
        <w:tc>
          <w:tcPr>
            <w:tcW w:w="116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500" w:type="dxa"/>
            <w:vAlign w:val="bottom"/>
            <w:gridSpan w:val="7"/>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260" w:type="dxa"/>
            <w:vAlign w:val="bottom"/>
            <w:gridSpan w:val="29"/>
          </w:tcPr>
          <w:p>
            <w:pPr>
              <w:spacing w:after="0" w:line="182" w:lineRule="exact"/>
              <w:rPr>
                <w:rFonts w:ascii="Arial" w:cs="Arial" w:eastAsia="Arial" w:hAnsi="Arial"/>
                <w:sz w:val="18"/>
                <w:szCs w:val="18"/>
                <w:color w:val="0000FF"/>
              </w:rPr>
            </w:pPr>
            <w:hyperlink r:id="rId135">
              <w:r>
                <w:rPr>
                  <w:rFonts w:ascii="Arial" w:cs="Arial" w:eastAsia="Arial" w:hAnsi="Arial"/>
                  <w:sz w:val="18"/>
                  <w:szCs w:val="18"/>
                  <w:color w:val="0000FF"/>
                </w:rPr>
                <w:t>Space LLC) for the Jupiter 3 Satellite Program, dated October 1, 2018 (incorporated by reference to Exhibit 10.2 to EchoStar</w:t>
              </w:r>
            </w:hyperlink>
          </w:p>
        </w:tc>
      </w:tr>
      <w:tr>
        <w:trPr>
          <w:trHeight w:val="183"/>
        </w:trPr>
        <w:tc>
          <w:tcPr>
            <w:tcW w:w="1160" w:type="dxa"/>
            <w:vAlign w:val="bottom"/>
          </w:tcPr>
          <w:p>
            <w:pPr>
              <w:spacing w:after="0"/>
              <w:rPr>
                <w:sz w:val="15"/>
                <w:szCs w:val="15"/>
                <w:color w:val="auto"/>
              </w:rPr>
            </w:pPr>
          </w:p>
        </w:tc>
        <w:tc>
          <w:tcPr>
            <w:tcW w:w="990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135">
              <w:r>
                <w:rPr>
                  <w:rFonts w:ascii="Arial" w:cs="Arial" w:eastAsia="Arial" w:hAnsi="Arial"/>
                  <w:sz w:val="18"/>
                  <w:szCs w:val="18"/>
                  <w:color w:val="0000FF"/>
                </w:rPr>
                <w:t>Corporation’s Quarterly Report on Form 10-Q for the quarter ended September 30, 2020, filed November 5, 2020.</w:t>
              </w:r>
            </w:hyperlink>
          </w:p>
        </w:tc>
        <w:tc>
          <w:tcPr>
            <w:tcW w:w="14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8"/>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904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135">
              <w:r>
                <w:rPr>
                  <w:rFonts w:ascii="Arial" w:cs="Arial" w:eastAsia="Arial" w:hAnsi="Arial"/>
                  <w:sz w:val="18"/>
                  <w:szCs w:val="18"/>
                  <w:color w:val="0000FF"/>
                </w:rPr>
                <w:t>Commission File No. 001-33807). ****</w:t>
              </w:r>
            </w:hyperlink>
          </w:p>
        </w:tc>
        <w:tc>
          <w:tcPr>
            <w:tcW w:w="1000" w:type="dxa"/>
            <w:vAlign w:val="bottom"/>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8"/>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50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68"/>
        </w:trPr>
        <w:tc>
          <w:tcPr>
            <w:tcW w:w="1160" w:type="dxa"/>
            <w:vAlign w:val="bottom"/>
          </w:tcPr>
          <w:p>
            <w:pPr>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21(H)</w:t>
              </w:r>
            </w:hyperlink>
          </w:p>
        </w:tc>
        <w:tc>
          <w:tcPr>
            <w:tcW w:w="10260" w:type="dxa"/>
            <w:vAlign w:val="bottom"/>
            <w:gridSpan w:val="29"/>
          </w:tcPr>
          <w:p>
            <w:pPr>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Subsidiaries of EchoStar Corporation.</w:t>
              </w:r>
            </w:hyperlink>
          </w:p>
        </w:tc>
      </w:tr>
      <w:tr>
        <w:trPr>
          <w:trHeight w:val="473"/>
        </w:trPr>
        <w:tc>
          <w:tcPr>
            <w:tcW w:w="1160" w:type="dxa"/>
            <w:vAlign w:val="bottom"/>
          </w:tcPr>
          <w:p>
            <w:pPr>
              <w:spacing w:after="0"/>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23(H)</w:t>
              </w:r>
            </w:hyperlink>
          </w:p>
        </w:tc>
        <w:tc>
          <w:tcPr>
            <w:tcW w:w="10260" w:type="dxa"/>
            <w:vAlign w:val="bottom"/>
            <w:gridSpan w:val="29"/>
          </w:tcPr>
          <w:p>
            <w:pPr>
              <w:spacing w:after="0"/>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Consent of KPMG LLP, Independent Registered Public Accounting Firm.</w:t>
              </w:r>
            </w:hyperlink>
          </w:p>
        </w:tc>
      </w:tr>
      <w:tr>
        <w:trPr>
          <w:trHeight w:val="428"/>
        </w:trPr>
        <w:tc>
          <w:tcPr>
            <w:tcW w:w="1160" w:type="dxa"/>
            <w:vAlign w:val="bottom"/>
          </w:tcPr>
          <w:p>
            <w:pPr>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24(H)</w:t>
              </w:r>
            </w:hyperlink>
          </w:p>
        </w:tc>
        <w:tc>
          <w:tcPr>
            <w:tcW w:w="10260" w:type="dxa"/>
            <w:vAlign w:val="bottom"/>
            <w:gridSpan w:val="29"/>
          </w:tcPr>
          <w:p>
            <w:pPr>
              <w:spacing w:after="0"/>
              <w:rPr>
                <w:rFonts w:ascii="Arial" w:cs="Arial" w:eastAsia="Arial" w:hAnsi="Arial"/>
                <w:sz w:val="18"/>
                <w:szCs w:val="18"/>
                <w:color w:val="0000FF"/>
              </w:rPr>
            </w:pPr>
            <w:hyperlink w:anchor="page146">
              <w:r>
                <w:rPr>
                  <w:rFonts w:ascii="Arial" w:cs="Arial" w:eastAsia="Arial" w:hAnsi="Arial"/>
                  <w:sz w:val="18"/>
                  <w:szCs w:val="18"/>
                  <w:color w:val="0000FF"/>
                </w:rPr>
                <w:t>Powers of Attorney of Charles W. Ergen, R. Stanton Dodge, Anthony M. Federico, Pradman P. Kaul, Jeffrey R. Tarr, C.</w:t>
              </w:r>
            </w:hyperlink>
          </w:p>
        </w:tc>
      </w:tr>
      <w:tr>
        <w:trPr>
          <w:trHeight w:val="156"/>
        </w:trPr>
        <w:tc>
          <w:tcPr>
            <w:tcW w:w="1160" w:type="dxa"/>
            <w:vAlign w:val="bottom"/>
          </w:tcPr>
          <w:p>
            <w:pPr>
              <w:spacing w:after="0"/>
              <w:rPr>
                <w:sz w:val="13"/>
                <w:szCs w:val="13"/>
                <w:color w:val="auto"/>
              </w:rPr>
            </w:pPr>
          </w:p>
        </w:tc>
        <w:tc>
          <w:tcPr>
            <w:tcW w:w="100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146">
              <w:r>
                <w:rPr>
                  <w:rFonts w:ascii="Arial" w:cs="Arial" w:eastAsia="Arial" w:hAnsi="Arial"/>
                  <w:sz w:val="18"/>
                  <w:szCs w:val="18"/>
                  <w:color w:val="0000FF"/>
                </w:rPr>
                <w:t>Michael Schroeder and William David Wade.</w:t>
              </w:r>
            </w:hyperlink>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560" w:type="dxa"/>
            <w:vAlign w:val="bottom"/>
            <w:gridSpan w:val="1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453"/>
        </w:trPr>
        <w:tc>
          <w:tcPr>
            <w:tcW w:w="1160" w:type="dxa"/>
            <w:vAlign w:val="bottom"/>
          </w:tcPr>
          <w:p>
            <w:pPr>
              <w:spacing w:after="0"/>
              <w:rPr>
                <w:rFonts w:ascii="Arial" w:cs="Arial" w:eastAsia="Arial" w:hAnsi="Arial"/>
                <w:sz w:val="18"/>
                <w:szCs w:val="18"/>
                <w:u w:val="single" w:color="auto"/>
                <w:color w:val="0000FF"/>
              </w:rPr>
            </w:pPr>
            <w:hyperlink w:anchor="page150">
              <w:r>
                <w:rPr>
                  <w:rFonts w:ascii="Arial" w:cs="Arial" w:eastAsia="Arial" w:hAnsi="Arial"/>
                  <w:sz w:val="18"/>
                  <w:szCs w:val="18"/>
                  <w:u w:val="single" w:color="auto"/>
                  <w:color w:val="0000FF"/>
                </w:rPr>
                <w:t>99.1(I)</w:t>
              </w:r>
            </w:hyperlink>
          </w:p>
        </w:tc>
        <w:tc>
          <w:tcPr>
            <w:tcW w:w="10260" w:type="dxa"/>
            <w:vAlign w:val="bottom"/>
            <w:gridSpan w:val="29"/>
          </w:tcPr>
          <w:p>
            <w:pPr>
              <w:spacing w:after="0"/>
              <w:rPr>
                <w:rFonts w:ascii="Arial" w:cs="Arial" w:eastAsia="Arial" w:hAnsi="Arial"/>
                <w:sz w:val="18"/>
                <w:szCs w:val="18"/>
                <w:color w:val="0000FF"/>
              </w:rPr>
            </w:pPr>
            <w:hyperlink w:anchor="page150">
              <w:r>
                <w:rPr>
                  <w:rFonts w:ascii="Arial" w:cs="Arial" w:eastAsia="Arial" w:hAnsi="Arial"/>
                  <w:sz w:val="18"/>
                  <w:szCs w:val="18"/>
                  <w:color w:val="0000FF"/>
                </w:rPr>
                <w:t>Press release dated February 23, 2021 issued by EchoStar Corporation regarding financial results for the quarter and full</w:t>
              </w:r>
            </w:hyperlink>
          </w:p>
        </w:tc>
      </w:tr>
      <w:tr>
        <w:trPr>
          <w:trHeight w:val="156"/>
        </w:trPr>
        <w:tc>
          <w:tcPr>
            <w:tcW w:w="116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w:anchor="page150">
              <w:r>
                <w:rPr>
                  <w:rFonts w:ascii="Arial" w:cs="Arial" w:eastAsia="Arial" w:hAnsi="Arial"/>
                  <w:sz w:val="18"/>
                  <w:szCs w:val="18"/>
                  <w:color w:val="0000FF"/>
                  <w:w w:val="99"/>
                </w:rPr>
                <w:t>year ended December 31, 2020.</w:t>
              </w:r>
            </w:hyperlink>
          </w:p>
        </w:tc>
        <w:tc>
          <w:tcPr>
            <w:tcW w:w="7520" w:type="dxa"/>
            <w:vAlign w:val="bottom"/>
            <w:tcBorders>
              <w:top w:val="single" w:sz="8" w:color="0000FF"/>
            </w:tcBorders>
            <w:gridSpan w:val="19"/>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497"/>
        </w:trPr>
        <w:tc>
          <w:tcPr>
            <w:tcW w:w="1160" w:type="dxa"/>
            <w:vAlign w:val="bottom"/>
          </w:tcPr>
          <w:p>
            <w:pPr>
              <w:spacing w:after="0"/>
              <w:rPr>
                <w:rFonts w:ascii="Arial" w:cs="Arial" w:eastAsia="Arial" w:hAnsi="Arial"/>
                <w:sz w:val="18"/>
                <w:szCs w:val="18"/>
                <w:u w:val="single" w:color="auto"/>
                <w:color w:val="0000FF"/>
              </w:rPr>
            </w:pPr>
            <w:hyperlink w:anchor="page147">
              <w:r>
                <w:rPr>
                  <w:rFonts w:ascii="Arial" w:cs="Arial" w:eastAsia="Arial" w:hAnsi="Arial"/>
                  <w:sz w:val="18"/>
                  <w:szCs w:val="18"/>
                  <w:u w:val="single" w:color="auto"/>
                  <w:color w:val="0000FF"/>
                </w:rPr>
                <w:t>31.1(H)</w:t>
              </w:r>
            </w:hyperlink>
          </w:p>
        </w:tc>
        <w:tc>
          <w:tcPr>
            <w:tcW w:w="10260" w:type="dxa"/>
            <w:vAlign w:val="bottom"/>
            <w:gridSpan w:val="29"/>
          </w:tcPr>
          <w:p>
            <w:pPr>
              <w:spacing w:after="0"/>
              <w:rPr>
                <w:rFonts w:ascii="Arial" w:cs="Arial" w:eastAsia="Arial" w:hAnsi="Arial"/>
                <w:sz w:val="18"/>
                <w:szCs w:val="18"/>
                <w:u w:val="single" w:color="auto"/>
                <w:color w:val="0000FF"/>
              </w:rPr>
            </w:pPr>
            <w:hyperlink w:anchor="page147">
              <w:r>
                <w:rPr>
                  <w:rFonts w:ascii="Arial" w:cs="Arial" w:eastAsia="Arial" w:hAnsi="Arial"/>
                  <w:sz w:val="18"/>
                  <w:szCs w:val="18"/>
                  <w:u w:val="single" w:color="auto"/>
                  <w:color w:val="0000FF"/>
                </w:rPr>
                <w:t>Section 302 Certification of Chief Executive Officer.</w:t>
              </w:r>
            </w:hyperlink>
          </w:p>
        </w:tc>
      </w:tr>
      <w:tr>
        <w:trPr>
          <w:trHeight w:val="473"/>
        </w:trPr>
        <w:tc>
          <w:tcPr>
            <w:tcW w:w="1160" w:type="dxa"/>
            <w:vAlign w:val="bottom"/>
          </w:tcPr>
          <w:p>
            <w:pPr>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31.2(H)</w:t>
              </w:r>
            </w:hyperlink>
          </w:p>
        </w:tc>
        <w:tc>
          <w:tcPr>
            <w:tcW w:w="10260" w:type="dxa"/>
            <w:vAlign w:val="bottom"/>
            <w:gridSpan w:val="29"/>
          </w:tcPr>
          <w:p>
            <w:pPr>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Section 302 Certification of Chief Financial Officer.</w:t>
              </w:r>
            </w:hyperlink>
          </w:p>
        </w:tc>
      </w:tr>
      <w:tr>
        <w:trPr>
          <w:trHeight w:val="473"/>
        </w:trPr>
        <w:tc>
          <w:tcPr>
            <w:tcW w:w="1160" w:type="dxa"/>
            <w:vAlign w:val="bottom"/>
          </w:tcPr>
          <w:p>
            <w:pPr>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32.1(I)</w:t>
              </w:r>
            </w:hyperlink>
          </w:p>
        </w:tc>
        <w:tc>
          <w:tcPr>
            <w:tcW w:w="10260" w:type="dxa"/>
            <w:vAlign w:val="bottom"/>
            <w:gridSpan w:val="29"/>
          </w:tcPr>
          <w:p>
            <w:pPr>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Section 906 Certifications of Chief Executive Officer and Chief Financial Officer.</w:t>
              </w:r>
            </w:hyperlink>
          </w:p>
        </w:tc>
      </w:tr>
      <w:tr>
        <w:trPr>
          <w:trHeight w:val="415"/>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9"/>
          </w:tcPr>
          <w:p>
            <w:pPr>
              <w:spacing w:after="0"/>
              <w:rPr>
                <w:sz w:val="20"/>
                <w:szCs w:val="20"/>
                <w:color w:val="auto"/>
              </w:rPr>
            </w:pPr>
            <w:r>
              <w:rPr>
                <w:rFonts w:ascii="Arial" w:cs="Arial" w:eastAsia="Arial" w:hAnsi="Arial"/>
                <w:sz w:val="18"/>
                <w:szCs w:val="18"/>
                <w:color w:val="auto"/>
              </w:rPr>
              <w:t>XBRL Instance Document. The instance document does not appear in the Interactive Data File because its XBRL tags are</w:t>
            </w:r>
          </w:p>
        </w:tc>
      </w:tr>
      <w:tr>
        <w:trPr>
          <w:trHeight w:val="220"/>
        </w:trPr>
        <w:tc>
          <w:tcPr>
            <w:tcW w:w="1160" w:type="dxa"/>
            <w:vAlign w:val="bottom"/>
          </w:tcPr>
          <w:p>
            <w:pPr>
              <w:spacing w:after="0"/>
              <w:rPr>
                <w:sz w:val="19"/>
                <w:szCs w:val="19"/>
                <w:color w:val="auto"/>
              </w:rPr>
            </w:pPr>
          </w:p>
        </w:tc>
        <w:tc>
          <w:tcPr>
            <w:tcW w:w="10260" w:type="dxa"/>
            <w:vAlign w:val="bottom"/>
            <w:gridSpan w:val="29"/>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9"/>
          </w:tcPr>
          <w:p>
            <w:pPr>
              <w:spacing w:after="0"/>
              <w:rPr>
                <w:sz w:val="20"/>
                <w:szCs w:val="20"/>
                <w:color w:val="auto"/>
              </w:rPr>
            </w:pPr>
            <w:r>
              <w:rPr>
                <w:rFonts w:ascii="Arial" w:cs="Arial" w:eastAsia="Arial" w:hAnsi="Arial"/>
                <w:sz w:val="18"/>
                <w:szCs w:val="18"/>
                <w:color w:val="auto"/>
              </w:rPr>
              <w:t>XBRL Taxonomy Extension Schema.</w:t>
            </w:r>
          </w:p>
        </w:tc>
      </w:tr>
      <w:tr>
        <w:trPr>
          <w:trHeight w:val="473"/>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9"/>
          </w:tcPr>
          <w:p>
            <w:pPr>
              <w:spacing w:after="0"/>
              <w:rPr>
                <w:sz w:val="20"/>
                <w:szCs w:val="20"/>
                <w:color w:val="auto"/>
              </w:rPr>
            </w:pPr>
            <w:r>
              <w:rPr>
                <w:rFonts w:ascii="Arial" w:cs="Arial" w:eastAsia="Arial" w:hAnsi="Arial"/>
                <w:sz w:val="18"/>
                <w:szCs w:val="18"/>
                <w:color w:val="auto"/>
              </w:rPr>
              <w:t>XBRL Taxonomy Extension Calculation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428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473"/>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428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473"/>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4280" w:type="dxa"/>
            <w:vAlign w:val="bottom"/>
          </w:tcPr>
          <w:p>
            <w:pPr>
              <w:ind w:left="220"/>
              <w:spacing w:after="0"/>
              <w:rPr>
                <w:sz w:val="20"/>
                <w:szCs w:val="20"/>
                <w:color w:val="auto"/>
              </w:rPr>
            </w:pPr>
            <w:r>
              <w:rPr>
                <w:rFonts w:ascii="Arial" w:cs="Arial" w:eastAsia="Arial" w:hAnsi="Arial"/>
                <w:sz w:val="18"/>
                <w:szCs w:val="18"/>
                <w:color w:val="auto"/>
                <w:w w:val="98"/>
              </w:rPr>
              <w:t>XBRL Taxonomy Extension Presentation Linkbase.</w:t>
            </w:r>
          </w:p>
        </w:tc>
      </w:tr>
    </w:tbl>
    <w:p>
      <w:pPr>
        <w:spacing w:after="0" w:line="185"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9" w:lineRule="exact"/>
        <w:rPr>
          <w:rFonts w:ascii="Arial" w:cs="Arial" w:eastAsia="Arial" w:hAnsi="Arial"/>
          <w:sz w:val="14"/>
          <w:szCs w:val="14"/>
          <w:color w:val="auto"/>
        </w:rPr>
      </w:pPr>
    </w:p>
    <w:p>
      <w:pPr>
        <w:ind w:left="300" w:hanging="292"/>
        <w:spacing w:after="0"/>
        <w:tabs>
          <w:tab w:leader="none" w:pos="3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Certain portions of the exhibit have been omitted in accordance with the Securities and Exchange Commission’s rules and regulations regarding confidential treatment.</w:t>
      </w:r>
    </w:p>
    <w:p>
      <w:pPr>
        <w:spacing w:after="0" w:line="1" w:lineRule="exact"/>
        <w:rPr>
          <w:rFonts w:ascii="Arial" w:cs="Arial" w:eastAsia="Arial" w:hAnsi="Arial"/>
          <w:sz w:val="14"/>
          <w:szCs w:val="14"/>
          <w:color w:val="auto"/>
        </w:rPr>
      </w:pPr>
    </w:p>
    <w:p>
      <w:pPr>
        <w:ind w:left="500" w:hanging="492"/>
        <w:spacing w:after="0" w:line="264" w:lineRule="auto"/>
        <w:tabs>
          <w:tab w:leader="none" w:pos="407" w:val="left"/>
        </w:tabs>
        <w:numPr>
          <w:ilvl w:val="0"/>
          <w:numId w:val="38"/>
        </w:numPr>
        <w:rPr>
          <w:rFonts w:ascii="Arial" w:cs="Arial" w:eastAsia="Arial" w:hAnsi="Arial"/>
          <w:sz w:val="14"/>
          <w:szCs w:val="14"/>
          <w:color w:val="auto"/>
        </w:rPr>
      </w:pPr>
      <w:r>
        <w:rPr>
          <w:rFonts w:ascii="Arial" w:cs="Arial" w:eastAsia="Arial" w:hAnsi="Arial"/>
          <w:sz w:val="14"/>
          <w:szCs w:val="14"/>
          <w:color w:val="auto"/>
        </w:rPr>
        <w:t>Schedules and exhibits have been omitted pursuant to Item 601(a)(5) of Regulation S-K. We agree to furnish supplementally to the Securities and Exchange Commission a copy of any omitted schedule or exhibit upon request, subject to our right to request confidential treatment of any requested schedule or exhibit.</w:t>
      </w:r>
    </w:p>
    <w:p>
      <w:pPr>
        <w:spacing w:after="0" w:line="200" w:lineRule="exact"/>
        <w:rPr>
          <w:sz w:val="20"/>
          <w:szCs w:val="20"/>
          <w:color w:val="auto"/>
        </w:rPr>
      </w:pPr>
    </w:p>
    <w:p>
      <w:pPr>
        <w:spacing w:after="0" w:line="22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ECHOSTAR CORPORATION</w:t>
      </w:r>
    </w:p>
    <w:p>
      <w:pPr>
        <w:spacing w:after="0" w:line="252" w:lineRule="exact"/>
        <w:rPr>
          <w:sz w:val="20"/>
          <w:szCs w:val="20"/>
          <w:color w:val="auto"/>
        </w:rPr>
      </w:pPr>
    </w:p>
    <w:p>
      <w:pPr>
        <w:ind w:left="564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20320</wp:posOffset>
            </wp:positionV>
            <wp:extent cx="31292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8">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David J. Rayner</w:t>
      </w:r>
    </w:p>
    <w:p>
      <w:pPr>
        <w:spacing w:after="0" w:line="3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Operating Officer, and</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Treasurer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2021</w:t>
      </w:r>
    </w:p>
    <w:p>
      <w:pPr>
        <w:spacing w:after="0" w:line="225"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0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0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248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Date</w:t>
            </w:r>
          </w:p>
        </w:tc>
      </w:tr>
      <w:tr>
        <w:trPr>
          <w:trHeight w:val="45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Michael T. Dugan</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23, 2021</w:t>
            </w:r>
          </w:p>
        </w:tc>
      </w:tr>
      <w:tr>
        <w:trPr>
          <w:trHeight w:val="236"/>
        </w:trPr>
        <w:tc>
          <w:tcPr>
            <w:tcW w:w="3400" w:type="dxa"/>
            <w:vAlign w:val="bottom"/>
          </w:tcPr>
          <w:p>
            <w:pPr>
              <w:ind w:left="20"/>
              <w:spacing w:after="0"/>
              <w:rPr>
                <w:sz w:val="20"/>
                <w:szCs w:val="20"/>
                <w:color w:val="auto"/>
              </w:rPr>
            </w:pPr>
            <w:r>
              <w:rPr>
                <w:rFonts w:ascii="Arial" w:cs="Arial" w:eastAsia="Arial" w:hAnsi="Arial"/>
                <w:sz w:val="18"/>
                <w:szCs w:val="18"/>
                <w:color w:val="auto"/>
              </w:rPr>
              <w:t>Michael T. Dugan</w:t>
            </w:r>
          </w:p>
        </w:tc>
        <w:tc>
          <w:tcPr>
            <w:tcW w:w="120" w:type="dxa"/>
            <w:vAlign w:val="bottom"/>
          </w:tcPr>
          <w:p>
            <w:pPr>
              <w:spacing w:after="0"/>
              <w:rPr>
                <w:sz w:val="20"/>
                <w:szCs w:val="20"/>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2480" w:type="dxa"/>
            <w:vAlign w:val="bottom"/>
          </w:tcPr>
          <w:p>
            <w:pPr>
              <w:spacing w:after="0"/>
              <w:rPr>
                <w:sz w:val="20"/>
                <w:szCs w:val="20"/>
                <w:color w:val="auto"/>
              </w:rPr>
            </w:pPr>
          </w:p>
        </w:tc>
      </w:tr>
      <w:tr>
        <w:trPr>
          <w:trHeight w:val="378"/>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J. Rayner</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Chief Financial Officer,</w:t>
            </w:r>
          </w:p>
        </w:tc>
        <w:tc>
          <w:tcPr>
            <w:tcW w:w="2480" w:type="dxa"/>
            <w:vAlign w:val="bottom"/>
          </w:tcPr>
          <w:p>
            <w:pPr>
              <w:spacing w:after="0"/>
              <w:rPr>
                <w:sz w:val="24"/>
                <w:szCs w:val="24"/>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David J. Rayner</w:t>
            </w:r>
          </w:p>
        </w:tc>
        <w:tc>
          <w:tcPr>
            <w:tcW w:w="120" w:type="dxa"/>
            <w:vAlign w:val="bottom"/>
          </w:tcPr>
          <w:p>
            <w:pPr>
              <w:spacing w:after="0"/>
              <w:rPr>
                <w:sz w:val="18"/>
                <w:szCs w:val="18"/>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Chief Operating Officer and Treasurer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23, 2021</w:t>
            </w:r>
          </w:p>
        </w:tc>
      </w:tr>
      <w:tr>
        <w:trPr>
          <w:trHeight w:val="241"/>
        </w:trPr>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c>
          <w:tcPr>
            <w:tcW w:w="2480" w:type="dxa"/>
            <w:vAlign w:val="bottom"/>
          </w:tcPr>
          <w:p>
            <w:pPr>
              <w:spacing w:after="0"/>
              <w:rPr>
                <w:sz w:val="20"/>
                <w:szCs w:val="20"/>
                <w:color w:val="auto"/>
              </w:rPr>
            </w:pPr>
          </w:p>
        </w:tc>
      </w:tr>
      <w:tr>
        <w:trPr>
          <w:trHeight w:val="388"/>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Chairman</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23, 2021</w:t>
            </w:r>
          </w:p>
        </w:tc>
      </w:tr>
      <w:tr>
        <w:trPr>
          <w:trHeight w:val="236"/>
        </w:trPr>
        <w:tc>
          <w:tcPr>
            <w:tcW w:w="3400" w:type="dxa"/>
            <w:vAlign w:val="bottom"/>
          </w:tcPr>
          <w:p>
            <w:pPr>
              <w:ind w:left="20"/>
              <w:spacing w:after="0"/>
              <w:rPr>
                <w:sz w:val="20"/>
                <w:szCs w:val="20"/>
                <w:color w:val="auto"/>
              </w:rPr>
            </w:pPr>
            <w:r>
              <w:rPr>
                <w:rFonts w:ascii="Arial" w:cs="Arial" w:eastAsia="Arial" w:hAnsi="Arial"/>
                <w:sz w:val="18"/>
                <w:szCs w:val="18"/>
                <w:color w:val="auto"/>
              </w:rPr>
              <w:t>Charles W. Ergen</w:t>
            </w: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78"/>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23, 2021</w:t>
            </w:r>
          </w:p>
        </w:tc>
      </w:tr>
      <w:tr>
        <w:trPr>
          <w:trHeight w:val="236"/>
        </w:trPr>
        <w:tc>
          <w:tcPr>
            <w:tcW w:w="3400" w:type="dxa"/>
            <w:vAlign w:val="bottom"/>
          </w:tcPr>
          <w:p>
            <w:pPr>
              <w:ind w:left="20"/>
              <w:spacing w:after="0"/>
              <w:rPr>
                <w:sz w:val="20"/>
                <w:szCs w:val="20"/>
                <w:color w:val="auto"/>
              </w:rPr>
            </w:pPr>
            <w:r>
              <w:rPr>
                <w:rFonts w:ascii="Arial" w:cs="Arial" w:eastAsia="Arial" w:hAnsi="Arial"/>
                <w:sz w:val="18"/>
                <w:szCs w:val="18"/>
                <w:color w:val="auto"/>
              </w:rPr>
              <w:t>R. Stanton Dodge</w:t>
            </w: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78"/>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23, 2021</w:t>
            </w:r>
          </w:p>
        </w:tc>
      </w:tr>
      <w:tr>
        <w:trPr>
          <w:trHeight w:val="236"/>
        </w:trPr>
        <w:tc>
          <w:tcPr>
            <w:tcW w:w="3400" w:type="dxa"/>
            <w:vAlign w:val="bottom"/>
          </w:tcPr>
          <w:p>
            <w:pPr>
              <w:ind w:left="20"/>
              <w:spacing w:after="0"/>
              <w:rPr>
                <w:sz w:val="20"/>
                <w:szCs w:val="20"/>
                <w:color w:val="auto"/>
              </w:rPr>
            </w:pPr>
            <w:r>
              <w:rPr>
                <w:rFonts w:ascii="Arial" w:cs="Arial" w:eastAsia="Arial" w:hAnsi="Arial"/>
                <w:sz w:val="18"/>
                <w:szCs w:val="18"/>
                <w:color w:val="auto"/>
              </w:rPr>
              <w:t>Anthony M. Federico</w:t>
            </w: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78"/>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23, 2021</w:t>
            </w:r>
          </w:p>
        </w:tc>
      </w:tr>
      <w:tr>
        <w:trPr>
          <w:trHeight w:val="236"/>
        </w:trPr>
        <w:tc>
          <w:tcPr>
            <w:tcW w:w="3400" w:type="dxa"/>
            <w:vAlign w:val="bottom"/>
          </w:tcPr>
          <w:p>
            <w:pPr>
              <w:ind w:left="20"/>
              <w:spacing w:after="0"/>
              <w:rPr>
                <w:sz w:val="20"/>
                <w:szCs w:val="20"/>
                <w:color w:val="auto"/>
              </w:rPr>
            </w:pPr>
            <w:r>
              <w:rPr>
                <w:rFonts w:ascii="Arial" w:cs="Arial" w:eastAsia="Arial" w:hAnsi="Arial"/>
                <w:sz w:val="18"/>
                <w:szCs w:val="18"/>
                <w:color w:val="auto"/>
              </w:rPr>
              <w:t>Pradman P. Kaul</w:t>
            </w: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78"/>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23, 2021</w:t>
            </w:r>
          </w:p>
        </w:tc>
      </w:tr>
      <w:tr>
        <w:trPr>
          <w:trHeight w:val="236"/>
        </w:trPr>
        <w:tc>
          <w:tcPr>
            <w:tcW w:w="3400" w:type="dxa"/>
            <w:vAlign w:val="bottom"/>
          </w:tcPr>
          <w:p>
            <w:pPr>
              <w:ind w:left="20"/>
              <w:spacing w:after="0"/>
              <w:rPr>
                <w:sz w:val="20"/>
                <w:szCs w:val="20"/>
                <w:color w:val="auto"/>
              </w:rPr>
            </w:pPr>
            <w:r>
              <w:rPr>
                <w:rFonts w:ascii="Arial" w:cs="Arial" w:eastAsia="Arial" w:hAnsi="Arial"/>
                <w:sz w:val="18"/>
                <w:szCs w:val="18"/>
                <w:color w:val="auto"/>
              </w:rPr>
              <w:t>Jeffrey R. Tarr</w:t>
            </w: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78"/>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23, 2021</w:t>
            </w:r>
          </w:p>
        </w:tc>
      </w:tr>
      <w:tr>
        <w:trPr>
          <w:trHeight w:val="236"/>
        </w:trPr>
        <w:tc>
          <w:tcPr>
            <w:tcW w:w="3400" w:type="dxa"/>
            <w:vAlign w:val="bottom"/>
          </w:tcPr>
          <w:p>
            <w:pPr>
              <w:ind w:left="20"/>
              <w:spacing w:after="0"/>
              <w:rPr>
                <w:sz w:val="20"/>
                <w:szCs w:val="20"/>
                <w:color w:val="auto"/>
              </w:rPr>
            </w:pPr>
            <w:r>
              <w:rPr>
                <w:rFonts w:ascii="Arial" w:cs="Arial" w:eastAsia="Arial" w:hAnsi="Arial"/>
                <w:sz w:val="18"/>
                <w:szCs w:val="18"/>
                <w:color w:val="auto"/>
              </w:rPr>
              <w:t>C. Michael Schroeder</w:t>
            </w: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78"/>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23, 2021</w:t>
            </w:r>
          </w:p>
        </w:tc>
      </w:tr>
      <w:tr>
        <w:trPr>
          <w:trHeight w:val="236"/>
        </w:trPr>
        <w:tc>
          <w:tcPr>
            <w:tcW w:w="3400" w:type="dxa"/>
            <w:vAlign w:val="bottom"/>
          </w:tcPr>
          <w:p>
            <w:pPr>
              <w:ind w:left="20"/>
              <w:spacing w:after="0"/>
              <w:rPr>
                <w:sz w:val="20"/>
                <w:szCs w:val="20"/>
                <w:color w:val="auto"/>
              </w:rPr>
            </w:pPr>
            <w:r>
              <w:rPr>
                <w:rFonts w:ascii="Arial" w:cs="Arial" w:eastAsia="Arial" w:hAnsi="Arial"/>
                <w:sz w:val="18"/>
                <w:szCs w:val="18"/>
                <w:color w:val="auto"/>
              </w:rPr>
              <w:t>William David Wade</w:t>
            </w: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r>
    </w:tbl>
    <w:p>
      <w:pPr>
        <w:spacing w:after="0" w:line="396" w:lineRule="exact"/>
        <w:rPr>
          <w:sz w:val="20"/>
          <w:szCs w:val="20"/>
          <w:color w:val="auto"/>
        </w:rPr>
      </w:pPr>
    </w:p>
    <w:p>
      <w:pPr>
        <w:jc w:val="right"/>
        <w:ind w:left="800" w:right="8860" w:hanging="774"/>
        <w:spacing w:after="0" w:line="317" w:lineRule="auto"/>
        <w:tabs>
          <w:tab w:leader="none" w:pos="-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By:</w:t>
      </w:r>
      <w:r>
        <w:rPr>
          <w:rFonts w:ascii="Arial" w:cs="Arial" w:eastAsia="Arial" w:hAnsi="Arial"/>
          <w:sz w:val="17"/>
          <w:szCs w:val="17"/>
          <w:i w:val="1"/>
          <w:iCs w:val="1"/>
          <w:color w:val="auto"/>
        </w:rPr>
        <w:t xml:space="preserve">/s/ Dean A. Manson </w:t>
      </w:r>
      <w:r>
        <w:rPr>
          <w:rFonts w:ascii="Arial" w:cs="Arial" w:eastAsia="Arial" w:hAnsi="Arial"/>
          <w:sz w:val="17"/>
          <w:szCs w:val="17"/>
          <w:color w:val="auto"/>
        </w:rPr>
        <w:t>Dean A. Manson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-339725</wp:posOffset>
            </wp:positionV>
            <wp:extent cx="29317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44"/>
        </w:trPr>
        <w:tc>
          <w:tcPr>
            <w:tcW w:w="998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7"/>
        </w:trPr>
        <w:tc>
          <w:tcPr>
            <w:tcW w:w="9980" w:type="dxa"/>
            <w:vAlign w:val="bottom"/>
          </w:tcPr>
          <w:p>
            <w:pPr>
              <w:ind w:left="3340"/>
              <w:spacing w:after="0"/>
              <w:rPr>
                <w:sz w:val="20"/>
                <w:szCs w:val="20"/>
                <w:color w:val="auto"/>
              </w:rPr>
            </w:pPr>
            <w:r>
              <w:rPr>
                <w:rFonts w:ascii="Arial" w:cs="Arial" w:eastAsia="Arial" w:hAnsi="Arial"/>
                <w:sz w:val="18"/>
                <w:szCs w:val="18"/>
                <w:b w:val="1"/>
                <w:bCs w:val="1"/>
                <w:color w:val="auto"/>
              </w:rPr>
              <w:t>INDEX TO CONSOLIDATED FINANCIAL STATEMENTS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8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9980" w:type="dxa"/>
            <w:vAlign w:val="bottom"/>
            <w:vMerge w:val="restart"/>
          </w:tcPr>
          <w:p>
            <w:pPr>
              <w:ind w:left="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Index to Consolidated Financial Statements</w:t>
              </w:r>
            </w:hyperlink>
          </w:p>
        </w:tc>
        <w:tc>
          <w:tcPr>
            <w:tcW w:w="1260" w:type="dxa"/>
            <w:vAlign w:val="bottom"/>
            <w:gridSpan w:val="6"/>
          </w:tcPr>
          <w:p>
            <w:pPr>
              <w:jc w:val="right"/>
              <w:ind w:right="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83"/>
        </w:trPr>
        <w:tc>
          <w:tcPr>
            <w:tcW w:w="9980" w:type="dxa"/>
            <w:vAlign w:val="bottom"/>
            <w:vMerge w:val="continue"/>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gridSpan w:val="3"/>
          </w:tcPr>
          <w:p>
            <w:pPr>
              <w:jc w:val="right"/>
              <w:ind w:right="20"/>
              <w:spacing w:after="0" w:line="182" w:lineRule="exact"/>
              <w:rPr>
                <w:rFonts w:ascii="Arial" w:cs="Arial" w:eastAsia="Arial" w:hAnsi="Arial"/>
                <w:sz w:val="18"/>
                <w:szCs w:val="18"/>
                <w:color w:val="auto"/>
                <w:w w:val="96"/>
              </w:rPr>
            </w:pPr>
            <w:r>
              <w:rPr>
                <w:rFonts w:ascii="Arial" w:cs="Arial" w:eastAsia="Arial" w:hAnsi="Arial"/>
                <w:sz w:val="18"/>
                <w:szCs w:val="18"/>
                <w:color w:val="auto"/>
                <w:w w:val="96"/>
              </w:rPr>
              <w:t>F-</w:t>
            </w:r>
            <w:hyperlink w:anchor="page69">
              <w:r>
                <w:rPr>
                  <w:rFonts w:ascii="Arial" w:cs="Arial" w:eastAsia="Arial" w:hAnsi="Arial"/>
                  <w:sz w:val="18"/>
                  <w:szCs w:val="18"/>
                  <w:u w:val="single" w:color="auto"/>
                  <w:color w:val="0000FF"/>
                  <w:w w:val="96"/>
                </w:rPr>
                <w:t>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80" w:type="dxa"/>
            <w:vAlign w:val="bottom"/>
          </w:tcPr>
          <w:p>
            <w:pPr>
              <w:ind w:left="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Report of Independent Registered Public Accounting Firm</w:t>
              </w:r>
            </w:hyperlink>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4"/>
          </w:tcPr>
          <w:p>
            <w:pPr>
              <w:jc w:val="right"/>
              <w:ind w:right="4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70">
              <w:r>
                <w:rPr>
                  <w:rFonts w:ascii="Arial" w:cs="Arial" w:eastAsia="Arial" w:hAnsi="Arial"/>
                  <w:sz w:val="18"/>
                  <w:szCs w:val="18"/>
                  <w:u w:val="single" w:color="auto"/>
                  <w:color w:val="0000FF"/>
                  <w:w w:val="96"/>
                </w:rPr>
                <w:t>2</w:t>
              </w:r>
            </w:hyperlink>
          </w:p>
        </w:tc>
        <w:tc>
          <w:tcPr>
            <w:tcW w:w="0" w:type="dxa"/>
            <w:vAlign w:val="bottom"/>
          </w:tcPr>
          <w:p>
            <w:pPr>
              <w:spacing w:after="0"/>
              <w:rPr>
                <w:sz w:val="1"/>
                <w:szCs w:val="1"/>
                <w:color w:val="auto"/>
              </w:rPr>
            </w:pPr>
          </w:p>
        </w:tc>
      </w:tr>
      <w:tr>
        <w:trPr>
          <w:trHeight w:val="20"/>
        </w:trPr>
        <w:tc>
          <w:tcPr>
            <w:tcW w:w="9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980" w:type="dxa"/>
            <w:vAlign w:val="bottom"/>
          </w:tcPr>
          <w:p>
            <w:pPr>
              <w:ind w:left="2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Consolidated Balance Sheets as of December 31, 2020 and 2019</w:t>
              </w:r>
            </w:hyperlink>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4"/>
          </w:tcPr>
          <w:p>
            <w:pPr>
              <w:jc w:val="right"/>
              <w:ind w:right="4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72">
              <w:r>
                <w:rPr>
                  <w:rFonts w:ascii="Arial" w:cs="Arial" w:eastAsia="Arial" w:hAnsi="Arial"/>
                  <w:sz w:val="18"/>
                  <w:szCs w:val="18"/>
                  <w:u w:val="single" w:color="auto"/>
                  <w:color w:val="0000FF"/>
                  <w:w w:val="96"/>
                </w:rPr>
                <w:t>4</w:t>
              </w:r>
            </w:hyperlink>
          </w:p>
        </w:tc>
        <w:tc>
          <w:tcPr>
            <w:tcW w:w="0" w:type="dxa"/>
            <w:vAlign w:val="bottom"/>
          </w:tcPr>
          <w:p>
            <w:pPr>
              <w:spacing w:after="0"/>
              <w:rPr>
                <w:sz w:val="1"/>
                <w:szCs w:val="1"/>
                <w:color w:val="auto"/>
              </w:rPr>
            </w:pPr>
          </w:p>
        </w:tc>
      </w:tr>
      <w:tr>
        <w:trPr>
          <w:trHeight w:val="20"/>
        </w:trPr>
        <w:tc>
          <w:tcPr>
            <w:tcW w:w="9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980" w:type="dxa"/>
            <w:vAlign w:val="bottom"/>
          </w:tcPr>
          <w:p>
            <w:pPr>
              <w:ind w:left="2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Consolidated Statements of Operations for the years ended December 31, 2020, 2019 and 2018</w:t>
              </w:r>
            </w:hyperlink>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4"/>
          </w:tcPr>
          <w:p>
            <w:pPr>
              <w:jc w:val="right"/>
              <w:ind w:right="4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74">
              <w:r>
                <w:rPr>
                  <w:rFonts w:ascii="Arial" w:cs="Arial" w:eastAsia="Arial" w:hAnsi="Arial"/>
                  <w:sz w:val="18"/>
                  <w:szCs w:val="18"/>
                  <w:u w:val="single" w:color="auto"/>
                  <w:color w:val="0000FF"/>
                  <w:w w:val="96"/>
                </w:rPr>
                <w:t>6</w:t>
              </w:r>
            </w:hyperlink>
          </w:p>
        </w:tc>
        <w:tc>
          <w:tcPr>
            <w:tcW w:w="0" w:type="dxa"/>
            <w:vAlign w:val="bottom"/>
          </w:tcPr>
          <w:p>
            <w:pPr>
              <w:spacing w:after="0"/>
              <w:rPr>
                <w:sz w:val="1"/>
                <w:szCs w:val="1"/>
                <w:color w:val="auto"/>
              </w:rPr>
            </w:pPr>
          </w:p>
        </w:tc>
      </w:tr>
      <w:tr>
        <w:trPr>
          <w:trHeight w:val="20"/>
        </w:trPr>
        <w:tc>
          <w:tcPr>
            <w:tcW w:w="9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80" w:type="dxa"/>
            <w:vAlign w:val="bottom"/>
          </w:tcPr>
          <w:p>
            <w:pPr>
              <w:ind w:left="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Consolidated Statements of Comprehensive Income (Loss) for the years ended December 31, 2020, 2019 and 2018</w:t>
              </w:r>
            </w:hyperlink>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4"/>
          </w:tcPr>
          <w:p>
            <w:pPr>
              <w:jc w:val="right"/>
              <w:ind w:right="4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75">
              <w:r>
                <w:rPr>
                  <w:rFonts w:ascii="Arial" w:cs="Arial" w:eastAsia="Arial" w:hAnsi="Arial"/>
                  <w:sz w:val="18"/>
                  <w:szCs w:val="18"/>
                  <w:u w:val="single" w:color="auto"/>
                  <w:color w:val="0000FF"/>
                  <w:w w:val="96"/>
                </w:rPr>
                <w:t>7</w:t>
              </w:r>
            </w:hyperlink>
          </w:p>
        </w:tc>
        <w:tc>
          <w:tcPr>
            <w:tcW w:w="0" w:type="dxa"/>
            <w:vAlign w:val="bottom"/>
          </w:tcPr>
          <w:p>
            <w:pPr>
              <w:spacing w:after="0"/>
              <w:rPr>
                <w:sz w:val="1"/>
                <w:szCs w:val="1"/>
                <w:color w:val="auto"/>
              </w:rPr>
            </w:pPr>
          </w:p>
        </w:tc>
      </w:tr>
      <w:tr>
        <w:trPr>
          <w:trHeight w:val="20"/>
        </w:trPr>
        <w:tc>
          <w:tcPr>
            <w:tcW w:w="9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980" w:type="dxa"/>
            <w:vAlign w:val="bottom"/>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Consolidated Statements of Changes in Stockholders' Equity for the years ended December 31, 2020, 2019 and 2018</w:t>
              </w:r>
            </w:hyperlink>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4"/>
          </w:tcPr>
          <w:p>
            <w:pPr>
              <w:jc w:val="right"/>
              <w:ind w:right="4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76">
              <w:r>
                <w:rPr>
                  <w:rFonts w:ascii="Arial" w:cs="Arial" w:eastAsia="Arial" w:hAnsi="Arial"/>
                  <w:sz w:val="18"/>
                  <w:szCs w:val="18"/>
                  <w:u w:val="single" w:color="auto"/>
                  <w:color w:val="0000FF"/>
                  <w:w w:val="96"/>
                </w:rPr>
                <w:t>8</w:t>
              </w:r>
            </w:hyperlink>
          </w:p>
        </w:tc>
        <w:tc>
          <w:tcPr>
            <w:tcW w:w="0" w:type="dxa"/>
            <w:vAlign w:val="bottom"/>
          </w:tcPr>
          <w:p>
            <w:pPr>
              <w:spacing w:after="0"/>
              <w:rPr>
                <w:sz w:val="1"/>
                <w:szCs w:val="1"/>
                <w:color w:val="auto"/>
              </w:rPr>
            </w:pPr>
          </w:p>
        </w:tc>
      </w:tr>
      <w:tr>
        <w:trPr>
          <w:trHeight w:val="20"/>
        </w:trPr>
        <w:tc>
          <w:tcPr>
            <w:tcW w:w="9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980" w:type="dxa"/>
            <w:vAlign w:val="bottom"/>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Consolidated Statements of Cash Flows for the years ended December 31, 2020, 2019 and 2018</w:t>
              </w:r>
            </w:hyperlink>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4"/>
          </w:tcPr>
          <w:p>
            <w:pPr>
              <w:jc w:val="right"/>
              <w:ind w:right="4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77">
              <w:r>
                <w:rPr>
                  <w:rFonts w:ascii="Arial" w:cs="Arial" w:eastAsia="Arial" w:hAnsi="Arial"/>
                  <w:sz w:val="18"/>
                  <w:szCs w:val="18"/>
                  <w:u w:val="single" w:color="auto"/>
                  <w:color w:val="0000FF"/>
                  <w:w w:val="96"/>
                </w:rPr>
                <w:t>9</w:t>
              </w:r>
            </w:hyperlink>
          </w:p>
        </w:tc>
        <w:tc>
          <w:tcPr>
            <w:tcW w:w="0" w:type="dxa"/>
            <w:vAlign w:val="bottom"/>
          </w:tcPr>
          <w:p>
            <w:pPr>
              <w:spacing w:after="0"/>
              <w:rPr>
                <w:sz w:val="1"/>
                <w:szCs w:val="1"/>
                <w:color w:val="auto"/>
              </w:rPr>
            </w:pPr>
          </w:p>
        </w:tc>
      </w:tr>
      <w:tr>
        <w:trPr>
          <w:trHeight w:val="20"/>
        </w:trPr>
        <w:tc>
          <w:tcPr>
            <w:tcW w:w="9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80" w:type="dxa"/>
            <w:vAlign w:val="bottom"/>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Notes to Consolidated Financial Statements</w:t>
              </w:r>
            </w:hyperlink>
          </w:p>
        </w:tc>
        <w:tc>
          <w:tcPr>
            <w:tcW w:w="860" w:type="dxa"/>
            <w:vAlign w:val="bottom"/>
          </w:tcPr>
          <w:p>
            <w:pPr>
              <w:spacing w:after="0"/>
              <w:rPr>
                <w:sz w:val="18"/>
                <w:szCs w:val="18"/>
                <w:color w:val="auto"/>
              </w:rPr>
            </w:pPr>
          </w:p>
        </w:tc>
        <w:tc>
          <w:tcPr>
            <w:tcW w:w="400" w:type="dxa"/>
            <w:vAlign w:val="bottom"/>
            <w:gridSpan w:val="5"/>
          </w:tcPr>
          <w:p>
            <w:pPr>
              <w:jc w:val="right"/>
              <w:ind w:right="40"/>
              <w:spacing w:after="0"/>
              <w:rPr>
                <w:rFonts w:ascii="Arial" w:cs="Arial" w:eastAsia="Arial" w:hAnsi="Arial"/>
                <w:sz w:val="18"/>
                <w:szCs w:val="18"/>
                <w:color w:val="auto"/>
                <w:w w:val="91"/>
              </w:rPr>
            </w:pPr>
            <w:r>
              <w:rPr>
                <w:rFonts w:ascii="Arial" w:cs="Arial" w:eastAsia="Arial" w:hAnsi="Arial"/>
                <w:sz w:val="18"/>
                <w:szCs w:val="18"/>
                <w:color w:val="auto"/>
                <w:w w:val="91"/>
              </w:rPr>
              <w:t>F-</w:t>
            </w:r>
            <w:hyperlink w:anchor="page79">
              <w:r>
                <w:rPr>
                  <w:rFonts w:ascii="Arial" w:cs="Arial" w:eastAsia="Arial" w:hAnsi="Arial"/>
                  <w:sz w:val="18"/>
                  <w:szCs w:val="18"/>
                  <w:u w:val="single" w:color="auto"/>
                  <w:color w:val="0000FF"/>
                  <w:w w:val="91"/>
                </w:rPr>
                <w:t>11</w:t>
              </w:r>
            </w:hyperlink>
          </w:p>
        </w:tc>
        <w:tc>
          <w:tcPr>
            <w:tcW w:w="0" w:type="dxa"/>
            <w:vAlign w:val="bottom"/>
          </w:tcPr>
          <w:p>
            <w:pPr>
              <w:spacing w:after="0"/>
              <w:rPr>
                <w:sz w:val="1"/>
                <w:szCs w:val="1"/>
                <w:color w:val="auto"/>
              </w:rPr>
            </w:pPr>
          </w:p>
        </w:tc>
      </w:tr>
      <w:tr>
        <w:trPr>
          <w:trHeight w:val="875"/>
        </w:trPr>
        <w:tc>
          <w:tcPr>
            <w:tcW w:w="9980" w:type="dxa"/>
            <w:vAlign w:val="bottom"/>
          </w:tcPr>
          <w:p>
            <w:pPr>
              <w:ind w:left="5480"/>
              <w:spacing w:after="0"/>
              <w:rPr>
                <w:sz w:val="20"/>
                <w:szCs w:val="20"/>
                <w:color w:val="auto"/>
              </w:rPr>
            </w:pPr>
            <w:r>
              <w:rPr>
                <w:rFonts w:ascii="Arial" w:cs="Arial" w:eastAsia="Arial" w:hAnsi="Arial"/>
                <w:sz w:val="18"/>
                <w:szCs w:val="18"/>
                <w:color w:val="auto"/>
              </w:rPr>
              <w:t>F-1</w:t>
            </w:r>
          </w:p>
        </w:tc>
        <w:tc>
          <w:tcPr>
            <w:tcW w:w="8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9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EchoStar Corporation: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Consolidated Financial Statements and Internal Control Over Financial Reporting</w:t>
      </w:r>
    </w:p>
    <w:p>
      <w:pPr>
        <w:spacing w:after="0" w:line="25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We have audited the accompanying consolidated balance sheets of EchoStar Corporation and subsidiaries (the Company) as of December 31, 2020 and 2019, the related consolidated statements of operations, comprehensive income (loss), changes in stockholders’ equity, and cash flows for each of the years in the three-year period ended December 31, 2020, and the related notes (collectively, the consolidated financial statements). We also have audited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discussed in Note 2 to the consolidated financial statements, in 2019, the Company changed its method of accounting for leases as of January 1, 2019 due to the adoption of Accounting Standards Update No. 2016-02, Leases.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5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5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Identification of related party transactions with DISH Network Corporation</w:t>
      </w:r>
    </w:p>
    <w:p>
      <w:pPr>
        <w:spacing w:after="0" w:line="25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As discussed in Note 22 to the consolidated financial statements, a substantial majority of the voting power of the shares of both the Company and DISH Network Corporation and subsidiaries (DISH) is owned beneficially by the Chairman of the Company. The Company has engaged, and continues to engage, in related party transactions with DISH.</w:t>
      </w:r>
    </w:p>
    <w:p>
      <w:pPr>
        <w:spacing w:after="0" w:line="19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We identified the evaluation of the identification of related party transactions with DISH as a critical audit matter. Subjective auditor judgment was required in assessing the sufficiency of the results of the procedures performed to determine such transactions were identified by the Company.</w:t>
      </w:r>
    </w:p>
    <w:p>
      <w:pPr>
        <w:spacing w:after="0" w:line="191"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related party process, including controls related to the identification of the Company’s related party transactions with DISH. We evaluated the identification of related party transactions with DISH by:</w:t>
      </w:r>
    </w:p>
    <w:p>
      <w:pPr>
        <w:ind w:left="980"/>
        <w:spacing w:after="0" w:line="237"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confirming related party amounts between DISH and the Company with DISH;</w:t>
      </w:r>
    </w:p>
    <w:p>
      <w:pPr>
        <w:ind w:left="1300" w:hanging="324"/>
        <w:spacing w:after="0" w:line="245" w:lineRule="auto"/>
        <w:rPr>
          <w:sz w:val="20"/>
          <w:szCs w:val="20"/>
          <w:color w:val="auto"/>
        </w:rPr>
      </w:pPr>
      <w:r>
        <w:rPr>
          <w:rFonts w:ascii="Arial" w:cs="Arial" w:eastAsia="Arial" w:hAnsi="Arial"/>
          <w:sz w:val="18"/>
          <w:szCs w:val="18"/>
          <w:color w:val="auto"/>
        </w:rPr>
        <w:t>– reading public filings from the Company, DISH, and external news for information related to transactions between the Company and DISH;</w:t>
      </w:r>
    </w:p>
    <w:p>
      <w:pPr>
        <w:ind w:left="980"/>
        <w:spacing w:after="0" w:line="227"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reading the Company’s minutes from meetings of the Board of Directors;</w:t>
      </w:r>
    </w:p>
    <w:p>
      <w:pPr>
        <w:ind w:left="980"/>
        <w:spacing w:after="0" w:line="230"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performing a keyword search on the Company’s customer and vendor databases for new relationships with DISH;</w:t>
      </w:r>
    </w:p>
    <w:p>
      <w:pPr>
        <w:ind w:left="980"/>
        <w:spacing w:after="0" w:line="230"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reading new agreements and contracts with DISH;</w:t>
      </w:r>
    </w:p>
    <w:p>
      <w:pPr>
        <w:ind w:left="980"/>
        <w:spacing w:after="0" w:line="230"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inquiring of executive officers, key members of the Company, and the Board of Directors; and</w:t>
      </w:r>
    </w:p>
    <w:p>
      <w:pPr>
        <w:ind w:left="980"/>
        <w:spacing w:after="0" w:line="230"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reading the transcripts to quarterly earnings conference calls for the Company and DISH.</w:t>
      </w:r>
    </w:p>
    <w:p>
      <w:pPr>
        <w:spacing w:after="0" w:line="207" w:lineRule="exact"/>
        <w:rPr>
          <w:sz w:val="20"/>
          <w:szCs w:val="20"/>
          <w:color w:val="auto"/>
        </w:rPr>
      </w:pPr>
    </w:p>
    <w:p>
      <w:pPr>
        <w:ind w:left="660"/>
        <w:spacing w:after="0" w:line="276" w:lineRule="auto"/>
        <w:rPr>
          <w:sz w:val="20"/>
          <w:szCs w:val="20"/>
          <w:color w:val="auto"/>
        </w:rPr>
      </w:pPr>
      <w:r>
        <w:rPr>
          <w:rFonts w:ascii="Arial" w:cs="Arial" w:eastAsia="Arial" w:hAnsi="Arial"/>
          <w:sz w:val="18"/>
          <w:szCs w:val="18"/>
          <w:color w:val="auto"/>
        </w:rPr>
        <w:t>We evaluated the sufficiency of audit evidence obtained by assessing the results of procedures performed over the identification of related party transactions with DISH.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As of December 31,</w:t>
            </w:r>
          </w:p>
        </w:tc>
      </w:tr>
      <w:tr>
        <w:trPr>
          <w:trHeight w:val="209"/>
        </w:trPr>
        <w:tc>
          <w:tcPr>
            <w:tcW w:w="80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210"/>
        </w:trPr>
        <w:tc>
          <w:tcPr>
            <w:tcW w:w="8000" w:type="dxa"/>
            <w:vAlign w:val="bottom"/>
            <w:shd w:val="clear" w:color="auto" w:fill="CCEEFF"/>
          </w:tcPr>
          <w:p>
            <w:pPr>
              <w:ind w:left="368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896,005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1,519,431</w:t>
            </w: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Marketable investment securities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1,638,271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940,623</w:t>
            </w: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accounts receivable and contract assets, net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196,629</w:t>
            </w:r>
          </w:p>
        </w:tc>
      </w:tr>
      <w:tr>
        <w:trPr>
          <w:trHeight w:val="216"/>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assets, net</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179,531</w:t>
            </w:r>
          </w:p>
        </w:tc>
      </w:tr>
      <w:tr>
        <w:trPr>
          <w:trHeight w:val="209"/>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2,908,086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2,836,214</w:t>
            </w: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2,390,313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2,528,738</w:t>
            </w: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128,303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114,042</w:t>
            </w: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511,597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506,953</w:t>
            </w: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Regulatory authorizations, net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478,762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478,598</w:t>
            </w: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intangible assets, net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29,507</w:t>
            </w: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Other investments, net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284,937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325,405</w:t>
            </w: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assets, net</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352,921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334,841</w:t>
            </w:r>
          </w:p>
        </w:tc>
      </w:tr>
      <w:tr>
        <w:trPr>
          <w:trHeight w:val="209"/>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non-current assets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4,165,266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4,318,084</w:t>
            </w:r>
          </w:p>
        </w:tc>
      </w:tr>
      <w:tr>
        <w:trPr>
          <w:trHeight w:val="235"/>
        </w:trPr>
        <w:tc>
          <w:tcPr>
            <w:tcW w:w="8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assets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7,073,352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7,154,298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8000" w:type="dxa"/>
            <w:vAlign w:val="bottom"/>
            <w:shd w:val="clear" w:color="auto" w:fill="CCEEFF"/>
          </w:tcPr>
          <w:p>
            <w:pPr>
              <w:ind w:left="258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accounts payable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124,080</w:t>
            </w: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Current portion of long-term debt, net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898,237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liabilities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101,060</w:t>
            </w:r>
          </w:p>
        </w:tc>
      </w:tr>
      <w:tr>
        <w:trPr>
          <w:trHeight w:val="216"/>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270,879</w:t>
            </w:r>
          </w:p>
        </w:tc>
      </w:tr>
      <w:tr>
        <w:trPr>
          <w:trHeight w:val="209"/>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1,425,171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496,019</w:t>
            </w: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net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1,495,256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2,389,168</w:t>
            </w: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Deferred tax liabilities, net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359,896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351,692</w:t>
            </w: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96,941</w:t>
            </w:r>
          </w:p>
        </w:tc>
      </w:tr>
      <w:tr>
        <w:trPr>
          <w:trHeight w:val="216"/>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70,893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74,925</w:t>
            </w:r>
          </w:p>
        </w:tc>
      </w:tr>
      <w:tr>
        <w:trPr>
          <w:trHeight w:val="209"/>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non-current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2,040,931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2,912,726</w:t>
            </w:r>
          </w:p>
        </w:tc>
      </w:tr>
      <w:tr>
        <w:trPr>
          <w:trHeight w:val="210"/>
        </w:trPr>
        <w:tc>
          <w:tcPr>
            <w:tcW w:w="8000" w:type="dxa"/>
            <w:vAlign w:val="bottom"/>
            <w:tcBorders>
              <w:bottom w:val="single" w:sz="8" w:color="CCEEFF"/>
            </w:tcBorders>
          </w:tcPr>
          <w:p>
            <w:pPr>
              <w:ind w:left="680"/>
              <w:spacing w:after="0"/>
              <w:rPr>
                <w:sz w:val="20"/>
                <w:szCs w:val="20"/>
                <w:color w:val="auto"/>
              </w:rPr>
            </w:pPr>
            <w:r>
              <w:rPr>
                <w:rFonts w:ascii="Arial" w:cs="Arial" w:eastAsia="Arial" w:hAnsi="Arial"/>
                <w:sz w:val="16"/>
                <w:szCs w:val="16"/>
                <w:b w:val="1"/>
                <w:bCs w:val="1"/>
                <w:color w:val="auto"/>
              </w:rPr>
              <w:t>Total liabilities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3,466,102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3,408,745</w:t>
            </w:r>
          </w:p>
        </w:tc>
      </w:tr>
      <w:tr>
        <w:trPr>
          <w:trHeight w:val="237"/>
        </w:trPr>
        <w:tc>
          <w:tcPr>
            <w:tcW w:w="80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bl>
    <w:p>
      <w:pPr>
        <w:ind w:left="20"/>
        <w:spacing w:after="0"/>
        <w:rPr>
          <w:sz w:val="20"/>
          <w:szCs w:val="20"/>
          <w:color w:val="auto"/>
        </w:rPr>
      </w:pPr>
      <w:r>
        <w:rPr>
          <w:rFonts w:ascii="Arial" w:cs="Arial" w:eastAsia="Arial" w:hAnsi="Arial"/>
          <w:sz w:val="16"/>
          <w:szCs w:val="16"/>
          <w:color w:val="auto"/>
        </w:rPr>
        <w:t>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0" w:type="dxa"/>
            <w:vAlign w:val="bottom"/>
          </w:tcPr>
          <w:p>
            <w:pPr>
              <w:ind w:left="280"/>
              <w:spacing w:after="0" w:line="162" w:lineRule="exact"/>
              <w:rPr>
                <w:sz w:val="20"/>
                <w:szCs w:val="20"/>
                <w:color w:val="auto"/>
              </w:rPr>
            </w:pPr>
            <w:r>
              <w:rPr>
                <w:rFonts w:ascii="Arial" w:cs="Arial" w:eastAsia="Arial" w:hAnsi="Arial"/>
                <w:sz w:val="16"/>
                <w:szCs w:val="16"/>
                <w:color w:val="auto"/>
              </w:rPr>
              <w:t>Preferred stock, $0.001 par value, 20,000,000 shares authorized, none issued and outstanding at both</w:t>
            </w:r>
          </w:p>
        </w:tc>
        <w:tc>
          <w:tcPr>
            <w:tcW w:w="46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280"/>
              <w:spacing w:after="0"/>
              <w:rPr>
                <w:sz w:val="20"/>
                <w:szCs w:val="20"/>
                <w:color w:val="auto"/>
              </w:rPr>
            </w:pPr>
            <w:r>
              <w:rPr>
                <w:rFonts w:ascii="Arial" w:cs="Arial" w:eastAsia="Arial" w:hAnsi="Arial"/>
                <w:sz w:val="16"/>
                <w:szCs w:val="16"/>
                <w:color w:val="auto"/>
              </w:rPr>
              <w:t>December 31, 2020 and 2019</w:t>
            </w:r>
          </w:p>
        </w:tc>
        <w:tc>
          <w:tcPr>
            <w:tcW w:w="4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Common stock, $0.001 par value, 4,000,000,000 shares authorized:</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0" w:type="dxa"/>
            <w:vAlign w:val="bottom"/>
          </w:tcPr>
          <w:p>
            <w:pPr>
              <w:ind w:left="480"/>
              <w:spacing w:after="0" w:line="162" w:lineRule="exact"/>
              <w:rPr>
                <w:sz w:val="20"/>
                <w:szCs w:val="20"/>
                <w:color w:val="auto"/>
              </w:rPr>
            </w:pPr>
            <w:r>
              <w:rPr>
                <w:rFonts w:ascii="Arial" w:cs="Arial" w:eastAsia="Arial" w:hAnsi="Arial"/>
                <w:sz w:val="16"/>
                <w:szCs w:val="16"/>
                <w:color w:val="auto"/>
              </w:rPr>
              <w:t>Class A common stock, $0.001 par value, 1,600,000,000 shares authorized, 57,254,201 shares issued</w:t>
            </w: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0" w:type="dxa"/>
            <w:vAlign w:val="bottom"/>
          </w:tcPr>
          <w:p>
            <w:pPr>
              <w:ind w:left="480"/>
              <w:spacing w:after="0" w:line="162" w:lineRule="exact"/>
              <w:rPr>
                <w:sz w:val="20"/>
                <w:szCs w:val="20"/>
                <w:color w:val="auto"/>
              </w:rPr>
            </w:pPr>
            <w:r>
              <w:rPr>
                <w:rFonts w:ascii="Arial" w:cs="Arial" w:eastAsia="Arial" w:hAnsi="Arial"/>
                <w:sz w:val="16"/>
                <w:szCs w:val="16"/>
                <w:color w:val="auto"/>
              </w:rPr>
              <w:t>and 48,863,374 shares outstanding at December 31, 2020 and 56,592,251 shares issued and</w:t>
            </w:r>
          </w:p>
        </w:tc>
        <w:tc>
          <w:tcPr>
            <w:tcW w:w="4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6"/>
        </w:trPr>
        <w:tc>
          <w:tcPr>
            <w:tcW w:w="8000" w:type="dxa"/>
            <w:vAlign w:val="bottom"/>
          </w:tcPr>
          <w:p>
            <w:pPr>
              <w:ind w:left="480"/>
              <w:spacing w:after="0"/>
              <w:rPr>
                <w:sz w:val="20"/>
                <w:szCs w:val="20"/>
                <w:color w:val="auto"/>
              </w:rPr>
            </w:pPr>
            <w:r>
              <w:rPr>
                <w:rFonts w:ascii="Arial" w:cs="Arial" w:eastAsia="Arial" w:hAnsi="Arial"/>
                <w:sz w:val="16"/>
                <w:szCs w:val="16"/>
                <w:color w:val="auto"/>
              </w:rPr>
              <w:t>50,107,330 shares outstanding at December 31, 2019</w:t>
            </w:r>
          </w:p>
        </w:tc>
        <w:tc>
          <w:tcPr>
            <w:tcW w:w="4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0" w:type="dxa"/>
            <w:vAlign w:val="bottom"/>
            <w:shd w:val="clear" w:color="auto" w:fill="CCEEFF"/>
          </w:tcPr>
          <w:p>
            <w:pPr>
              <w:ind w:left="480"/>
              <w:spacing w:after="0" w:line="162" w:lineRule="exact"/>
              <w:rPr>
                <w:sz w:val="20"/>
                <w:szCs w:val="20"/>
                <w:color w:val="auto"/>
              </w:rPr>
            </w:pPr>
            <w:r>
              <w:rPr>
                <w:rFonts w:ascii="Arial" w:cs="Arial" w:eastAsia="Arial" w:hAnsi="Arial"/>
                <w:sz w:val="16"/>
                <w:szCs w:val="16"/>
                <w:color w:val="auto"/>
              </w:rPr>
              <w:t>Class B convertible common stock, $0.001 par value, 800,000,000 shares authorized, 47,687,039</w:t>
            </w:r>
          </w:p>
        </w:tc>
        <w:tc>
          <w:tcPr>
            <w:tcW w:w="4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shares issued and outstanding at both December 31, 2020 and 2019</w:t>
            </w:r>
          </w:p>
        </w:tc>
        <w:tc>
          <w:tcPr>
            <w:tcW w:w="4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0" w:type="dxa"/>
            <w:vAlign w:val="bottom"/>
          </w:tcPr>
          <w:p>
            <w:pPr>
              <w:ind w:left="480"/>
              <w:spacing w:after="0" w:line="162" w:lineRule="exact"/>
              <w:rPr>
                <w:sz w:val="20"/>
                <w:szCs w:val="20"/>
                <w:color w:val="auto"/>
              </w:rPr>
            </w:pPr>
            <w:r>
              <w:rPr>
                <w:rFonts w:ascii="Arial" w:cs="Arial" w:eastAsia="Arial" w:hAnsi="Arial"/>
                <w:sz w:val="16"/>
                <w:szCs w:val="16"/>
                <w:color w:val="auto"/>
              </w:rPr>
              <w:t>Class C convertible common stock, $0.001 par value, 800,000,000 shares authorized, none issued and</w:t>
            </w:r>
          </w:p>
        </w:tc>
        <w:tc>
          <w:tcPr>
            <w:tcW w:w="46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480"/>
              <w:spacing w:after="0"/>
              <w:rPr>
                <w:sz w:val="20"/>
                <w:szCs w:val="20"/>
                <w:color w:val="auto"/>
              </w:rPr>
            </w:pPr>
            <w:r>
              <w:rPr>
                <w:rFonts w:ascii="Arial" w:cs="Arial" w:eastAsia="Arial" w:hAnsi="Arial"/>
                <w:sz w:val="16"/>
                <w:szCs w:val="16"/>
                <w:color w:val="auto"/>
              </w:rPr>
              <w:t>outstanding at both December 31, 2020 and 2019</w:t>
            </w:r>
          </w:p>
        </w:tc>
        <w:tc>
          <w:tcPr>
            <w:tcW w:w="4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0" w:type="dxa"/>
            <w:vAlign w:val="bottom"/>
            <w:shd w:val="clear" w:color="auto" w:fill="CCEEFF"/>
          </w:tcPr>
          <w:p>
            <w:pPr>
              <w:ind w:left="480"/>
              <w:spacing w:after="0" w:line="162" w:lineRule="exact"/>
              <w:rPr>
                <w:sz w:val="20"/>
                <w:szCs w:val="20"/>
                <w:color w:val="auto"/>
              </w:rPr>
            </w:pPr>
            <w:r>
              <w:rPr>
                <w:rFonts w:ascii="Arial" w:cs="Arial" w:eastAsia="Arial" w:hAnsi="Arial"/>
                <w:sz w:val="16"/>
                <w:szCs w:val="16"/>
                <w:color w:val="auto"/>
              </w:rPr>
              <w:t>Class D common stock, $0.001 par value, 800,000,000 shares authorized, none issued and</w:t>
            </w:r>
          </w:p>
        </w:tc>
        <w:tc>
          <w:tcPr>
            <w:tcW w:w="46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outstanding at both December 31, 2020 and 2019</w:t>
            </w:r>
          </w:p>
        </w:tc>
        <w:tc>
          <w:tcPr>
            <w:tcW w:w="46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3,321,426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3,290,483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(122,138)</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Accumulated earnings (losses)</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583,591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632,809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w:t>
            </w: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(174,912)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(131,454)</w:t>
            </w:r>
          </w:p>
        </w:tc>
        <w:tc>
          <w:tcPr>
            <w:tcW w:w="0" w:type="dxa"/>
            <w:vAlign w:val="bottom"/>
          </w:tcPr>
          <w:p>
            <w:pPr>
              <w:spacing w:after="0"/>
              <w:rPr>
                <w:sz w:val="1"/>
                <w:szCs w:val="1"/>
                <w:color w:val="auto"/>
              </w:rPr>
            </w:pPr>
          </w:p>
        </w:tc>
      </w:tr>
      <w:tr>
        <w:trPr>
          <w:trHeight w:val="209"/>
        </w:trPr>
        <w:tc>
          <w:tcPr>
            <w:tcW w:w="8000" w:type="dxa"/>
            <w:vAlign w:val="bottom"/>
          </w:tcPr>
          <w:p>
            <w:pPr>
              <w:ind w:left="480"/>
              <w:spacing w:after="0"/>
              <w:rPr>
                <w:sz w:val="20"/>
                <w:szCs w:val="20"/>
                <w:color w:val="auto"/>
              </w:rPr>
            </w:pPr>
            <w:r>
              <w:rPr>
                <w:rFonts w:ascii="Arial" w:cs="Arial" w:eastAsia="Arial" w:hAnsi="Arial"/>
                <w:sz w:val="16"/>
                <w:szCs w:val="16"/>
                <w:color w:val="auto"/>
              </w:rPr>
              <w:t>Total EchoStar Corporation stockholders' equity</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3,542,334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3,669,805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Non-controlling interests</w:t>
            </w: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64,916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75,748</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b w:val="1"/>
                <w:bCs w:val="1"/>
                <w:color w:val="auto"/>
              </w:rPr>
              <w:t>Total stockholders' equity</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3,607,250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3,745,553</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b w:val="1"/>
                <w:bCs w:val="1"/>
                <w:color w:val="auto"/>
              </w:rPr>
              <w:t>Total liabilities and stockholders' equity</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7,073,352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7,154,298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44"/>
        </w:trPr>
        <w:tc>
          <w:tcPr>
            <w:tcW w:w="574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7600" w:type="dxa"/>
            <w:vAlign w:val="bottom"/>
            <w:gridSpan w:val="4"/>
          </w:tcPr>
          <w:p>
            <w:pPr>
              <w:ind w:left="4440"/>
              <w:spacing w:after="0"/>
              <w:rPr>
                <w:sz w:val="20"/>
                <w:szCs w:val="20"/>
                <w:color w:val="auto"/>
              </w:rPr>
            </w:pPr>
            <w:r>
              <w:rPr>
                <w:rFonts w:ascii="Arial" w:cs="Arial" w:eastAsia="Arial" w:hAnsi="Arial"/>
                <w:sz w:val="18"/>
                <w:szCs w:val="18"/>
                <w:b w:val="1"/>
                <w:bCs w:val="1"/>
                <w:color w:val="auto"/>
              </w:rPr>
              <w:t>ECHOSTAR CORPORATION</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0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CONSOLIDATED STATEMENTS OF OPERATIONS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gridSpan w:val="5"/>
          </w:tcPr>
          <w:p>
            <w:pPr>
              <w:ind w:left="3580"/>
              <w:spacing w:after="0"/>
              <w:rPr>
                <w:sz w:val="20"/>
                <w:szCs w:val="20"/>
                <w:color w:val="auto"/>
              </w:rPr>
            </w:pPr>
            <w:r>
              <w:rPr>
                <w:rFonts w:ascii="Arial" w:cs="Arial" w:eastAsia="Arial" w:hAnsi="Arial"/>
                <w:sz w:val="18"/>
                <w:szCs w:val="18"/>
                <w:color w:val="auto"/>
              </w:rPr>
              <w:t>(Amounts in thousands, except per share amounts)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57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Services and other 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1,682,304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1,619,271</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1,557,228</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revenue</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205,603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266,810</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205,410</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1,887,907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1,886,081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1,762,638</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740" w:type="dxa"/>
            <w:vAlign w:val="bottom"/>
          </w:tcPr>
          <w:p>
            <w:pPr>
              <w:ind w:left="220"/>
              <w:spacing w:after="0" w:line="176" w:lineRule="exact"/>
              <w:rPr>
                <w:sz w:val="20"/>
                <w:szCs w:val="20"/>
                <w:color w:val="auto"/>
              </w:rPr>
            </w:pPr>
            <w:r>
              <w:rPr>
                <w:rFonts w:ascii="Arial" w:cs="Arial" w:eastAsia="Arial" w:hAnsi="Arial"/>
                <w:sz w:val="18"/>
                <w:szCs w:val="18"/>
                <w:color w:val="auto"/>
              </w:rPr>
              <w:t>Cost of sales - services and other (exclusive of depreciation and</w:t>
            </w: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577,943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561,353</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563,907</w:t>
            </w: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Cost of sales - equipment (exclusive of depreciation and</w:t>
            </w: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166,435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226,002</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176,600</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474,912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509,145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436,088</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27,570</w:t>
            </w: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525,011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490,765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457,116</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of long-lived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65,220</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costs and expenses</w:t>
            </w: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1,775,434</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1,813,004</w:t>
            </w:r>
          </w:p>
        </w:tc>
        <w:tc>
          <w:tcPr>
            <w:tcW w:w="12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1,726,501</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73,077</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36,137</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80,275</w:t>
            </w: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(147,927)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(251,016)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(219,288)</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(losses) on investments,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(12,622)</w:t>
            </w: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Equity in earnings (losses) of unconsolidated affiliates, net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(14,734)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transaction gains (losses),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(15,583)</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11,249</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income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(140,308)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(166,242)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(161,923)</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(93,165)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(125,786)</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benefit (provision), net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(20,488)</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(51,904)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(113,653)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(132,362)</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from discontinued operations</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93,729</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(51,904)</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(74,252)</w:t>
            </w: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(38,633)</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loss (income) attributable to 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(40,150)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(62,917)</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(40,475)</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Earnings (losses) per share - Class A and B common stock:</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Basic and diluted earnings (losses) from continuing operations per</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share</w:t>
            </w: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Total basic and diluted earnings (losses) per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(0.65)</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44"/>
        </w:trPr>
        <w:tc>
          <w:tcPr>
            <w:tcW w:w="574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7600" w:type="dxa"/>
            <w:vAlign w:val="bottom"/>
            <w:gridSpan w:val="4"/>
          </w:tcPr>
          <w:p>
            <w:pPr>
              <w:jc w:val="center"/>
              <w:ind w:left="3570"/>
              <w:spacing w:after="0"/>
              <w:rPr>
                <w:sz w:val="20"/>
                <w:szCs w:val="20"/>
                <w:color w:val="auto"/>
              </w:rPr>
            </w:pPr>
            <w:r>
              <w:rPr>
                <w:rFonts w:ascii="Arial" w:cs="Arial" w:eastAsia="Arial" w:hAnsi="Arial"/>
                <w:sz w:val="18"/>
                <w:szCs w:val="18"/>
                <w:b w:val="1"/>
                <w:bCs w:val="1"/>
                <w:color w:val="auto"/>
                <w:w w:val="98"/>
              </w:rPr>
              <w:t>ECHOSTAR CORPORATION</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480" w:type="dxa"/>
            <w:vAlign w:val="bottom"/>
            <w:gridSpan w:val="7"/>
          </w:tcPr>
          <w:p>
            <w:pPr>
              <w:jc w:val="center"/>
              <w:ind w:left="1690"/>
              <w:spacing w:after="0"/>
              <w:rPr>
                <w:sz w:val="20"/>
                <w:szCs w:val="20"/>
                <w:color w:val="auto"/>
              </w:rPr>
            </w:pPr>
            <w:r>
              <w:rPr>
                <w:rFonts w:ascii="Arial" w:cs="Arial" w:eastAsia="Arial" w:hAnsi="Arial"/>
                <w:sz w:val="18"/>
                <w:szCs w:val="18"/>
                <w:b w:val="1"/>
                <w:bCs w:val="1"/>
                <w:color w:val="auto"/>
                <w:w w:val="99"/>
              </w:rPr>
              <w:t>CONSOLIDATED STATEMENTS OF COMPREHENSIVE INCOME (LOSS)</w:t>
            </w: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00" w:type="dxa"/>
            <w:vAlign w:val="bottom"/>
            <w:gridSpan w:val="4"/>
          </w:tcPr>
          <w:p>
            <w:pPr>
              <w:jc w:val="center"/>
              <w:ind w:left="3570"/>
              <w:spacing w:after="0"/>
              <w:rPr>
                <w:sz w:val="20"/>
                <w:szCs w:val="20"/>
                <w:color w:val="auto"/>
              </w:rPr>
            </w:pPr>
            <w:r>
              <w:rPr>
                <w:rFonts w:ascii="Arial" w:cs="Arial" w:eastAsia="Arial" w:hAnsi="Arial"/>
                <w:sz w:val="18"/>
                <w:szCs w:val="18"/>
                <w:color w:val="auto"/>
                <w:w w:val="99"/>
              </w:rPr>
              <w:t>(Amounts in thousands)</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57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(38,633)</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(34,399)</w:t>
            </w:r>
          </w:p>
        </w:tc>
        <w:tc>
          <w:tcPr>
            <w:tcW w:w="0" w:type="dxa"/>
            <w:vAlign w:val="bottom"/>
          </w:tcPr>
          <w:p>
            <w:pPr>
              <w:spacing w:after="0"/>
              <w:rPr>
                <w:sz w:val="1"/>
                <w:szCs w:val="1"/>
                <w:color w:val="auto"/>
              </w:rPr>
            </w:pPr>
          </w:p>
        </w:tc>
      </w:tr>
      <w:tr>
        <w:trPr>
          <w:trHeight w:val="230"/>
        </w:trPr>
        <w:tc>
          <w:tcPr>
            <w:tcW w:w="5740" w:type="dxa"/>
            <w:vAlign w:val="bottom"/>
          </w:tcPr>
          <w:p>
            <w:pPr>
              <w:ind w:left="280"/>
              <w:spacing w:after="0"/>
              <w:rPr>
                <w:sz w:val="20"/>
                <w:szCs w:val="20"/>
                <w:color w:val="auto"/>
              </w:rPr>
            </w:pPr>
            <w:r>
              <w:rPr>
                <w:rFonts w:ascii="Arial" w:cs="Arial" w:eastAsia="Arial" w:hAnsi="Arial"/>
                <w:sz w:val="18"/>
                <w:szCs w:val="18"/>
                <w:color w:val="auto"/>
              </w:rPr>
              <w:t>Unrealized gains (losses) on available-for-sale securities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2,571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9"/>
        </w:trPr>
        <w:tc>
          <w:tcPr>
            <w:tcW w:w="5740" w:type="dxa"/>
            <w:vAlign w:val="bottom"/>
          </w:tcPr>
          <w:p>
            <w:pPr>
              <w:ind w:left="280"/>
              <w:spacing w:after="0"/>
              <w:rPr>
                <w:sz w:val="20"/>
                <w:szCs w:val="20"/>
                <w:color w:val="auto"/>
              </w:rPr>
            </w:pPr>
            <w:r>
              <w:rPr>
                <w:rFonts w:ascii="Arial" w:cs="Arial" w:eastAsia="Arial" w:hAnsi="Arial"/>
                <w:sz w:val="18"/>
                <w:szCs w:val="18"/>
                <w:b w:val="1"/>
                <w:bCs w:val="1"/>
                <w:color w:val="auto"/>
              </w:rPr>
              <w:t>Amounts reclassified to net income (loss):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7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Foreign currency translation realized on impairment of long lived</w:t>
            </w:r>
          </w:p>
        </w:tc>
        <w:tc>
          <w:tcPr>
            <w:tcW w:w="40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1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32,136</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assets</w:t>
            </w:r>
          </w:p>
        </w:tc>
        <w:tc>
          <w:tcPr>
            <w:tcW w:w="40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520"/>
              <w:spacing w:after="0"/>
              <w:rPr>
                <w:sz w:val="20"/>
                <w:szCs w:val="20"/>
                <w:color w:val="auto"/>
              </w:rPr>
            </w:pPr>
            <w:r>
              <w:rPr>
                <w:rFonts w:ascii="Arial" w:cs="Arial" w:eastAsia="Arial" w:hAnsi="Arial"/>
                <w:sz w:val="18"/>
                <w:szCs w:val="18"/>
                <w:color w:val="auto"/>
              </w:rPr>
              <w:t>Realized losses (gains) on available-for-sale debt securities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7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Other-than-temporary impairment loss on available-for-sale</w:t>
            </w:r>
          </w:p>
        </w:tc>
        <w:tc>
          <w:tcPr>
            <w:tcW w:w="40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1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securities</w:t>
            </w:r>
          </w:p>
        </w:tc>
        <w:tc>
          <w:tcPr>
            <w:tcW w:w="40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comprehensive income (loss), net of tax</w:t>
            </w: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(81,377)</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6,290</w:t>
            </w:r>
          </w:p>
        </w:tc>
        <w:tc>
          <w:tcPr>
            <w:tcW w:w="12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(44,046)</w:t>
            </w:r>
          </w:p>
        </w:tc>
        <w:tc>
          <w:tcPr>
            <w:tcW w:w="0" w:type="dxa"/>
            <w:vAlign w:val="bottom"/>
          </w:tcPr>
          <w:p>
            <w:pPr>
              <w:spacing w:after="0"/>
              <w:rPr>
                <w:sz w:val="1"/>
                <w:szCs w:val="1"/>
                <w:color w:val="auto"/>
              </w:rPr>
            </w:pPr>
          </w:p>
        </w:tc>
      </w:tr>
      <w:tr>
        <w:trPr>
          <w:trHeight w:val="175"/>
        </w:trPr>
        <w:tc>
          <w:tcPr>
            <w:tcW w:w="5740" w:type="dxa"/>
            <w:vAlign w:val="bottom"/>
          </w:tcPr>
          <w:p>
            <w:pPr>
              <w:ind w:left="220"/>
              <w:spacing w:after="0" w:line="176" w:lineRule="exact"/>
              <w:rPr>
                <w:sz w:val="20"/>
                <w:szCs w:val="20"/>
                <w:color w:val="auto"/>
              </w:rPr>
            </w:pPr>
            <w:r>
              <w:rPr>
                <w:rFonts w:ascii="Arial" w:cs="Arial" w:eastAsia="Arial" w:hAnsi="Arial"/>
                <w:sz w:val="18"/>
                <w:szCs w:val="18"/>
                <w:color w:val="auto"/>
              </w:rPr>
              <w:t>Less: Comprehensive income (loss) attributable to non-controlling</w:t>
            </w: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27,392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(8,007)</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EchoStar Corporation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(59,955)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(Amounts in thousands)</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2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6"/>
              </w:rPr>
              <w:t>Additional</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4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Common</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8"/>
              </w:rPr>
              <w:t>Treasury</w:t>
            </w:r>
          </w:p>
        </w:tc>
        <w:tc>
          <w:tcPr>
            <w:tcW w:w="100" w:type="dxa"/>
            <w:vAlign w:val="bottom"/>
          </w:tcPr>
          <w:p>
            <w:pPr>
              <w:spacing w:after="0"/>
              <w:rPr>
                <w:sz w:val="9"/>
                <w:szCs w:val="9"/>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7"/>
              </w:rPr>
              <w:t>Non-controlling</w:t>
            </w: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tcPr>
          <w:p>
            <w:pPr>
              <w:jc w:val="center"/>
              <w:ind w:right="300"/>
              <w:spacing w:after="0" w:line="108" w:lineRule="exact"/>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9"/>
                <w:szCs w:val="9"/>
                <w:color w:val="auto"/>
              </w:rPr>
            </w:pPr>
          </w:p>
        </w:tc>
        <w:tc>
          <w:tcPr>
            <w:tcW w:w="11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7"/>
              </w:rPr>
              <w:t>Earnings</w:t>
            </w:r>
          </w:p>
        </w:tc>
        <w:tc>
          <w:tcPr>
            <w:tcW w:w="1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restart"/>
          </w:tcPr>
          <w:p>
            <w:pPr>
              <w:jc w:val="right"/>
              <w:ind w:right="36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7"/>
        </w:trPr>
        <w:tc>
          <w:tcPr>
            <w:tcW w:w="2940" w:type="dxa"/>
            <w:vAlign w:val="bottom"/>
          </w:tcPr>
          <w:p>
            <w:pPr>
              <w:spacing w:after="0"/>
              <w:rPr>
                <w:sz w:val="13"/>
                <w:szCs w:val="13"/>
                <w:color w:val="auto"/>
              </w:rPr>
            </w:pPr>
          </w:p>
        </w:tc>
        <w:tc>
          <w:tcPr>
            <w:tcW w:w="800" w:type="dxa"/>
            <w:vAlign w:val="bottom"/>
          </w:tcPr>
          <w:p>
            <w:pPr>
              <w:jc w:val="right"/>
              <w:ind w:right="69"/>
              <w:spacing w:after="0"/>
              <w:rPr>
                <w:sz w:val="20"/>
                <w:szCs w:val="20"/>
                <w:color w:val="auto"/>
              </w:rPr>
            </w:pPr>
            <w:r>
              <w:rPr>
                <w:rFonts w:ascii="Arial" w:cs="Arial" w:eastAsia="Arial" w:hAnsi="Arial"/>
                <w:sz w:val="11"/>
                <w:szCs w:val="11"/>
                <w:b w:val="1"/>
                <w:bCs w:val="1"/>
                <w:color w:val="auto"/>
              </w:rPr>
              <w:t>Stock</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Income (Loss)</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(Losses)</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Stock, at cost</w:t>
            </w: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Interests</w:t>
            </w: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2017</w:t>
            </w:r>
          </w:p>
        </w:tc>
        <w:tc>
          <w:tcPr>
            <w:tcW w:w="800" w:type="dxa"/>
            <w:vAlign w:val="bottom"/>
            <w:tcBorders>
              <w:top w:val="single" w:sz="8" w:color="auto"/>
            </w:tcBorders>
            <w:shd w:val="clear" w:color="auto" w:fill="CCEEFF"/>
          </w:tcPr>
          <w:p>
            <w:pPr>
              <w:jc w:val="right"/>
              <w:ind w:right="689"/>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102</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3,669,461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(130,154)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721,316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(98,162)</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14,822</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4,177,385</w:t>
            </w:r>
          </w:p>
        </w:tc>
        <w:tc>
          <w:tcPr>
            <w:tcW w:w="0" w:type="dxa"/>
            <w:vAlign w:val="bottom"/>
          </w:tcPr>
          <w:p>
            <w:pPr>
              <w:spacing w:after="0"/>
              <w:rPr>
                <w:sz w:val="1"/>
                <w:szCs w:val="1"/>
                <w:color w:val="auto"/>
              </w:rPr>
            </w:pPr>
          </w:p>
        </w:tc>
      </w:tr>
      <w:tr>
        <w:trPr>
          <w:trHeight w:val="155"/>
        </w:trPr>
        <w:tc>
          <w:tcPr>
            <w:tcW w:w="2940" w:type="dxa"/>
            <w:vAlign w:val="bottom"/>
          </w:tcPr>
          <w:p>
            <w:pPr>
              <w:ind w:left="120"/>
              <w:spacing w:after="0"/>
              <w:rPr>
                <w:sz w:val="20"/>
                <w:szCs w:val="20"/>
                <w:color w:val="auto"/>
              </w:rPr>
            </w:pPr>
            <w:r>
              <w:rPr>
                <w:rFonts w:ascii="Arial" w:cs="Arial" w:eastAsia="Arial" w:hAnsi="Arial"/>
                <w:sz w:val="11"/>
                <w:szCs w:val="11"/>
                <w:color w:val="auto"/>
              </w:rPr>
              <w:t>Cumulative effect of accounting changes</w:t>
            </w:r>
          </w:p>
        </w:tc>
        <w:tc>
          <w:tcPr>
            <w:tcW w:w="80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10,467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12,656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23,123</w:t>
            </w:r>
          </w:p>
        </w:tc>
        <w:tc>
          <w:tcPr>
            <w:tcW w:w="0" w:type="dxa"/>
            <w:vAlign w:val="bottom"/>
          </w:tcPr>
          <w:p>
            <w:pPr>
              <w:spacing w:after="0"/>
              <w:rPr>
                <w:sz w:val="1"/>
                <w:szCs w:val="1"/>
                <w:color w:val="auto"/>
              </w:rPr>
            </w:pPr>
          </w:p>
        </w:tc>
      </w:tr>
      <w:tr>
        <w:trPr>
          <w:trHeight w:val="162"/>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January 1, 2018</w:t>
            </w:r>
          </w:p>
        </w:tc>
        <w:tc>
          <w:tcPr>
            <w:tcW w:w="800" w:type="dxa"/>
            <w:vAlign w:val="bottom"/>
            <w:tcBorders>
              <w:top w:val="single" w:sz="8" w:color="auto"/>
              <w:bottom w:val="single" w:sz="8" w:color="auto"/>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102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3,669,461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(119,687)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733,972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(98,162)</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14,822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4,200,508</w:t>
            </w:r>
          </w:p>
        </w:tc>
        <w:tc>
          <w:tcPr>
            <w:tcW w:w="0" w:type="dxa"/>
            <w:vAlign w:val="bottom"/>
          </w:tcPr>
          <w:p>
            <w:pPr>
              <w:spacing w:after="0"/>
              <w:rPr>
                <w:sz w:val="1"/>
                <w:szCs w:val="1"/>
                <w:color w:val="auto"/>
              </w:rPr>
            </w:pPr>
          </w:p>
        </w:tc>
      </w:tr>
      <w:tr>
        <w:trPr>
          <w:trHeight w:val="148"/>
        </w:trPr>
        <w:tc>
          <w:tcPr>
            <w:tcW w:w="2940" w:type="dxa"/>
            <w:vAlign w:val="bottom"/>
          </w:tcPr>
          <w:p>
            <w:pPr>
              <w:ind w:left="120"/>
              <w:spacing w:after="0"/>
              <w:rPr>
                <w:sz w:val="20"/>
                <w:szCs w:val="20"/>
                <w:color w:val="auto"/>
              </w:rPr>
            </w:pPr>
            <w:r>
              <w:rPr>
                <w:rFonts w:ascii="Arial" w:cs="Arial" w:eastAsia="Arial" w:hAnsi="Arial"/>
                <w:sz w:val="11"/>
                <w:szCs w:val="11"/>
                <w:b w:val="1"/>
                <w:bCs w:val="1"/>
                <w:color w:val="auto"/>
              </w:rPr>
              <w:t>Issuances of Class A common stock:</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Exercise of stock options</w:t>
            </w:r>
          </w:p>
        </w:tc>
        <w:tc>
          <w:tcPr>
            <w:tcW w:w="8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4,404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4,404</w:t>
            </w:r>
          </w:p>
        </w:tc>
        <w:tc>
          <w:tcPr>
            <w:tcW w:w="0" w:type="dxa"/>
            <w:vAlign w:val="bottom"/>
          </w:tcPr>
          <w:p>
            <w:pPr>
              <w:spacing w:after="0"/>
              <w:rPr>
                <w:sz w:val="1"/>
                <w:szCs w:val="1"/>
                <w:color w:val="auto"/>
              </w:rPr>
            </w:pPr>
          </w:p>
        </w:tc>
      </w:tr>
      <w:tr>
        <w:trPr>
          <w:trHeight w:val="154"/>
        </w:trPr>
        <w:tc>
          <w:tcPr>
            <w:tcW w:w="2940" w:type="dxa"/>
            <w:vAlign w:val="bottom"/>
          </w:tcPr>
          <w:p>
            <w:pPr>
              <w:ind w:left="240"/>
              <w:spacing w:after="0"/>
              <w:rPr>
                <w:sz w:val="20"/>
                <w:szCs w:val="20"/>
                <w:color w:val="auto"/>
              </w:rPr>
            </w:pPr>
            <w:r>
              <w:rPr>
                <w:rFonts w:ascii="Arial" w:cs="Arial" w:eastAsia="Arial" w:hAnsi="Arial"/>
                <w:sz w:val="11"/>
                <w:szCs w:val="11"/>
                <w:color w:val="auto"/>
              </w:rPr>
              <w:t>Employee benefits</w:t>
            </w:r>
          </w:p>
        </w:tc>
        <w:tc>
          <w:tcPr>
            <w:tcW w:w="80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7,605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7,605</w:t>
            </w:r>
          </w:p>
        </w:tc>
        <w:tc>
          <w:tcPr>
            <w:tcW w:w="0" w:type="dxa"/>
            <w:vAlign w:val="bottom"/>
          </w:tcPr>
          <w:p>
            <w:pPr>
              <w:spacing w:after="0"/>
              <w:rPr>
                <w:sz w:val="1"/>
                <w:szCs w:val="1"/>
                <w:color w:val="auto"/>
              </w:rPr>
            </w:pPr>
          </w:p>
        </w:tc>
      </w:tr>
      <w:tr>
        <w:trPr>
          <w:trHeight w:val="170"/>
        </w:trPr>
        <w:tc>
          <w:tcPr>
            <w:tcW w:w="29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Employee Stock Purchase Plan</w:t>
            </w:r>
          </w:p>
        </w:tc>
        <w:tc>
          <w:tcPr>
            <w:tcW w:w="8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9,368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9,368</w:t>
            </w:r>
          </w:p>
        </w:tc>
        <w:tc>
          <w:tcPr>
            <w:tcW w:w="0" w:type="dxa"/>
            <w:vAlign w:val="bottom"/>
          </w:tcPr>
          <w:p>
            <w:pPr>
              <w:spacing w:after="0"/>
              <w:rPr>
                <w:sz w:val="1"/>
                <w:szCs w:val="1"/>
                <w:color w:val="auto"/>
              </w:rPr>
            </w:pPr>
          </w:p>
        </w:tc>
      </w:tr>
      <w:tr>
        <w:trPr>
          <w:trHeight w:val="154"/>
        </w:trPr>
        <w:tc>
          <w:tcPr>
            <w:tcW w:w="2940" w:type="dxa"/>
            <w:vAlign w:val="bottom"/>
          </w:tcPr>
          <w:p>
            <w:pPr>
              <w:ind w:left="240"/>
              <w:spacing w:after="0"/>
              <w:rPr>
                <w:sz w:val="20"/>
                <w:szCs w:val="20"/>
                <w:color w:val="auto"/>
              </w:rPr>
            </w:pPr>
            <w:r>
              <w:rPr>
                <w:rFonts w:ascii="Arial" w:cs="Arial" w:eastAsia="Arial" w:hAnsi="Arial"/>
                <w:sz w:val="11"/>
                <w:szCs w:val="11"/>
                <w:color w:val="auto"/>
              </w:rPr>
              <w:t>Stock-based compensation</w:t>
            </w:r>
          </w:p>
        </w:tc>
        <w:tc>
          <w:tcPr>
            <w:tcW w:w="80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9,990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9,990</w:t>
            </w:r>
          </w:p>
        </w:tc>
        <w:tc>
          <w:tcPr>
            <w:tcW w:w="0" w:type="dxa"/>
            <w:vAlign w:val="bottom"/>
          </w:tcPr>
          <w:p>
            <w:pPr>
              <w:spacing w:after="0"/>
              <w:rPr>
                <w:sz w:val="1"/>
                <w:szCs w:val="1"/>
                <w:color w:val="auto"/>
              </w:rPr>
            </w:pPr>
          </w:p>
        </w:tc>
      </w:tr>
      <w:tr>
        <w:trPr>
          <w:trHeight w:val="170"/>
        </w:trPr>
        <w:tc>
          <w:tcPr>
            <w:tcW w:w="2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comprehensive income (loss)</w:t>
            </w:r>
          </w:p>
        </w:tc>
        <w:tc>
          <w:tcPr>
            <w:tcW w:w="8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(4,851)</w:t>
            </w:r>
          </w:p>
        </w:tc>
        <w:tc>
          <w:tcPr>
            <w:tcW w:w="0" w:type="dxa"/>
            <w:vAlign w:val="bottom"/>
          </w:tcPr>
          <w:p>
            <w:pPr>
              <w:spacing w:after="0"/>
              <w:rPr>
                <w:sz w:val="1"/>
                <w:szCs w:val="1"/>
                <w:color w:val="auto"/>
              </w:rPr>
            </w:pPr>
          </w:p>
        </w:tc>
      </w:tr>
      <w:tr>
        <w:trPr>
          <w:trHeight w:val="154"/>
        </w:trPr>
        <w:tc>
          <w:tcPr>
            <w:tcW w:w="2940" w:type="dxa"/>
            <w:vAlign w:val="bottom"/>
          </w:tcPr>
          <w:p>
            <w:pPr>
              <w:ind w:left="120"/>
              <w:spacing w:after="0"/>
              <w:rPr>
                <w:sz w:val="20"/>
                <w:szCs w:val="20"/>
                <w:color w:val="auto"/>
              </w:rPr>
            </w:pPr>
            <w:r>
              <w:rPr>
                <w:rFonts w:ascii="Arial" w:cs="Arial" w:eastAsia="Arial" w:hAnsi="Arial"/>
                <w:sz w:val="11"/>
                <w:szCs w:val="11"/>
                <w:color w:val="auto"/>
              </w:rPr>
              <w:t>Net income (loss)</w:t>
            </w:r>
          </w:p>
        </w:tc>
        <w:tc>
          <w:tcPr>
            <w:tcW w:w="80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(40,475)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1,842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(38,633)</w:t>
            </w:r>
          </w:p>
        </w:tc>
        <w:tc>
          <w:tcPr>
            <w:tcW w:w="0" w:type="dxa"/>
            <w:vAlign w:val="bottom"/>
          </w:tcPr>
          <w:p>
            <w:pPr>
              <w:spacing w:after="0"/>
              <w:rPr>
                <w:sz w:val="1"/>
                <w:szCs w:val="1"/>
                <w:color w:val="auto"/>
              </w:rPr>
            </w:pPr>
          </w:p>
        </w:tc>
      </w:tr>
      <w:tr>
        <w:trPr>
          <w:trHeight w:val="170"/>
        </w:trPr>
        <w:tc>
          <w:tcPr>
            <w:tcW w:w="2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Treasury share repurchase</w:t>
            </w:r>
          </w:p>
        </w:tc>
        <w:tc>
          <w:tcPr>
            <w:tcW w:w="8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(33,292)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(33,292)</w:t>
            </w:r>
          </w:p>
        </w:tc>
        <w:tc>
          <w:tcPr>
            <w:tcW w:w="0" w:type="dxa"/>
            <w:vAlign w:val="bottom"/>
          </w:tcPr>
          <w:p>
            <w:pPr>
              <w:spacing w:after="0"/>
              <w:rPr>
                <w:sz w:val="1"/>
                <w:szCs w:val="1"/>
                <w:color w:val="auto"/>
              </w:rPr>
            </w:pPr>
          </w:p>
        </w:tc>
      </w:tr>
      <w:tr>
        <w:trPr>
          <w:trHeight w:val="156"/>
        </w:trPr>
        <w:tc>
          <w:tcPr>
            <w:tcW w:w="2940" w:type="dxa"/>
            <w:vAlign w:val="bottom"/>
          </w:tcPr>
          <w:p>
            <w:pPr>
              <w:ind w:left="120"/>
              <w:spacing w:after="0"/>
              <w:rPr>
                <w:sz w:val="20"/>
                <w:szCs w:val="20"/>
                <w:color w:val="auto"/>
              </w:rPr>
            </w:pPr>
            <w:r>
              <w:rPr>
                <w:rFonts w:ascii="Arial" w:cs="Arial" w:eastAsia="Arial" w:hAnsi="Arial"/>
                <w:sz w:val="11"/>
                <w:szCs w:val="11"/>
                <w:color w:val="auto"/>
              </w:rPr>
              <w:t>Other, net</w:t>
            </w:r>
          </w:p>
        </w:tc>
        <w:tc>
          <w:tcPr>
            <w:tcW w:w="80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1,694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(1,951)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632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375</w:t>
            </w:r>
          </w:p>
        </w:tc>
        <w:tc>
          <w:tcPr>
            <w:tcW w:w="0" w:type="dxa"/>
            <w:vAlign w:val="bottom"/>
          </w:tcPr>
          <w:p>
            <w:pPr>
              <w:spacing w:after="0"/>
              <w:rPr>
                <w:sz w:val="1"/>
                <w:szCs w:val="1"/>
                <w:color w:val="auto"/>
              </w:rPr>
            </w:pPr>
          </w:p>
        </w:tc>
      </w:tr>
      <w:tr>
        <w:trPr>
          <w:trHeight w:val="162"/>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2018</w:t>
            </w:r>
          </w:p>
        </w:tc>
        <w:tc>
          <w:tcPr>
            <w:tcW w:w="800" w:type="dxa"/>
            <w:vAlign w:val="bottom"/>
            <w:tcBorders>
              <w:top w:val="single" w:sz="8" w:color="auto"/>
              <w:bottom w:val="single" w:sz="8" w:color="auto"/>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102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3,702,522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(125,100)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694,129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(131,454)</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15,275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4,155,474</w:t>
            </w:r>
          </w:p>
        </w:tc>
        <w:tc>
          <w:tcPr>
            <w:tcW w:w="0" w:type="dxa"/>
            <w:vAlign w:val="bottom"/>
          </w:tcPr>
          <w:p>
            <w:pPr>
              <w:spacing w:after="0"/>
              <w:rPr>
                <w:sz w:val="1"/>
                <w:szCs w:val="1"/>
                <w:color w:val="auto"/>
              </w:rPr>
            </w:pPr>
          </w:p>
        </w:tc>
      </w:tr>
      <w:tr>
        <w:trPr>
          <w:trHeight w:val="148"/>
        </w:trPr>
        <w:tc>
          <w:tcPr>
            <w:tcW w:w="2940" w:type="dxa"/>
            <w:vAlign w:val="bottom"/>
          </w:tcPr>
          <w:p>
            <w:pPr>
              <w:ind w:left="120"/>
              <w:spacing w:after="0"/>
              <w:rPr>
                <w:sz w:val="20"/>
                <w:szCs w:val="20"/>
                <w:color w:val="auto"/>
              </w:rPr>
            </w:pPr>
            <w:r>
              <w:rPr>
                <w:rFonts w:ascii="Arial" w:cs="Arial" w:eastAsia="Arial" w:hAnsi="Arial"/>
                <w:sz w:val="11"/>
                <w:szCs w:val="11"/>
                <w:b w:val="1"/>
                <w:bCs w:val="1"/>
                <w:color w:val="auto"/>
              </w:rPr>
              <w:t>Issuances of Class A common stock:</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Exercise of stock options</w:t>
            </w: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67,307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67,310</w:t>
            </w:r>
          </w:p>
        </w:tc>
        <w:tc>
          <w:tcPr>
            <w:tcW w:w="0" w:type="dxa"/>
            <w:vAlign w:val="bottom"/>
          </w:tcPr>
          <w:p>
            <w:pPr>
              <w:spacing w:after="0"/>
              <w:rPr>
                <w:sz w:val="1"/>
                <w:szCs w:val="1"/>
                <w:color w:val="auto"/>
              </w:rPr>
            </w:pPr>
          </w:p>
        </w:tc>
      </w:tr>
      <w:tr>
        <w:trPr>
          <w:trHeight w:val="154"/>
        </w:trPr>
        <w:tc>
          <w:tcPr>
            <w:tcW w:w="2940" w:type="dxa"/>
            <w:vAlign w:val="bottom"/>
          </w:tcPr>
          <w:p>
            <w:pPr>
              <w:ind w:left="240"/>
              <w:spacing w:after="0"/>
              <w:rPr>
                <w:sz w:val="20"/>
                <w:szCs w:val="20"/>
                <w:color w:val="auto"/>
              </w:rPr>
            </w:pPr>
            <w:r>
              <w:rPr>
                <w:rFonts w:ascii="Arial" w:cs="Arial" w:eastAsia="Arial" w:hAnsi="Arial"/>
                <w:sz w:val="11"/>
                <w:szCs w:val="11"/>
                <w:color w:val="auto"/>
              </w:rPr>
              <w:t>Employee benefits</w:t>
            </w:r>
          </w:p>
        </w:tc>
        <w:tc>
          <w:tcPr>
            <w:tcW w:w="80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6,654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6,654</w:t>
            </w:r>
          </w:p>
        </w:tc>
        <w:tc>
          <w:tcPr>
            <w:tcW w:w="0" w:type="dxa"/>
            <w:vAlign w:val="bottom"/>
          </w:tcPr>
          <w:p>
            <w:pPr>
              <w:spacing w:after="0"/>
              <w:rPr>
                <w:sz w:val="1"/>
                <w:szCs w:val="1"/>
                <w:color w:val="auto"/>
              </w:rPr>
            </w:pPr>
          </w:p>
        </w:tc>
      </w:tr>
      <w:tr>
        <w:trPr>
          <w:trHeight w:val="170"/>
        </w:trPr>
        <w:tc>
          <w:tcPr>
            <w:tcW w:w="29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Employee Stock Purchase Plan</w:t>
            </w:r>
          </w:p>
        </w:tc>
        <w:tc>
          <w:tcPr>
            <w:tcW w:w="8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9,778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9,778</w:t>
            </w:r>
          </w:p>
        </w:tc>
        <w:tc>
          <w:tcPr>
            <w:tcW w:w="0" w:type="dxa"/>
            <w:vAlign w:val="bottom"/>
          </w:tcPr>
          <w:p>
            <w:pPr>
              <w:spacing w:after="0"/>
              <w:rPr>
                <w:sz w:val="1"/>
                <w:szCs w:val="1"/>
                <w:color w:val="auto"/>
              </w:rPr>
            </w:pPr>
          </w:p>
        </w:tc>
      </w:tr>
      <w:tr>
        <w:trPr>
          <w:trHeight w:val="154"/>
        </w:trPr>
        <w:tc>
          <w:tcPr>
            <w:tcW w:w="2940" w:type="dxa"/>
            <w:vAlign w:val="bottom"/>
          </w:tcPr>
          <w:p>
            <w:pPr>
              <w:ind w:left="240"/>
              <w:spacing w:after="0"/>
              <w:rPr>
                <w:sz w:val="20"/>
                <w:szCs w:val="20"/>
                <w:color w:val="auto"/>
              </w:rPr>
            </w:pPr>
            <w:r>
              <w:rPr>
                <w:rFonts w:ascii="Arial" w:cs="Arial" w:eastAsia="Arial" w:hAnsi="Arial"/>
                <w:sz w:val="11"/>
                <w:szCs w:val="11"/>
                <w:color w:val="auto"/>
              </w:rPr>
              <w:t>Stock-based compensation</w:t>
            </w:r>
          </w:p>
        </w:tc>
        <w:tc>
          <w:tcPr>
            <w:tcW w:w="80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9,353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9,353</w:t>
            </w:r>
          </w:p>
        </w:tc>
        <w:tc>
          <w:tcPr>
            <w:tcW w:w="0" w:type="dxa"/>
            <w:vAlign w:val="bottom"/>
          </w:tcPr>
          <w:p>
            <w:pPr>
              <w:spacing w:after="0"/>
              <w:rPr>
                <w:sz w:val="1"/>
                <w:szCs w:val="1"/>
                <w:color w:val="auto"/>
              </w:rPr>
            </w:pPr>
          </w:p>
        </w:tc>
      </w:tr>
      <w:tr>
        <w:trPr>
          <w:trHeight w:val="170"/>
        </w:trPr>
        <w:tc>
          <w:tcPr>
            <w:tcW w:w="2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Purchase of non-controlling interest</w:t>
            </w:r>
          </w:p>
        </w:tc>
        <w:tc>
          <w:tcPr>
            <w:tcW w:w="8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(6,480)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(7,313)</w:t>
            </w:r>
          </w:p>
        </w:tc>
        <w:tc>
          <w:tcPr>
            <w:tcW w:w="0" w:type="dxa"/>
            <w:vAlign w:val="bottom"/>
          </w:tcPr>
          <w:p>
            <w:pPr>
              <w:spacing w:after="0"/>
              <w:rPr>
                <w:sz w:val="1"/>
                <w:szCs w:val="1"/>
                <w:color w:val="auto"/>
              </w:rPr>
            </w:pPr>
          </w:p>
        </w:tc>
      </w:tr>
      <w:tr>
        <w:trPr>
          <w:trHeight w:val="154"/>
        </w:trPr>
        <w:tc>
          <w:tcPr>
            <w:tcW w:w="2940" w:type="dxa"/>
            <w:vAlign w:val="bottom"/>
          </w:tcPr>
          <w:p>
            <w:pPr>
              <w:ind w:left="120"/>
              <w:spacing w:after="0"/>
              <w:rPr>
                <w:sz w:val="20"/>
                <w:szCs w:val="20"/>
                <w:color w:val="auto"/>
              </w:rPr>
            </w:pPr>
            <w:r>
              <w:rPr>
                <w:rFonts w:ascii="Arial" w:cs="Arial" w:eastAsia="Arial" w:hAnsi="Arial"/>
                <w:sz w:val="11"/>
                <w:szCs w:val="11"/>
                <w:color w:val="auto"/>
              </w:rPr>
              <w:t>Net assets distributed pursuant to the BSS Transaction</w:t>
            </w:r>
          </w:p>
        </w:tc>
        <w:tc>
          <w:tcPr>
            <w:tcW w:w="80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(532,747)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(532,747)</w:t>
            </w:r>
          </w:p>
        </w:tc>
        <w:tc>
          <w:tcPr>
            <w:tcW w:w="0" w:type="dxa"/>
            <w:vAlign w:val="bottom"/>
          </w:tcPr>
          <w:p>
            <w:pPr>
              <w:spacing w:after="0"/>
              <w:rPr>
                <w:sz w:val="1"/>
                <w:szCs w:val="1"/>
                <w:color w:val="auto"/>
              </w:rPr>
            </w:pPr>
          </w:p>
        </w:tc>
      </w:tr>
      <w:tr>
        <w:trPr>
          <w:trHeight w:val="116"/>
        </w:trPr>
        <w:tc>
          <w:tcPr>
            <w:tcW w:w="2940" w:type="dxa"/>
            <w:vAlign w:val="bottom"/>
            <w:shd w:val="clear" w:color="auto" w:fill="CCEEFF"/>
          </w:tcPr>
          <w:p>
            <w:pPr>
              <w:ind w:left="120"/>
              <w:spacing w:after="0" w:line="116" w:lineRule="exact"/>
              <w:rPr>
                <w:sz w:val="20"/>
                <w:szCs w:val="20"/>
                <w:color w:val="auto"/>
              </w:rPr>
            </w:pPr>
            <w:r>
              <w:rPr>
                <w:rFonts w:ascii="Arial" w:cs="Arial" w:eastAsia="Arial" w:hAnsi="Arial"/>
                <w:sz w:val="11"/>
                <w:szCs w:val="11"/>
                <w:color w:val="auto"/>
              </w:rPr>
              <w:t>Issuance of equity and contribution of assets pursuant</w:t>
            </w:r>
          </w:p>
        </w:tc>
        <w:tc>
          <w:tcPr>
            <w:tcW w:w="8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29,576</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73,199</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102,775</w:t>
            </w: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 the Yahsat JV formation</w:t>
            </w:r>
          </w:p>
        </w:tc>
        <w:tc>
          <w:tcPr>
            <w:tcW w:w="8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40" w:type="dxa"/>
            <w:vAlign w:val="bottom"/>
          </w:tcPr>
          <w:p>
            <w:pPr>
              <w:ind w:left="120"/>
              <w:spacing w:after="0"/>
              <w:rPr>
                <w:sz w:val="20"/>
                <w:szCs w:val="20"/>
                <w:color w:val="auto"/>
              </w:rPr>
            </w:pPr>
            <w:r>
              <w:rPr>
                <w:rFonts w:ascii="Arial" w:cs="Arial" w:eastAsia="Arial" w:hAnsi="Arial"/>
                <w:sz w:val="11"/>
                <w:szCs w:val="11"/>
                <w:color w:val="auto"/>
              </w:rPr>
              <w:t>Other comprehensive income (loss)</w:t>
            </w:r>
          </w:p>
        </w:tc>
        <w:tc>
          <w:tcPr>
            <w:tcW w:w="80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2,962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3,328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6,290</w:t>
            </w:r>
          </w:p>
        </w:tc>
        <w:tc>
          <w:tcPr>
            <w:tcW w:w="0" w:type="dxa"/>
            <w:vAlign w:val="bottom"/>
          </w:tcPr>
          <w:p>
            <w:pPr>
              <w:spacing w:after="0"/>
              <w:rPr>
                <w:sz w:val="1"/>
                <w:szCs w:val="1"/>
                <w:color w:val="auto"/>
              </w:rPr>
            </w:pPr>
          </w:p>
        </w:tc>
      </w:tr>
      <w:tr>
        <w:trPr>
          <w:trHeight w:val="170"/>
        </w:trPr>
        <w:tc>
          <w:tcPr>
            <w:tcW w:w="2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Net income (loss)</w:t>
            </w:r>
          </w:p>
        </w:tc>
        <w:tc>
          <w:tcPr>
            <w:tcW w:w="8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(62,917)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(11,335)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(74,252)</w:t>
            </w:r>
          </w:p>
        </w:tc>
        <w:tc>
          <w:tcPr>
            <w:tcW w:w="0" w:type="dxa"/>
            <w:vAlign w:val="bottom"/>
          </w:tcPr>
          <w:p>
            <w:pPr>
              <w:spacing w:after="0"/>
              <w:rPr>
                <w:sz w:val="1"/>
                <w:szCs w:val="1"/>
                <w:color w:val="auto"/>
              </w:rPr>
            </w:pPr>
          </w:p>
        </w:tc>
      </w:tr>
      <w:tr>
        <w:trPr>
          <w:trHeight w:val="155"/>
        </w:trPr>
        <w:tc>
          <w:tcPr>
            <w:tcW w:w="2940" w:type="dxa"/>
            <w:vAlign w:val="bottom"/>
          </w:tcPr>
          <w:p>
            <w:pPr>
              <w:ind w:left="120"/>
              <w:spacing w:after="0"/>
              <w:rPr>
                <w:sz w:val="20"/>
                <w:szCs w:val="20"/>
                <w:color w:val="auto"/>
              </w:rPr>
            </w:pPr>
            <w:r>
              <w:rPr>
                <w:rFonts w:ascii="Arial" w:cs="Arial" w:eastAsia="Arial" w:hAnsi="Arial"/>
                <w:sz w:val="11"/>
                <w:szCs w:val="11"/>
                <w:color w:val="auto"/>
              </w:rPr>
              <w:t>Other, net</w:t>
            </w:r>
          </w:p>
        </w:tc>
        <w:tc>
          <w:tcPr>
            <w:tcW w:w="80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(1,127)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1,597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1,761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2,231</w:t>
            </w:r>
          </w:p>
        </w:tc>
        <w:tc>
          <w:tcPr>
            <w:tcW w:w="0" w:type="dxa"/>
            <w:vAlign w:val="bottom"/>
          </w:tcPr>
          <w:p>
            <w:pPr>
              <w:spacing w:after="0"/>
              <w:rPr>
                <w:sz w:val="1"/>
                <w:szCs w:val="1"/>
                <w:color w:val="auto"/>
              </w:rPr>
            </w:pPr>
          </w:p>
        </w:tc>
      </w:tr>
      <w:tr>
        <w:trPr>
          <w:trHeight w:val="162"/>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2019</w:t>
            </w:r>
          </w:p>
        </w:tc>
        <w:tc>
          <w:tcPr>
            <w:tcW w:w="800" w:type="dxa"/>
            <w:vAlign w:val="bottom"/>
            <w:tcBorders>
              <w:top w:val="single" w:sz="8" w:color="auto"/>
              <w:bottom w:val="single" w:sz="8" w:color="auto"/>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105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3,290,483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(122,138)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632,809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(131,454)</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75,748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3,745,553</w:t>
            </w:r>
          </w:p>
        </w:tc>
        <w:tc>
          <w:tcPr>
            <w:tcW w:w="0" w:type="dxa"/>
            <w:vAlign w:val="bottom"/>
          </w:tcPr>
          <w:p>
            <w:pPr>
              <w:spacing w:after="0"/>
              <w:rPr>
                <w:sz w:val="1"/>
                <w:szCs w:val="1"/>
                <w:color w:val="auto"/>
              </w:rPr>
            </w:pPr>
          </w:p>
        </w:tc>
      </w:tr>
      <w:tr>
        <w:trPr>
          <w:trHeight w:val="148"/>
        </w:trPr>
        <w:tc>
          <w:tcPr>
            <w:tcW w:w="2940" w:type="dxa"/>
            <w:vAlign w:val="bottom"/>
          </w:tcPr>
          <w:p>
            <w:pPr>
              <w:ind w:left="120"/>
              <w:spacing w:after="0"/>
              <w:rPr>
                <w:sz w:val="20"/>
                <w:szCs w:val="20"/>
                <w:color w:val="auto"/>
              </w:rPr>
            </w:pPr>
            <w:r>
              <w:rPr>
                <w:rFonts w:ascii="Arial" w:cs="Arial" w:eastAsia="Arial" w:hAnsi="Arial"/>
                <w:sz w:val="11"/>
                <w:szCs w:val="11"/>
                <w:b w:val="1"/>
                <w:bCs w:val="1"/>
                <w:color w:val="auto"/>
              </w:rPr>
              <w:t>Cumulative effect of accounting changes</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(9,068)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(240)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(9,308)</w:t>
            </w: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January 1, 2020</w:t>
            </w:r>
          </w:p>
        </w:tc>
        <w:tc>
          <w:tcPr>
            <w:tcW w:w="8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105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3,290,483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(122,138)</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623,741</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(131,454)</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75,508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3,736,245</w:t>
            </w:r>
          </w:p>
        </w:tc>
        <w:tc>
          <w:tcPr>
            <w:tcW w:w="0" w:type="dxa"/>
            <w:vAlign w:val="bottom"/>
          </w:tcPr>
          <w:p>
            <w:pPr>
              <w:spacing w:after="0"/>
              <w:rPr>
                <w:sz w:val="1"/>
                <w:szCs w:val="1"/>
                <w:color w:val="auto"/>
              </w:rPr>
            </w:pPr>
          </w:p>
        </w:tc>
      </w:tr>
      <w:tr>
        <w:trPr>
          <w:trHeight w:val="137"/>
        </w:trPr>
        <w:tc>
          <w:tcPr>
            <w:tcW w:w="2940" w:type="dxa"/>
            <w:vAlign w:val="bottom"/>
          </w:tcPr>
          <w:p>
            <w:pPr>
              <w:ind w:left="120"/>
              <w:spacing w:after="0"/>
              <w:rPr>
                <w:sz w:val="20"/>
                <w:szCs w:val="20"/>
                <w:color w:val="auto"/>
              </w:rPr>
            </w:pPr>
            <w:r>
              <w:rPr>
                <w:rFonts w:ascii="Arial" w:cs="Arial" w:eastAsia="Arial" w:hAnsi="Arial"/>
                <w:sz w:val="11"/>
                <w:szCs w:val="11"/>
                <w:b w:val="1"/>
                <w:bCs w:val="1"/>
                <w:color w:val="auto"/>
              </w:rPr>
              <w:t>Issuances of Class A common stock:</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Exercise of stock options</w:t>
            </w:r>
          </w:p>
        </w:tc>
        <w:tc>
          <w:tcPr>
            <w:tcW w:w="8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855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855</w:t>
            </w:r>
          </w:p>
        </w:tc>
        <w:tc>
          <w:tcPr>
            <w:tcW w:w="0" w:type="dxa"/>
            <w:vAlign w:val="bottom"/>
          </w:tcPr>
          <w:p>
            <w:pPr>
              <w:spacing w:after="0"/>
              <w:rPr>
                <w:sz w:val="1"/>
                <w:szCs w:val="1"/>
                <w:color w:val="auto"/>
              </w:rPr>
            </w:pPr>
          </w:p>
        </w:tc>
      </w:tr>
      <w:tr>
        <w:trPr>
          <w:trHeight w:val="154"/>
        </w:trPr>
        <w:tc>
          <w:tcPr>
            <w:tcW w:w="2940" w:type="dxa"/>
            <w:vAlign w:val="bottom"/>
          </w:tcPr>
          <w:p>
            <w:pPr>
              <w:ind w:left="240"/>
              <w:spacing w:after="0"/>
              <w:rPr>
                <w:sz w:val="20"/>
                <w:szCs w:val="20"/>
                <w:color w:val="auto"/>
              </w:rPr>
            </w:pPr>
            <w:r>
              <w:rPr>
                <w:rFonts w:ascii="Arial" w:cs="Arial" w:eastAsia="Arial" w:hAnsi="Arial"/>
                <w:sz w:val="11"/>
                <w:szCs w:val="11"/>
                <w:color w:val="auto"/>
              </w:rPr>
              <w:t>Employee benefits</w:t>
            </w:r>
          </w:p>
        </w:tc>
        <w:tc>
          <w:tcPr>
            <w:tcW w:w="80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6,921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6,921</w:t>
            </w:r>
          </w:p>
        </w:tc>
        <w:tc>
          <w:tcPr>
            <w:tcW w:w="0" w:type="dxa"/>
            <w:vAlign w:val="bottom"/>
          </w:tcPr>
          <w:p>
            <w:pPr>
              <w:spacing w:after="0"/>
              <w:rPr>
                <w:sz w:val="1"/>
                <w:szCs w:val="1"/>
                <w:color w:val="auto"/>
              </w:rPr>
            </w:pPr>
          </w:p>
        </w:tc>
      </w:tr>
      <w:tr>
        <w:trPr>
          <w:trHeight w:val="170"/>
        </w:trPr>
        <w:tc>
          <w:tcPr>
            <w:tcW w:w="29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Employee Stock Purchase Plan</w:t>
            </w:r>
          </w:p>
        </w:tc>
        <w:tc>
          <w:tcPr>
            <w:tcW w:w="8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10,109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10,109</w:t>
            </w:r>
          </w:p>
        </w:tc>
        <w:tc>
          <w:tcPr>
            <w:tcW w:w="0" w:type="dxa"/>
            <w:vAlign w:val="bottom"/>
          </w:tcPr>
          <w:p>
            <w:pPr>
              <w:spacing w:after="0"/>
              <w:rPr>
                <w:sz w:val="1"/>
                <w:szCs w:val="1"/>
                <w:color w:val="auto"/>
              </w:rPr>
            </w:pPr>
          </w:p>
        </w:tc>
      </w:tr>
      <w:tr>
        <w:trPr>
          <w:trHeight w:val="154"/>
        </w:trPr>
        <w:tc>
          <w:tcPr>
            <w:tcW w:w="2940" w:type="dxa"/>
            <w:vAlign w:val="bottom"/>
          </w:tcPr>
          <w:p>
            <w:pPr>
              <w:ind w:left="240"/>
              <w:spacing w:after="0"/>
              <w:rPr>
                <w:sz w:val="20"/>
                <w:szCs w:val="20"/>
                <w:color w:val="auto"/>
              </w:rPr>
            </w:pPr>
            <w:r>
              <w:rPr>
                <w:rFonts w:ascii="Arial" w:cs="Arial" w:eastAsia="Arial" w:hAnsi="Arial"/>
                <w:sz w:val="11"/>
                <w:szCs w:val="11"/>
                <w:color w:val="auto"/>
              </w:rPr>
              <w:t>Stock-based compensation</w:t>
            </w:r>
          </w:p>
        </w:tc>
        <w:tc>
          <w:tcPr>
            <w:tcW w:w="80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8,887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8,887</w:t>
            </w:r>
          </w:p>
        </w:tc>
        <w:tc>
          <w:tcPr>
            <w:tcW w:w="0" w:type="dxa"/>
            <w:vAlign w:val="bottom"/>
          </w:tcPr>
          <w:p>
            <w:pPr>
              <w:spacing w:after="0"/>
              <w:rPr>
                <w:sz w:val="1"/>
                <w:szCs w:val="1"/>
                <w:color w:val="auto"/>
              </w:rPr>
            </w:pPr>
          </w:p>
        </w:tc>
      </w:tr>
      <w:tr>
        <w:trPr>
          <w:trHeight w:val="116"/>
        </w:trPr>
        <w:tc>
          <w:tcPr>
            <w:tcW w:w="2940" w:type="dxa"/>
            <w:vAlign w:val="bottom"/>
            <w:shd w:val="clear" w:color="auto" w:fill="CCEEFF"/>
          </w:tcPr>
          <w:p>
            <w:pPr>
              <w:ind w:left="120"/>
              <w:spacing w:after="0" w:line="116" w:lineRule="exact"/>
              <w:rPr>
                <w:sz w:val="20"/>
                <w:szCs w:val="20"/>
                <w:color w:val="auto"/>
              </w:rPr>
            </w:pPr>
            <w:r>
              <w:rPr>
                <w:rFonts w:ascii="Arial" w:cs="Arial" w:eastAsia="Arial" w:hAnsi="Arial"/>
                <w:sz w:val="11"/>
                <w:szCs w:val="11"/>
                <w:color w:val="auto"/>
              </w:rPr>
              <w:t>Issuance of equity and contribution of assets pursuant</w:t>
            </w:r>
          </w:p>
        </w:tc>
        <w:tc>
          <w:tcPr>
            <w:tcW w:w="8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4,338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(1,580)</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2,758</w:t>
            </w: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 the Yahsat JV formation</w:t>
            </w:r>
          </w:p>
        </w:tc>
        <w:tc>
          <w:tcPr>
            <w:tcW w:w="8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40" w:type="dxa"/>
            <w:vAlign w:val="bottom"/>
          </w:tcPr>
          <w:p>
            <w:pPr>
              <w:ind w:left="120"/>
              <w:spacing w:after="0"/>
              <w:rPr>
                <w:sz w:val="20"/>
                <w:szCs w:val="20"/>
                <w:color w:val="auto"/>
              </w:rPr>
            </w:pPr>
            <w:r>
              <w:rPr>
                <w:rFonts w:ascii="Arial" w:cs="Arial" w:eastAsia="Arial" w:hAnsi="Arial"/>
                <w:sz w:val="11"/>
                <w:szCs w:val="11"/>
                <w:color w:val="auto"/>
              </w:rPr>
              <w:t>Contribution by non-controlling interest holder</w:t>
            </w:r>
          </w:p>
        </w:tc>
        <w:tc>
          <w:tcPr>
            <w:tcW w:w="80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18,241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18,241</w:t>
            </w:r>
          </w:p>
        </w:tc>
        <w:tc>
          <w:tcPr>
            <w:tcW w:w="0" w:type="dxa"/>
            <w:vAlign w:val="bottom"/>
          </w:tcPr>
          <w:p>
            <w:pPr>
              <w:spacing w:after="0"/>
              <w:rPr>
                <w:sz w:val="1"/>
                <w:szCs w:val="1"/>
                <w:color w:val="auto"/>
              </w:rPr>
            </w:pPr>
          </w:p>
        </w:tc>
      </w:tr>
      <w:tr>
        <w:trPr>
          <w:trHeight w:val="170"/>
        </w:trPr>
        <w:tc>
          <w:tcPr>
            <w:tcW w:w="2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comprehensive income (loss)</w:t>
            </w:r>
          </w:p>
        </w:tc>
        <w:tc>
          <w:tcPr>
            <w:tcW w:w="8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(65,738)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(15,631)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(81,369)</w:t>
            </w:r>
          </w:p>
        </w:tc>
        <w:tc>
          <w:tcPr>
            <w:tcW w:w="0" w:type="dxa"/>
            <w:vAlign w:val="bottom"/>
          </w:tcPr>
          <w:p>
            <w:pPr>
              <w:spacing w:after="0"/>
              <w:rPr>
                <w:sz w:val="1"/>
                <w:szCs w:val="1"/>
                <w:color w:val="auto"/>
              </w:rPr>
            </w:pPr>
          </w:p>
        </w:tc>
      </w:tr>
      <w:tr>
        <w:trPr>
          <w:trHeight w:val="154"/>
        </w:trPr>
        <w:tc>
          <w:tcPr>
            <w:tcW w:w="2940" w:type="dxa"/>
            <w:vAlign w:val="bottom"/>
          </w:tcPr>
          <w:p>
            <w:pPr>
              <w:ind w:left="120"/>
              <w:spacing w:after="0"/>
              <w:rPr>
                <w:sz w:val="20"/>
                <w:szCs w:val="20"/>
                <w:color w:val="auto"/>
              </w:rPr>
            </w:pPr>
            <w:r>
              <w:rPr>
                <w:rFonts w:ascii="Arial" w:cs="Arial" w:eastAsia="Arial" w:hAnsi="Arial"/>
                <w:sz w:val="11"/>
                <w:szCs w:val="11"/>
                <w:color w:val="auto"/>
              </w:rPr>
              <w:t>Net income (loss)</w:t>
            </w:r>
          </w:p>
        </w:tc>
        <w:tc>
          <w:tcPr>
            <w:tcW w:w="80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(40,150)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(11,754)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(51,904)</w:t>
            </w:r>
          </w:p>
        </w:tc>
        <w:tc>
          <w:tcPr>
            <w:tcW w:w="0" w:type="dxa"/>
            <w:vAlign w:val="bottom"/>
          </w:tcPr>
          <w:p>
            <w:pPr>
              <w:spacing w:after="0"/>
              <w:rPr>
                <w:sz w:val="1"/>
                <w:szCs w:val="1"/>
                <w:color w:val="auto"/>
              </w:rPr>
            </w:pPr>
          </w:p>
        </w:tc>
      </w:tr>
      <w:tr>
        <w:trPr>
          <w:trHeight w:val="170"/>
        </w:trPr>
        <w:tc>
          <w:tcPr>
            <w:tcW w:w="2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Treasury share repurchase</w:t>
            </w:r>
          </w:p>
        </w:tc>
        <w:tc>
          <w:tcPr>
            <w:tcW w:w="8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(43,458)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(43,458)</w:t>
            </w:r>
          </w:p>
        </w:tc>
        <w:tc>
          <w:tcPr>
            <w:tcW w:w="0" w:type="dxa"/>
            <w:vAlign w:val="bottom"/>
          </w:tcPr>
          <w:p>
            <w:pPr>
              <w:spacing w:after="0"/>
              <w:rPr>
                <w:sz w:val="1"/>
                <w:szCs w:val="1"/>
                <w:color w:val="auto"/>
              </w:rPr>
            </w:pPr>
          </w:p>
        </w:tc>
      </w:tr>
      <w:tr>
        <w:trPr>
          <w:trHeight w:val="155"/>
        </w:trPr>
        <w:tc>
          <w:tcPr>
            <w:tcW w:w="2940" w:type="dxa"/>
            <w:vAlign w:val="bottom"/>
          </w:tcPr>
          <w:p>
            <w:pPr>
              <w:ind w:left="120"/>
              <w:spacing w:after="0"/>
              <w:rPr>
                <w:sz w:val="20"/>
                <w:szCs w:val="20"/>
                <w:color w:val="auto"/>
              </w:rPr>
            </w:pPr>
            <w:r>
              <w:rPr>
                <w:rFonts w:ascii="Arial" w:cs="Arial" w:eastAsia="Arial" w:hAnsi="Arial"/>
                <w:sz w:val="11"/>
                <w:szCs w:val="11"/>
                <w:color w:val="auto"/>
              </w:rPr>
              <w:t>Other, net</w:t>
            </w:r>
          </w:p>
        </w:tc>
        <w:tc>
          <w:tcPr>
            <w:tcW w:w="80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(167)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132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87"/>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2020</w:t>
            </w:r>
          </w:p>
        </w:tc>
        <w:tc>
          <w:tcPr>
            <w:tcW w:w="800" w:type="dxa"/>
            <w:vAlign w:val="bottom"/>
            <w:tcBorders>
              <w:top w:val="single" w:sz="8" w:color="auto"/>
              <w:bottom w:val="single" w:sz="8" w:color="auto"/>
            </w:tcBorders>
            <w:shd w:val="clear" w:color="auto" w:fill="CCEEFF"/>
          </w:tcPr>
          <w:p>
            <w:pPr>
              <w:jc w:val="right"/>
              <w:ind w:right="689"/>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105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3,321,426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(187,876)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583,591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(174,912)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64,916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3,607,250</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44"/>
        </w:trPr>
        <w:tc>
          <w:tcPr>
            <w:tcW w:w="590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741"/>
        </w:trPr>
        <w:tc>
          <w:tcPr>
            <w:tcW w:w="7700" w:type="dxa"/>
            <w:vAlign w:val="bottom"/>
            <w:gridSpan w:val="4"/>
          </w:tcPr>
          <w:p>
            <w:pPr>
              <w:jc w:val="center"/>
              <w:ind w:left="3470"/>
              <w:spacing w:after="0"/>
              <w:rPr>
                <w:sz w:val="20"/>
                <w:szCs w:val="20"/>
                <w:color w:val="auto"/>
              </w:rPr>
            </w:pPr>
            <w:r>
              <w:rPr>
                <w:rFonts w:ascii="Arial" w:cs="Arial" w:eastAsia="Arial" w:hAnsi="Arial"/>
                <w:sz w:val="18"/>
                <w:szCs w:val="18"/>
                <w:b w:val="1"/>
                <w:bCs w:val="1"/>
                <w:color w:val="auto"/>
                <w:w w:val="98"/>
              </w:rPr>
              <w:t>ECHOSTAR CORPORATION</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8"/>
        </w:trPr>
        <w:tc>
          <w:tcPr>
            <w:tcW w:w="8080" w:type="dxa"/>
            <w:vAlign w:val="bottom"/>
            <w:gridSpan w:val="5"/>
          </w:tcPr>
          <w:p>
            <w:pPr>
              <w:jc w:val="center"/>
              <w:ind w:left="30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7700" w:type="dxa"/>
            <w:vAlign w:val="bottom"/>
            <w:gridSpan w:val="4"/>
          </w:tcPr>
          <w:p>
            <w:pPr>
              <w:jc w:val="center"/>
              <w:ind w:left="3470"/>
              <w:spacing w:after="0"/>
              <w:rPr>
                <w:sz w:val="20"/>
                <w:szCs w:val="20"/>
                <w:color w:val="auto"/>
              </w:rPr>
            </w:pPr>
            <w:r>
              <w:rPr>
                <w:rFonts w:ascii="Arial" w:cs="Arial" w:eastAsia="Arial" w:hAnsi="Arial"/>
                <w:sz w:val="18"/>
                <w:szCs w:val="18"/>
                <w:color w:val="auto"/>
                <w:w w:val="99"/>
              </w:rPr>
              <w:t>(Amounts in thousands)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47"/>
        </w:trPr>
        <w:tc>
          <w:tcPr>
            <w:tcW w:w="59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1140" w:type="dxa"/>
            <w:vAlign w:val="bottom"/>
            <w:tcBorders>
              <w:bottom w:val="single" w:sz="8" w:color="auto"/>
            </w:tcBorders>
          </w:tcPr>
          <w:p>
            <w:pPr>
              <w:spacing w:after="0"/>
              <w:rPr>
                <w:sz w:val="24"/>
                <w:szCs w:val="24"/>
                <w:color w:val="auto"/>
              </w:rPr>
            </w:pPr>
          </w:p>
        </w:tc>
      </w:tr>
      <w:tr>
        <w:trPr>
          <w:trHeight w:val="223"/>
        </w:trPr>
        <w:tc>
          <w:tcPr>
            <w:tcW w:w="59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0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(51,904)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(74,252)</w:t>
            </w:r>
          </w:p>
        </w:tc>
        <w:tc>
          <w:tcPr>
            <w:tcW w:w="12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(38,633)</w:t>
            </w:r>
          </w:p>
        </w:tc>
      </w:tr>
      <w:tr>
        <w:trPr>
          <w:trHeight w:val="175"/>
        </w:trPr>
        <w:tc>
          <w:tcPr>
            <w:tcW w:w="59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b w:val="1"/>
                <w:bCs w:val="1"/>
                <w:color w:val="auto"/>
              </w:rPr>
              <w:t>Adjustments to reconcile net income (loss) to net cash</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flows from operating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90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525,011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588,200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598,178</w:t>
            </w:r>
          </w:p>
        </w:tc>
      </w:tr>
      <w:tr>
        <w:trPr>
          <w:trHeight w:val="230"/>
        </w:trPr>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Impairment of long-lived assets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65,220</w:t>
            </w:r>
          </w:p>
        </w:tc>
      </w:tr>
      <w:tr>
        <w:trPr>
          <w:trHeight w:val="229"/>
        </w:trPr>
        <w:tc>
          <w:tcPr>
            <w:tcW w:w="5900" w:type="dxa"/>
            <w:vAlign w:val="bottom"/>
          </w:tcPr>
          <w:p>
            <w:pPr>
              <w:ind w:left="460"/>
              <w:spacing w:after="0"/>
              <w:rPr>
                <w:sz w:val="20"/>
                <w:szCs w:val="20"/>
                <w:color w:val="auto"/>
              </w:rPr>
            </w:pPr>
            <w:r>
              <w:rPr>
                <w:rFonts w:ascii="Arial" w:cs="Arial" w:eastAsia="Arial" w:hAnsi="Arial"/>
                <w:sz w:val="18"/>
                <w:szCs w:val="18"/>
                <w:color w:val="auto"/>
              </w:rPr>
              <w:t>Losses (gains) on investments, net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31,306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(28,912)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12,109</w:t>
            </w:r>
          </w:p>
        </w:tc>
      </w:tr>
      <w:tr>
        <w:trPr>
          <w:trHeight w:val="229"/>
        </w:trPr>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Equity in losses (earnings) of unconsolidated affiliates,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w:t>
            </w:r>
          </w:p>
        </w:tc>
      </w:tr>
      <w:tr>
        <w:trPr>
          <w:trHeight w:val="230"/>
        </w:trPr>
        <w:tc>
          <w:tcPr>
            <w:tcW w:w="5900" w:type="dxa"/>
            <w:vAlign w:val="bottom"/>
          </w:tcPr>
          <w:p>
            <w:pPr>
              <w:ind w:left="460"/>
              <w:spacing w:after="0"/>
              <w:rPr>
                <w:sz w:val="20"/>
                <w:szCs w:val="20"/>
                <w:color w:val="auto"/>
              </w:rPr>
            </w:pPr>
            <w:r>
              <w:rPr>
                <w:rFonts w:ascii="Arial" w:cs="Arial" w:eastAsia="Arial" w:hAnsi="Arial"/>
                <w:sz w:val="18"/>
                <w:szCs w:val="18"/>
                <w:color w:val="auto"/>
              </w:rPr>
              <w:t>Foreign currency transaction losses (gains), net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11,590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15,583</w:t>
            </w:r>
          </w:p>
        </w:tc>
      </w:tr>
      <w:tr>
        <w:trPr>
          <w:trHeight w:val="229"/>
        </w:trPr>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tax provision (benefit),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26,327</w:t>
            </w:r>
          </w:p>
        </w:tc>
      </w:tr>
      <w:tr>
        <w:trPr>
          <w:trHeight w:val="229"/>
        </w:trPr>
        <w:tc>
          <w:tcPr>
            <w:tcW w:w="5900" w:type="dxa"/>
            <w:vAlign w:val="bottom"/>
          </w:tcPr>
          <w:p>
            <w:pPr>
              <w:ind w:left="46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9,353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9,990</w:t>
            </w:r>
          </w:p>
        </w:tc>
      </w:tr>
      <w:tr>
        <w:trPr>
          <w:trHeight w:val="230"/>
        </w:trPr>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debt issuance costs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w:t>
            </w:r>
          </w:p>
        </w:tc>
      </w:tr>
      <w:tr>
        <w:trPr>
          <w:trHeight w:val="229"/>
        </w:trPr>
        <w:tc>
          <w:tcPr>
            <w:tcW w:w="5900" w:type="dxa"/>
            <w:vAlign w:val="bottom"/>
          </w:tcPr>
          <w:p>
            <w:pPr>
              <w:ind w:left="460"/>
              <w:spacing w:after="0"/>
              <w:rPr>
                <w:sz w:val="20"/>
                <w:szCs w:val="20"/>
                <w:color w:val="auto"/>
              </w:rPr>
            </w:pPr>
            <w:r>
              <w:rPr>
                <w:rFonts w:ascii="Arial" w:cs="Arial" w:eastAsia="Arial" w:hAnsi="Arial"/>
                <w:sz w:val="18"/>
                <w:szCs w:val="18"/>
                <w:color w:val="auto"/>
              </w:rPr>
              <w:t>Dividends received from unconsolidated affiliates</w:t>
            </w:r>
          </w:p>
        </w:tc>
        <w:tc>
          <w:tcPr>
            <w:tcW w:w="3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r>
      <w:tr>
        <w:trPr>
          <w:trHeight w:val="229"/>
        </w:trPr>
        <w:tc>
          <w:tcPr>
            <w:tcW w:w="5900" w:type="dxa"/>
            <w:vAlign w:val="bottom"/>
          </w:tcPr>
          <w:p>
            <w:pPr>
              <w:ind w:left="460"/>
              <w:spacing w:after="0"/>
              <w:rPr>
                <w:sz w:val="20"/>
                <w:szCs w:val="20"/>
                <w:color w:val="auto"/>
              </w:rPr>
            </w:pPr>
            <w:r>
              <w:rPr>
                <w:rFonts w:ascii="Arial" w:cs="Arial" w:eastAsia="Arial" w:hAnsi="Arial"/>
                <w:sz w:val="18"/>
                <w:szCs w:val="18"/>
                <w:b w:val="1"/>
                <w:bCs w:val="1"/>
                <w:color w:val="auto"/>
              </w:rPr>
              <w:t>Changes in assets and current liabilities, net:</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Trade accounts receivable and contract assets,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(17,842)</w:t>
            </w:r>
          </w:p>
        </w:tc>
      </w:tr>
      <w:tr>
        <w:trPr>
          <w:trHeight w:val="230"/>
        </w:trPr>
        <w:tc>
          <w:tcPr>
            <w:tcW w:w="5900" w:type="dxa"/>
            <w:vAlign w:val="bottom"/>
          </w:tcPr>
          <w:p>
            <w:pPr>
              <w:ind w:left="680"/>
              <w:spacing w:after="0"/>
              <w:rPr>
                <w:sz w:val="20"/>
                <w:szCs w:val="20"/>
                <w:color w:val="auto"/>
              </w:rPr>
            </w:pPr>
            <w:r>
              <w:rPr>
                <w:rFonts w:ascii="Arial" w:cs="Arial" w:eastAsia="Arial" w:hAnsi="Arial"/>
                <w:sz w:val="18"/>
                <w:szCs w:val="18"/>
                <w:color w:val="auto"/>
              </w:rPr>
              <w:t>Other current assets, net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(39,190)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18,577</w:t>
            </w:r>
          </w:p>
        </w:tc>
      </w:tr>
      <w:tr>
        <w:trPr>
          <w:trHeight w:val="229"/>
        </w:trPr>
        <w:tc>
          <w:tcPr>
            <w:tcW w:w="5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Trade accounts payable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w:t>
            </w:r>
          </w:p>
        </w:tc>
      </w:tr>
      <w:tr>
        <w:trPr>
          <w:trHeight w:val="229"/>
        </w:trPr>
        <w:tc>
          <w:tcPr>
            <w:tcW w:w="5900" w:type="dxa"/>
            <w:vAlign w:val="bottom"/>
          </w:tcPr>
          <w:p>
            <w:pPr>
              <w:ind w:left="680"/>
              <w:spacing w:after="0"/>
              <w:rPr>
                <w:sz w:val="20"/>
                <w:szCs w:val="20"/>
                <w:color w:val="auto"/>
              </w:rPr>
            </w:pPr>
            <w:r>
              <w:rPr>
                <w:rFonts w:ascii="Arial" w:cs="Arial" w:eastAsia="Arial" w:hAnsi="Arial"/>
                <w:sz w:val="18"/>
                <w:szCs w:val="18"/>
                <w:color w:val="auto"/>
              </w:rPr>
              <w:t>Contract liabilities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26,376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7,867</w:t>
            </w:r>
          </w:p>
        </w:tc>
      </w:tr>
      <w:tr>
        <w:trPr>
          <w:trHeight w:val="230"/>
        </w:trPr>
        <w:tc>
          <w:tcPr>
            <w:tcW w:w="5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12,183</w:t>
            </w:r>
          </w:p>
        </w:tc>
      </w:tr>
      <w:tr>
        <w:trPr>
          <w:trHeight w:val="229"/>
        </w:trPr>
        <w:tc>
          <w:tcPr>
            <w:tcW w:w="59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Non-current assets and non-current liabilities, net</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flows from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656,322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734,522</w:t>
            </w:r>
          </w:p>
        </w:tc>
      </w:tr>
      <w:tr>
        <w:trPr>
          <w:trHeight w:val="236"/>
        </w:trPr>
        <w:tc>
          <w:tcPr>
            <w:tcW w:w="5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Purchases of marketable investment securities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(2,799,838)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(993,369)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(2,973,254)</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maturities of marketable investment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2,110,336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2,391,220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1,498,463</w:t>
            </w: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Expenditures for property and equipment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(408,798)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(418,584)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(555,141)</w:t>
            </w: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Expenditures for externally marketed software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(31,639)</w:t>
            </w: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Purchase of other investments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(93,687)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Investments in unconsolidated affiliates</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(115,991)</w:t>
            </w: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Purchases of regulatory authorizations</w:t>
            </w:r>
          </w:p>
        </w:tc>
        <w:tc>
          <w:tcPr>
            <w:tcW w:w="3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(34,447)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Refunds and other receipts related to property and equipment</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77,524</w:t>
            </w: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Dividend received from unconsolidated affiliate</w:t>
            </w:r>
          </w:p>
        </w:tc>
        <w:tc>
          <w:tcPr>
            <w:tcW w:w="3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 of investment in unconsolidated affiliates</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Net cash flows from investing activities</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(1,142,455)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821,958</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(2,098,480)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44"/>
        </w:trPr>
        <w:tc>
          <w:tcPr>
            <w:tcW w:w="574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1"/>
        </w:trPr>
        <w:tc>
          <w:tcPr>
            <w:tcW w:w="5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Repurchase and maturity of the 2019 Senior Secured Notes</w:t>
            </w:r>
          </w:p>
        </w:tc>
        <w:tc>
          <w:tcPr>
            <w:tcW w:w="5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(920,923)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(70,173)</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 of other long-term debt and finance lease obligations</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(41,019)</w:t>
            </w: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Payment of in-orbit incentive obligations</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proceeds from Class A common stock options exercised</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176"/>
        </w:trPr>
        <w:tc>
          <w:tcPr>
            <w:tcW w:w="5740" w:type="dxa"/>
            <w:vAlign w:val="bottom"/>
          </w:tcPr>
          <w:p>
            <w:pPr>
              <w:ind w:left="240"/>
              <w:spacing w:after="0" w:line="176" w:lineRule="exact"/>
              <w:rPr>
                <w:sz w:val="20"/>
                <w:szCs w:val="20"/>
                <w:color w:val="auto"/>
              </w:rPr>
            </w:pPr>
            <w:r>
              <w:rPr>
                <w:rFonts w:ascii="Arial" w:cs="Arial" w:eastAsia="Arial" w:hAnsi="Arial"/>
                <w:sz w:val="18"/>
                <w:szCs w:val="18"/>
                <w:color w:val="auto"/>
              </w:rPr>
              <w:t>Net proceeds from Class A common stock issued under the</w:t>
            </w:r>
          </w:p>
        </w:tc>
        <w:tc>
          <w:tcPr>
            <w:tcW w:w="5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10,109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9,779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9,368</w:t>
            </w: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Employee Stock Purchase Plan</w:t>
            </w:r>
          </w:p>
        </w:tc>
        <w:tc>
          <w:tcPr>
            <w:tcW w:w="5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Treasury share purchase</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(33,292)</w:t>
            </w: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Contribution by non-controlling interest holder</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non-controlling interest</w:t>
            </w:r>
          </w:p>
        </w:tc>
        <w:tc>
          <w:tcPr>
            <w:tcW w:w="5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net</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flows from financing activities</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(885,311)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(136,563)</w:t>
            </w:r>
          </w:p>
        </w:tc>
        <w:tc>
          <w:tcPr>
            <w:tcW w:w="0" w:type="dxa"/>
            <w:vAlign w:val="bottom"/>
          </w:tcPr>
          <w:p>
            <w:pPr>
              <w:spacing w:after="0"/>
              <w:rPr>
                <w:sz w:val="1"/>
                <w:szCs w:val="1"/>
                <w:color w:val="auto"/>
              </w:rPr>
            </w:pPr>
          </w:p>
        </w:tc>
      </w:tr>
      <w:tr>
        <w:trPr>
          <w:trHeight w:val="236"/>
        </w:trPr>
        <w:tc>
          <w:tcPr>
            <w:tcW w:w="5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(625,077)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592,394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(1,502,754)</w:t>
            </w:r>
          </w:p>
        </w:tc>
        <w:tc>
          <w:tcPr>
            <w:tcW w:w="0" w:type="dxa"/>
            <w:vAlign w:val="bottom"/>
          </w:tcPr>
          <w:p>
            <w:pPr>
              <w:spacing w:after="0"/>
              <w:rPr>
                <w:sz w:val="1"/>
                <w:szCs w:val="1"/>
                <w:color w:val="auto"/>
              </w:rPr>
            </w:pPr>
          </w:p>
        </w:tc>
      </w:tr>
      <w:tr>
        <w:trPr>
          <w:trHeight w:val="176"/>
        </w:trPr>
        <w:tc>
          <w:tcPr>
            <w:tcW w:w="5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and cash equivalents, including restricted amounts, beginning</w:t>
            </w:r>
          </w:p>
        </w:tc>
        <w:tc>
          <w:tcPr>
            <w:tcW w:w="5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1,521,889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929,495</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2,432,249</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period</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740" w:type="dxa"/>
            <w:vAlign w:val="bottom"/>
          </w:tcPr>
          <w:p>
            <w:pPr>
              <w:ind w:left="20"/>
              <w:spacing w:after="0" w:line="156" w:lineRule="exact"/>
              <w:rPr>
                <w:sz w:val="20"/>
                <w:szCs w:val="20"/>
                <w:color w:val="auto"/>
              </w:rPr>
            </w:pPr>
            <w:r>
              <w:rPr>
                <w:rFonts w:ascii="Arial" w:cs="Arial" w:eastAsia="Arial" w:hAnsi="Arial"/>
                <w:sz w:val="18"/>
                <w:szCs w:val="18"/>
                <w:color w:val="auto"/>
              </w:rPr>
              <w:t>Cash and cash equivalents, including restricted amounts, end of</w:t>
            </w: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896,812</w:t>
            </w:r>
          </w:p>
        </w:tc>
        <w:tc>
          <w:tcPr>
            <w:tcW w:w="100" w:type="dxa"/>
            <w:vAlign w:val="bottom"/>
          </w:tcPr>
          <w:p>
            <w:pPr>
              <w:spacing w:after="0"/>
              <w:rPr>
                <w:sz w:val="13"/>
                <w:szCs w:val="13"/>
                <w:color w:val="auto"/>
              </w:rPr>
            </w:pP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1,521,889</w:t>
            </w:r>
          </w:p>
        </w:tc>
        <w:tc>
          <w:tcPr>
            <w:tcW w:w="120" w:type="dxa"/>
            <w:vAlign w:val="bottom"/>
          </w:tcPr>
          <w:p>
            <w:pPr>
              <w:spacing w:after="0"/>
              <w:rPr>
                <w:sz w:val="13"/>
                <w:szCs w:val="13"/>
                <w:color w:val="auto"/>
              </w:rPr>
            </w:pP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929,495</w:t>
            </w:r>
          </w:p>
        </w:tc>
        <w:tc>
          <w:tcPr>
            <w:tcW w:w="0" w:type="dxa"/>
            <w:vAlign w:val="bottom"/>
          </w:tcPr>
          <w:p>
            <w:pPr>
              <w:spacing w:after="0"/>
              <w:rPr>
                <w:sz w:val="1"/>
                <w:szCs w:val="1"/>
                <w:color w:val="auto"/>
              </w:rPr>
            </w:pPr>
          </w:p>
        </w:tc>
      </w:tr>
      <w:tr>
        <w:trPr>
          <w:trHeight w:val="208"/>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period</w:t>
            </w:r>
          </w:p>
        </w:tc>
        <w:tc>
          <w:tcPr>
            <w:tcW w:w="50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ORGANIZATION AND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 “our”) is a holding company that was organized in October 2007 as a corporation under the laws of the State of Nevada and has operated as a separately traded public company from DISH Network Corporation (“DISH”) since 2008. Our Class A common stock is publicly traded on the NASDAQ Global Select Market (“NASDAQ”) under the symbol “SATS.”</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 We operate in the following two business segments:</w:t>
      </w:r>
    </w:p>
    <w:p>
      <w:pPr>
        <w:spacing w:after="0" w:line="169" w:lineRule="exact"/>
        <w:rPr>
          <w:sz w:val="20"/>
          <w:szCs w:val="20"/>
          <w:color w:val="auto"/>
        </w:rPr>
      </w:pPr>
    </w:p>
    <w:p>
      <w:pPr>
        <w:jc w:val="both"/>
        <w:ind w:left="660" w:hanging="328"/>
        <w:spacing w:after="0" w:line="258" w:lineRule="auto"/>
        <w:tabs>
          <w:tab w:leader="none" w:pos="655"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internet services to domestic and international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broadband network technologies, managed services, equipment, hardware, satellite services and communication solutions to service providers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41" w:lineRule="exact"/>
        <w:rPr>
          <w:rFonts w:ascii="Arial" w:cs="Arial" w:eastAsia="Arial" w:hAnsi="Arial"/>
          <w:sz w:val="18"/>
          <w:szCs w:val="18"/>
          <w:b w:val="1"/>
          <w:bCs w:val="1"/>
          <w:i w:val="1"/>
          <w:iCs w:val="1"/>
          <w:color w:val="auto"/>
        </w:rPr>
      </w:pPr>
    </w:p>
    <w:p>
      <w:pPr>
        <w:jc w:val="both"/>
        <w:ind w:left="660" w:hanging="328"/>
        <w:spacing w:after="0" w:line="271" w:lineRule="auto"/>
        <w:tabs>
          <w:tab w:leader="none" w:pos="655"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ESS </w:t>
      </w:r>
      <w:r>
        <w:rPr>
          <w:rFonts w:ascii="Arial" w:cs="Arial" w:eastAsia="Arial" w:hAnsi="Arial"/>
          <w:sz w:val="18"/>
          <w:szCs w:val="18"/>
          <w:color w:val="auto"/>
        </w:rPr>
        <w:t>— which uses certain of our owned and leased in-orbit satellites and related licenses to provide satellite services on a full-time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occasional-use basis to United States (“U.S.”) government service providers, internet service providers, broadcast news organizations, content providers and private enterprise customers.</w:t>
      </w:r>
    </w:p>
    <w:p>
      <w:pPr>
        <w:spacing w:after="0" w:line="2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also include various corporate departments (primarily Executive, Treasury, Strategic Development, Human Resources, IT,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Corporate and Other. We also divide our operations by primary geographic market as follows: (i) North America (the U.S. and its territories, Mexico, and Canada); (ii) South and Central America and; (iii) Other (Asia, Africa, Australia, Europe, India, and the Middle East). Refer to Note 20. Segment Reporting for further detail.</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(together with DISH, “DISH Network”) and our joint venture Dish Mexico, S. de R.L. de C.V. (“Dish Mexico”) and its subsidiaries,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BSS Transaction, we and DISH Network agreed to indemnify each other against certain losses with respect to breaches of certain representations and covenants and certain retained and assumed liabilities, respectively. Additionally, we and DISH and certain of our and their subsidiaries (i) entered into certain customary agreements covering, among other things, matters relating to taxes, employees, intellectual property and the provision of transitional services; (ii) terminated certain previously existing agreements; and (iii) amended certain existing agreements and entered into certain new agreements pursuant to which we and DISH Network will obtain and provide certain products, services and rights from and to each other.</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BSS Transaction was structured in a manner intended to be tax-free to us and our stockholders for U.S. federal income tax purposes and was accounted for as a spin-off to our shareholders as we did not receive any consideration. Following the consummation of the BSS Transaction, we no longer operate the BSS Business, which was a substantial portion of our ESS segment. As a result of the BSS Transaction, the financial results of the BSS Business, except for certain real estate that transferred in the transaction, are presented as discontinued operations and, as such, excluded from continuing operations and segment results for the years ended December 31, 2019 and 2018, as presented in these Consolidated Financial Statements and the accompanying notes (collectively, the “Consolidated Financial Statements’).</w:t>
      </w:r>
    </w:p>
    <w:p>
      <w:pPr>
        <w:spacing w:after="0" w:line="20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5. Discontinued Operations</w:t>
      </w:r>
      <w:r>
        <w:rPr>
          <w:rFonts w:ascii="Arial" w:cs="Arial" w:eastAsia="Arial" w:hAnsi="Arial"/>
          <w:sz w:val="18"/>
          <w:szCs w:val="18"/>
          <w:color w:val="auto"/>
        </w:rPr>
        <w:t xml:space="preserve"> for further detail. Additionally, all amounts in the following footnotes reference results from continuing operations unless otherwise noted.</w:t>
      </w:r>
    </w:p>
    <w:p>
      <w:pPr>
        <w:spacing w:after="0" w:line="16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Consolidated Financial Statements and the accompanying notes are prepared in conformity with generally accepted accounting principles in the United States (“U.S. GAAP”). 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All significant intercompany balances and transactions have been eliminated in consolidation.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All amounts presented in these Consolidated Financial Statements and their accompanying notes are expressed in thousands of U.S.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dollars, except share and per share amounts and unless otherwise noted.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with the current period presentation.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are required to make certain estimates and assumptions that affect the amounts reported in these Consolidated Financial Statements. The most significant estimates and assumptions are used in determining: (i) inputs used to recognize revenue over time, including amortization periods for deferred contract acquisition costs; (ii) allowances for doubtful accounts; (iii) deferred taxes and related valuation allowances, including uncertain tax positions; (iv) loss contingencies; (v) fair value of financial instruments; (vi) fair value of assets and liabilities acquired in business combinations; and (vii) asset impairment testing.</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169"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1 - Defined as observable inputs being quoted prices in active markets for identical assets;</w:t>
      </w:r>
    </w:p>
    <w:p>
      <w:pPr>
        <w:spacing w:after="0" w:line="90"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2 -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27"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3 - Defined as unobservable inputs for which little or no market data exists, consistent with characteristics of the asset or liability that would be considered by market participants in a transaction to purchase or sell the asset or liability.</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Fair values for our outstanding debt are based on quoted market prices in less active markets and are categorized as Level 2 measurements.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177"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Transfers between levels in the fair value hierarchy are considered to occur at the beginning of the quarterly accounting period. There were no transfers between levels during the years ended December 31, 2020 and 2019.</w:t>
      </w:r>
    </w:p>
    <w:p>
      <w:pPr>
        <w:spacing w:after="0" w:line="17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December 31, 2020 and 2019, the carrying amounts of our cash and cash equivalents, trade accounts receivable and contract assets, net, trade accounts payable, and accrued expenses and other current liabilities were equal to or approximated their fair value due to their short-term nature or proximity to current market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Revenue is recognized upon transfer of control of the promised goods or our performance of the services to our customers in an amount that reflects the consideration we expect to receive in exchange for those goods or services. We enter into contracts that may include various combinations of products and services, which are generally distinct and accounted for as separate performance obligations.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also recognize lease revenue which is derived from leases of property and equipment which, for operating leases, is reported in </w:t>
      </w:r>
      <w:r>
        <w:rPr>
          <w:rFonts w:ascii="Arial" w:cs="Arial" w:eastAsia="Arial" w:hAnsi="Arial"/>
          <w:sz w:val="18"/>
          <w:szCs w:val="18"/>
          <w:i w:val="1"/>
          <w:iCs w:val="1"/>
          <w:color w:val="auto"/>
        </w:rPr>
        <w:t>Services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revenue </w:t>
      </w:r>
      <w:r>
        <w:rPr>
          <w:rFonts w:ascii="Arial" w:cs="Arial" w:eastAsia="Arial" w:hAnsi="Arial"/>
          <w:sz w:val="18"/>
          <w:szCs w:val="18"/>
          <w:color w:val="auto"/>
        </w:rPr>
        <w:t>in the Consolidated Statements of Operations and, for sales-type leases, is reported in</w:t>
      </w:r>
      <w:r>
        <w:rPr>
          <w:rFonts w:ascii="Arial" w:cs="Arial" w:eastAsia="Arial" w:hAnsi="Arial"/>
          <w:sz w:val="18"/>
          <w:szCs w:val="18"/>
          <w:i w:val="1"/>
          <w:iCs w:val="1"/>
          <w:color w:val="auto"/>
        </w:rPr>
        <w:t xml:space="preserve"> Equipment revenue </w:t>
      </w:r>
      <w:r>
        <w:rPr>
          <w:rFonts w:ascii="Arial" w:cs="Arial" w:eastAsia="Arial" w:hAnsi="Arial"/>
          <w:sz w:val="18"/>
          <w:szCs w:val="18"/>
          <w:color w:val="auto"/>
        </w:rPr>
        <w:t>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Certain of our customer contracts contain embedded equipment leases, which we separate from non-lease components of the contract based on the relative standalone selling prices of the lease and non-lease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Hughes Segment</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Hughes segment service contracts typically obligate us to provide substantially the same services on a recurring basis in exchange for fixed recurring fees over the term of the contract. We satisfy such performance obligations over time and recognize revenue ratably as services are rendered over the service period. Certain of our contracts with service obligations provide for fees based on usage, capacity or volume. We satisfy these performance obligations and recognize the related revenue at the point in time, or over the period, when the services are rendered. Our Hughes segment also sells and leases communications equipment to its customers. Revenue from equipment sales generally is recognized based upon shipment terms. Our equipment sales contracts typically include standard product warranties, but generally do not provide for returns or refunds. Revenue for extended warranties is recognized ratably over the extended warranty period. For contracts with multiple performance obligations, we typically allocate the contract’s transaction price to each performance obligation based on their relative standalone selling prices. When the standalone selling price is not observable, our primary method used to estimate standalone selling price is the expected cost plus a margin. Our contracts generally require customer payments to be made at or shortly after the time we transfer control of goods or perform the services.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equipment and service offerings, our Hughes segment also enters into long-term contracts to design, develop, construct and install complex telecommunication networks for mobile system operators and enterprise customers. Revenue from such contracts is generally recognized over time as a measure of progress that depicts the transfer of control of the goods or services to the customer. Depending on the nature of the arrangement, we measure progress toward contract completion using an appropriate input method or output method. Under the input method, we recognize the transaction price as revenue based on the ratio of costs incurred to estimated total costs at completion. Under the output method, revenue and cost of sales are recognized as products are delivered based on the expected profit for the entire agreement. Profit margins on long-term contracts generally are based on estimates of revenue and costs at completion. We review and revise our estimates periodically and recognize related adjustments in the period in which the revisions are made. Estimated losses on contracts are recorded in the period in which they are identified. We generally receive interim payments as work progresses, although for some contracts, we may be entitled to receive an advance payment.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ESS Segment</w:t>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Generally, our ESS segment service contracts with customers contain a single performance obligation and, therefore, there is no need to allocate the transaction price. We transfer control and recognize revenue for satellite services at the point in time or over the period when the services are rendered.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Revenue</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lease satellite capacity, communications equipment and real estate to certain of our customers. We identify and determine the classification of such leases as operating leases or sales-type leases. A lease is classified as a sales-type lease if it meets the criteria for a finance lease; otherwise it is classified as an operating lease. Some of our leases are embedded in contracts with customers that include non-lease performance obligations. For such contracts, except where we have elected otherwise, we allocate consideration in the contract between lease and non-lease components based on their relative standalone selling prices. We elected an accounting policy to not separate the lease of equipment from related services in our HughesNet satellite internet service (the “HughesNet service”) contracts with customers and account for all revenue from such contracts as non-lease service revenue. Assets subject to operating leases remain in </w:t>
      </w:r>
      <w:r>
        <w:rPr>
          <w:rFonts w:ascii="Arial" w:cs="Arial" w:eastAsia="Arial" w:hAnsi="Arial"/>
          <w:sz w:val="18"/>
          <w:szCs w:val="18"/>
          <w:i w:val="1"/>
          <w:iCs w:val="1"/>
          <w:color w:val="auto"/>
        </w:rPr>
        <w:t>Property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equipment, net </w:t>
      </w:r>
      <w:r>
        <w:rPr>
          <w:rFonts w:ascii="Arial" w:cs="Arial" w:eastAsia="Arial" w:hAnsi="Arial"/>
          <w:sz w:val="18"/>
          <w:szCs w:val="18"/>
          <w:color w:val="auto"/>
        </w:rPr>
        <w:t>and continue to be depreciated. Assets subject to sales-type leases are derecognized from</w:t>
      </w:r>
      <w:r>
        <w:rPr>
          <w:rFonts w:ascii="Arial" w:cs="Arial" w:eastAsia="Arial" w:hAnsi="Arial"/>
          <w:sz w:val="18"/>
          <w:szCs w:val="18"/>
          <w:i w:val="1"/>
          <w:iCs w:val="1"/>
          <w:color w:val="auto"/>
        </w:rPr>
        <w:t xml:space="preserve"> Property and equipment, net </w:t>
      </w:r>
      <w:r>
        <w:rPr>
          <w:rFonts w:ascii="Arial" w:cs="Arial" w:eastAsia="Arial" w:hAnsi="Arial"/>
          <w:sz w:val="18"/>
          <w:szCs w:val="18"/>
          <w:color w:val="auto"/>
        </w:rPr>
        <w:t>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lease commencement and a net investment in the lease asset is recognized in </w:t>
      </w:r>
      <w:r>
        <w:rPr>
          <w:rFonts w:ascii="Arial" w:cs="Arial" w:eastAsia="Arial" w:hAnsi="Arial"/>
          <w:sz w:val="18"/>
          <w:szCs w:val="18"/>
          <w:i w:val="1"/>
          <w:iCs w:val="1"/>
          <w:color w:val="auto"/>
        </w:rPr>
        <w:t>Trade accounts receivable and contract assets,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non-current assets, net</w:t>
      </w:r>
      <w:r>
        <w:rPr>
          <w:rFonts w:ascii="Arial" w:cs="Arial" w:eastAsia="Arial" w:hAnsi="Arial"/>
          <w:sz w:val="18"/>
          <w:szCs w:val="18"/>
          <w:color w:val="auto"/>
        </w:rPr>
        <w:t>.</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lease revenue is generally recognized on a straight-line basis over the lease term. Sales-type lease revenue and a corresponding receivable generally are recognized at lease commencement based on the present value of the future lease payments and related interest income on the receivable is recognized over the lease term. Payments under sales-type leases are discounted using the interest rate implicit in the lease or our incremental borrowing rate if the interest rate implicit in the lease cannot be reasonably determined. We report revenue from</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 xml:space="preserve">sales-type leases at the commencement date in </w:t>
      </w:r>
      <w:r>
        <w:rPr>
          <w:rFonts w:ascii="Arial" w:cs="Arial" w:eastAsia="Arial" w:hAnsi="Arial"/>
          <w:sz w:val="18"/>
          <w:szCs w:val="18"/>
          <w:i w:val="1"/>
          <w:iCs w:val="1"/>
          <w:color w:val="auto"/>
        </w:rPr>
        <w:t>Equipment revenue</w:t>
      </w:r>
      <w:r>
        <w:rPr>
          <w:rFonts w:ascii="Arial" w:cs="Arial" w:eastAsia="Arial" w:hAnsi="Arial"/>
          <w:sz w:val="18"/>
          <w:szCs w:val="18"/>
          <w:color w:val="auto"/>
        </w:rPr>
        <w:t xml:space="preserve"> and periodic interest income in </w:t>
      </w:r>
      <w:r>
        <w:rPr>
          <w:rFonts w:ascii="Arial" w:cs="Arial" w:eastAsia="Arial" w:hAnsi="Arial"/>
          <w:sz w:val="18"/>
          <w:szCs w:val="18"/>
          <w:i w:val="1"/>
          <w:iCs w:val="1"/>
          <w:color w:val="auto"/>
        </w:rPr>
        <w:t>Services and other revenue.</w:t>
      </w:r>
      <w:r>
        <w:rPr>
          <w:rFonts w:ascii="Arial" w:cs="Arial" w:eastAsia="Arial" w:hAnsi="Arial"/>
          <w:sz w:val="18"/>
          <w:szCs w:val="18"/>
          <w:color w:val="auto"/>
        </w:rPr>
        <w:t xml:space="preserve"> We report operating lease revenue in </w:t>
      </w:r>
      <w:r>
        <w:rPr>
          <w:rFonts w:ascii="Arial" w:cs="Arial" w:eastAsia="Arial" w:hAnsi="Arial"/>
          <w:sz w:val="18"/>
          <w:szCs w:val="18"/>
          <w:i w:val="1"/>
          <w:iCs w:val="1"/>
          <w:color w:val="auto"/>
        </w:rPr>
        <w:t>Services and other revenue</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0"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 xml:space="preserve">Sales and Value Added Taxes, Universal Service Fees and other taxes that we collect concurrent with revenue producing activities are excluded from revenue and included in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in the Consolidated Balance Sheets.</w:t>
      </w:r>
    </w:p>
    <w:p>
      <w:pPr>
        <w:sectPr>
          <w:pgSz w:w="11900" w:h="16838" w:orient="portrait"/>
          <w:cols w:equalWidth="0" w:num="1">
            <w:col w:w="11240"/>
          </w:cols>
          <w:pgMar w:left="320" w:top="115" w:right="339" w:bottom="1440" w:gutter="0" w:footer="0" w:header="0"/>
        </w:sectPr>
      </w:pPr>
    </w:p>
    <w:p>
      <w:pPr>
        <w:spacing w:after="0" w:line="17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Shipping and handling costs associated with transferred to the customer and are included in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firstLine="31"/>
        <w:spacing w:after="0" w:line="309" w:lineRule="auto"/>
        <w:rPr>
          <w:sz w:val="20"/>
          <w:szCs w:val="20"/>
          <w:color w:val="auto"/>
        </w:rPr>
      </w:pPr>
      <w:r>
        <w:rPr>
          <w:rFonts w:ascii="Arial" w:cs="Arial" w:eastAsia="Arial" w:hAnsi="Arial"/>
          <w:sz w:val="18"/>
          <w:szCs w:val="18"/>
          <w:color w:val="auto"/>
        </w:rPr>
        <w:t xml:space="preserve">outbound freight are accounted for as a fulfillment cost after control over a product has </w:t>
      </w:r>
      <w:r>
        <w:rPr>
          <w:rFonts w:ascii="Arial" w:cs="Arial" w:eastAsia="Arial" w:hAnsi="Arial"/>
          <w:sz w:val="16"/>
          <w:szCs w:val="16"/>
          <w:color w:val="auto"/>
        </w:rPr>
        <w:t xml:space="preserve">Cost of sales - equipment </w:t>
      </w:r>
      <w:r>
        <w:rPr>
          <w:rFonts w:ascii="Arial" w:cs="Arial" w:eastAsia="Arial" w:hAnsi="Arial"/>
          <w:sz w:val="17"/>
          <w:szCs w:val="17"/>
          <w:color w:val="auto"/>
        </w:rPr>
        <w:t>in the Consolidated Statements of Operations at the time of shipment.</w:t>
      </w:r>
    </w:p>
    <w:p>
      <w:pPr>
        <w:spacing w:after="0" w:line="155" w:lineRule="exact"/>
        <w:rPr>
          <w:sz w:val="20"/>
          <w:szCs w:val="20"/>
          <w:color w:val="auto"/>
        </w:rPr>
      </w:pPr>
    </w:p>
    <w:p>
      <w:pPr>
        <w:sectPr>
          <w:pgSz w:w="11900" w:h="16838" w:orient="portrait"/>
          <w:cols w:equalWidth="0" w:num="2">
            <w:col w:w="3740" w:space="40"/>
            <w:col w:w="7460"/>
          </w:cols>
          <w:pgMar w:left="320" w:top="115"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Cost of Sales - Services and Other</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Cost of sales - services and other </w:t>
      </w:r>
      <w:r>
        <w:rPr>
          <w:rFonts w:ascii="Arial" w:cs="Arial" w:eastAsia="Arial" w:hAnsi="Arial"/>
          <w:sz w:val="18"/>
          <w:szCs w:val="18"/>
          <w:color w:val="auto"/>
        </w:rPr>
        <w:t>in the Consolidated Statements of Operations primarily consists of costs of satellite capacity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hub infrastructure, customer care, wireline and wireless capacity and direct labor costs associated with the services provided and is generally charged to expense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 Equipment</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i w:val="1"/>
          <w:iCs w:val="1"/>
          <w:color w:val="auto"/>
        </w:rPr>
        <w:t xml:space="preserve">Cost of sales - equipment </w:t>
      </w:r>
      <w:r>
        <w:rPr>
          <w:rFonts w:ascii="Arial" w:cs="Arial" w:eastAsia="Arial" w:hAnsi="Arial"/>
          <w:sz w:val="18"/>
          <w:szCs w:val="18"/>
          <w:color w:val="auto"/>
        </w:rPr>
        <w:t>in the Consolidated Statements of Operations primarily consists of inventory costs, including freight and royalties,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is generally recognized at the point in time control of the equipment is passed to the customer and related revenue is recognized.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Additionally, customer-related research and development costs are incurred in connection with the specific requirements of a customer’s order; in such instances, the amounts for these customer funded development efforts are also included in </w:t>
      </w:r>
      <w:r>
        <w:rPr>
          <w:rFonts w:ascii="Arial" w:cs="Arial" w:eastAsia="Arial" w:hAnsi="Arial"/>
          <w:sz w:val="18"/>
          <w:szCs w:val="18"/>
          <w:i w:val="1"/>
          <w:iCs w:val="1"/>
          <w:color w:val="auto"/>
        </w:rPr>
        <w:t>Cost of sales - equipment</w:t>
      </w:r>
      <w:r>
        <w:rPr>
          <w:rFonts w:ascii="Arial" w:cs="Arial" w:eastAsia="Arial" w:hAnsi="Arial"/>
          <w:sz w:val="18"/>
          <w:szCs w:val="18"/>
          <w:color w:val="auto"/>
        </w:rPr>
        <w:t xml:space="preserve">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Stock-based compensation expense is recognized based on the fair value of stock awards ultimately expected to vest. Forfeitures are estimated at the time of grant and revised, if necessary, in subsequent periods if actual forfeitures differ from those estimates. Compensation expense for awards with service conditions only is recognized on a straight-line basis over the requisite service period for the entire award. Compensation expense for awards subject to performance conditions is recognized only when satisfaction of the performance condition is probable.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 xml:space="preserve">Advertising costs are expensed as incurred and are included 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the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not incurred in connection with customer requirements, are generally expensed when incurred.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Costs of issuing debt generally are deferred and amortized utilizing the effective interest method, with amortization included 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net of amounts capitalized </w:t>
      </w:r>
      <w:r>
        <w:rPr>
          <w:rFonts w:ascii="Arial" w:cs="Arial" w:eastAsia="Arial" w:hAnsi="Arial"/>
          <w:sz w:val="18"/>
          <w:szCs w:val="18"/>
          <w:color w:val="auto"/>
        </w:rPr>
        <w:t>in the Consolidated Statements of Operations. We report unamortized debt issuance costs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of the related long-term debt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5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The functional currency for certain of our foreign operations is determined to be the local currency. Accordingly, we translate assets and liabilities of these foreign entities from their local currencies to U.S. dollars using period-end exchange rates and translate income and expense accounts at monthly average rates. The resulting translation adjustments are reported as </w:t>
      </w:r>
      <w:r>
        <w:rPr>
          <w:rFonts w:ascii="Arial" w:cs="Arial" w:eastAsia="Arial" w:hAnsi="Arial"/>
          <w:sz w:val="18"/>
          <w:szCs w:val="18"/>
          <w:i w:val="1"/>
          <w:iCs w:val="1"/>
          <w:color w:val="auto"/>
        </w:rPr>
        <w:t>Foreign currency translation adjustments</w:t>
      </w:r>
      <w:r>
        <w:rPr>
          <w:rFonts w:ascii="Arial" w:cs="Arial" w:eastAsia="Arial" w:hAnsi="Arial"/>
          <w:sz w:val="18"/>
          <w:szCs w:val="18"/>
          <w:color w:val="auto"/>
        </w:rPr>
        <w:t xml:space="preserve"> in the Consolidated Statements of Comprehensive Income (Loss). Except in certain uncommon circumstances, we have not recorded deferred income taxes related to our foreign currency translation adjustments.</w:t>
      </w: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 xml:space="preserve">Gains and losses resulting from the re-measurement of transactions denominated in foreign currencies are recognized in </w:t>
      </w:r>
      <w:r>
        <w:rPr>
          <w:rFonts w:ascii="Arial" w:cs="Arial" w:eastAsia="Arial" w:hAnsi="Arial"/>
          <w:sz w:val="18"/>
          <w:szCs w:val="18"/>
          <w:i w:val="1"/>
          <w:iCs w:val="1"/>
          <w:color w:val="auto"/>
        </w:rPr>
        <w:t>Foreign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 gains (losses), net </w:t>
      </w:r>
      <w:r>
        <w:rPr>
          <w:rFonts w:ascii="Arial" w:cs="Arial" w:eastAsia="Arial" w:hAnsi="Arial"/>
          <w:sz w:val="18"/>
          <w:szCs w:val="18"/>
          <w:color w:val="auto"/>
        </w:rPr>
        <w:t>in the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a provision or benefit for income taxes currently payable or receivable and for income tax amounts deferred to future periods. Deferred tax assets and liabilities reflect the effects of tax losses, credits, and the future income tax effects of temporary differences between U.S. GAAP carrying amounts of existing assets and liabilities and their respective tax bases and are measured using enacted tax rates that apply to taxable income in the years in which those temporary differences are expected to be recovered or settled. Deferred tax assets are offset by valuation allowances when we determine it is more likely than not that such deferred tax assets will not be realized in the foreseeable future. We determine deferred tax assets and liabilities separately for each taxing jurisdiction and report the net amount for each jurisdiction as a non-current asset or liability in the Consolidated Balance Sheets.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engage in transactions where the income tax consequences are uncertain. We recognize tax benefits when, in management’s judgment, a tax filing position is more likely than not to be sustained if challenged by the tax authorities. For tax positions that meet the more-likely-than-not threshold, we may not recognize a portion of a tax benefit depending on management’s assessment of how the tax position will ultimately be settled. Unrecognized tax benefits generally are netted against the deferred tax assets associated with our net operating loss and tax credit carryforwards. We adjust our estimates periodically based on ongoing examinations by, and settlements with, various taxing authorities, as well as changes in tax laws, regulations and precedent. Estimates of our uncertain tax positions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we will record additional income tax provision or benefit in the period in which such resolution occurs. We classify interest and penalties, if any, associated with our unrecognized tax benefits as a component of income tax provision or benefit.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Accounting</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lease real estate, satellite capacity and equipment in the conduct of our business operations. For contracts entered into on or after January 1, 2019, at contract inception, we assess whether the contract is, or contains, a lease. Generally, we determine that a lease exists when (i) the contract involves the use of a distinct identified asset, (ii) we obtain the right to substantially all economic benefits from use of the asset and (iii) we have the right to direct the use of the asset. 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a specialized nature and there is not expected to be an alternative use to the lessor at the end of the lease term. A lease is classified as an operating lease if it does not meet any of these criteria. Our operating leases consist primarily of leases for office space, data centers and satellite-related ground infrastructure. Our finance leases consist primarily of leases for satellite capacity.</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 asset for the lease term including any renewal options we are reasonably certain to exercise. The lease liability represents the present value of the lease payments under the lease. The right-of-use asset is initially measured at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cost, which primarily comprises the initial amount of the lease liability, plus any prepayments to the lessor and initial direct costs such as brokerage commissions, less any lease incentives received. All right-of-use assets are periodically reviewed for impairment in accordance with standards that apply to long-lived assets. The lease liability is initially measured at the present value of the minimum lease payments, discounted using an estimate of our incremental borrowing rate for a collateralized loan with the same term as the underlying lease. The incremental borrowing rates used for the initial measurement of lease liabilities are based on the original lease terms.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We report operating lease right-of-use assets in </w:t>
      </w:r>
      <w:r>
        <w:rPr>
          <w:rFonts w:ascii="Arial" w:cs="Arial" w:eastAsia="Arial" w:hAnsi="Arial"/>
          <w:sz w:val="18"/>
          <w:szCs w:val="18"/>
          <w:i w:val="1"/>
          <w:iCs w:val="1"/>
          <w:color w:val="auto"/>
        </w:rPr>
        <w:t>Operating lease right-of-use assets</w:t>
      </w:r>
      <w:r>
        <w:rPr>
          <w:rFonts w:ascii="Arial" w:cs="Arial" w:eastAsia="Arial" w:hAnsi="Arial"/>
          <w:sz w:val="18"/>
          <w:szCs w:val="18"/>
          <w:color w:val="auto"/>
        </w:rPr>
        <w:t xml:space="preserve"> and operating lease liabilities in </w:t>
      </w:r>
      <w:r>
        <w:rPr>
          <w:rFonts w:ascii="Arial" w:cs="Arial" w:eastAsia="Arial" w:hAnsi="Arial"/>
          <w:sz w:val="18"/>
          <w:szCs w:val="18"/>
          <w:i w:val="1"/>
          <w:iCs w:val="1"/>
          <w:color w:val="auto"/>
        </w:rPr>
        <w:t>Accrued expenses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current liabilities </w:t>
      </w:r>
      <w:r>
        <w:rPr>
          <w:rFonts w:ascii="Arial" w:cs="Arial" w:eastAsia="Arial" w:hAnsi="Arial"/>
          <w:sz w:val="18"/>
          <w:szCs w:val="18"/>
          <w:color w:val="auto"/>
        </w:rPr>
        <w:t>and</w:t>
      </w:r>
      <w:r>
        <w:rPr>
          <w:rFonts w:ascii="Arial" w:cs="Arial" w:eastAsia="Arial" w:hAnsi="Arial"/>
          <w:sz w:val="18"/>
          <w:szCs w:val="18"/>
          <w:i w:val="1"/>
          <w:iCs w:val="1"/>
          <w:color w:val="auto"/>
        </w:rPr>
        <w:t xml:space="preserve"> Operating lease liabilities</w:t>
      </w:r>
      <w:r>
        <w:rPr>
          <w:rFonts w:ascii="Arial" w:cs="Arial" w:eastAsia="Arial" w:hAnsi="Arial"/>
          <w:sz w:val="18"/>
          <w:szCs w:val="18"/>
          <w:color w:val="auto"/>
        </w:rPr>
        <w:t>. We report finance lease right-of-use assets in</w:t>
      </w:r>
      <w:r>
        <w:rPr>
          <w:rFonts w:ascii="Arial" w:cs="Arial" w:eastAsia="Arial" w:hAnsi="Arial"/>
          <w:sz w:val="18"/>
          <w:szCs w:val="18"/>
          <w:i w:val="1"/>
          <w:iCs w:val="1"/>
          <w:color w:val="auto"/>
        </w:rPr>
        <w:t xml:space="preserve"> Property and equipment, net </w:t>
      </w:r>
      <w:r>
        <w:rPr>
          <w:rFonts w:ascii="Arial" w:cs="Arial" w:eastAsia="Arial" w:hAnsi="Arial"/>
          <w:sz w:val="18"/>
          <w:szCs w:val="18"/>
          <w:color w:val="auto"/>
        </w:rPr>
        <w:t>and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lease liabilities in </w:t>
      </w:r>
      <w:r>
        <w:rPr>
          <w:rFonts w:ascii="Arial" w:cs="Arial" w:eastAsia="Arial" w:hAnsi="Arial"/>
          <w:sz w:val="18"/>
          <w:szCs w:val="18"/>
          <w:i w:val="1"/>
          <w:iCs w:val="1"/>
          <w:color w:val="auto"/>
        </w:rPr>
        <w:t>Current portion of long-term debt,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Long-term debt, net</w:t>
      </w:r>
      <w:r>
        <w:rPr>
          <w:rFonts w:ascii="Arial" w:cs="Arial" w:eastAsia="Arial" w:hAnsi="Arial"/>
          <w:sz w:val="18"/>
          <w:szCs w:val="18"/>
          <w:color w:val="auto"/>
        </w:rPr>
        <w:t>.</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Minimum lease payments included in the measurement of lease liabilities consist of (i) fixed lease payments for the non-cancelable lease term, (ii) fixed lease payments for optional renewal periods where it is reasonably certain the renewal option will be exercised and (iii) variable lease payments that depend on an underlying index or rate, based on the index or rate in effect at lease commencement. Certain of our real estate lease agreements require payments for non-lease costs such as utilities and common area maintenance. We elected an accounting policy to not account for such payments separately from the related lease payments. Our policy election results in a higher initial measurement of lease liabilities when such non-lease payments are fixed amounts. Certain of our real estate lease agreements require variable lease payments that do not depend on an underlying index or rate, such as sales and value-added taxes and our proportionate share of actual property taxes, insurance and utilities, which are recognized in operating expenses as incurred.</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amortization of the right-of-use asset on a straight-line basis over the lease term and interest expense on the lease liability based on the discount rate at lease commencement. For both operating and finance leases, lease payments are allocated between a reduction of the lease liability and interest expense. Amortization of the right-of-use asset for operating leases reflects amortization of the lease liability, any differences between straight-line expense and related lease payments during the accounting period, and any impairments.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account for all business combinations that result in our control over another entity by using the acquisition method of accounting, which requires us to allocate the purchase price of the acquired business to the identifiable tangible and intangible assets acquired and liabilities assumed, including contingent consideration, and non-controlling interests, based upon their estimated fair values at the date of acquisition. The difference between the purchase price and the excess of the aggregate estimated fair values of assets acquired and liabilities assumed is recorded as goodwill. In determining the estimated fair values of assets acquired and liabilities assumed in a business combination, we use various recognized valuation methods including present value modeling, referenced market values, where available and cost-based approaches. Valuations are performed by management or independent valuation specialists under management’s supervision, where appropriate.</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Accounting for business combinations requires us to make significant estimates and assumptions, especially at the acquisition date, including our estimates for intangible assets, contractual obligations assumed and contingent consideration, where applicable. While we believe the assumptions and estimates we have made are reasonable and appropriate, they are based in part on historical experience and information obtained from management of the acquired business and are inherently uncertain and subject to refinement.</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that the estimated fair values assigned to the assets we have acquired and liabilities we have assumed are based on reasonable and appropriate assumptions. While we believe our estimates and assumptions are reasonable and appropriate, they are inherently uncertain and subject to refinement. As a result, during the measurement period, which may be up to one year from the acquisition date, we may record adjustments to the assets we have acquired and liabilities we have assumed with the corresponding offset to goodwill. Upon the conclusion of the measurement period or final determination of the estimated fair values of assets acquired or liabilities assumed, whichever comes first, any subsequent adjustments would be recorded in the Consolidated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Statements of Operations. In addition, results of operations of the acquired company are included in our results from the date of the acquisition forward and include amortization expense arising from acquired intangible assets. We expense all costs as incurred related to or involved with an acquisition in </w:t>
      </w:r>
      <w:r>
        <w:rPr>
          <w:rFonts w:ascii="Arial" w:cs="Arial" w:eastAsia="Arial" w:hAnsi="Arial"/>
          <w:sz w:val="18"/>
          <w:szCs w:val="18"/>
          <w:i w:val="1"/>
          <w:iCs w:val="1"/>
          <w:color w:val="auto"/>
        </w:rPr>
        <w:t>Other, net,</w:t>
      </w:r>
      <w:r>
        <w:rPr>
          <w:rFonts w:ascii="Arial" w:cs="Arial" w:eastAsia="Arial" w:hAnsi="Arial"/>
          <w:sz w:val="18"/>
          <w:szCs w:val="18"/>
          <w:color w:val="auto"/>
        </w:rPr>
        <w:t xml:space="preserve">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present basic and diluted earnings or losses per share (“EPS”) for our Class A and Class B common stock. Basic EPS for our Class A and Class B common stock excludes potential dilution and is computed by dividing </w:t>
      </w:r>
      <w:r>
        <w:rPr>
          <w:rFonts w:ascii="Arial" w:cs="Arial" w:eastAsia="Arial" w:hAnsi="Arial"/>
          <w:sz w:val="18"/>
          <w:szCs w:val="18"/>
          <w:i w:val="1"/>
          <w:iCs w:val="1"/>
          <w:color w:val="auto"/>
        </w:rPr>
        <w:t>Net income (loss) attributable to EchoStar Corporation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by the weighted-average number of common shares outstanding for the period. Diluted EPS reflects the potential dilution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could occur if shares of common stock were issued pursuant to our stock-based compensation awards. The potential dilution from common stock awards is computed using the treasury stock method based on the average market value of our Class A common stock during the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 (Loss)</w:t>
      </w:r>
    </w:p>
    <w:p>
      <w:pPr>
        <w:spacing w:after="0" w:line="25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 xml:space="preserve">The amounts reclassified to net income (loss) related to unrealized gain (loss) on available-for-sale securities in are included in </w:t>
      </w:r>
      <w:r>
        <w:rPr>
          <w:rFonts w:ascii="Arial" w:cs="Arial" w:eastAsia="Arial" w:hAnsi="Arial"/>
          <w:sz w:val="18"/>
          <w:szCs w:val="18"/>
          <w:i w:val="1"/>
          <w:iCs w:val="1"/>
          <w:color w:val="auto"/>
        </w:rPr>
        <w:t>Gains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investments, net </w:t>
      </w:r>
      <w:r>
        <w:rPr>
          <w:rFonts w:ascii="Arial" w:cs="Arial" w:eastAsia="Arial" w:hAnsi="Arial"/>
          <w:sz w:val="18"/>
          <w:szCs w:val="18"/>
          <w:color w:val="auto"/>
        </w:rPr>
        <w:t>in the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consider all liquid investments purchased with an original maturity of less than 90 days to be cash equivalents. Cash equivalents as of December 31, 2020 and 2019 primarily consisted of commercial paper, government bonds, corporate notes and money market funds. The amortized cost of these investments approximates their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Securities</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corporate bond portfolio includes debt instruments issued by individual corporations, primarily in the industrial and financial services industries. Our commercial paper portfolio includes instruments issued by individual corporations, primarily in the industrial, financial services and utilities industries. Our other debt securities portfolio includes investments in various debt instruments, including U.S. government bonds and mutual funds. We consider all liquid investments purchased with an original maturity of 90 days or less to be cash equivalents.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account for our debt securities as available-for-sale or using the fair value option based on our investment strategy for the securities. For available-for-sale debt securities, we recognize periodic changes in the difference between fair value and amortized cost in </w:t>
      </w:r>
      <w:r>
        <w:rPr>
          <w:rFonts w:ascii="Arial" w:cs="Arial" w:eastAsia="Arial" w:hAnsi="Arial"/>
          <w:sz w:val="18"/>
          <w:szCs w:val="18"/>
          <w:i w:val="1"/>
          <w:iCs w:val="1"/>
          <w:color w:val="auto"/>
        </w:rPr>
        <w:t>Unrealized gains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available-for-sale securities </w:t>
      </w:r>
      <w:r>
        <w:rPr>
          <w:rFonts w:ascii="Arial" w:cs="Arial" w:eastAsia="Arial" w:hAnsi="Arial"/>
          <w:sz w:val="18"/>
          <w:szCs w:val="18"/>
          <w:color w:val="auto"/>
        </w:rPr>
        <w:t>in the Consolidated Statements of Comprehensive Income (Loss). Gains and losses realized upon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sales of available-for-sale debt securities are reclassified from other comprehensive income (loss) and recognized on the trade date in </w:t>
      </w:r>
      <w:r>
        <w:rPr>
          <w:rFonts w:ascii="Arial" w:cs="Arial" w:eastAsia="Arial" w:hAnsi="Arial"/>
          <w:sz w:val="18"/>
          <w:szCs w:val="18"/>
          <w:i w:val="1"/>
          <w:iCs w:val="1"/>
          <w:color w:val="auto"/>
        </w:rPr>
        <w:t>Gains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investments, net </w:t>
      </w:r>
      <w:r>
        <w:rPr>
          <w:rFonts w:ascii="Arial" w:cs="Arial" w:eastAsia="Arial" w:hAnsi="Arial"/>
          <w:sz w:val="18"/>
          <w:szCs w:val="18"/>
          <w:color w:val="auto"/>
        </w:rPr>
        <w:t>in the Consolidated Statements of Operations. We use the first-in, first-out (“FIFO”) method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 basis on sales of available-for-sale debt securities. Interest income from available-for-sale debt securities is reported in </w:t>
      </w:r>
      <w:r>
        <w:rPr>
          <w:rFonts w:ascii="Arial" w:cs="Arial" w:eastAsia="Arial" w:hAnsi="Arial"/>
          <w:sz w:val="18"/>
          <w:szCs w:val="18"/>
          <w:i w:val="1"/>
          <w:iCs w:val="1"/>
          <w:color w:val="auto"/>
        </w:rPr>
        <w:t>Interest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 </w:t>
      </w:r>
      <w:r>
        <w:rPr>
          <w:rFonts w:ascii="Arial" w:cs="Arial" w:eastAsia="Arial" w:hAnsi="Arial"/>
          <w:sz w:val="18"/>
          <w:szCs w:val="18"/>
          <w:color w:val="auto"/>
        </w:rPr>
        <w:t>in the Consolidated Statements of Operations.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periodically evaluate our available-for-sale debt securities portfolio to determine whether any declines in the fair value of these securities are other-than-temporary. Our evaluation considers, among other things, (i) the length of time and extent to which the fair value of such security has been lower than amortized cost, (ii) market and company-specific factors related to the security and (iii) our intent and ability to hold the investment to maturity or when it recovers its value. We generally consider a decline to be other-than-temporary when (i) we intend to sell the security, (ii) it is more likely than not that we will be required to sell the security before maturity or when it recovers its value or (iii) we do not expect to recover the amortized cost of the security at maturity. Declines in the fair value of available-for-sale debt securities that are determined to be other-than-temporary are reclassified from other comprehensive income (loss) and recognized in </w:t>
      </w:r>
      <w:r>
        <w:rPr>
          <w:rFonts w:ascii="Arial" w:cs="Arial" w:eastAsia="Arial" w:hAnsi="Arial"/>
          <w:sz w:val="18"/>
          <w:szCs w:val="18"/>
          <w:i w:val="1"/>
          <w:iCs w:val="1"/>
          <w:color w:val="auto"/>
        </w:rPr>
        <w:t>Net income (loss)</w:t>
      </w:r>
      <w:r>
        <w:rPr>
          <w:rFonts w:ascii="Arial" w:cs="Arial" w:eastAsia="Arial" w:hAnsi="Arial"/>
          <w:sz w:val="18"/>
          <w:szCs w:val="18"/>
          <w:color w:val="auto"/>
        </w:rPr>
        <w:t xml:space="preserve"> in the Consolidated Statements of Operations, thus establishing a new cost basis for the investment.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From time to time we make strategic investments in marketable corporate debt securities. Generally, we elect to account for these debt securities using the fair value option because it results in consistency in accounting for unrealized gains and losses for all securities in our portfolio of strategic investments. When we elect the fair value option for investments in debt securities, we recognize periodic changes in fair value of these securities in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 the Consolidated Statements of Operations. Interest income from these securities is reported in </w:t>
      </w:r>
      <w:r>
        <w:rPr>
          <w:rFonts w:ascii="Arial" w:cs="Arial" w:eastAsia="Arial" w:hAnsi="Arial"/>
          <w:sz w:val="18"/>
          <w:szCs w:val="18"/>
          <w:i w:val="1"/>
          <w:iCs w:val="1"/>
          <w:color w:val="auto"/>
        </w:rPr>
        <w:t>Interest income, net</w:t>
      </w:r>
      <w:r>
        <w:rPr>
          <w:rFonts w:ascii="Arial" w:cs="Arial" w:eastAsia="Arial" w:hAnsi="Arial"/>
          <w:sz w:val="18"/>
          <w:szCs w:val="18"/>
          <w:color w:val="auto"/>
        </w:rPr>
        <w:t xml:space="preserve"> in the Consolidated Statements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Securities</w:t>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We account for our equity securities with readily determinable fair values at fair value and recognize periodic changes in the fair value in </w:t>
      </w:r>
      <w:r>
        <w:rPr>
          <w:rFonts w:ascii="Arial" w:cs="Arial" w:eastAsia="Arial" w:hAnsi="Arial"/>
          <w:sz w:val="18"/>
          <w:szCs w:val="18"/>
          <w:i w:val="1"/>
          <w:iCs w:val="1"/>
          <w:color w:val="auto"/>
        </w:rPr>
        <w:t xml:space="preserve">Gains (losses) on investments, net </w:t>
      </w:r>
      <w:r>
        <w:rPr>
          <w:rFonts w:ascii="Arial" w:cs="Arial" w:eastAsia="Arial" w:hAnsi="Arial"/>
          <w:sz w:val="18"/>
          <w:szCs w:val="18"/>
          <w:color w:val="auto"/>
        </w:rPr>
        <w:t>in the Consolidated Statements of Operations. We recognize dividend income on equity securities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ex-dividend date and report such income in </w:t>
      </w:r>
      <w:r>
        <w:rPr>
          <w:rFonts w:ascii="Arial" w:cs="Arial" w:eastAsia="Arial" w:hAnsi="Arial"/>
          <w:sz w:val="18"/>
          <w:szCs w:val="18"/>
          <w:i w:val="1"/>
          <w:iCs w:val="1"/>
          <w:color w:val="auto"/>
        </w:rPr>
        <w:t>Other, net</w:t>
      </w:r>
      <w:r>
        <w:rPr>
          <w:rFonts w:ascii="Arial" w:cs="Arial" w:eastAsia="Arial" w:hAnsi="Arial"/>
          <w:sz w:val="18"/>
          <w:szCs w:val="18"/>
          <w:color w:val="auto"/>
        </w:rPr>
        <w:t xml:space="preserve"> in the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Marketable Investment Securities</w:t>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Restricted marketable investment securities that are pledged as collateral for our letters of credit and surety bonds are included in </w:t>
      </w:r>
      <w:r>
        <w:rPr>
          <w:rFonts w:ascii="Arial" w:cs="Arial" w:eastAsia="Arial" w:hAnsi="Arial"/>
          <w:sz w:val="18"/>
          <w:szCs w:val="18"/>
          <w:i w:val="1"/>
          <w:iCs w:val="1"/>
          <w:color w:val="auto"/>
        </w:rPr>
        <w:t xml:space="preserve">Other non-current assets, net </w:t>
      </w:r>
      <w:r>
        <w:rPr>
          <w:rFonts w:ascii="Arial" w:cs="Arial" w:eastAsia="Arial" w:hAnsi="Arial"/>
          <w:sz w:val="18"/>
          <w:szCs w:val="18"/>
          <w:color w:val="auto"/>
        </w:rPr>
        <w:t>in the Consolidated Balance Sheets. Restricted marketable securities are accounted for in the same manner as</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that are not restricted, but are presented differently in the Consolidated Balance Sheets due to the restrictions.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Accounts Receivable</w:t>
      </w:r>
    </w:p>
    <w:p>
      <w:pPr>
        <w:spacing w:after="0" w:line="2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Trade accounts receivable includes amounts billed and currently due from customers and represents our unconditional rights to consideration arising from our performance under our customer contracts. Trade accounts receivable also includes amounts due from customers under our leasing arrangements. We make ongoing estimates relating to the collectability of our trade accounts receivable and maintain an allowance for estimated losses resulting from the inability of our customers to make the required payments. In determining the amount of the allowance, we consider historical levels of credit losses and make judgments about the creditworthiness of our customers based on ongoing credit evaluations. Past due trade accounts receivable balances are written off when our internal collection efforts have been unsuccessful. Bad debt expense related to our trade accounts receivable and other contract assets is included in </w:t>
      </w:r>
      <w:r>
        <w:rPr>
          <w:rFonts w:ascii="Arial" w:cs="Arial" w:eastAsia="Arial" w:hAnsi="Arial"/>
          <w:sz w:val="18"/>
          <w:szCs w:val="18"/>
          <w:i w:val="1"/>
          <w:iCs w:val="1"/>
          <w:color w:val="auto"/>
        </w:rPr>
        <w:t>Selling, 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administrative expenses </w:t>
      </w:r>
      <w:r>
        <w:rPr>
          <w:rFonts w:ascii="Arial" w:cs="Arial" w:eastAsia="Arial" w:hAnsi="Arial"/>
          <w:sz w:val="18"/>
          <w:szCs w:val="18"/>
          <w:color w:val="auto"/>
        </w:rPr>
        <w:t>in the Consolidated Statements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Contract assets represent revenue that we have recognized in advance of billing the customer and are included in </w:t>
      </w:r>
      <w:r>
        <w:rPr>
          <w:rFonts w:ascii="Arial" w:cs="Arial" w:eastAsia="Arial" w:hAnsi="Arial"/>
          <w:sz w:val="18"/>
          <w:szCs w:val="18"/>
          <w:i w:val="1"/>
          <w:iCs w:val="1"/>
          <w:color w:val="auto"/>
        </w:rPr>
        <w:t>Trade accounts receivable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contract assets, net </w:t>
      </w:r>
      <w:r>
        <w:rPr>
          <w:rFonts w:ascii="Arial" w:cs="Arial" w:eastAsia="Arial" w:hAnsi="Arial"/>
          <w:sz w:val="18"/>
          <w:szCs w:val="18"/>
          <w:color w:val="auto"/>
        </w:rPr>
        <w:t>or</w:t>
      </w:r>
      <w:r>
        <w:rPr>
          <w:rFonts w:ascii="Arial" w:cs="Arial" w:eastAsia="Arial" w:hAnsi="Arial"/>
          <w:sz w:val="18"/>
          <w:szCs w:val="18"/>
          <w:i w:val="1"/>
          <w:iCs w:val="1"/>
          <w:color w:val="auto"/>
        </w:rPr>
        <w:t xml:space="preserve"> Other non-current assets, net </w:t>
      </w:r>
      <w:r>
        <w:rPr>
          <w:rFonts w:ascii="Arial" w:cs="Arial" w:eastAsia="Arial" w:hAnsi="Arial"/>
          <w:sz w:val="18"/>
          <w:szCs w:val="18"/>
          <w:color w:val="auto"/>
        </w:rPr>
        <w:t>in the Consolidated Balance Sheets based on the expected timing of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Our contract assets typically relate to our long-term contracts where we recognize revenue using the cost-based input method and the revenue recognized exceeds the amount billed to the customer.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Costs</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contract acquisition costs represent incremental direct costs of obtaining a contract and consist primarily of sales incentives paid to employees and third-party representatives. When we determine that our contract acquisition costs are recoverable, we defer and amortize the costs over the contract term, or over the estimated life of the customer relationship if anticipated renewals are expected and the incentives payable upon renewal are not commensurate with the initial incentive. We amortize contract acquisition costs in proportion to the revenue to which the costs relate. We expense sales incentives as incurred if the expected amortization period is one year or less. Unamortized contract acquisition costs are included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in the Consolidated Balance Sheets and related amortization expense is included 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Inventory is stated at the lower of cost or net realizable value. Cost of inventory is determined using the FIFO method and consists primarily of materials, direct labor and indirect overhead incurred in the procurement and manufacturing of our products. We use standard costing methodologies in determining the cost of certain of our finished goods and work-in-process inventories. We determine net realizable value using our best estimates of future use or recovery, considering the aging and composition of inventory balances, the effects of technological and/or design changes, forecasted future product demand based on firm or near-firm customer orders and alternative means of disposition of excess or obsolete items. We recognize losses within </w:t>
      </w:r>
      <w:r>
        <w:rPr>
          <w:rFonts w:ascii="Arial" w:cs="Arial" w:eastAsia="Arial" w:hAnsi="Arial"/>
          <w:sz w:val="18"/>
          <w:szCs w:val="18"/>
          <w:i w:val="1"/>
          <w:iCs w:val="1"/>
          <w:color w:val="auto"/>
        </w:rPr>
        <w:t>Cost of sales - equipment</w:t>
      </w:r>
      <w:r>
        <w:rPr>
          <w:rFonts w:ascii="Arial" w:cs="Arial" w:eastAsia="Arial" w:hAnsi="Arial"/>
          <w:sz w:val="18"/>
          <w:szCs w:val="18"/>
          <w:color w:val="auto"/>
        </w:rPr>
        <w:t xml:space="preserve"> in the Consolidated Statements of Operations when we determine that the cost of inventory and commitments to purchase inventory exceed net realizable value.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Satellites</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Satellites are stated at cost, less accumulated depreciation. Depreciation is recorded on a straight-line basis over their estimated useful lives. The cost of our satellites includes construction costs, including the present value of in-orbit incentives payable to the satellite manufacturer, launch costs, capitalized interest and related insurance premiums. We depreciate our owned satellites on a straight-line basis over the estimated useful life of each satellite.</w:t>
      </w:r>
    </w:p>
    <w:p>
      <w:pPr>
        <w:spacing w:after="0" w:line="196"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We have satellites acquired under finance leases. The recorded costs of those satellites are the present values of all lease payments. We amortize our finance lease right-of-use satellites over their respective lease terms.</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effect on their remaining useful lives, the commercial operation of the satellites or our operating results or financial position.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evaluate our satellites for impairment and test for recoverability whenever events or changes in circumstances indicate that their carrying value may not be recoverable. Certain anomalies may be considered a significant adverse change in the physical condition of a particular satellite. However, based on redundancies designed within each satellite, certain of these anomalies may not be considered to be significant events requiring a test of recoverability.</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generally do not carry in-orbit insurance on our satellites and payloads because we have assessed that the cost of insurance is not economical relative to the risk of failures. Therefore, we generally bear the risk of any in-orbit failures. However, we may be required to carry insurance on specific satellites and payloads per the terms of certain agreements. We will continue to assess circumstances going forward and make insurance-related decisions on a case-by-case basis.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and Equipment</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Other property and equipment are stated at cost, less accumulated depreciation. Depreciation is recorded on a straight-line basis over their estimated useful lives. Other property and equipment includes: land; buildings and improvements; furniture, fixtures, equipment and internal-use software; customer premises equipment; and construction in process. Costs related to the procurement and development of software for internal-use are capitalized and amortized using the straight-line method over the estimated useful life of the software, not in excess of five years. Repair and maintenance costs are charged to expense when incurred.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Goodwill represents the excess of the cost of acquired businesses over the estimated fair values assigned to the identifiable assets acquired and liabilities assumed. We test goodwill for impairment annually in our second fiscal quarter, or more frequently if indicators of impairment may exist. All of our goodwill is assigned to our Hughes segment, as it was generated through the acquisition of Hughes Communications, Inc. (“Hughes Communications”) and its subsidiaries in 2011 (the “Hughes Acquisition”), and the agreement with Al Yah Satellite Communications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spacing w:after="0" w:line="323" w:lineRule="auto"/>
        <w:rPr>
          <w:sz w:val="20"/>
          <w:szCs w:val="20"/>
          <w:color w:val="auto"/>
        </w:rPr>
      </w:pPr>
      <w:r>
        <w:rPr>
          <w:rFonts w:ascii="Arial" w:cs="Arial" w:eastAsia="Arial" w:hAnsi="Arial"/>
          <w:sz w:val="17"/>
          <w:szCs w:val="17"/>
          <w:color w:val="auto"/>
        </w:rPr>
        <w:t>Company PrJSC (“Yahsat”) pursuant to which, in November 2019, Yahsat contributed its satellite communications services business in Brazil to one of our Brazilian subsidiaries in exchange for a 20% equity ownership interest in that subsidiary (the “Yahsat Brazil JV Transaction”).</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consider qualitative factors to assess if it is more likely than not that the fair value for goodwill is below the carrying amount. We may also elect to bypass the qualitative assessment and perform a quantitative assessment. In conducting a qualitative assessment, we analyze a variety of events or factors that may influence the fair value of the reporting unit. There has been no impairment to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Authorizations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Finite Lived</w:t>
      </w:r>
    </w:p>
    <w:p>
      <w:pPr>
        <w:spacing w:after="0" w:line="250"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We have regulatory authorizations that are not related to the Federal Communications Commission (“FCC”) and have determined that they have finite lives due to uncertainties about the ability to extend or renew their terms.</w:t>
      </w:r>
    </w:p>
    <w:p>
      <w:pPr>
        <w:spacing w:after="0" w:line="144"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Finite lived regulatory authorizations are amortized over their estimated useful lives on a straight-line basis. Renewal costs are usually capitalized when they are incurred.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 Lived</w:t>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also have indefinite lived regulatory authorizations that primarily consist of FCC authorizations and certain other contractual or regulatory rights to use spectrum at specified orbital locations. We have determined that our FCC authorizations generally have indefinite useful lives based on the following:</w:t>
      </w:r>
    </w:p>
    <w:p>
      <w:pPr>
        <w:spacing w:after="0" w:line="16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FCC authorizations are non-depleting assets;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Renewal satellite applications generally are authorized by the FCC subject to certain conditions, without substantial cost under a stable regulatory, legislative and legal environment;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Expenditures required to maintain the authorization are not significant;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intend to use these authorizations indefinitely.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to maintain or renew indefinite-lived regulatory authorizations are expensed as incurred.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other intangible assets consist of customer relationships, patents, trademarks and licenses which are amortized using the straight-line method over their estimated useful lives. We evaluate the recoverability of intangible assets periodically by taking into account events or circumstances that indicate that the carrying amount of the assets may not be recoverable.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We review our long-lived assets for recoverability whenever events or changes in circumstances indicate that their carrying amounts may not be recoverable. The evaluation is performed at the lowest level for which identifiable cash flows are largely independent of the cash flows of other assets and liabilities. For assets held and used in operations, the asset is not recoverable if the carrying amount of the asset exceeds its undiscounted estimated future net cash flows. When an asset is not recoverable, we adjust the carrying amount of such asset to its estimated fair value and recognize the impairment loss in </w:t>
      </w: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xml:space="preserv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use the equity method to account for investments when we have the ability to exercise significant influence on the operating decisions of the affiliate. Such investments are initially recorded at cost and subsequently adjusted for our proportionate share of the net earnings or loss of the investee, which is reported in </w:t>
      </w:r>
      <w:r>
        <w:rPr>
          <w:rFonts w:ascii="Arial" w:cs="Arial" w:eastAsia="Arial" w:hAnsi="Arial"/>
          <w:sz w:val="18"/>
          <w:szCs w:val="18"/>
          <w:i w:val="1"/>
          <w:iCs w:val="1"/>
          <w:color w:val="auto"/>
        </w:rPr>
        <w:t>Equity in earnings (losses) of unconsolidated affiliates, net</w:t>
      </w:r>
      <w:r>
        <w:rPr>
          <w:rFonts w:ascii="Arial" w:cs="Arial" w:eastAsia="Arial" w:hAnsi="Arial"/>
          <w:sz w:val="18"/>
          <w:szCs w:val="18"/>
          <w:color w:val="auto"/>
        </w:rPr>
        <w:t xml:space="preserve"> in the Consolidated Statements of Operations. During the fourth quarter of 2019, we changed our accounting policy to record our share of the net earnings or losses of these affiliates on a three-month lag. This change was immaterial to these Consolidated Financial Statements. Additionally, the carrying amount of such investments includes a component of goodwill when the cost of our investment exceeds the fair value of the underlying identifiable assets and liabilities of the affiliate. Lastly, dividends received from these affiliates reduces the carrying amount of our investment.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Investments</w:t>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generally measure investments in non-publicly traded equity instruments without a readily determinable fair value at cost adjusted for observable price changes in orderly transactions for the identical or similar securities of the same issuer and changes resulting from impairments, if any. Other equity instruments are measured to determine their value based on observable market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 Investments</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generally record our investments in non-publicly traded debt instruments without a readily determinable fair value at amortized cost. We recognize any discounts over the term of the loan in </w:t>
      </w:r>
      <w:r>
        <w:rPr>
          <w:rFonts w:ascii="Arial" w:cs="Arial" w:eastAsia="Arial" w:hAnsi="Arial"/>
          <w:sz w:val="18"/>
          <w:szCs w:val="18"/>
          <w:i w:val="1"/>
          <w:iCs w:val="1"/>
          <w:color w:val="auto"/>
        </w:rPr>
        <w:t>Interest income</w:t>
      </w:r>
      <w:r>
        <w:rPr>
          <w:rFonts w:ascii="Arial" w:cs="Arial" w:eastAsia="Arial" w:hAnsi="Arial"/>
          <w:sz w:val="18"/>
          <w:szCs w:val="18"/>
          <w:color w:val="auto"/>
        </w:rPr>
        <w:t xml:space="preserve"> in the Consolidated Statements of Operations. In addition, some of our debt instruments have interest income that is paid-in-kind, which is added to the principal balance to determine the then current interest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Considerations</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periodically evaluate all of our other investments to determine whether (i) events or changes in circumstances have occurred that may have a significant adverse effect on the fair value of the investment and (ii) if there has been observable price changes in orderly transactions for identical or similar securities of the same issuer. We consider information if provided to us by our investees such as current financial statements, business plans, investment documentation, capitalization tables, liquidation waterfalls, and board materials; and we may make additional inquiries of investee management.</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Indicators of impairment may include, but are not limited to, unprofitable operations, material loss contingencies, changes in business strategy, changes in the investees’ enterprise value and changes in the investees’ investment pricing. When we determine that one of our other investments is impaired we reduce its carrying value to its estimated fair value and recognize the impairment loss in </w:t>
      </w:r>
      <w:r>
        <w:rPr>
          <w:rFonts w:ascii="Arial" w:cs="Arial" w:eastAsia="Arial" w:hAnsi="Arial"/>
          <w:sz w:val="18"/>
          <w:szCs w:val="18"/>
          <w:i w:val="1"/>
          <w:iCs w:val="1"/>
          <w:color w:val="auto"/>
        </w:rPr>
        <w:t>Gains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investments, net </w:t>
      </w:r>
      <w:r>
        <w:rPr>
          <w:rFonts w:ascii="Arial" w:cs="Arial" w:eastAsia="Arial" w:hAnsi="Arial"/>
          <w:sz w:val="18"/>
          <w:szCs w:val="18"/>
          <w:color w:val="auto"/>
        </w:rPr>
        <w:t>in the Consolidated Statements of Operations. Additionally, when there has been an observable price change to a cost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method investment, we adjust the carrying amount of the investment to its then estimated fair value and recognize the investment gain or loss in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 the Consolidated Statements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Externally Marketed Software</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Costs related to the procurement and development of externally marketed software are capitalized and amortized using the straight-line method over the estimated useful life of the software, not in excess of five years. Capitalized costs of externally marketed software are included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in the Consolidated Balance Sheets. Externally marketed software generally is installed in the equipment we sell or lease to customers. We conduct software program reviews for externally marketed capitalized software costs at least annually, or as events and circumstances warrant such a review, to determine if capitalized software development costs are recoverable and to ensure that costs associated with programs that are no longer generating revenue are expensed.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Contract liabilities consist of advance payments and billings in excess of revenue recognized under customer contracts and are included in </w:t>
      </w: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or</w:t>
      </w:r>
      <w:r>
        <w:rPr>
          <w:rFonts w:ascii="Arial" w:cs="Arial" w:eastAsia="Arial" w:hAnsi="Arial"/>
          <w:sz w:val="18"/>
          <w:szCs w:val="18"/>
          <w:i w:val="1"/>
          <w:iCs w:val="1"/>
          <w:color w:val="auto"/>
        </w:rPr>
        <w:t xml:space="preserve"> Other non-current liabilities </w:t>
      </w:r>
      <w:r>
        <w:rPr>
          <w:rFonts w:ascii="Arial" w:cs="Arial" w:eastAsia="Arial" w:hAnsi="Arial"/>
          <w:sz w:val="18"/>
          <w:szCs w:val="18"/>
          <w:color w:val="auto"/>
        </w:rPr>
        <w:t>in the Consolidated Balance Sheets based on the timing of when we expect to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We recognize contract liabilities as revenue after all revenue recognition criteria have been met.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January 1, 2020, we adopted Accounting Standards Update (“ASU”) No. 2016-13 -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 amended, and codified in Accounting Standards Codification Topic 326 (“ASC 326”). ASC 326 introduces a new approach to the periodic estimation of credit losses for certain financial assets based on expected losses instead of incurred losses. It also modifies the impairment model for available-for-sale debt securities and provides a simplified accounting model for purchased financial assets that have experienced credit deterioration since their original purchase. We have elected to apply the requirements of the new standard prospectively and we recognized a cumulative effect of adoption of $9.1 million to </w:t>
      </w:r>
      <w:r>
        <w:rPr>
          <w:rFonts w:ascii="Arial" w:cs="Arial" w:eastAsia="Arial" w:hAnsi="Arial"/>
          <w:sz w:val="18"/>
          <w:szCs w:val="18"/>
          <w:i w:val="1"/>
          <w:iCs w:val="1"/>
          <w:color w:val="auto"/>
        </w:rPr>
        <w:t>Accumulated earnings (losses)</w:t>
      </w:r>
      <w:r>
        <w:rPr>
          <w:rFonts w:ascii="Arial" w:cs="Arial" w:eastAsia="Arial" w:hAnsi="Arial"/>
          <w:sz w:val="18"/>
          <w:szCs w:val="18"/>
          <w:color w:val="auto"/>
        </w:rPr>
        <w:t xml:space="preserve"> as of January 1, 2020. Based on this election, we did not restate our comparative Consolidated Financial Statements and they continue to be reported under the accounting standards in effect for the periods before January 1, 2020.</w:t>
      </w:r>
    </w:p>
    <w:p>
      <w:pPr>
        <w:spacing w:after="0" w:line="20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 following describes the accounting impacts, by major balance sheet line item, of our adoption of this new standard based on the relevant types of losses that we and our equity method investees may be subject to:</w:t>
      </w:r>
    </w:p>
    <w:p>
      <w:pPr>
        <w:spacing w:after="0" w:line="171" w:lineRule="exact"/>
        <w:rPr>
          <w:sz w:val="20"/>
          <w:szCs w:val="20"/>
          <w:color w:val="auto"/>
        </w:rPr>
      </w:pPr>
    </w:p>
    <w:p>
      <w:pPr>
        <w:jc w:val="both"/>
        <w:ind w:left="660" w:hanging="328"/>
        <w:spacing w:after="0" w:line="258" w:lineRule="auto"/>
        <w:tabs>
          <w:tab w:leader="none" w:pos="655"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Trade Accounts Receivable and Contract Assets, Net </w:t>
      </w:r>
      <w:r>
        <w:rPr>
          <w:rFonts w:ascii="Arial" w:cs="Arial" w:eastAsia="Arial" w:hAnsi="Arial"/>
          <w:sz w:val="18"/>
          <w:szCs w:val="18"/>
          <w:color w:val="auto"/>
        </w:rPr>
        <w:t>— Our trade accounts receivables and contract assets consist of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from both our consumer and enterprise customers. Our receivables and related credit losses for our consumer customers are limited due to policies that require advance payment for services, predominant use of credit card and ACH payment processes, and our ability to promptly terminate service when timely payments are not received. However, for our enterprise customers, we estimate expected credit losses on a collective basis based on our historical loss experience, as adjusted to reflect changes in relevant factors, such as macroeconomic conditions and customer mix, that can significantly impact collectability.</w:t>
      </w:r>
    </w:p>
    <w:p>
      <w:pPr>
        <w:spacing w:after="0" w:line="203" w:lineRule="exact"/>
        <w:rPr>
          <w:rFonts w:ascii="Arial" w:cs="Arial" w:eastAsia="Arial" w:hAnsi="Arial"/>
          <w:sz w:val="18"/>
          <w:szCs w:val="18"/>
          <w:b w:val="1"/>
          <w:bCs w:val="1"/>
          <w:i w:val="1"/>
          <w:iCs w:val="1"/>
          <w:color w:val="auto"/>
        </w:rPr>
      </w:pPr>
    </w:p>
    <w:p>
      <w:pPr>
        <w:jc w:val="both"/>
        <w:ind w:left="660"/>
        <w:spacing w:after="0" w:line="258"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apply our collective estimation processes separately to several pools of receivables that share common risk characteristics, generally based on the customers’ geographical location. Customers with significant past-due balances or other atypical characteristics are excluded from our collective analysis and evaluated on a case-by-case basis. Our estimates of expected credit losses for such receivables reflect significant judgments that consider customer-specific matters such as the customer’s financial condition, payment history, and recent developments in the customer’s business and industry. Due to the short-term nature of our trade receivables and contract assets, forecasts about the future have limited relevance to our expected credit loss estimates.</w:t>
      </w:r>
    </w:p>
    <w:p>
      <w:pPr>
        <w:spacing w:after="0" w:line="203" w:lineRule="exact"/>
        <w:rPr>
          <w:rFonts w:ascii="Arial" w:cs="Arial" w:eastAsia="Arial" w:hAnsi="Arial"/>
          <w:sz w:val="18"/>
          <w:szCs w:val="18"/>
          <w:b w:val="1"/>
          <w:bCs w:val="1"/>
          <w:i w:val="1"/>
          <w:iCs w:val="1"/>
          <w:color w:val="auto"/>
        </w:rPr>
      </w:pPr>
    </w:p>
    <w:p>
      <w:pPr>
        <w:ind w:left="660" w:right="20"/>
        <w:spacing w:after="0" w:line="29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We record our customer related estimated credit losses as a component of our bad debt expense as reported in </w:t>
      </w:r>
      <w:r>
        <w:rPr>
          <w:rFonts w:ascii="Arial" w:cs="Arial" w:eastAsia="Arial" w:hAnsi="Arial"/>
          <w:sz w:val="18"/>
          <w:szCs w:val="18"/>
          <w:i w:val="1"/>
          <w:iCs w:val="1"/>
          <w:color w:val="auto"/>
        </w:rPr>
        <w:t>Selling, 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administrative expenses.</w:t>
      </w:r>
    </w:p>
    <w:p>
      <w:pPr>
        <w:spacing w:after="0" w:line="169" w:lineRule="exact"/>
        <w:rPr>
          <w:rFonts w:ascii="Arial" w:cs="Arial" w:eastAsia="Arial" w:hAnsi="Arial"/>
          <w:sz w:val="18"/>
          <w:szCs w:val="18"/>
          <w:b w:val="1"/>
          <w:bCs w:val="1"/>
          <w:i w:val="1"/>
          <w:iCs w:val="1"/>
          <w:color w:val="auto"/>
        </w:rPr>
      </w:pPr>
    </w:p>
    <w:p>
      <w:pPr>
        <w:jc w:val="both"/>
        <w:ind w:left="660" w:hanging="328"/>
        <w:spacing w:after="0" w:line="256" w:lineRule="auto"/>
        <w:tabs>
          <w:tab w:leader="none" w:pos="655"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Other Current Assets, Net, </w:t>
      </w:r>
      <w:r>
        <w:rPr>
          <w:rFonts w:ascii="Arial" w:cs="Arial" w:eastAsia="Arial" w:hAnsi="Arial"/>
          <w:sz w:val="18"/>
          <w:szCs w:val="18"/>
          <w:b w:val="1"/>
          <w:bCs w:val="1"/>
          <w:color w:val="auto"/>
        </w:rPr>
        <w:t>and</w:t>
      </w:r>
      <w:r>
        <w:rPr>
          <w:rFonts w:ascii="Arial" w:cs="Arial" w:eastAsia="Arial" w:hAnsi="Arial"/>
          <w:sz w:val="18"/>
          <w:szCs w:val="18"/>
          <w:b w:val="1"/>
          <w:bCs w:val="1"/>
          <w:i w:val="1"/>
          <w:iCs w:val="1"/>
          <w:color w:val="auto"/>
        </w:rPr>
        <w:t xml:space="preserve"> Other Non-current Assets, Net </w:t>
      </w:r>
      <w:r>
        <w:rPr>
          <w:rFonts w:ascii="Arial" w:cs="Arial" w:eastAsia="Arial" w:hAnsi="Arial"/>
          <w:sz w:val="18"/>
          <w:szCs w:val="18"/>
          <w:color w:val="auto"/>
        </w:rPr>
        <w:t>— We estimate expected credit losses for receivables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terms longer than one year separately by borrower, due to the unique risk characteristics of such receivables. We generally use discounted cash flow techniques to estimate such credit losses. In applying such techniques, we may estimate principal and interest cash flows under probability-weighted scenarios that consider entity-specific matters and forecasted economic conditions. The majority of our other non-current receivables are from entities in the telecommunications industry. The collection of contractual principal and interest on these receivables is highly dependent on the future business operations of those entities. Our estimation of expected credit losses for such receivables requires significant judgment about matters specific to the borrower and their industry. Accordingly, our actual collection experience may differ from the assumptions reflected in our expected credit loss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right="20"/>
        <w:spacing w:after="0" w:line="292" w:lineRule="auto"/>
        <w:rPr>
          <w:sz w:val="20"/>
          <w:szCs w:val="20"/>
          <w:color w:val="auto"/>
        </w:rPr>
      </w:pPr>
      <w:r>
        <w:rPr>
          <w:rFonts w:ascii="Arial" w:cs="Arial" w:eastAsia="Arial" w:hAnsi="Arial"/>
          <w:sz w:val="18"/>
          <w:szCs w:val="18"/>
          <w:color w:val="auto"/>
        </w:rPr>
        <w:t xml:space="preserve">We record our estimated credit losses as a component of our bad debt expense as reported in </w:t>
      </w: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p>
    <w:p>
      <w:pPr>
        <w:spacing w:after="0" w:line="171" w:lineRule="exact"/>
        <w:rPr>
          <w:sz w:val="20"/>
          <w:szCs w:val="20"/>
          <w:color w:val="auto"/>
        </w:rPr>
      </w:pPr>
    </w:p>
    <w:p>
      <w:pPr>
        <w:jc w:val="both"/>
        <w:ind w:left="660" w:hanging="328"/>
        <w:spacing w:after="0" w:line="256" w:lineRule="auto"/>
        <w:tabs>
          <w:tab w:leader="none" w:pos="655"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Other Investments, Net </w:t>
      </w:r>
      <w:r>
        <w:rPr>
          <w:rFonts w:ascii="Arial" w:cs="Arial" w:eastAsia="Arial" w:hAnsi="Arial"/>
          <w:sz w:val="18"/>
          <w:szCs w:val="18"/>
          <w:color w:val="auto"/>
        </w:rPr>
        <w:t>— We estimate expected credit losses on our other debt investments with payment terms longer than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separately by debtor, due to the unique risk characteristics of such debt investments. We generally use discounted cash flow techniques to estimate such credit losses. In applying such techniques, we may estimate principal and interest cash flows under probability-weighted scenarios that consider entity-specific matters and forecasted economic conditions. The majority of our other debt investments are with entities in the telecommunications industry. The collection of contractual principal and interest on these debt investments are highly dependent on the future business operations of those entities. Our estimation of expected credit losses for such debt investments require significant judgment about matters specific to the debtor and their industry. Accordingly, our actual collection experience may differ from the assumptions reflected in our expected credit loss estimates.</w:t>
      </w:r>
    </w:p>
    <w:p>
      <w:pPr>
        <w:spacing w:after="0" w:line="204"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We record our other debt investments related estimated credit losses as a reduction of Interest income, net</w:t>
      </w:r>
      <w:r>
        <w:rPr>
          <w:rFonts w:ascii="Arial" w:cs="Arial" w:eastAsia="Arial" w:hAnsi="Arial"/>
          <w:sz w:val="18"/>
          <w:szCs w:val="18"/>
          <w:i w:val="1"/>
          <w:iCs w:val="1"/>
          <w:color w:val="auto"/>
        </w:rPr>
        <w:t>.</w:t>
      </w:r>
    </w:p>
    <w:p>
      <w:pPr>
        <w:spacing w:after="0" w:line="252"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b w:val="1"/>
          <w:bCs w:val="1"/>
          <w:i w:val="1"/>
          <w:iCs w:val="1"/>
          <w:color w:val="auto"/>
        </w:rPr>
        <w:t xml:space="preserve">Financial Impact of Adoption. </w:t>
      </w:r>
      <w:r>
        <w:rPr>
          <w:rFonts w:ascii="Arial" w:cs="Arial" w:eastAsia="Arial" w:hAnsi="Arial"/>
          <w:sz w:val="18"/>
          <w:szCs w:val="18"/>
          <w:color w:val="auto"/>
        </w:rPr>
        <w:t>The following table presents our adoption of this new standard resulting in adjustments to our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 effective January 1, 2020: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Balance</w:t>
            </w:r>
          </w:p>
        </w:tc>
        <w:tc>
          <w:tcPr>
            <w:tcW w:w="140" w:type="dxa"/>
            <w:vAlign w:val="bottom"/>
          </w:tcPr>
          <w:p>
            <w:pPr>
              <w:spacing w:after="0"/>
              <w:rPr>
                <w:sz w:val="17"/>
                <w:szCs w:val="17"/>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Adoption of ASC</w:t>
            </w:r>
          </w:p>
        </w:tc>
        <w:tc>
          <w:tcPr>
            <w:tcW w:w="17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Balance January 1,</w:t>
            </w:r>
          </w:p>
        </w:tc>
        <w:tc>
          <w:tcPr>
            <w:tcW w:w="0" w:type="dxa"/>
            <w:vAlign w:val="bottom"/>
          </w:tcPr>
          <w:p>
            <w:pPr>
              <w:spacing w:after="0"/>
              <w:rPr>
                <w:sz w:val="1"/>
                <w:szCs w:val="1"/>
                <w:color w:val="auto"/>
              </w:rPr>
            </w:pPr>
          </w:p>
        </w:tc>
      </w:tr>
      <w:tr>
        <w:trPr>
          <w:trHeight w:val="176"/>
        </w:trPr>
        <w:tc>
          <w:tcPr>
            <w:tcW w:w="5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140" w:type="dxa"/>
            <w:vAlign w:val="bottom"/>
          </w:tcPr>
          <w:p>
            <w:pPr>
              <w:spacing w:after="0"/>
              <w:rPr>
                <w:sz w:val="15"/>
                <w:szCs w:val="15"/>
                <w:color w:val="auto"/>
              </w:rPr>
            </w:pPr>
          </w:p>
        </w:tc>
        <w:tc>
          <w:tcPr>
            <w:tcW w:w="17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326 Increase</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(Decrease)</w:t>
            </w:r>
          </w:p>
        </w:tc>
        <w:tc>
          <w:tcPr>
            <w:tcW w:w="400" w:type="dxa"/>
            <w:vAlign w:val="bottom"/>
          </w:tcPr>
          <w:p>
            <w:pPr>
              <w:spacing w:after="0"/>
              <w:rPr>
                <w:sz w:val="19"/>
                <w:szCs w:val="19"/>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and contract assets,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196,629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182,957</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Other current assets,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179,531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6,723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186,254</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325,405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318,024</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Other non-current assets,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334,841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4,050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338,891</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7,154,298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7,144,018</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Deferred tax liabilities,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351,692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350,720</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earnings (losses)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632,809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623,741</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75,748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75,508</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3,745,553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3,736,245</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7,154,298</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(10,280)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7,144,018</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application of ASC 326 requirements did not materially affect our Consolidated Statements of Operations for the year ended December 31,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adopted ASU No. 2016-02 - Leases (Topic 842) Leases (Topic 842), as amended, codified as Accounting Standard Codification (“ASC 842”), as of January 1, 2019. The primary impact of ASC 842 on these Consolidated Financial Statements is the recognition of right-of-use assets and related liabilities in the Consolidated Balance Sheet for leases where we are the lessee. We elected to apply the requirements of the new standard prospectively on January 1, 2019 and did not restate these Consolidated Financial Statements for prior periods. Our adoption of ASC 842 did not have a material impact on our results of operations or cash flows for the year ended December 31, 2019.</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Except for the new requirement to recognize assets and liabilities on the balance sheet for operating leases where we are the lessee, under our ASC 842 transition method, we continue to apply prior accounting standards to leases that commenced prior to 2019. We fully apply ASC 842 requirements only to leases that commenced or were modified on or after January 1, 2019. We elected certain practical expedients under our transition method, including elections to not reassess (i) whether a contract is or contains a lease and (ii) the classification of existing leases. We also elected not to apply hindsight in determining whether optional renewal periods should be included in the lease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term, which in some instances may impact the initial measurement of the lease liability and the calculation of straight-line expense over the lease term for operating leases. As a result of our transition elections, there was no change in our recognition of revenue and expense for leases that commenced prior to 2019. In addition, the application of ASC 842 requirements to new and modified leases did not materially affect our recognition of revenue or expenses for the year ended December 31, 2019.</w:t>
      </w:r>
    </w:p>
    <w:p>
      <w:pPr>
        <w:spacing w:after="0" w:line="19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 xml:space="preserve">Financial Impact of Adoption. </w:t>
      </w:r>
      <w:r>
        <w:rPr>
          <w:rFonts w:ascii="Arial" w:cs="Arial" w:eastAsia="Arial" w:hAnsi="Arial"/>
          <w:sz w:val="18"/>
          <w:szCs w:val="18"/>
          <w:color w:val="auto"/>
        </w:rPr>
        <w:t>The following table presents our adoption of this standard resulting in adjustments to our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 effective January 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Balance</w:t>
            </w:r>
          </w:p>
        </w:tc>
        <w:tc>
          <w:tcPr>
            <w:tcW w:w="140" w:type="dxa"/>
            <w:vAlign w:val="bottom"/>
          </w:tcPr>
          <w:p>
            <w:pPr>
              <w:spacing w:after="0"/>
              <w:rPr>
                <w:sz w:val="17"/>
                <w:szCs w:val="17"/>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Adoption of ASC</w:t>
            </w:r>
          </w:p>
        </w:tc>
        <w:tc>
          <w:tcPr>
            <w:tcW w:w="17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Balance January 1,</w:t>
            </w:r>
          </w:p>
        </w:tc>
        <w:tc>
          <w:tcPr>
            <w:tcW w:w="0" w:type="dxa"/>
            <w:vAlign w:val="bottom"/>
          </w:tcPr>
          <w:p>
            <w:pPr>
              <w:spacing w:after="0"/>
              <w:rPr>
                <w:sz w:val="1"/>
                <w:szCs w:val="1"/>
                <w:color w:val="auto"/>
              </w:rPr>
            </w:pPr>
          </w:p>
        </w:tc>
      </w:tr>
      <w:tr>
        <w:trPr>
          <w:trHeight w:val="176"/>
        </w:trPr>
        <w:tc>
          <w:tcPr>
            <w:tcW w:w="5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140" w:type="dxa"/>
            <w:vAlign w:val="bottom"/>
          </w:tcPr>
          <w:p>
            <w:pPr>
              <w:spacing w:after="0"/>
              <w:rPr>
                <w:sz w:val="15"/>
                <w:szCs w:val="15"/>
                <w:color w:val="auto"/>
              </w:rPr>
            </w:pPr>
          </w:p>
        </w:tc>
        <w:tc>
          <w:tcPr>
            <w:tcW w:w="17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842 Increase</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2018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(Decrease)</w:t>
            </w:r>
          </w:p>
        </w:tc>
        <w:tc>
          <w:tcPr>
            <w:tcW w:w="400" w:type="dxa"/>
            <w:vAlign w:val="bottom"/>
          </w:tcPr>
          <w:p>
            <w:pPr>
              <w:spacing w:after="0"/>
              <w:rPr>
                <w:sz w:val="19"/>
                <w:szCs w:val="19"/>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165,809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165,781</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120,358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120,358</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338,390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331,118</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8,661,294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113,058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8,774,352</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181,698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199,151</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100,085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100,085</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80,304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76,433</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4,505,820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113,667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4,619,487</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earnings (losses)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694,129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693,520</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4,155,474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4,154,865</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8,661,294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8,774,352</w:t>
            </w:r>
          </w:p>
        </w:tc>
        <w:tc>
          <w:tcPr>
            <w:tcW w:w="0" w:type="dxa"/>
            <w:vAlign w:val="bottom"/>
          </w:tcPr>
          <w:p>
            <w:pPr>
              <w:spacing w:after="0"/>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5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In December 2019, the Financial Accounting Standards Board (“FASB”) issued ASU No. 2019-12 - </w:t>
      </w:r>
      <w:r>
        <w:rPr>
          <w:rFonts w:ascii="Arial" w:cs="Arial" w:eastAsia="Arial" w:hAnsi="Arial"/>
          <w:sz w:val="18"/>
          <w:szCs w:val="18"/>
          <w:i w:val="1"/>
          <w:iCs w:val="1"/>
          <w:color w:val="auto"/>
        </w:rPr>
        <w:t>Income Taxes (Topic 740):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Income Taxes </w:t>
      </w:r>
      <w:r>
        <w:rPr>
          <w:rFonts w:ascii="Arial" w:cs="Arial" w:eastAsia="Arial" w:hAnsi="Arial"/>
          <w:sz w:val="18"/>
          <w:szCs w:val="18"/>
          <w:color w:val="auto"/>
        </w:rPr>
        <w:t>(“ASU 2019-12”)</w:t>
      </w:r>
      <w:r>
        <w:rPr>
          <w:rFonts w:ascii="Arial" w:cs="Arial" w:eastAsia="Arial" w:hAnsi="Arial"/>
          <w:sz w:val="18"/>
          <w:szCs w:val="18"/>
          <w:i w:val="1"/>
          <w:iCs w:val="1"/>
          <w:color w:val="auto"/>
        </w:rPr>
        <w:t xml:space="preserve">. </w:t>
      </w:r>
      <w:r>
        <w:rPr>
          <w:rFonts w:ascii="Arial" w:cs="Arial" w:eastAsia="Arial" w:hAnsi="Arial"/>
          <w:sz w:val="18"/>
          <w:szCs w:val="18"/>
          <w:color w:val="auto"/>
        </w:rPr>
        <w:t>ASU 2019-12 is part of the FASB’s overall simplification initiative and seeks to simplify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by updating certain guidance and removing certain exceptions. The updated guidance is effective for fiscal years beginning after December 15, 2020 and interim periods within those fiscal years. Early adoption is permitted. We have assessed the impact of adopting this new guidance and it will not have a material impact on our consolidated financial statements.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2020, the FASB issued ASU No. 2020-04 -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codified as ASC 848 (“ASC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2022. We expect to utilize the optional expedients provided by the guidance for contracts amended solely to use an alternative reference rate. We have evaluated the impact of adopting this new guidance and do not expect it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40" w:type="dxa"/>
            <w:vAlign w:val="bottom"/>
          </w:tcPr>
          <w:p>
            <w:pPr>
              <w:spacing w:after="0"/>
              <w:rPr>
                <w:sz w:val="20"/>
                <w:szCs w:val="20"/>
                <w:color w:val="auto"/>
              </w:rPr>
            </w:pPr>
            <w:r>
              <w:rPr>
                <w:rFonts w:ascii="Arial" w:cs="Arial" w:eastAsia="Arial" w:hAnsi="Arial"/>
                <w:sz w:val="18"/>
                <w:szCs w:val="18"/>
                <w:b w:val="1"/>
                <w:bCs w:val="1"/>
                <w:color w:val="auto"/>
              </w:rPr>
              <w:t>NOTE 3.   REVENUE RECOGNITION</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459"/>
        </w:trPr>
        <w:tc>
          <w:tcPr>
            <w:tcW w:w="7940" w:type="dxa"/>
            <w:vAlign w:val="bottom"/>
          </w:tcPr>
          <w:p>
            <w:pPr>
              <w:spacing w:after="0"/>
              <w:rPr>
                <w:sz w:val="20"/>
                <w:szCs w:val="20"/>
                <w:color w:val="auto"/>
              </w:rPr>
            </w:pPr>
            <w:r>
              <w:rPr>
                <w:rFonts w:ascii="Arial" w:cs="Arial" w:eastAsia="Arial" w:hAnsi="Arial"/>
                <w:sz w:val="18"/>
                <w:szCs w:val="18"/>
                <w:b w:val="1"/>
                <w:bCs w:val="1"/>
                <w:color w:val="auto"/>
              </w:rPr>
              <w:t>Contract Balances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1"/>
        </w:trPr>
        <w:tc>
          <w:tcPr>
            <w:tcW w:w="7940" w:type="dxa"/>
            <w:vAlign w:val="bottom"/>
          </w:tcPr>
          <w:p>
            <w:pPr>
              <w:spacing w:after="0"/>
              <w:rPr>
                <w:sz w:val="20"/>
                <w:szCs w:val="20"/>
                <w:color w:val="auto"/>
              </w:rPr>
            </w:pPr>
            <w:r>
              <w:rPr>
                <w:rFonts w:ascii="Arial" w:cs="Arial" w:eastAsia="Arial" w:hAnsi="Arial"/>
                <w:sz w:val="18"/>
                <w:szCs w:val="18"/>
                <w:color w:val="auto"/>
              </w:rPr>
              <w:t>The following table presents the components of our contract balances: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7"/>
        </w:trPr>
        <w:tc>
          <w:tcPr>
            <w:tcW w:w="79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0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Trade accounts receivable and contract assets, net: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Sales and services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149,513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152,632</w:t>
            </w: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Leasing</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r>
      <w:tr>
        <w:trPr>
          <w:trHeight w:val="223"/>
        </w:trPr>
        <w:tc>
          <w:tcPr>
            <w:tcW w:w="7940" w:type="dxa"/>
            <w:vAlign w:val="bottom"/>
          </w:tcPr>
          <w:p>
            <w:pPr>
              <w:ind w:left="480"/>
              <w:spacing w:after="0"/>
              <w:rPr>
                <w:sz w:val="20"/>
                <w:szCs w:val="20"/>
                <w:color w:val="auto"/>
              </w:rPr>
            </w:pPr>
            <w:r>
              <w:rPr>
                <w:rFonts w:ascii="Arial" w:cs="Arial" w:eastAsia="Arial" w:hAnsi="Arial"/>
                <w:sz w:val="18"/>
                <w:szCs w:val="18"/>
                <w:color w:val="auto"/>
              </w:rPr>
              <w:t>Total trade accounts receivable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154,067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156,648</w:t>
            </w: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63,758</w:t>
            </w:r>
          </w:p>
        </w:tc>
      </w:tr>
      <w:tr>
        <w:trPr>
          <w:trHeight w:val="229"/>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(23,777)</w:t>
            </w:r>
          </w:p>
        </w:tc>
      </w:tr>
      <w:tr>
        <w:trPr>
          <w:trHeight w:val="248"/>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trade accounts receivable and contract assets,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196,629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104,569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101,060</w:t>
            </w: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10,572</w:t>
            </w:r>
          </w:p>
        </w:tc>
      </w:tr>
      <w:tr>
        <w:trPr>
          <w:trHeight w:val="223"/>
        </w:trPr>
        <w:tc>
          <w:tcPr>
            <w:tcW w:w="7940" w:type="dxa"/>
            <w:vAlign w:val="bottom"/>
          </w:tcPr>
          <w:p>
            <w:pPr>
              <w:ind w:left="480"/>
              <w:spacing w:after="0"/>
              <w:rPr>
                <w:sz w:val="20"/>
                <w:szCs w:val="20"/>
                <w:color w:val="auto"/>
              </w:rPr>
            </w:pPr>
            <w:r>
              <w:rPr>
                <w:rFonts w:ascii="Arial" w:cs="Arial" w:eastAsia="Arial" w:hAnsi="Arial"/>
                <w:sz w:val="18"/>
                <w:szCs w:val="18"/>
                <w:color w:val="auto"/>
              </w:rPr>
              <w:t>Total contract liabilities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115,088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111,632</w:t>
            </w: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 following table presents the revenue recognized in the Consolidated Statement of Operations that was previously included within contract liabilities: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our allowance for doubtful accounts: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12,027</w:t>
            </w: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Credit losses (1)</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30,027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24,984</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Deductions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(16,888)</w:t>
            </w: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16,604</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340" w:hanging="332"/>
        <w:spacing w:after="0" w:line="291" w:lineRule="auto"/>
        <w:tabs>
          <w:tab w:leader="none" w:pos="170" w:val="left"/>
        </w:tabs>
        <w:numPr>
          <w:ilvl w:val="0"/>
          <w:numId w:val="46"/>
        </w:numPr>
        <w:rPr>
          <w:rFonts w:ascii="Arial" w:cs="Arial" w:eastAsia="Arial" w:hAnsi="Arial"/>
          <w:sz w:val="9"/>
          <w:szCs w:val="9"/>
          <w:color w:val="auto"/>
        </w:rPr>
      </w:pPr>
      <w:r>
        <w:rPr>
          <w:rFonts w:ascii="Arial" w:cs="Arial" w:eastAsia="Arial" w:hAnsi="Arial"/>
          <w:sz w:val="14"/>
          <w:szCs w:val="14"/>
          <w:color w:val="auto"/>
        </w:rPr>
        <w:t xml:space="preserve">The impact of adopting ASC 326 on January 1, 2020 was a net decrease to our allowance for doubtful accounts largely driven by a $13.4 million reclassification to </w:t>
      </w:r>
      <w:r>
        <w:rPr>
          <w:rFonts w:ascii="Arial" w:cs="Arial" w:eastAsia="Arial" w:hAnsi="Arial"/>
          <w:sz w:val="14"/>
          <w:szCs w:val="14"/>
          <w:i w:val="1"/>
          <w:iCs w:val="1"/>
          <w:color w:val="auto"/>
        </w:rPr>
        <w:t>Other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current assets, net </w:t>
      </w:r>
      <w:r>
        <w:rPr>
          <w:rFonts w:ascii="Arial" w:cs="Arial" w:eastAsia="Arial" w:hAnsi="Arial"/>
          <w:sz w:val="14"/>
          <w:szCs w:val="14"/>
          <w:color w:val="auto"/>
        </w:rPr>
        <w:t>and</w:t>
      </w:r>
      <w:r>
        <w:rPr>
          <w:rFonts w:ascii="Arial" w:cs="Arial" w:eastAsia="Arial" w:hAnsi="Arial"/>
          <w:sz w:val="14"/>
          <w:szCs w:val="14"/>
          <w:i w:val="1"/>
          <w:iCs w:val="1"/>
          <w:color w:val="auto"/>
        </w:rPr>
        <w:t xml:space="preserve"> Other non-current assets, net</w:t>
      </w:r>
      <w:r>
        <w:rPr>
          <w:rFonts w:ascii="Arial" w:cs="Arial" w:eastAsia="Arial" w:hAnsi="Arial"/>
          <w:sz w:val="14"/>
          <w:szCs w:val="14"/>
          <w:color w:val="auto"/>
        </w:rPr>
        <w:t>, offset by a $2.9 million adjustment to</w:t>
      </w:r>
      <w:r>
        <w:rPr>
          <w:rFonts w:ascii="Arial" w:cs="Arial" w:eastAsia="Arial" w:hAnsi="Arial"/>
          <w:sz w:val="14"/>
          <w:szCs w:val="14"/>
          <w:i w:val="1"/>
          <w:iCs w:val="1"/>
          <w:color w:val="auto"/>
        </w:rPr>
        <w:t xml:space="preserve"> Accumulated earnings (losses)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Costs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our contract acquisition costs, net: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90,899</w:t>
            </w: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91,143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97,457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113,265</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(88,949)</w:t>
            </w: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113,592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114,306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2020, the remaining performance obligations for our customer contracts with original expected durations of more than one year was $942.3 million. We expect to recognize 38.2% of our remaining performance obligations of these contracts as revenue in the next twelve months. This amount excludes agreements with consumer customers in our Hughes segment, our leasing arrangements and agreements with certain customers under which collectibility of all amounts due through the term of contracts is uncertain.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from customer contracts disaggregated by primary geographic market and by segment: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60" w:type="dxa"/>
            <w:vAlign w:val="bottom"/>
          </w:tcPr>
          <w:p>
            <w:pPr>
              <w:spacing w:after="0"/>
              <w:rPr>
                <w:sz w:val="18"/>
                <w:szCs w:val="18"/>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ESS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Corporate and</w:t>
            </w:r>
          </w:p>
        </w:tc>
        <w:tc>
          <w:tcPr>
            <w:tcW w:w="16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2020</w:t>
            </w: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1,556,961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17,398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9,443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1,583,802</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151,426</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152,679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152,679</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1,860,834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1,887,907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2019</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1,527,823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16,257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16,526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1,560,606</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125,906</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199,461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199,569</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1,852,742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1,886,081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2018</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1,444,628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27,231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18,495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1,490,354</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170,268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170,268</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1,762,638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disaggregated by the nature of products and services and by segment: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60" w:type="dxa"/>
            <w:vAlign w:val="bottom"/>
          </w:tcPr>
          <w:p>
            <w:pPr>
              <w:spacing w:after="0"/>
              <w:rPr>
                <w:sz w:val="17"/>
                <w:szCs w:val="17"/>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ESS</w:t>
            </w: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Corporate and</w:t>
            </w:r>
          </w:p>
        </w:tc>
        <w:tc>
          <w:tcPr>
            <w:tcW w:w="16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2020</w:t>
            </w: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jc w:val="center"/>
              <w:ind w:right="1750"/>
              <w:spacing w:after="0"/>
              <w:rPr>
                <w:sz w:val="20"/>
                <w:szCs w:val="20"/>
                <w:color w:val="auto"/>
              </w:rPr>
            </w:pPr>
            <w:r>
              <w:rPr>
                <w:rFonts w:ascii="Arial" w:cs="Arial" w:eastAsia="Arial" w:hAnsi="Arial"/>
                <w:sz w:val="18"/>
                <w:szCs w:val="18"/>
                <w:b w:val="1"/>
                <w:bCs w:val="1"/>
                <w:color w:val="auto"/>
              </w:rPr>
              <w:t>Services and other revenue:</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1,614,730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1,630,146</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52,158</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1,655,233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1,682,304</w:t>
            </w:r>
          </w:p>
        </w:tc>
        <w:tc>
          <w:tcPr>
            <w:tcW w:w="0" w:type="dxa"/>
            <w:vAlign w:val="bottom"/>
          </w:tcPr>
          <w:p>
            <w:pPr>
              <w:spacing w:after="0"/>
              <w:rPr>
                <w:sz w:val="1"/>
                <w:szCs w:val="1"/>
                <w:color w:val="auto"/>
              </w:rPr>
            </w:pPr>
          </w:p>
        </w:tc>
      </w:tr>
      <w:tr>
        <w:trPr>
          <w:trHeight w:val="209"/>
        </w:trPr>
        <w:tc>
          <w:tcPr>
            <w:tcW w:w="4740" w:type="dxa"/>
            <w:vAlign w:val="bottom"/>
          </w:tcPr>
          <w:p>
            <w:pPr>
              <w:ind w:left="240"/>
              <w:spacing w:after="0"/>
              <w:rPr>
                <w:sz w:val="20"/>
                <w:szCs w:val="20"/>
                <w:color w:val="auto"/>
              </w:rPr>
            </w:pPr>
            <w:r>
              <w:rPr>
                <w:rFonts w:ascii="Arial" w:cs="Arial" w:eastAsia="Arial" w:hAnsi="Arial"/>
                <w:sz w:val="18"/>
                <w:szCs w:val="18"/>
                <w:b w:val="1"/>
                <w:bCs w:val="1"/>
                <w:color w:val="auto"/>
              </w:rPr>
              <w:t>Equipment revenue:</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110,110</w:t>
            </w:r>
          </w:p>
        </w:tc>
        <w:tc>
          <w:tcPr>
            <w:tcW w:w="0" w:type="dxa"/>
            <w:vAlign w:val="bottom"/>
          </w:tcPr>
          <w:p>
            <w:pPr>
              <w:spacing w:after="0"/>
              <w:rPr>
                <w:sz w:val="1"/>
                <w:szCs w:val="1"/>
                <w:color w:val="auto"/>
              </w:rPr>
            </w:pPr>
          </w:p>
        </w:tc>
      </w:tr>
      <w:tr>
        <w:trPr>
          <w:trHeight w:val="229"/>
        </w:trPr>
        <w:tc>
          <w:tcPr>
            <w:tcW w:w="4740" w:type="dxa"/>
            <w:vAlign w:val="bottom"/>
          </w:tcPr>
          <w:p>
            <w:pPr>
              <w:ind w:left="440"/>
              <w:spacing w:after="0"/>
              <w:rPr>
                <w:sz w:val="20"/>
                <w:szCs w:val="20"/>
                <w:color w:val="auto"/>
              </w:rPr>
            </w:pPr>
            <w:r>
              <w:rPr>
                <w:rFonts w:ascii="Arial" w:cs="Arial" w:eastAsia="Arial" w:hAnsi="Arial"/>
                <w:sz w:val="18"/>
                <w:szCs w:val="18"/>
                <w:color w:val="auto"/>
              </w:rPr>
              <w:t>Design, development and construction services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88,511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88,511</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equipment revenue</w:t>
            </w: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205,601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205,603</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jc w:val="center"/>
              <w:ind w:right="1770"/>
              <w:spacing w:after="0"/>
              <w:rPr>
                <w:sz w:val="20"/>
                <w:szCs w:val="20"/>
                <w:color w:val="auto"/>
              </w:rPr>
            </w:pPr>
            <w:r>
              <w:rPr>
                <w:rFonts w:ascii="Arial" w:cs="Arial" w:eastAsia="Arial" w:hAnsi="Arial"/>
                <w:sz w:val="18"/>
                <w:szCs w:val="18"/>
                <w:color w:val="auto"/>
                <w:w w:val="98"/>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1,887,907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2019</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jc w:val="center"/>
              <w:ind w:right="1750"/>
              <w:spacing w:after="0"/>
              <w:rPr>
                <w:sz w:val="20"/>
                <w:szCs w:val="20"/>
                <w:color w:val="auto"/>
              </w:rPr>
            </w:pPr>
            <w:r>
              <w:rPr>
                <w:rFonts w:ascii="Arial" w:cs="Arial" w:eastAsia="Arial" w:hAnsi="Arial"/>
                <w:sz w:val="18"/>
                <w:szCs w:val="18"/>
                <w:b w:val="1"/>
                <w:bCs w:val="1"/>
                <w:color w:val="auto"/>
              </w:rPr>
              <w:t>Services and other revenue:</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1,535,966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1,552,924</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66,347</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1,586,039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1,619,271</w:t>
            </w:r>
          </w:p>
        </w:tc>
        <w:tc>
          <w:tcPr>
            <w:tcW w:w="0" w:type="dxa"/>
            <w:vAlign w:val="bottom"/>
          </w:tcPr>
          <w:p>
            <w:pPr>
              <w:spacing w:after="0"/>
              <w:rPr>
                <w:sz w:val="1"/>
                <w:szCs w:val="1"/>
                <w:color w:val="auto"/>
              </w:rPr>
            </w:pPr>
          </w:p>
        </w:tc>
      </w:tr>
      <w:tr>
        <w:trPr>
          <w:trHeight w:val="210"/>
        </w:trPr>
        <w:tc>
          <w:tcPr>
            <w:tcW w:w="4740" w:type="dxa"/>
            <w:vAlign w:val="bottom"/>
          </w:tcPr>
          <w:p>
            <w:pPr>
              <w:ind w:left="240"/>
              <w:spacing w:after="0"/>
              <w:rPr>
                <w:sz w:val="20"/>
                <w:szCs w:val="20"/>
                <w:color w:val="auto"/>
              </w:rPr>
            </w:pPr>
            <w:r>
              <w:rPr>
                <w:rFonts w:ascii="Arial" w:cs="Arial" w:eastAsia="Arial" w:hAnsi="Arial"/>
                <w:sz w:val="18"/>
                <w:szCs w:val="18"/>
                <w:b w:val="1"/>
                <w:bCs w:val="1"/>
                <w:color w:val="auto"/>
              </w:rPr>
              <w:t>Equipment revenue:</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115,159</w:t>
            </w:r>
          </w:p>
        </w:tc>
        <w:tc>
          <w:tcPr>
            <w:tcW w:w="0" w:type="dxa"/>
            <w:vAlign w:val="bottom"/>
          </w:tcPr>
          <w:p>
            <w:pPr>
              <w:spacing w:after="0"/>
              <w:rPr>
                <w:sz w:val="1"/>
                <w:szCs w:val="1"/>
                <w:color w:val="auto"/>
              </w:rPr>
            </w:pPr>
          </w:p>
        </w:tc>
      </w:tr>
      <w:tr>
        <w:trPr>
          <w:trHeight w:val="229"/>
        </w:trPr>
        <w:tc>
          <w:tcPr>
            <w:tcW w:w="4740" w:type="dxa"/>
            <w:vAlign w:val="bottom"/>
          </w:tcPr>
          <w:p>
            <w:pPr>
              <w:ind w:left="440"/>
              <w:spacing w:after="0"/>
              <w:rPr>
                <w:sz w:val="20"/>
                <w:szCs w:val="20"/>
                <w:color w:val="auto"/>
              </w:rPr>
            </w:pPr>
            <w:r>
              <w:rPr>
                <w:rFonts w:ascii="Arial" w:cs="Arial" w:eastAsia="Arial" w:hAnsi="Arial"/>
                <w:sz w:val="18"/>
                <w:szCs w:val="18"/>
                <w:color w:val="auto"/>
              </w:rPr>
              <w:t>Design, development and construction services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145,646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145,646</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equipment revenue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266,810</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jc w:val="center"/>
              <w:ind w:right="1770"/>
              <w:spacing w:after="0"/>
              <w:rPr>
                <w:sz w:val="20"/>
                <w:szCs w:val="20"/>
                <w:color w:val="auto"/>
              </w:rPr>
            </w:pPr>
            <w:r>
              <w:rPr>
                <w:rFonts w:ascii="Arial" w:cs="Arial" w:eastAsia="Arial" w:hAnsi="Arial"/>
                <w:sz w:val="18"/>
                <w:szCs w:val="18"/>
                <w:color w:val="auto"/>
                <w:w w:val="98"/>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1,886,081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2018</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jc w:val="center"/>
              <w:ind w:right="1750"/>
              <w:spacing w:after="0"/>
              <w:rPr>
                <w:sz w:val="20"/>
                <w:szCs w:val="20"/>
                <w:color w:val="auto"/>
              </w:rPr>
            </w:pPr>
            <w:r>
              <w:rPr>
                <w:rFonts w:ascii="Arial" w:cs="Arial" w:eastAsia="Arial" w:hAnsi="Arial"/>
                <w:sz w:val="18"/>
                <w:szCs w:val="18"/>
                <w:b w:val="1"/>
                <w:bCs w:val="1"/>
                <w:color w:val="auto"/>
              </w:rPr>
              <w:t>Services and other revenue:</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1,313,059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1,339,924</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217,304</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1,511,118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1,557,228</w:t>
            </w:r>
          </w:p>
        </w:tc>
        <w:tc>
          <w:tcPr>
            <w:tcW w:w="0" w:type="dxa"/>
            <w:vAlign w:val="bottom"/>
          </w:tcPr>
          <w:p>
            <w:pPr>
              <w:spacing w:after="0"/>
              <w:rPr>
                <w:sz w:val="1"/>
                <w:szCs w:val="1"/>
                <w:color w:val="auto"/>
              </w:rPr>
            </w:pPr>
          </w:p>
        </w:tc>
      </w:tr>
      <w:tr>
        <w:trPr>
          <w:trHeight w:val="210"/>
        </w:trPr>
        <w:tc>
          <w:tcPr>
            <w:tcW w:w="4740" w:type="dxa"/>
            <w:vAlign w:val="bottom"/>
          </w:tcPr>
          <w:p>
            <w:pPr>
              <w:ind w:left="360"/>
              <w:spacing w:after="0"/>
              <w:rPr>
                <w:sz w:val="20"/>
                <w:szCs w:val="20"/>
                <w:color w:val="auto"/>
              </w:rPr>
            </w:pPr>
            <w:r>
              <w:rPr>
                <w:rFonts w:ascii="Arial" w:cs="Arial" w:eastAsia="Arial" w:hAnsi="Arial"/>
                <w:sz w:val="18"/>
                <w:szCs w:val="18"/>
                <w:b w:val="1"/>
                <w:bCs w:val="1"/>
                <w:color w:val="auto"/>
              </w:rPr>
              <w:t>Equipment revenue:</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119,657</w:t>
            </w:r>
          </w:p>
        </w:tc>
        <w:tc>
          <w:tcPr>
            <w:tcW w:w="0" w:type="dxa"/>
            <w:vAlign w:val="bottom"/>
          </w:tcPr>
          <w:p>
            <w:pPr>
              <w:spacing w:after="0"/>
              <w:rPr>
                <w:sz w:val="1"/>
                <w:szCs w:val="1"/>
                <w:color w:val="auto"/>
              </w:rPr>
            </w:pPr>
          </w:p>
        </w:tc>
      </w:tr>
      <w:tr>
        <w:trPr>
          <w:trHeight w:val="230"/>
        </w:trPr>
        <w:tc>
          <w:tcPr>
            <w:tcW w:w="4740" w:type="dxa"/>
            <w:vAlign w:val="bottom"/>
          </w:tcPr>
          <w:p>
            <w:pPr>
              <w:ind w:left="560"/>
              <w:spacing w:after="0"/>
              <w:rPr>
                <w:sz w:val="20"/>
                <w:szCs w:val="20"/>
                <w:color w:val="auto"/>
              </w:rPr>
            </w:pPr>
            <w:r>
              <w:rPr>
                <w:rFonts w:ascii="Arial" w:cs="Arial" w:eastAsia="Arial" w:hAnsi="Arial"/>
                <w:sz w:val="18"/>
                <w:szCs w:val="18"/>
                <w:color w:val="auto"/>
              </w:rPr>
              <w:t>Design, development and construction services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85,753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85,753</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equipment revenue</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205,410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205,410</w:t>
            </w:r>
          </w:p>
        </w:tc>
        <w:tc>
          <w:tcPr>
            <w:tcW w:w="0" w:type="dxa"/>
            <w:vAlign w:val="bottom"/>
          </w:tcPr>
          <w:p>
            <w:pPr>
              <w:spacing w:after="0"/>
              <w:rPr>
                <w:sz w:val="1"/>
                <w:szCs w:val="1"/>
                <w:color w:val="auto"/>
              </w:rPr>
            </w:pPr>
          </w:p>
        </w:tc>
      </w:tr>
      <w:tr>
        <w:trPr>
          <w:trHeight w:val="223"/>
        </w:trPr>
        <w:tc>
          <w:tcPr>
            <w:tcW w:w="4740" w:type="dxa"/>
            <w:vAlign w:val="bottom"/>
          </w:tcPr>
          <w:p>
            <w:pPr>
              <w:jc w:val="center"/>
              <w:ind w:right="1770"/>
              <w:spacing w:after="0"/>
              <w:rPr>
                <w:sz w:val="20"/>
                <w:szCs w:val="20"/>
                <w:color w:val="auto"/>
              </w:rPr>
            </w:pPr>
            <w:r>
              <w:rPr>
                <w:rFonts w:ascii="Arial" w:cs="Arial" w:eastAsia="Arial" w:hAnsi="Arial"/>
                <w:sz w:val="18"/>
                <w:szCs w:val="18"/>
                <w:color w:val="auto"/>
                <w:w w:val="98"/>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1,716,528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1,762,638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Revenue</w:t>
      </w:r>
    </w:p>
    <w:p>
      <w:pPr>
        <w:spacing w:after="0" w:line="25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 xml:space="preserve">We elected to apply the requirements of ASC Topic 842, </w:t>
      </w:r>
      <w:r>
        <w:rPr>
          <w:rFonts w:ascii="Arial" w:cs="Arial" w:eastAsia="Arial" w:hAnsi="Arial"/>
          <w:sz w:val="18"/>
          <w:szCs w:val="18"/>
          <w:i w:val="1"/>
          <w:iCs w:val="1"/>
          <w:color w:val="auto"/>
        </w:rPr>
        <w:t>Leases</w:t>
      </w:r>
      <w:r>
        <w:rPr>
          <w:rFonts w:ascii="Arial" w:cs="Arial" w:eastAsia="Arial" w:hAnsi="Arial"/>
          <w:sz w:val="18"/>
          <w:szCs w:val="18"/>
          <w:color w:val="auto"/>
        </w:rPr>
        <w:t>, prospectively on January 1, 2019. As a result, the following disclosures required by the new guidance are not presented for periods prior to that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60" w:type="dxa"/>
            <w:vAlign w:val="bottom"/>
          </w:tcPr>
          <w:p>
            <w:pPr>
              <w:spacing w:after="0"/>
              <w:rPr>
                <w:sz w:val="20"/>
                <w:szCs w:val="20"/>
                <w:color w:val="auto"/>
              </w:rPr>
            </w:pPr>
            <w:r>
              <w:rPr>
                <w:rFonts w:ascii="Arial" w:cs="Arial" w:eastAsia="Arial" w:hAnsi="Arial"/>
                <w:sz w:val="18"/>
                <w:szCs w:val="18"/>
                <w:color w:val="auto"/>
              </w:rPr>
              <w:t>The following table presents our lease revenue by type of lease:</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347"/>
        </w:trPr>
        <w:tc>
          <w:tcPr>
            <w:tcW w:w="7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79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Sales-type lease revenue:</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960" w:type="dxa"/>
            <w:vAlign w:val="bottom"/>
          </w:tcPr>
          <w:p>
            <w:pPr>
              <w:ind w:left="220"/>
              <w:spacing w:after="0"/>
              <w:rPr>
                <w:sz w:val="20"/>
                <w:szCs w:val="20"/>
                <w:color w:val="auto"/>
              </w:rPr>
            </w:pPr>
            <w:r>
              <w:rPr>
                <w:rFonts w:ascii="Arial" w:cs="Arial" w:eastAsia="Arial" w:hAnsi="Arial"/>
                <w:sz w:val="18"/>
                <w:szCs w:val="18"/>
                <w:color w:val="auto"/>
              </w:rPr>
              <w:t>Revenue at lease commencement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6,982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6,005</w:t>
            </w:r>
          </w:p>
        </w:tc>
      </w:tr>
      <w:tr>
        <w:trPr>
          <w:trHeight w:val="229"/>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r>
      <w:tr>
        <w:trPr>
          <w:trHeight w:val="223"/>
        </w:trPr>
        <w:tc>
          <w:tcPr>
            <w:tcW w:w="7960" w:type="dxa"/>
            <w:vAlign w:val="bottom"/>
          </w:tcPr>
          <w:p>
            <w:pPr>
              <w:ind w:left="460"/>
              <w:spacing w:after="0"/>
              <w:rPr>
                <w:sz w:val="20"/>
                <w:szCs w:val="20"/>
                <w:color w:val="auto"/>
              </w:rPr>
            </w:pPr>
            <w:r>
              <w:rPr>
                <w:rFonts w:ascii="Arial" w:cs="Arial" w:eastAsia="Arial" w:hAnsi="Arial"/>
                <w:sz w:val="18"/>
                <w:szCs w:val="18"/>
                <w:color w:val="auto"/>
              </w:rPr>
              <w:t>Total sales-type lease revenue</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7,375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6,789</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revenue</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65,563</w:t>
            </w:r>
          </w:p>
        </w:tc>
      </w:tr>
      <w:tr>
        <w:trPr>
          <w:trHeight w:val="223"/>
        </w:trPr>
        <w:tc>
          <w:tcPr>
            <w:tcW w:w="7960" w:type="dxa"/>
            <w:vAlign w:val="bottom"/>
          </w:tcPr>
          <w:p>
            <w:pPr>
              <w:ind w:left="260"/>
              <w:spacing w:after="0"/>
              <w:rPr>
                <w:sz w:val="20"/>
                <w:szCs w:val="20"/>
                <w:color w:val="auto"/>
              </w:rPr>
            </w:pPr>
            <w:r>
              <w:rPr>
                <w:rFonts w:ascii="Arial" w:cs="Arial" w:eastAsia="Arial" w:hAnsi="Arial"/>
                <w:sz w:val="18"/>
                <w:szCs w:val="18"/>
                <w:color w:val="auto"/>
              </w:rPr>
              <w:t>Total lease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59,140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72,352</w:t>
            </w:r>
          </w:p>
        </w:tc>
      </w:tr>
      <w:tr>
        <w:trPr>
          <w:trHeight w:val="21"/>
        </w:trPr>
        <w:tc>
          <w:tcPr>
            <w:tcW w:w="7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Substantially all of our net investment in sales-type leases consisted of lease receivables totaling $13.0 million and $6.5 million as of December 31, 2020 and 2019,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20" w:type="dxa"/>
            <w:vAlign w:val="bottom"/>
            <w:gridSpan w:val="2"/>
          </w:tcPr>
          <w:p>
            <w:pPr>
              <w:spacing w:after="0"/>
              <w:rPr>
                <w:sz w:val="20"/>
                <w:szCs w:val="20"/>
                <w:color w:val="auto"/>
              </w:rPr>
            </w:pPr>
            <w:r>
              <w:rPr>
                <w:rFonts w:ascii="Arial" w:cs="Arial" w:eastAsia="Arial" w:hAnsi="Arial"/>
                <w:sz w:val="18"/>
                <w:szCs w:val="18"/>
                <w:color w:val="auto"/>
              </w:rPr>
              <w:t>The following table presents future operating lease payments to be received as of December 31, 2020:</w:t>
            </w:r>
          </w:p>
        </w:tc>
        <w:tc>
          <w:tcPr>
            <w:tcW w:w="4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347"/>
        </w:trPr>
        <w:tc>
          <w:tcPr>
            <w:tcW w:w="40" w:type="dxa"/>
            <w:vAlign w:val="bottom"/>
          </w:tcPr>
          <w:p>
            <w:pPr>
              <w:spacing w:after="0"/>
              <w:rPr>
                <w:sz w:val="24"/>
                <w:szCs w:val="24"/>
                <w:color w:val="auto"/>
              </w:rPr>
            </w:pPr>
          </w:p>
        </w:tc>
        <w:tc>
          <w:tcPr>
            <w:tcW w:w="89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10"/>
        </w:trPr>
        <w:tc>
          <w:tcPr>
            <w:tcW w:w="4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w:t>
            </w: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980" w:type="dxa"/>
            <w:vAlign w:val="bottom"/>
          </w:tcPr>
          <w:p>
            <w:pPr>
              <w:ind w:left="220"/>
              <w:spacing w:after="0"/>
              <w:rPr>
                <w:sz w:val="20"/>
                <w:szCs w:val="20"/>
                <w:color w:val="auto"/>
              </w:rPr>
            </w:pPr>
            <w:r>
              <w:rPr>
                <w:rFonts w:ascii="Arial" w:cs="Arial" w:eastAsia="Arial" w:hAnsi="Arial"/>
                <w:sz w:val="18"/>
                <w:szCs w:val="18"/>
                <w:color w:val="auto"/>
              </w:rPr>
              <w:t>2021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45,332</w:t>
            </w:r>
          </w:p>
        </w:tc>
      </w:tr>
      <w:tr>
        <w:trPr>
          <w:trHeight w:val="230"/>
        </w:trPr>
        <w:tc>
          <w:tcPr>
            <w:tcW w:w="40" w:type="dxa"/>
            <w:vAlign w:val="bottom"/>
          </w:tcPr>
          <w:p>
            <w:pPr>
              <w:spacing w:after="0"/>
              <w:rPr>
                <w:sz w:val="19"/>
                <w:szCs w:val="19"/>
                <w:color w:val="auto"/>
              </w:rPr>
            </w:pPr>
          </w:p>
        </w:tc>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34,137</w:t>
            </w:r>
          </w:p>
        </w:tc>
      </w:tr>
      <w:tr>
        <w:trPr>
          <w:trHeight w:val="230"/>
        </w:trPr>
        <w:tc>
          <w:tcPr>
            <w:tcW w:w="40" w:type="dxa"/>
            <w:vAlign w:val="bottom"/>
          </w:tcPr>
          <w:p>
            <w:pPr>
              <w:spacing w:after="0"/>
              <w:rPr>
                <w:sz w:val="19"/>
                <w:szCs w:val="19"/>
                <w:color w:val="auto"/>
              </w:rPr>
            </w:pPr>
          </w:p>
        </w:tc>
        <w:tc>
          <w:tcPr>
            <w:tcW w:w="8980" w:type="dxa"/>
            <w:vAlign w:val="bottom"/>
          </w:tcPr>
          <w:p>
            <w:pPr>
              <w:ind w:left="220"/>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31,907</w:t>
            </w:r>
          </w:p>
        </w:tc>
      </w:tr>
      <w:tr>
        <w:trPr>
          <w:trHeight w:val="229"/>
        </w:trPr>
        <w:tc>
          <w:tcPr>
            <w:tcW w:w="40" w:type="dxa"/>
            <w:vAlign w:val="bottom"/>
          </w:tcPr>
          <w:p>
            <w:pPr>
              <w:spacing w:after="0"/>
              <w:rPr>
                <w:sz w:val="19"/>
                <w:szCs w:val="19"/>
                <w:color w:val="auto"/>
              </w:rPr>
            </w:pPr>
          </w:p>
        </w:tc>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29,666</w:t>
            </w:r>
          </w:p>
        </w:tc>
      </w:tr>
      <w:tr>
        <w:trPr>
          <w:trHeight w:val="230"/>
        </w:trPr>
        <w:tc>
          <w:tcPr>
            <w:tcW w:w="40" w:type="dxa"/>
            <w:vAlign w:val="bottom"/>
          </w:tcPr>
          <w:p>
            <w:pPr>
              <w:spacing w:after="0"/>
              <w:rPr>
                <w:sz w:val="19"/>
                <w:szCs w:val="19"/>
                <w:color w:val="auto"/>
              </w:rPr>
            </w:pPr>
          </w:p>
        </w:tc>
        <w:tc>
          <w:tcPr>
            <w:tcW w:w="8980" w:type="dxa"/>
            <w:vAlign w:val="bottom"/>
          </w:tcPr>
          <w:p>
            <w:pPr>
              <w:ind w:left="220"/>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28,035</w:t>
            </w:r>
          </w:p>
        </w:tc>
      </w:tr>
      <w:tr>
        <w:trPr>
          <w:trHeight w:val="230"/>
        </w:trPr>
        <w:tc>
          <w:tcPr>
            <w:tcW w:w="40" w:type="dxa"/>
            <w:vAlign w:val="bottom"/>
          </w:tcPr>
          <w:p>
            <w:pPr>
              <w:spacing w:after="0"/>
              <w:rPr>
                <w:sz w:val="19"/>
                <w:szCs w:val="19"/>
                <w:color w:val="auto"/>
              </w:rPr>
            </w:pPr>
          </w:p>
        </w:tc>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2026 and beyond</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99,692</w:t>
            </w:r>
          </w:p>
        </w:tc>
      </w:tr>
      <w:tr>
        <w:trPr>
          <w:trHeight w:val="223"/>
        </w:trPr>
        <w:tc>
          <w:tcPr>
            <w:tcW w:w="4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Total lease payments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268,769</w:t>
            </w:r>
          </w:p>
        </w:tc>
      </w:tr>
      <w:tr>
        <w:trPr>
          <w:trHeight w:val="20"/>
        </w:trPr>
        <w:tc>
          <w:tcPr>
            <w:tcW w:w="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amounts for assets subject to operating leases, which are included in </w:t>
      </w:r>
      <w:r>
        <w:rPr>
          <w:rFonts w:ascii="Arial" w:cs="Arial" w:eastAsia="Arial" w:hAnsi="Arial"/>
          <w:sz w:val="18"/>
          <w:szCs w:val="18"/>
          <w:i w:val="1"/>
          <w:iCs w:val="1"/>
          <w:color w:val="auto"/>
        </w:rPr>
        <w:t>Property and equipment, net:</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As of December 31,</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2019</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14"/>
                <w:szCs w:val="14"/>
                <w:color w:val="auto"/>
              </w:rPr>
            </w:pPr>
          </w:p>
        </w:tc>
        <w:tc>
          <w:tcPr>
            <w:tcW w:w="14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rPr>
              <w:t>Accumulated</w:t>
            </w:r>
          </w:p>
        </w:tc>
        <w:tc>
          <w:tcPr>
            <w:tcW w:w="32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Net</w:t>
            </w:r>
          </w:p>
        </w:tc>
        <w:tc>
          <w:tcPr>
            <w:tcW w:w="280" w:type="dxa"/>
            <w:vAlign w:val="bottom"/>
          </w:tcPr>
          <w:p>
            <w:pPr>
              <w:spacing w:after="0"/>
              <w:rPr>
                <w:sz w:val="14"/>
                <w:szCs w:val="14"/>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rPr>
              <w:t>Accumulated</w:t>
            </w:r>
          </w:p>
        </w:tc>
        <w:tc>
          <w:tcPr>
            <w:tcW w:w="340" w:type="dxa"/>
            <w:vAlign w:val="bottom"/>
          </w:tcPr>
          <w:p>
            <w:pPr>
              <w:spacing w:after="0"/>
              <w:rPr>
                <w:sz w:val="14"/>
                <w:szCs w:val="14"/>
                <w:color w:val="auto"/>
              </w:rPr>
            </w:pPr>
          </w:p>
        </w:tc>
        <w:tc>
          <w:tcPr>
            <w:tcW w:w="10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9"/>
        </w:trPr>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Depreciation</w:t>
            </w:r>
          </w:p>
        </w:tc>
        <w:tc>
          <w:tcPr>
            <w:tcW w:w="3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Depreciation</w:t>
            </w:r>
          </w:p>
        </w:tc>
        <w:tc>
          <w:tcPr>
            <w:tcW w:w="3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1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Customer premises</w:t>
            </w: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1,617,053</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(1,265,129)</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351,924</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1,377,914</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(1,043,431)</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334,483</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Satellites</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(38,335)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66,285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104,620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(31,360)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73,260</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48,275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30,882</w:t>
            </w:r>
          </w:p>
        </w:tc>
        <w:tc>
          <w:tcPr>
            <w:tcW w:w="0" w:type="dxa"/>
            <w:vAlign w:val="bottom"/>
          </w:tcPr>
          <w:p>
            <w:pPr>
              <w:spacing w:after="0"/>
              <w:rPr>
                <w:sz w:val="1"/>
                <w:szCs w:val="1"/>
                <w:color w:val="auto"/>
              </w:rPr>
            </w:pPr>
          </w:p>
        </w:tc>
      </w:tr>
      <w:tr>
        <w:trPr>
          <w:trHeight w:val="223"/>
        </w:trPr>
        <w:tc>
          <w:tcPr>
            <w:tcW w:w="216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1,769,948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(1,320,558)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449,390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1,529,464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(1,090,839)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438,625</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depreciation expense for assets subject to operating leases, which is included in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79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premises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182,523</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Satellites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7,495</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23"/>
        </w:trPr>
        <w:tc>
          <w:tcPr>
            <w:tcW w:w="7940" w:type="dxa"/>
            <w:vAlign w:val="bottom"/>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237,996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190,941</w:t>
            </w:r>
          </w:p>
        </w:tc>
      </w:tr>
      <w:tr>
        <w:trPr>
          <w:trHeight w:val="21"/>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LESSEE ACCOUNTING</w:t>
      </w:r>
    </w:p>
    <w:p>
      <w:pPr>
        <w:spacing w:after="0" w:line="25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 xml:space="preserve">We elected to apply the requirements of ASC Topic 842, </w:t>
      </w:r>
      <w:r>
        <w:rPr>
          <w:rFonts w:ascii="Arial" w:cs="Arial" w:eastAsia="Arial" w:hAnsi="Arial"/>
          <w:sz w:val="18"/>
          <w:szCs w:val="18"/>
          <w:i w:val="1"/>
          <w:iCs w:val="1"/>
          <w:color w:val="auto"/>
        </w:rPr>
        <w:t>Leases</w:t>
      </w:r>
      <w:r>
        <w:rPr>
          <w:rFonts w:ascii="Arial" w:cs="Arial" w:eastAsia="Arial" w:hAnsi="Arial"/>
          <w:sz w:val="18"/>
          <w:szCs w:val="18"/>
          <w:color w:val="auto"/>
        </w:rPr>
        <w:t>, prospectively on January 1, 2019. As a result, the following disclosures required by the new guidance are not presented for periods prior to that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The following table presents the amounts for right-of-use assets and lease liabilities: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347"/>
        </w:trPr>
        <w:tc>
          <w:tcPr>
            <w:tcW w:w="79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128,303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114,042</w:t>
            </w: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325,826</w:t>
            </w:r>
          </w:p>
        </w:tc>
      </w:tr>
      <w:tr>
        <w:trPr>
          <w:trHeight w:val="223"/>
        </w:trPr>
        <w:tc>
          <w:tcPr>
            <w:tcW w:w="7940" w:type="dxa"/>
            <w:vAlign w:val="bottom"/>
          </w:tcPr>
          <w:p>
            <w:pPr>
              <w:ind w:left="480"/>
              <w:spacing w:after="0"/>
              <w:rPr>
                <w:sz w:val="20"/>
                <w:szCs w:val="20"/>
                <w:color w:val="auto"/>
              </w:rPr>
            </w:pPr>
            <w:r>
              <w:rPr>
                <w:rFonts w:ascii="Arial" w:cs="Arial" w:eastAsia="Arial" w:hAnsi="Arial"/>
                <w:sz w:val="18"/>
                <w:szCs w:val="18"/>
                <w:color w:val="auto"/>
              </w:rPr>
              <w:t>Total right-of-use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439,868</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79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Lease liabilities: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Current: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940" w:type="dxa"/>
            <w:vAlign w:val="bottom"/>
          </w:tcPr>
          <w:p>
            <w:pPr>
              <w:ind w:left="440"/>
              <w:spacing w:after="0"/>
              <w:rPr>
                <w:sz w:val="20"/>
                <w:szCs w:val="20"/>
                <w:color w:val="auto"/>
              </w:rPr>
            </w:pPr>
            <w:r>
              <w:rPr>
                <w:rFonts w:ascii="Arial" w:cs="Arial" w:eastAsia="Arial" w:hAnsi="Arial"/>
                <w:sz w:val="18"/>
                <w:szCs w:val="18"/>
                <w:color w:val="auto"/>
              </w:rPr>
              <w:t>Operating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14,699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14,651</w:t>
            </w:r>
          </w:p>
        </w:tc>
      </w:tr>
      <w:tr>
        <w:trPr>
          <w:trHeight w:val="230"/>
        </w:trPr>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3"/>
        </w:trPr>
        <w:tc>
          <w:tcPr>
            <w:tcW w:w="7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15,137</w:t>
            </w:r>
          </w:p>
        </w:tc>
      </w:tr>
      <w:tr>
        <w:trPr>
          <w:trHeight w:val="21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Non-current: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940" w:type="dxa"/>
            <w:vAlign w:val="bottom"/>
          </w:tcPr>
          <w:p>
            <w:pPr>
              <w:ind w:left="560"/>
              <w:spacing w:after="0"/>
              <w:rPr>
                <w:sz w:val="20"/>
                <w:szCs w:val="20"/>
                <w:color w:val="auto"/>
              </w:rPr>
            </w:pPr>
            <w:r>
              <w:rPr>
                <w:rFonts w:ascii="Arial" w:cs="Arial" w:eastAsia="Arial" w:hAnsi="Arial"/>
                <w:sz w:val="18"/>
                <w:szCs w:val="18"/>
                <w:color w:val="auto"/>
              </w:rPr>
              <w:t>Operating</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114,886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96,941</w:t>
            </w:r>
          </w:p>
        </w:tc>
      </w:tr>
      <w:tr>
        <w:trPr>
          <w:trHeight w:val="229"/>
        </w:trPr>
        <w:tc>
          <w:tcPr>
            <w:tcW w:w="79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Finance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23"/>
        </w:trPr>
        <w:tc>
          <w:tcPr>
            <w:tcW w:w="794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Total non-current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97,506</w:t>
            </w:r>
          </w:p>
        </w:tc>
      </w:tr>
      <w:tr>
        <w:trPr>
          <w:trHeight w:val="248"/>
        </w:trPr>
        <w:tc>
          <w:tcPr>
            <w:tcW w:w="79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Total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112,643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As of December 31, 2020, we have prepaid our obligations regarding most of our finance right-of-use assets. Finance lease assets are reported net of accumulated amortization of $74.0 million and $57.3 million as of December 31, 2020 and 2019, respectively.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table presents the components of lease cost and weighted average lease terms and discount rates for operating and finance leases: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auto"/>
        </w:rPr>
        <w:t>Finance lease cost:</w:t>
      </w:r>
    </w:p>
    <w:p>
      <w:pPr>
        <w:spacing w:after="0" w:line="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Amortization of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Interest on lease liabilities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Short-term lease cost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lease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Finance leases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Weighted 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Finance leases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Operating leases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detailed cash flows from operating and finance leases: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Operating cash flows from finance leases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Financing cash flows from finance leases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For the years ended 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443"/>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24,342</w:t>
            </w:r>
          </w:p>
        </w:tc>
      </w:tr>
      <w:tr>
        <w:trPr>
          <w:trHeight w:val="446"/>
        </w:trPr>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27,611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26,489</w:t>
            </w:r>
          </w:p>
        </w:tc>
      </w:tr>
      <w:tr>
        <w:trPr>
          <w:trHeight w:val="239"/>
        </w:trPr>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14"/>
        </w:trPr>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26,662</w:t>
            </w:r>
          </w:p>
        </w:tc>
      </w:tr>
      <w:tr>
        <w:trPr>
          <w:trHeight w:val="229"/>
        </w:trPr>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39"/>
        </w:trPr>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8,837</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60,275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21590</wp:posOffset>
            </wp:positionV>
            <wp:extent cx="22288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3">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6" w:lineRule="exact"/>
        <w:rPr>
          <w:sz w:val="20"/>
          <w:szCs w:val="20"/>
          <w:color w:val="auto"/>
        </w:rPr>
      </w:pPr>
    </w:p>
    <w:p>
      <w:pPr>
        <w:ind w:left="440"/>
        <w:spacing w:after="0"/>
        <w:tabs>
          <w:tab w:leader="none" w:pos="22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1.2 years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 years</w:t>
            </w:r>
          </w:p>
        </w:tc>
      </w:tr>
      <w:tr>
        <w:trPr>
          <w:trHeight w:val="243"/>
        </w:trPr>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10.6 years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 years</w:t>
            </w:r>
          </w:p>
        </w:tc>
      </w:tr>
      <w:tr>
        <w:trPr>
          <w:trHeight w:val="716"/>
        </w:trPr>
        <w:tc>
          <w:tcPr>
            <w:tcW w:w="16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11.9 %</w:t>
            </w:r>
          </w:p>
        </w:tc>
      </w:tr>
      <w:tr>
        <w:trPr>
          <w:trHeight w:val="243"/>
        </w:trPr>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887"/>
        </w:trPr>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430"/>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21,834</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22,618</w:t>
            </w:r>
          </w:p>
        </w:tc>
      </w:tr>
      <w:tr>
        <w:trPr>
          <w:trHeight w:val="230"/>
        </w:trPr>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43"/>
        </w:trPr>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654</w:t>
            </w:r>
          </w:p>
        </w:tc>
      </w:tr>
    </w:tbl>
    <w:p>
      <w:pPr>
        <w:spacing w:after="0" w:line="200" w:lineRule="exact"/>
        <w:rPr>
          <w:sz w:val="20"/>
          <w:szCs w:val="20"/>
          <w:color w:val="auto"/>
        </w:rPr>
      </w:pPr>
    </w:p>
    <w:p>
      <w:pPr>
        <w:sectPr>
          <w:pgSz w:w="11900" w:h="16838" w:orient="portrait"/>
          <w:cols w:equalWidth="0" w:num="2">
            <w:col w:w="7220" w:space="720"/>
            <w:col w:w="3300"/>
          </w:cols>
          <w:pgMar w:left="320" w:top="115" w:right="339" w:bottom="1440" w:gutter="0" w:footer="0" w:header="0"/>
          <w:type w:val="continuous"/>
        </w:sectPr>
      </w:pPr>
    </w:p>
    <w:p>
      <w:pPr>
        <w:spacing w:after="0" w:line="11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 obtained right-of-use assets in exchange for lease liabilities of $22.6 million and $8.5 million upon commencement of operating leases during the year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future minimum lease payments of our lease liabilities as of December 31,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Operating Leases</w:t>
            </w:r>
          </w:p>
        </w:tc>
        <w:tc>
          <w:tcPr>
            <w:tcW w:w="18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 Leases</w:t>
            </w:r>
          </w:p>
        </w:tc>
        <w:tc>
          <w:tcPr>
            <w:tcW w:w="38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0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2021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21,051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21,523</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20,545</w:t>
            </w: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19,628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19,628</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16,364</w:t>
            </w: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12,355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12,355</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2026 and beyond</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86,194</w:t>
            </w:r>
          </w:p>
        </w:tc>
      </w:tr>
      <w:tr>
        <w:trPr>
          <w:trHeight w:val="223"/>
        </w:trPr>
        <w:tc>
          <w:tcPr>
            <w:tcW w:w="5740" w:type="dxa"/>
            <w:vAlign w:val="bottom"/>
          </w:tcPr>
          <w:p>
            <w:pPr>
              <w:ind w:left="440"/>
              <w:spacing w:after="0"/>
              <w:rPr>
                <w:sz w:val="20"/>
                <w:szCs w:val="20"/>
                <w:color w:val="auto"/>
              </w:rPr>
            </w:pPr>
            <w:r>
              <w:rPr>
                <w:rFonts w:ascii="Arial" w:cs="Arial" w:eastAsia="Arial" w:hAnsi="Arial"/>
                <w:sz w:val="18"/>
                <w:szCs w:val="18"/>
                <w:color w:val="auto"/>
              </w:rPr>
              <w:t>Total future minimum lease payments</w:t>
            </w: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176,001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176,609</w:t>
            </w:r>
          </w:p>
        </w:tc>
      </w:tr>
      <w:tr>
        <w:trPr>
          <w:trHeight w:val="229"/>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Interest</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(46,472)</w:t>
            </w:r>
          </w:p>
        </w:tc>
      </w:tr>
      <w:tr>
        <w:trPr>
          <w:trHeight w:val="223"/>
        </w:trPr>
        <w:tc>
          <w:tcPr>
            <w:tcW w:w="5740" w:type="dxa"/>
            <w:vAlign w:val="bottom"/>
          </w:tcPr>
          <w:p>
            <w:pPr>
              <w:ind w:left="680"/>
              <w:spacing w:after="0"/>
              <w:rPr>
                <w:sz w:val="20"/>
                <w:szCs w:val="20"/>
                <w:color w:val="auto"/>
              </w:rPr>
            </w:pPr>
            <w:r>
              <w:rPr>
                <w:rFonts w:ascii="Arial" w:cs="Arial" w:eastAsia="Arial" w:hAnsi="Arial"/>
                <w:sz w:val="18"/>
                <w:szCs w:val="18"/>
                <w:color w:val="auto"/>
              </w:rPr>
              <w:t>Total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130,137</w:t>
            </w: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DISCONTINUED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BSS Business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financial results of our discontinued operations of the BSS Business: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Services and other revenue - DISH Network</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195,942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305,229</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Services and other revenue - other</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23,496</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328,725</w:t>
            </w:r>
          </w:p>
        </w:tc>
        <w:tc>
          <w:tcPr>
            <w:tcW w:w="0" w:type="dxa"/>
            <w:vAlign w:val="bottom"/>
          </w:tcPr>
          <w:p>
            <w:pPr>
              <w:spacing w:after="0"/>
              <w:rPr>
                <w:sz w:val="1"/>
                <w:szCs w:val="1"/>
                <w:color w:val="auto"/>
              </w:rPr>
            </w:pPr>
          </w:p>
        </w:tc>
      </w:tr>
      <w:tr>
        <w:trPr>
          <w:trHeight w:val="21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94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Cost of sales - services and other (exclusive of</w:t>
            </w: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28,057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40,398</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141,062</w:t>
            </w:r>
          </w:p>
        </w:tc>
        <w:tc>
          <w:tcPr>
            <w:tcW w:w="0" w:type="dxa"/>
            <w:vAlign w:val="bottom"/>
          </w:tcPr>
          <w:p>
            <w:pPr>
              <w:spacing w:after="0"/>
              <w:rPr>
                <w:sz w:val="1"/>
                <w:szCs w:val="1"/>
                <w:color w:val="auto"/>
              </w:rPr>
            </w:pPr>
          </w:p>
        </w:tc>
      </w:tr>
      <w:tr>
        <w:trPr>
          <w:trHeight w:val="223"/>
        </w:trPr>
        <w:tc>
          <w:tcPr>
            <w:tcW w:w="7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181,619</w:t>
            </w:r>
          </w:p>
        </w:tc>
        <w:tc>
          <w:tcPr>
            <w:tcW w:w="0" w:type="dxa"/>
            <w:vAlign w:val="bottom"/>
          </w:tcPr>
          <w:p>
            <w:pPr>
              <w:spacing w:after="0"/>
              <w:rPr>
                <w:sz w:val="1"/>
                <w:szCs w:val="1"/>
                <w:color w:val="auto"/>
              </w:rPr>
            </w:pPr>
          </w:p>
        </w:tc>
      </w:tr>
      <w:tr>
        <w:trPr>
          <w:trHeight w:val="223"/>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77,764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147,106</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(29,280)</w:t>
            </w:r>
          </w:p>
        </w:tc>
        <w:tc>
          <w:tcPr>
            <w:tcW w:w="0" w:type="dxa"/>
            <w:vAlign w:val="bottom"/>
          </w:tcPr>
          <w:p>
            <w:pPr>
              <w:spacing w:after="0"/>
              <w:rPr>
                <w:sz w:val="1"/>
                <w:szCs w:val="1"/>
                <w:color w:val="auto"/>
              </w:rPr>
            </w:pPr>
          </w:p>
        </w:tc>
      </w:tr>
      <w:tr>
        <w:trPr>
          <w:trHeight w:val="223"/>
        </w:trPr>
        <w:tc>
          <w:tcPr>
            <w:tcW w:w="7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(29,280)</w:t>
            </w:r>
          </w:p>
        </w:tc>
        <w:tc>
          <w:tcPr>
            <w:tcW w:w="0" w:type="dxa"/>
            <w:vAlign w:val="bottom"/>
          </w:tcPr>
          <w:p>
            <w:pPr>
              <w:spacing w:after="0"/>
              <w:rPr>
                <w:sz w:val="1"/>
                <w:szCs w:val="1"/>
                <w:color w:val="auto"/>
              </w:rPr>
            </w:pPr>
          </w:p>
        </w:tc>
      </w:tr>
      <w:tr>
        <w:trPr>
          <w:trHeight w:val="223"/>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Income (loss) from discontinued operations before income taxes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59,899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117,826</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Income tax benefit (provision), net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(24,097)</w:t>
            </w:r>
          </w:p>
        </w:tc>
        <w:tc>
          <w:tcPr>
            <w:tcW w:w="0" w:type="dxa"/>
            <w:vAlign w:val="bottom"/>
          </w:tcPr>
          <w:p>
            <w:pPr>
              <w:spacing w:after="0"/>
              <w:rPr>
                <w:sz w:val="1"/>
                <w:szCs w:val="1"/>
                <w:color w:val="auto"/>
              </w:rPr>
            </w:pPr>
          </w:p>
        </w:tc>
      </w:tr>
      <w:tr>
        <w:trPr>
          <w:trHeight w:val="223"/>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Net income (loss) from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93,729</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No assets or liabilities attributable to our discontinued operations were held by us as of December 31, 2020 or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following table presents the significant supplemental cash flow information and adjustments to reconcile net income to net cash flow from operating activities for discontinued operations of the BSS business: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7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1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Net income (loss) from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8"/>
        </w:trPr>
        <w:tc>
          <w:tcPr>
            <w:tcW w:w="7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141,062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Expenditures for property and equipment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7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5"/>
        </w:trPr>
        <w:tc>
          <w:tcPr>
            <w:tcW w:w="7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Payment of finance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4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Payment of in-orbit incentive obligations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4,474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4,883</w:t>
            </w:r>
          </w:p>
        </w:tc>
      </w:tr>
      <w:tr>
        <w:trPr>
          <w:trHeight w:val="20"/>
        </w:trPr>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Terminated or Transferred Related Party Agreements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Effective September 10, 2019, the following agreements were terminated or transferred to DISH Network as part of the BSS Transaction. Unless noted differently below, we have no further obligations and have neither earned additional revenue nor incurred additional expense, as applicable, under or in connection with these agreements after the consummation of the BSS Transaction.</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We entered into certain agreements to lease satellite capacity pursuant to which we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satellite services to DISH Network on certain satellites, as listed below, owned or leased by us. The fees for the services provided under these agreements depended, among other things, upon the orbital location of the applicable satellite, the number of transponders that provided services on the applicable satellite and the length of the service arrangements. The terms of each of the agreements are set forth below:</w:t>
      </w:r>
    </w:p>
    <w:p>
      <w:pPr>
        <w:spacing w:after="0" w:line="202" w:lineRule="exact"/>
        <w:rPr>
          <w:sz w:val="20"/>
          <w:szCs w:val="20"/>
          <w:color w:val="auto"/>
        </w:rPr>
      </w:pPr>
    </w:p>
    <w:p>
      <w:pPr>
        <w:ind w:left="660" w:hanging="328"/>
        <w:spacing w:after="0" w:line="292" w:lineRule="auto"/>
        <w:tabs>
          <w:tab w:leader="none" w:pos="655"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VII, EchoStar X, EchoStar XI and EchoStar XIV </w:t>
      </w:r>
      <w:r>
        <w:rPr>
          <w:rFonts w:ascii="Arial" w:cs="Arial" w:eastAsia="Arial" w:hAnsi="Arial"/>
          <w:sz w:val="18"/>
          <w:szCs w:val="18"/>
          <w:color w:val="auto"/>
        </w:rPr>
        <w:t>— In March 2014, we began leasing certain satellite capacity to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on the EchoStar VII satellite, the EchoStar X satellite, the EchoStar XI satellite and the EchoStar XIV satellite.</w:t>
      </w:r>
    </w:p>
    <w:p>
      <w:pPr>
        <w:spacing w:after="0" w:line="171"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XII </w:t>
      </w:r>
      <w:r>
        <w:rPr>
          <w:rFonts w:ascii="Arial" w:cs="Arial" w:eastAsia="Arial" w:hAnsi="Arial"/>
          <w:sz w:val="18"/>
          <w:szCs w:val="18"/>
          <w:color w:val="auto"/>
        </w:rPr>
        <w:t>— DISH Network leased satellite capacity from us on the EchoStar XII satellite.</w:t>
      </w:r>
    </w:p>
    <w:p>
      <w:pPr>
        <w:spacing w:after="0" w:line="252" w:lineRule="exact"/>
        <w:rPr>
          <w:rFonts w:ascii="Arial" w:cs="Arial" w:eastAsia="Arial" w:hAnsi="Arial"/>
          <w:sz w:val="18"/>
          <w:szCs w:val="18"/>
          <w:b w:val="1"/>
          <w:bCs w:val="1"/>
          <w:i w:val="1"/>
          <w:iCs w:val="1"/>
          <w:color w:val="auto"/>
        </w:rPr>
      </w:pPr>
    </w:p>
    <w:p>
      <w:pPr>
        <w:ind w:left="660" w:hanging="328"/>
        <w:spacing w:after="0" w:line="292" w:lineRule="auto"/>
        <w:tabs>
          <w:tab w:leader="none" w:pos="655"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XVI </w:t>
      </w:r>
      <w:r>
        <w:rPr>
          <w:rFonts w:ascii="Arial" w:cs="Arial" w:eastAsia="Arial" w:hAnsi="Arial"/>
          <w:sz w:val="18"/>
          <w:szCs w:val="18"/>
          <w:color w:val="auto"/>
        </w:rPr>
        <w:t>— In December 2009, we entered into an agreement to lease satellite capacity to DISH Network,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leased satellite capacity from us on the EchoStar XVI satellite beginning in January 2013.</w:t>
      </w:r>
    </w:p>
    <w:p>
      <w:pPr>
        <w:spacing w:after="0" w:line="171" w:lineRule="exact"/>
        <w:rPr>
          <w:rFonts w:ascii="Arial" w:cs="Arial" w:eastAsia="Arial" w:hAnsi="Arial"/>
          <w:sz w:val="18"/>
          <w:szCs w:val="18"/>
          <w:b w:val="1"/>
          <w:bCs w:val="1"/>
          <w:i w:val="1"/>
          <w:iCs w:val="1"/>
          <w:color w:val="auto"/>
        </w:rPr>
      </w:pPr>
    </w:p>
    <w:p>
      <w:pPr>
        <w:jc w:val="both"/>
        <w:ind w:left="660" w:hanging="328"/>
        <w:spacing w:after="0" w:line="256" w:lineRule="auto"/>
        <w:tabs>
          <w:tab w:leader="none" w:pos="655"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Nimiq 5 Agreement </w:t>
      </w:r>
      <w:r>
        <w:rPr>
          <w:rFonts w:ascii="Arial" w:cs="Arial" w:eastAsia="Arial" w:hAnsi="Arial"/>
          <w:sz w:val="18"/>
          <w:szCs w:val="18"/>
          <w:color w:val="auto"/>
        </w:rPr>
        <w:t>— In September 2009, we entered into an agreement with Telesat Canada to lease satellite capacity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Telesat Canada on all 32 direct broadcast satellite (“DBS”) transponders on the Nimiq 5 satellite at the 72.7 degree west longitude orbital location (the “Telesat Transponder Agreement”). In September 2009, we entered into an agreement with DISH Network, pursuant to which DISH Network leased satellite capacity from us on all 32 of the DBS transponders covered by the Telesat Transponder Agreement (the “DISH Nimiq 5 Agreement”). Under the terms of the DISH Nimiq 5 Agreement, DISH Network made certain monthly payments to us that commenced in September 2009, when the Nimiq 5 satellite was placed into service. Following the consummation of the BSS Transaction, we retained certain obligations related to DISH Network’s performance under the Telesat Transponder Agreement.</w:t>
      </w:r>
    </w:p>
    <w:p>
      <w:pPr>
        <w:spacing w:after="0" w:line="204" w:lineRule="exact"/>
        <w:rPr>
          <w:rFonts w:ascii="Arial" w:cs="Arial" w:eastAsia="Arial" w:hAnsi="Arial"/>
          <w:sz w:val="18"/>
          <w:szCs w:val="18"/>
          <w:b w:val="1"/>
          <w:bCs w:val="1"/>
          <w:i w:val="1"/>
          <w:iCs w:val="1"/>
          <w:color w:val="auto"/>
        </w:rPr>
      </w:pPr>
    </w:p>
    <w:p>
      <w:pPr>
        <w:jc w:val="both"/>
        <w:ind w:left="660" w:hanging="328"/>
        <w:spacing w:after="0" w:line="271" w:lineRule="auto"/>
        <w:tabs>
          <w:tab w:leader="none" w:pos="655"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QuetzSat-1 Agreement </w:t>
      </w:r>
      <w:r>
        <w:rPr>
          <w:rFonts w:ascii="Arial" w:cs="Arial" w:eastAsia="Arial" w:hAnsi="Arial"/>
          <w:sz w:val="18"/>
          <w:szCs w:val="18"/>
          <w:color w:val="auto"/>
        </w:rPr>
        <w:t>— In November 2008, we entered into an agreement to lease satellite capacity from SES Latin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provided, among other things, for the provision by SES Latin America to us of leased satellite capacity on 32 DBS transponders on the QuetzSat-1 satellite. Concurrently, in 2008, we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entered into an agreement pursuant to which DISH Network leased from us satellite capacity on 24 of the DBS transponders on the QuetzSat-1 satellite. The QuetzSat-1 satellite was launched in September 2011 and was placed into service in November 2011 at the 67.1 degree west longitude orbital location. In January 2013, the QuetzSat-1 satellite was moved to the 77 degree west longitude orbital location. In February 2013, we and DISH Network entered into an agreement pursuant to which we leased back from DISH Network certain satellite capacity on five DBS transponders on the QuetzSat-1 satellite.</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TT&amp;C Agreement. </w:t>
      </w:r>
      <w:r>
        <w:rPr>
          <w:rFonts w:ascii="Arial" w:cs="Arial" w:eastAsia="Arial" w:hAnsi="Arial"/>
          <w:sz w:val="18"/>
          <w:szCs w:val="18"/>
          <w:color w:val="auto"/>
        </w:rPr>
        <w:t>Effective January 2012, we entered into a TT&amp;C agreement pursuant to which we provided TT&amp;C services to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which we subsequently amended (the “2012 TT&amp;C Agreement”). The fees for services provided under the 2012 TT&amp;C Agreement were calculated at either: (i) a fixed fee or (ii) cost plus a fixed margin, which varied depending on the nature of the services provided.</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Real Estate Leases to DISH Network</w:t>
      </w:r>
      <w:r>
        <w:rPr>
          <w:rFonts w:ascii="Arial" w:cs="Arial" w:eastAsia="Arial" w:hAnsi="Arial"/>
          <w:sz w:val="18"/>
          <w:szCs w:val="18"/>
          <w:color w:val="auto"/>
        </w:rPr>
        <w:t>. We entered into lease agreements pursuant to which DISH Network leased certain real estate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The rent on a per square foot basis each of the leases or subsequent amendments was comparable to per square foot rental rates of similar commercial property in the same geographic area at the time of the leases or subsequent amendments and DISH Network was responsible for its portion of the taxes, insurance, utilities and maintenance of the premises. These components of the BSS Transaction do not qualify for discontinued operations treatment, and therefore the revenue from these lease agreements has not been treated as discontinued operations. The terms of each of the leases are set forth below:</w:t>
      </w:r>
    </w:p>
    <w:p>
      <w:pPr>
        <w:spacing w:after="0" w:line="204" w:lineRule="exact"/>
        <w:rPr>
          <w:sz w:val="20"/>
          <w:szCs w:val="20"/>
          <w:color w:val="auto"/>
        </w:rPr>
      </w:pPr>
    </w:p>
    <w:p>
      <w:pPr>
        <w:ind w:left="660" w:right="20" w:hanging="328"/>
        <w:spacing w:after="0" w:line="292" w:lineRule="auto"/>
        <w:tabs>
          <w:tab w:leader="none" w:pos="655"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Santa Fe Lease Agreement </w:t>
      </w:r>
      <w:r>
        <w:rPr>
          <w:rFonts w:ascii="Arial" w:cs="Arial" w:eastAsia="Arial" w:hAnsi="Arial"/>
          <w:sz w:val="18"/>
          <w:szCs w:val="18"/>
          <w:color w:val="auto"/>
        </w:rPr>
        <w:t>— DISH Network leased from us all of 5701 S. Santa Fe Dr., Littleton, Colorado. In connection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BSS Transaction, we transferred this property to DISH Network.</w:t>
      </w:r>
    </w:p>
    <w:p>
      <w:pPr>
        <w:spacing w:after="0" w:line="171" w:lineRule="exact"/>
        <w:rPr>
          <w:rFonts w:ascii="Arial" w:cs="Arial" w:eastAsia="Arial" w:hAnsi="Arial"/>
          <w:sz w:val="18"/>
          <w:szCs w:val="18"/>
          <w:b w:val="1"/>
          <w:bCs w:val="1"/>
          <w:i w:val="1"/>
          <w:iCs w:val="1"/>
          <w:color w:val="auto"/>
        </w:rPr>
      </w:pPr>
    </w:p>
    <w:p>
      <w:pPr>
        <w:jc w:val="both"/>
        <w:ind w:left="660" w:hanging="328"/>
        <w:spacing w:after="0" w:line="255" w:lineRule="auto"/>
        <w:tabs>
          <w:tab w:leader="none" w:pos="655"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Cheyenne Lease Agreement </w:t>
      </w:r>
      <w:r>
        <w:rPr>
          <w:rFonts w:ascii="Arial" w:cs="Arial" w:eastAsia="Arial" w:hAnsi="Arial"/>
          <w:sz w:val="18"/>
          <w:szCs w:val="18"/>
          <w:color w:val="auto"/>
        </w:rPr>
        <w:t>— During 2017, we and certain of our subsidiaries entered into a share exchange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Exchange Agreement”) with DISH and certain of its subsidiaries whereby we and certain of our subsidiaries received all the shares of preferred tracking stock previously issued by us and one of our subsidiaries (the “Tracking Stock”) in exchange for 100% of the equity interests of certain of our subsidiaries that held substantially all of our former EchoStar Technologies businesses and certain other assets (collectively, the “Share Exchange”). Prior to the Share Exchange, we leased to DISH Network certain space at 530 EchoStar Drive, Cheyenne, Wyoming. In connection with the Share Exchange, we transferred ownership of a portion of this property to DISH Network and we and DISH Network amended this agreement to, among other things, provide for a continued lease to DISH Network of the portion of the property we retained (the “Cheyenne Data Center”). In connection with the BSS Transaction, we transferred the Cheyenne Data Center to DISH Network.</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Real Estate Leases from DISH Network. </w:t>
      </w:r>
      <w:r>
        <w:rPr>
          <w:rFonts w:ascii="Arial" w:cs="Arial" w:eastAsia="Arial" w:hAnsi="Arial"/>
          <w:sz w:val="18"/>
          <w:szCs w:val="18"/>
          <w:color w:val="auto"/>
        </w:rPr>
        <w:t>We entered into a lease agreement pursuant to which we leased from DISH Network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space at 801 N. DISH Dr. in Gilbert, Arizona for the Satellite Operations Center and Satellite Access Center. The rent on a per square foot basis was comparable to per square foot rental rates of similar commercial property in the same geographic area at the time of the leases or subsequent amendments and included our portion of the taxes, insurance, utilities and certain maintenance of the premises. In connection with the BSS Transaction, we terminated this lease and transferred the Gilbert Satellite Operations Center, including any and all equipment, software, processes, software licenses, hardware licenses, furniture and technical documentation located within, to DISH Network.</w:t>
      </w:r>
    </w:p>
    <w:p>
      <w:pPr>
        <w:spacing w:after="0" w:line="20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BUSINESS COMBINATIONS</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2019, we entered into an agreement with Al Yah Satellite Communications Company PrJSC (“Yahsat”) pursuant to which, in November 2019, Yahsat contributed its satellite communications services business in Brazil to one of our Brazilian subsidiaries in exchange for a 20% equity ownership interest in that subsidiary (the “Yahsat Brazil JV Transaction”). The combined business provides broadband internet services and enterprise solutions in Brazil using the Telesat T19V satellite, the Eutelsat 65W satellite and Yahsat’s Al Yah 3 satellite. The results of operations related to the business we acquired from Yahsat have been included in these Consolidated Financial Statements from the date of acquisition. As of December 31, 2020, we incurred $1.6 million of costs associated with the closing of the Yahsat Brazil JV Transaction.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All assets and liabilities acquired from Yahsat in the Yahsat Brazil JV Transaction have been recorded at fair value. The following table presents our allocation of the purchase price: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89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09"/>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89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8,110</w:t>
            </w:r>
          </w:p>
        </w:tc>
      </w:tr>
      <w:tr>
        <w:trPr>
          <w:trHeight w:val="229"/>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w:t>
            </w:r>
          </w:p>
        </w:tc>
      </w:tr>
      <w:tr>
        <w:trPr>
          <w:trHeight w:val="229"/>
        </w:trPr>
        <w:tc>
          <w:tcPr>
            <w:tcW w:w="8980" w:type="dxa"/>
            <w:vAlign w:val="bottom"/>
          </w:tcPr>
          <w:p>
            <w:pPr>
              <w:ind w:left="220"/>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86,983</w:t>
            </w:r>
          </w:p>
        </w:tc>
      </w:tr>
      <w:tr>
        <w:trPr>
          <w:trHeight w:val="230"/>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Regulatory authorization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r>
      <w:tr>
        <w:trPr>
          <w:trHeight w:val="229"/>
        </w:trPr>
        <w:tc>
          <w:tcPr>
            <w:tcW w:w="8980" w:type="dxa"/>
            <w:vAlign w:val="bottom"/>
          </w:tcPr>
          <w:p>
            <w:pPr>
              <w:ind w:left="22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9,186</w:t>
            </w:r>
          </w:p>
        </w:tc>
      </w:tr>
      <w:tr>
        <w:trPr>
          <w:trHeight w:val="230"/>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 net</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r>
      <w:tr>
        <w:trPr>
          <w:trHeight w:val="223"/>
        </w:trPr>
        <w:tc>
          <w:tcPr>
            <w:tcW w:w="898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116,155</w:t>
            </w: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7"/>
        </w:trPr>
        <w:tc>
          <w:tcPr>
            <w:tcW w:w="89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29"/>
        </w:trPr>
        <w:tc>
          <w:tcPr>
            <w:tcW w:w="89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r>
      <w:tr>
        <w:trPr>
          <w:trHeight w:val="230"/>
        </w:trPr>
        <w:tc>
          <w:tcPr>
            <w:tcW w:w="8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r>
      <w:tr>
        <w:trPr>
          <w:trHeight w:val="248"/>
        </w:trPr>
        <w:tc>
          <w:tcPr>
            <w:tcW w:w="8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10,555</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54"/>
        </w:trPr>
        <w:tc>
          <w:tcPr>
            <w:tcW w:w="8980" w:type="dxa"/>
            <w:vAlign w:val="bottom"/>
            <w:tcBorders>
              <w:bottom w:val="single" w:sz="8" w:color="CCEEFF"/>
            </w:tcBorders>
            <w:shd w:val="clear" w:color="auto" w:fill="CCEEFF"/>
          </w:tcPr>
          <w:p>
            <w:pPr>
              <w:spacing w:after="0" w:line="230" w:lineRule="exact"/>
              <w:rPr>
                <w:sz w:val="20"/>
                <w:szCs w:val="20"/>
                <w:color w:val="auto"/>
              </w:rPr>
            </w:pPr>
            <w:r>
              <w:rPr>
                <w:rFonts w:ascii="Arial" w:cs="Arial" w:eastAsia="Arial" w:hAnsi="Arial"/>
                <w:sz w:val="18"/>
                <w:szCs w:val="18"/>
                <w:color w:val="auto"/>
              </w:rPr>
              <w:t xml:space="preserve">Total purchase price </w:t>
            </w:r>
            <w:r>
              <w:rPr>
                <w:rFonts w:ascii="Arial" w:cs="Arial" w:eastAsia="Arial" w:hAnsi="Arial"/>
                <w:sz w:val="23"/>
                <w:szCs w:val="23"/>
                <w:color w:val="auto"/>
                <w:vertAlign w:val="superscript"/>
              </w:rPr>
              <w:t>(1)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105,600</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firstLine="8"/>
        <w:spacing w:after="0" w:line="291" w:lineRule="auto"/>
        <w:tabs>
          <w:tab w:leader="none" w:pos="216"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the value determined for the equity ownership interest issued by our Brazilian subsidiary as consideration for the business acquired by us in the Yahsat Brazil JV Transaction.</w:t>
      </w:r>
    </w:p>
    <w:p>
      <w:pPr>
        <w:spacing w:after="0" w:line="19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valuation of the acquired assets was derived using primarily unobservable Level 3 inputs, which require significant management judgment and estimation:</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89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Satellite payload</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49,363</w:t>
            </w:r>
          </w:p>
        </w:tc>
      </w:tr>
      <w:tr>
        <w:trPr>
          <w:trHeight w:val="229"/>
        </w:trPr>
        <w:tc>
          <w:tcPr>
            <w:tcW w:w="8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Regulatory authorization</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4,498</w:t>
            </w: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53,861</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satellite payload asset and regulatory authorization were valued using an income approach and will be being amortized over seven and 11 years, respectively.</w:t>
      </w:r>
    </w:p>
    <w:p>
      <w:pPr>
        <w:spacing w:after="0" w:line="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goodwill we recognized was allocated entirely to our Hughes segment and attributed to expected synergies, projected long-term business growth in current and new markets and an assembled workforce.</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spacing w:after="0"/>
              <w:rPr>
                <w:sz w:val="20"/>
                <w:szCs w:val="20"/>
                <w:color w:val="auto"/>
              </w:rPr>
            </w:pPr>
            <w:r>
              <w:rPr>
                <w:rFonts w:ascii="Arial" w:cs="Arial" w:eastAsia="Arial" w:hAnsi="Arial"/>
                <w:sz w:val="18"/>
                <w:szCs w:val="18"/>
                <w:b w:val="1"/>
                <w:bCs w:val="1"/>
                <w:color w:val="auto"/>
              </w:rPr>
              <w:t>NOTE 7.  EARNINGS PER SHARE</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451"/>
        </w:trPr>
        <w:tc>
          <w:tcPr>
            <w:tcW w:w="5740" w:type="dxa"/>
            <w:vAlign w:val="bottom"/>
          </w:tcPr>
          <w:p>
            <w:pPr>
              <w:spacing w:after="0"/>
              <w:rPr>
                <w:sz w:val="20"/>
                <w:szCs w:val="20"/>
                <w:color w:val="auto"/>
              </w:rPr>
            </w:pPr>
            <w:r>
              <w:rPr>
                <w:rFonts w:ascii="Arial" w:cs="Arial" w:eastAsia="Arial" w:hAnsi="Arial"/>
                <w:sz w:val="18"/>
                <w:szCs w:val="18"/>
                <w:color w:val="auto"/>
              </w:rPr>
              <w:t>The following table presents the calculation of basic and diluted EPS: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7"/>
        </w:trPr>
        <w:tc>
          <w:tcPr>
            <w:tcW w:w="57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156"/>
        </w:trPr>
        <w:tc>
          <w:tcPr>
            <w:tcW w:w="57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Net income (loss) attributable to EchoStar Corporation common</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Net income (loss) from continuing operations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(40,150)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(102,318)</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(134,204)</w:t>
            </w: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from discontinued operations</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93,729</w:t>
            </w:r>
          </w:p>
        </w:tc>
      </w:tr>
      <w:tr>
        <w:trPr>
          <w:trHeight w:val="223"/>
        </w:trPr>
        <w:tc>
          <w:tcPr>
            <w:tcW w:w="5740" w:type="dxa"/>
            <w:vAlign w:val="bottom"/>
          </w:tcPr>
          <w:p>
            <w:pPr>
              <w:ind w:left="4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(40,150)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(62,917)</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(40,475)</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5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Class A and B common stock:</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740" w:type="dxa"/>
            <w:vAlign w:val="bottom"/>
          </w:tcPr>
          <w:p>
            <w:pPr>
              <w:ind w:left="480"/>
              <w:spacing w:after="0"/>
              <w:rPr>
                <w:sz w:val="20"/>
                <w:szCs w:val="20"/>
                <w:color w:val="auto"/>
              </w:rPr>
            </w:pPr>
            <w:r>
              <w:rPr>
                <w:rFonts w:ascii="Arial" w:cs="Arial" w:eastAsia="Arial" w:hAnsi="Arial"/>
                <w:sz w:val="18"/>
                <w:szCs w:val="18"/>
                <w:color w:val="auto"/>
              </w:rPr>
              <w:t>Basic and diluted</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97,920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96,738</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96,250</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5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Earnings (losses) per share:</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Class A and B common stock:</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740" w:type="dxa"/>
            <w:vAlign w:val="bottom"/>
          </w:tcPr>
          <w:p>
            <w:pPr>
              <w:ind w:left="440"/>
              <w:spacing w:after="0"/>
              <w:rPr>
                <w:sz w:val="20"/>
                <w:szCs w:val="20"/>
                <w:color w:val="auto"/>
              </w:rPr>
            </w:pPr>
            <w:r>
              <w:rPr>
                <w:rFonts w:ascii="Arial" w:cs="Arial" w:eastAsia="Arial" w:hAnsi="Arial"/>
                <w:sz w:val="18"/>
                <w:szCs w:val="18"/>
                <w:b w:val="1"/>
                <w:bCs w:val="1"/>
                <w:color w:val="auto"/>
              </w:rPr>
              <w:t>Basic and diluted:</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Continuing operations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5740" w:type="dxa"/>
            <w:vAlign w:val="bottom"/>
          </w:tcPr>
          <w:p>
            <w:pPr>
              <w:ind w:left="680"/>
              <w:spacing w:after="0"/>
              <w:rPr>
                <w:sz w:val="20"/>
                <w:szCs w:val="20"/>
                <w:color w:val="auto"/>
              </w:rPr>
            </w:pPr>
            <w:r>
              <w:rPr>
                <w:rFonts w:ascii="Arial" w:cs="Arial" w:eastAsia="Arial" w:hAnsi="Arial"/>
                <w:sz w:val="18"/>
                <w:szCs w:val="18"/>
                <w:color w:val="auto"/>
              </w:rPr>
              <w:t>Discontinued operations</w:t>
            </w: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0.97</w:t>
            </w:r>
          </w:p>
        </w:tc>
      </w:tr>
      <w:tr>
        <w:trPr>
          <w:trHeight w:val="248"/>
        </w:trPr>
        <w:tc>
          <w:tcPr>
            <w:tcW w:w="57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basic and diluted earnings (losses) per share</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following table presents the number of anti-dilutive options to purchase shares of our Class A common stock which have been excluded from the calculation of our weighted-average common shares outstanding:</w:t>
      </w:r>
    </w:p>
    <w:p>
      <w:pPr>
        <w:spacing w:after="0" w:line="210"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For the years ended 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43"/>
        </w:trPr>
        <w:tc>
          <w:tcPr>
            <w:tcW w:w="6920" w:type="dxa"/>
            <w:vAlign w:val="bottom"/>
            <w:gridSpan w:val="2"/>
            <w:shd w:val="clear" w:color="auto" w:fill="CCEEFF"/>
          </w:tcPr>
          <w:p>
            <w:pPr>
              <w:jc w:val="right"/>
              <w:ind w:right="5370"/>
              <w:spacing w:after="0"/>
              <w:rPr>
                <w:sz w:val="20"/>
                <w:szCs w:val="20"/>
                <w:color w:val="auto"/>
              </w:rPr>
            </w:pPr>
            <w:r>
              <w:rPr>
                <w:rFonts w:ascii="Arial" w:cs="Arial" w:eastAsia="Arial" w:hAnsi="Arial"/>
                <w:sz w:val="18"/>
                <w:szCs w:val="18"/>
                <w:color w:val="auto"/>
              </w:rPr>
              <w:t>Number of shares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NOTE 8.  OTHER COMPREHENSIVE INCOME (LOSS)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10100" w:type="dxa"/>
            <w:vAlign w:val="bottom"/>
            <w:gridSpan w:val="17"/>
          </w:tcPr>
          <w:p>
            <w:pPr>
              <w:spacing w:after="0"/>
              <w:rPr>
                <w:sz w:val="20"/>
                <w:szCs w:val="20"/>
                <w:color w:val="auto"/>
              </w:rPr>
            </w:pPr>
            <w:r>
              <w:rPr>
                <w:rFonts w:ascii="Arial" w:cs="Arial" w:eastAsia="Arial" w:hAnsi="Arial"/>
                <w:sz w:val="18"/>
                <w:szCs w:val="18"/>
                <w:color w:val="auto"/>
              </w:rPr>
              <w:t xml:space="preserve">The following table presents the changes in the balances of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 xml:space="preserve"> by component:</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Cumulative</w:t>
            </w:r>
          </w:p>
        </w:tc>
        <w:tc>
          <w:tcPr>
            <w:tcW w:w="160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99"/>
              </w:rPr>
              <w:t>Unrealized Gain</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Foreign</w:t>
            </w:r>
          </w:p>
        </w:tc>
        <w:tc>
          <w:tcPr>
            <w:tcW w:w="160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6"/>
            <w:vMerge w:val="restart"/>
          </w:tcPr>
          <w:p>
            <w:pPr>
              <w:ind w:left="20"/>
              <w:spacing w:after="0"/>
              <w:rPr>
                <w:sz w:val="20"/>
                <w:szCs w:val="20"/>
                <w:color w:val="auto"/>
              </w:rPr>
            </w:pPr>
            <w:r>
              <w:rPr>
                <w:rFonts w:ascii="Arial" w:cs="Arial" w:eastAsia="Arial" w:hAnsi="Arial"/>
                <w:sz w:val="18"/>
                <w:szCs w:val="18"/>
                <w:b w:val="1"/>
                <w:bCs w:val="1"/>
                <w:color w:val="auto"/>
              </w:rPr>
              <w:t>Accumulated Other</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8"/>
              </w:rPr>
              <w:t>Currency</w:t>
            </w:r>
          </w:p>
        </w:tc>
        <w:tc>
          <w:tcPr>
            <w:tcW w:w="140" w:type="dxa"/>
            <w:vAlign w:val="bottom"/>
          </w:tcPr>
          <w:p>
            <w:pPr>
              <w:spacing w:after="0"/>
              <w:rPr>
                <w:sz w:val="15"/>
                <w:szCs w:val="15"/>
                <w:color w:val="auto"/>
              </w:rPr>
            </w:pPr>
          </w:p>
        </w:tc>
        <w:tc>
          <w:tcPr>
            <w:tcW w:w="1460" w:type="dxa"/>
            <w:vAlign w:val="bottom"/>
            <w:gridSpan w:val="3"/>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(Loss) On</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140" w:type="dxa"/>
            <w:vAlign w:val="bottom"/>
          </w:tcPr>
          <w:p>
            <w:pPr>
              <w:spacing w:after="0"/>
              <w:rPr>
                <w:sz w:val="15"/>
                <w:szCs w:val="15"/>
                <w:color w:val="auto"/>
              </w:rPr>
            </w:pPr>
          </w:p>
        </w:tc>
        <w:tc>
          <w:tcPr>
            <w:tcW w:w="1460" w:type="dxa"/>
            <w:vAlign w:val="bottom"/>
            <w:gridSpan w:val="3"/>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Available-For-</w:t>
            </w:r>
          </w:p>
        </w:tc>
        <w:tc>
          <w:tcPr>
            <w:tcW w:w="280" w:type="dxa"/>
            <w:vAlign w:val="bottom"/>
          </w:tcPr>
          <w:p>
            <w:pPr>
              <w:spacing w:after="0"/>
              <w:rPr>
                <w:sz w:val="15"/>
                <w:szCs w:val="15"/>
                <w:color w:val="auto"/>
              </w:rPr>
            </w:pPr>
          </w:p>
        </w:tc>
        <w:tc>
          <w:tcPr>
            <w:tcW w:w="1220" w:type="dxa"/>
            <w:vAlign w:val="bottom"/>
            <w:gridSpan w:val="3"/>
            <w:vMerge w:val="restart"/>
          </w:tcPr>
          <w:p>
            <w:pPr>
              <w:jc w:val="right"/>
              <w:ind w:right="580"/>
              <w:spacing w:after="0"/>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gridSpan w:val="4"/>
          </w:tcPr>
          <w:p>
            <w:pPr>
              <w:jc w:val="center"/>
              <w:ind w:right="180"/>
              <w:spacing w:after="0" w:line="176" w:lineRule="exact"/>
              <w:rPr>
                <w:sz w:val="20"/>
                <w:szCs w:val="20"/>
                <w:color w:val="auto"/>
              </w:rPr>
            </w:pPr>
            <w:r>
              <w:rPr>
                <w:rFonts w:ascii="Arial" w:cs="Arial" w:eastAsia="Arial" w:hAnsi="Arial"/>
                <w:sz w:val="18"/>
                <w:szCs w:val="18"/>
                <w:b w:val="1"/>
                <w:bCs w:val="1"/>
                <w:color w:val="auto"/>
              </w:rPr>
              <w:t>Comprehensive</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Adjustments</w:t>
            </w:r>
          </w:p>
        </w:tc>
        <w:tc>
          <w:tcPr>
            <w:tcW w:w="16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9"/>
              </w:rPr>
              <w:t>Sale Securities</w:t>
            </w:r>
          </w:p>
        </w:tc>
        <w:tc>
          <w:tcPr>
            <w:tcW w:w="280" w:type="dxa"/>
            <w:vAlign w:val="bottom"/>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9"/>
              </w:rPr>
              <w:t>Income (Loss)</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4480" w:type="dxa"/>
            <w:vAlign w:val="bottom"/>
          </w:tcPr>
          <w:p>
            <w:pPr>
              <w:ind w:left="220"/>
              <w:spacing w:after="0" w:line="156"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3,554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to net income (loss)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4480" w:type="dxa"/>
            <w:vAlign w:val="bottom"/>
          </w:tcPr>
          <w:p>
            <w:pPr>
              <w:ind w:left="220"/>
              <w:spacing w:after="0" w:line="156"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(68,097)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(65,736)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to net income (loss)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(68,097)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(190,273)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MARKETABLE INVESTMENT SECURITIES</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9"/>
        </w:trPr>
        <w:tc>
          <w:tcPr>
            <w:tcW w:w="48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420" w:type="dxa"/>
            <w:vAlign w:val="bottom"/>
            <w:gridSpan w:val="5"/>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Marketable investment securities</w:t>
            </w: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3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9"/>
          </w:tcPr>
          <w:p>
            <w:pPr>
              <w:ind w:left="48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investment securities: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240"/>
              <w:spacing w:after="0"/>
              <w:rPr>
                <w:sz w:val="20"/>
                <w:szCs w:val="20"/>
                <w:color w:val="auto"/>
              </w:rPr>
            </w:pPr>
            <w:r>
              <w:rPr>
                <w:rFonts w:ascii="Arial" w:cs="Arial" w:eastAsia="Arial" w:hAnsi="Arial"/>
                <w:sz w:val="18"/>
                <w:szCs w:val="18"/>
                <w:b w:val="1"/>
                <w:bCs w:val="1"/>
                <w:color w:val="auto"/>
              </w:rPr>
              <w:t>Debt securities: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Available-for-sale: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372,746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568,442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1,101,888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321,706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debt securities</w:t>
            </w: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148,292</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4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available-for-sale debt securities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1,622,926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Fair value option - corporate bonds</w:t>
            </w: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 securities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1,622,926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24,435</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60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Total marketable investment securities, including restricted amounts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1,647,361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Restricted marketable investment securities</w:t>
            </w: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(9,090)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marketable investment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1,638,271</w:t>
            </w:r>
          </w:p>
        </w:tc>
        <w:tc>
          <w:tcPr>
            <w:tcW w:w="8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940,623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gridSpan w:val="2"/>
            <w:vMerge w:val="restart"/>
          </w:tcPr>
          <w:p>
            <w:pPr>
              <w:ind w:left="460"/>
              <w:spacing w:after="0"/>
              <w:rPr>
                <w:sz w:val="20"/>
                <w:szCs w:val="20"/>
                <w:color w:val="auto"/>
              </w:rPr>
            </w:pPr>
            <w:r>
              <w:rPr>
                <w:rFonts w:ascii="Arial" w:cs="Arial" w:eastAsia="Arial" w:hAnsi="Arial"/>
                <w:sz w:val="18"/>
                <w:szCs w:val="18"/>
                <w:color w:val="auto"/>
              </w:rPr>
              <w:t>F-37</w:t>
            </w: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5"/>
        </w:trPr>
        <w:tc>
          <w:tcPr>
            <w:tcW w:w="3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40" w:type="dxa"/>
            <w:vAlign w:val="bottom"/>
            <w:tcBorders>
              <w:bottom w:val="single" w:sz="8" w:color="9A9A9A"/>
            </w:tcBorders>
          </w:tcPr>
          <w:p>
            <w:pPr>
              <w:spacing w:after="0"/>
              <w:rPr>
                <w:sz w:val="9"/>
                <w:szCs w:val="9"/>
                <w:color w:val="auto"/>
              </w:rPr>
            </w:pPr>
          </w:p>
        </w:tc>
        <w:tc>
          <w:tcPr>
            <w:tcW w:w="44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available-for-sale debt securities: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Amortized</w:t>
            </w: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Cost</w:t>
            </w:r>
          </w:p>
        </w:tc>
        <w:tc>
          <w:tcPr>
            <w:tcW w:w="32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420" w:type="dxa"/>
            <w:vAlign w:val="bottom"/>
          </w:tcPr>
          <w:p>
            <w:pPr>
              <w:spacing w:after="0"/>
              <w:rPr>
                <w:sz w:val="19"/>
                <w:szCs w:val="19"/>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Losses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372,702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372,746</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1,101,888</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148,292</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1,622,882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1,622,926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567,926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568,442</w:t>
            </w: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321,705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321,706</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13,874</w:t>
            </w:r>
          </w:p>
        </w:tc>
        <w:tc>
          <w:tcPr>
            <w:tcW w:w="0" w:type="dxa"/>
            <w:vAlign w:val="bottom"/>
          </w:tcPr>
          <w:p>
            <w:pPr>
              <w:spacing w:after="0"/>
              <w:rPr>
                <w:sz w:val="1"/>
                <w:szCs w:val="1"/>
                <w:color w:val="auto"/>
              </w:rPr>
            </w:pPr>
          </w:p>
        </w:tc>
      </w:tr>
      <w:tr>
        <w:trPr>
          <w:trHeight w:val="223"/>
        </w:trPr>
        <w:tc>
          <w:tcPr>
            <w:tcW w:w="4780" w:type="dxa"/>
            <w:vAlign w:val="bottom"/>
          </w:tcPr>
          <w:p>
            <w:pPr>
              <w:ind w:left="48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903,498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904,022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available-for-sale debt securities: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435,978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Gains (losses) on sales, net</w:t>
            </w: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549</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1"/>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As of December 31, 2020, we have $1.6 billion of available-for-sale debt securities with contractual maturities of one year or less and zero with contractual maturities greater than one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Option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fair value option corporate bonds: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Gains (losses) on sales, net</w:t>
            </w:r>
          </w:p>
        </w:tc>
        <w:tc>
          <w:tcPr>
            <w:tcW w:w="1100" w:type="dxa"/>
            <w:vAlign w:val="bottom"/>
            <w:tcBorders>
              <w:bottom w:val="single" w:sz="8" w:color="auto"/>
            </w:tcBorders>
          </w:tcPr>
          <w:p>
            <w:pPr>
              <w:jc w:val="right"/>
              <w:ind w:right="890"/>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14,980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6,746</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Equity Securities</w:t>
            </w: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2"/>
        </w:trPr>
        <w:tc>
          <w:tcPr>
            <w:tcW w:w="57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740" w:type="dxa"/>
            <w:vAlign w:val="bottom"/>
          </w:tcPr>
          <w:p>
            <w:pPr>
              <w:spacing w:after="0"/>
              <w:rPr>
                <w:sz w:val="20"/>
                <w:szCs w:val="20"/>
                <w:color w:val="auto"/>
              </w:rPr>
            </w:pPr>
            <w:r>
              <w:rPr>
                <w:rFonts w:ascii="Arial" w:cs="Arial" w:eastAsia="Arial" w:hAnsi="Arial"/>
                <w:sz w:val="18"/>
                <w:szCs w:val="18"/>
                <w:color w:val="auto"/>
              </w:rPr>
              <w:t>The following table presents the activity of our equity securities:</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57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104,729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62,111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Gains (losses) on sales, net</w:t>
            </w:r>
          </w:p>
        </w:tc>
        <w:tc>
          <w:tcPr>
            <w:tcW w:w="1100" w:type="dxa"/>
            <w:vAlign w:val="bottom"/>
            <w:tcBorders>
              <w:bottom w:val="single" w:sz="8" w:color="auto"/>
            </w:tcBorders>
          </w:tcPr>
          <w:p>
            <w:pPr>
              <w:jc w:val="right"/>
              <w:ind w:right="890"/>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(3,241)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53,873</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(16,599)</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7"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The following table presents our marketable investment securities categorized by the fair value hierarchy, certain of which have historically experienced volatility: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As of December 31,</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55"/>
        </w:trPr>
        <w:tc>
          <w:tcPr>
            <w:tcW w:w="24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Cash equivalents</w:t>
            </w: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809,698</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810,114</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31,451</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1,408,043</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1,439,494</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(including restricted)</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Debt securities: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Available-for-sale: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480"/>
              <w:spacing w:after="0"/>
              <w:rPr>
                <w:sz w:val="20"/>
                <w:szCs w:val="20"/>
                <w:color w:val="auto"/>
              </w:rPr>
            </w:pPr>
            <w:r>
              <w:rPr>
                <w:rFonts w:ascii="Arial" w:cs="Arial" w:eastAsia="Arial" w:hAnsi="Arial"/>
                <w:sz w:val="18"/>
                <w:szCs w:val="18"/>
                <w:color w:val="auto"/>
              </w:rPr>
              <w:t>Corporate bonds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372,746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372,746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568,442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568,442</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321,706</w:t>
            </w:r>
          </w:p>
        </w:tc>
        <w:tc>
          <w:tcPr>
            <w:tcW w:w="0" w:type="dxa"/>
            <w:vAlign w:val="bottom"/>
          </w:tcPr>
          <w:p>
            <w:pPr>
              <w:spacing w:after="0"/>
              <w:rPr>
                <w:sz w:val="1"/>
                <w:szCs w:val="1"/>
                <w:color w:val="auto"/>
              </w:rPr>
            </w:pPr>
          </w:p>
        </w:tc>
      </w:tr>
      <w:tr>
        <w:trPr>
          <w:trHeight w:val="229"/>
        </w:trPr>
        <w:tc>
          <w:tcPr>
            <w:tcW w:w="24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debt securities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139,486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13,874</w:t>
            </w:r>
          </w:p>
        </w:tc>
        <w:tc>
          <w:tcPr>
            <w:tcW w:w="0" w:type="dxa"/>
            <w:vAlign w:val="bottom"/>
          </w:tcPr>
          <w:p>
            <w:pPr>
              <w:spacing w:after="0"/>
              <w:rPr>
                <w:sz w:val="1"/>
                <w:szCs w:val="1"/>
                <w:color w:val="auto"/>
              </w:rPr>
            </w:pPr>
          </w:p>
        </w:tc>
      </w:tr>
      <w:tr>
        <w:trPr>
          <w:trHeight w:val="156"/>
        </w:trPr>
        <w:tc>
          <w:tcPr>
            <w:tcW w:w="2480" w:type="dxa"/>
            <w:vAlign w:val="bottom"/>
            <w:shd w:val="clear" w:color="auto" w:fill="CCEEFF"/>
          </w:tcPr>
          <w:p>
            <w:pPr>
              <w:ind w:left="680"/>
              <w:spacing w:after="0" w:line="156" w:lineRule="exact"/>
              <w:rPr>
                <w:sz w:val="20"/>
                <w:szCs w:val="20"/>
                <w:color w:val="auto"/>
              </w:rPr>
            </w:pPr>
            <w:r>
              <w:rPr>
                <w:rFonts w:ascii="Arial" w:cs="Arial" w:eastAsia="Arial" w:hAnsi="Arial"/>
                <w:sz w:val="18"/>
                <w:szCs w:val="18"/>
                <w:color w:val="auto"/>
              </w:rPr>
              <w:t>Total available-for-</w:t>
            </w:r>
          </w:p>
        </w:tc>
        <w:tc>
          <w:tcPr>
            <w:tcW w:w="2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139,486</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1,483,440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1,622,926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895,929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904,022</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sale debt securities</w:t>
            </w: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240"/>
              <w:spacing w:after="0" w:line="176" w:lineRule="exact"/>
              <w:rPr>
                <w:sz w:val="20"/>
                <w:szCs w:val="20"/>
                <w:color w:val="auto"/>
              </w:rPr>
            </w:pPr>
            <w:r>
              <w:rPr>
                <w:rFonts w:ascii="Arial" w:cs="Arial" w:eastAsia="Arial" w:hAnsi="Arial"/>
                <w:sz w:val="18"/>
                <w:szCs w:val="18"/>
                <w:color w:val="auto"/>
              </w:rPr>
              <w:t>Fair value option -</w:t>
            </w:r>
          </w:p>
        </w:tc>
        <w:tc>
          <w:tcPr>
            <w:tcW w:w="2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9,128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9,128</w:t>
            </w:r>
          </w:p>
        </w:tc>
        <w:tc>
          <w:tcPr>
            <w:tcW w:w="0" w:type="dxa"/>
            <w:vAlign w:val="bottom"/>
          </w:tcPr>
          <w:p>
            <w:pPr>
              <w:spacing w:after="0"/>
              <w:rPr>
                <w:sz w:val="1"/>
                <w:szCs w:val="1"/>
                <w:color w:val="auto"/>
              </w:rPr>
            </w:pPr>
          </w:p>
        </w:tc>
      </w:tr>
      <w:tr>
        <w:trPr>
          <w:trHeight w:val="229"/>
        </w:trPr>
        <w:tc>
          <w:tcPr>
            <w:tcW w:w="24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debt securities</w:t>
            </w: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139,486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1,483,440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1,622,926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905,057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913,150</w:t>
            </w:r>
          </w:p>
        </w:tc>
        <w:tc>
          <w:tcPr>
            <w:tcW w:w="0" w:type="dxa"/>
            <w:vAlign w:val="bottom"/>
          </w:tcPr>
          <w:p>
            <w:pPr>
              <w:spacing w:after="0"/>
              <w:rPr>
                <w:sz w:val="1"/>
                <w:szCs w:val="1"/>
                <w:color w:val="auto"/>
              </w:rPr>
            </w:pPr>
          </w:p>
        </w:tc>
      </w:tr>
      <w:tr>
        <w:trPr>
          <w:trHeight w:val="229"/>
        </w:trPr>
        <w:tc>
          <w:tcPr>
            <w:tcW w:w="24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35,566</w:t>
            </w:r>
          </w:p>
        </w:tc>
        <w:tc>
          <w:tcPr>
            <w:tcW w:w="0" w:type="dxa"/>
            <w:vAlign w:val="bottom"/>
          </w:tcPr>
          <w:p>
            <w:pPr>
              <w:spacing w:after="0"/>
              <w:rPr>
                <w:sz w:val="1"/>
                <w:szCs w:val="1"/>
                <w:color w:val="auto"/>
              </w:rPr>
            </w:pPr>
          </w:p>
        </w:tc>
      </w:tr>
      <w:tr>
        <w:trPr>
          <w:trHeight w:val="156"/>
        </w:trPr>
        <w:tc>
          <w:tcPr>
            <w:tcW w:w="2480" w:type="dxa"/>
            <w:vAlign w:val="bottom"/>
            <w:shd w:val="clear" w:color="auto" w:fill="CCEEFF"/>
          </w:tcPr>
          <w:p>
            <w:pPr>
              <w:ind w:left="260"/>
              <w:spacing w:after="0" w:line="156" w:lineRule="exact"/>
              <w:rPr>
                <w:sz w:val="20"/>
                <w:szCs w:val="20"/>
                <w:color w:val="auto"/>
              </w:rPr>
            </w:pPr>
            <w:r>
              <w:rPr>
                <w:rFonts w:ascii="Arial" w:cs="Arial" w:eastAsia="Arial" w:hAnsi="Arial"/>
                <w:sz w:val="18"/>
                <w:szCs w:val="18"/>
                <w:color w:val="auto"/>
              </w:rPr>
              <w:t>Total marketable</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investment securities,</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including restricted</w:t>
            </w: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153,927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1,493,434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1,647,361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36,026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912,690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948,716</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amounts</w:t>
            </w: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40"/>
              <w:spacing w:after="0" w:line="176" w:lineRule="exact"/>
              <w:rPr>
                <w:sz w:val="20"/>
                <w:szCs w:val="20"/>
                <w:color w:val="auto"/>
              </w:rPr>
            </w:pPr>
            <w:r>
              <w:rPr>
                <w:rFonts w:ascii="Arial" w:cs="Arial" w:eastAsia="Arial" w:hAnsi="Arial"/>
                <w:sz w:val="18"/>
                <w:szCs w:val="18"/>
                <w:color w:val="auto"/>
              </w:rPr>
              <w:t>Less: Restricted marketable</w:t>
            </w: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(9,090)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(9,090)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(8,093)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(8,093)</w:t>
            </w:r>
          </w:p>
        </w:tc>
        <w:tc>
          <w:tcPr>
            <w:tcW w:w="0" w:type="dxa"/>
            <w:vAlign w:val="bottom"/>
          </w:tcPr>
          <w:p>
            <w:pPr>
              <w:spacing w:after="0"/>
              <w:rPr>
                <w:sz w:val="1"/>
                <w:szCs w:val="1"/>
                <w:color w:val="auto"/>
              </w:rPr>
            </w:pPr>
          </w:p>
        </w:tc>
      </w:tr>
      <w:tr>
        <w:trPr>
          <w:trHeight w:val="230"/>
        </w:trPr>
        <w:tc>
          <w:tcPr>
            <w:tcW w:w="2480" w:type="dxa"/>
            <w:vAlign w:val="bottom"/>
          </w:tcPr>
          <w:p>
            <w:pPr>
              <w:ind w:left="40"/>
              <w:spacing w:after="0"/>
              <w:rPr>
                <w:sz w:val="20"/>
                <w:szCs w:val="20"/>
                <w:color w:val="auto"/>
              </w:rPr>
            </w:pPr>
            <w:r>
              <w:rPr>
                <w:rFonts w:ascii="Arial" w:cs="Arial" w:eastAsia="Arial" w:hAnsi="Arial"/>
                <w:sz w:val="18"/>
                <w:szCs w:val="18"/>
                <w:color w:val="auto"/>
              </w:rPr>
              <w:t>investment securities</w:t>
            </w:r>
          </w:p>
        </w:tc>
        <w:tc>
          <w:tcPr>
            <w:tcW w:w="2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480" w:type="dxa"/>
            <w:vAlign w:val="bottom"/>
            <w:tcBorders>
              <w:top w:val="single" w:sz="8" w:color="CCEEFF"/>
            </w:tcBorders>
            <w:shd w:val="clear" w:color="auto" w:fill="CCEEFF"/>
          </w:tcPr>
          <w:p>
            <w:pPr>
              <w:ind w:left="260"/>
              <w:spacing w:after="0" w:line="156" w:lineRule="exact"/>
              <w:rPr>
                <w:sz w:val="20"/>
                <w:szCs w:val="20"/>
                <w:color w:val="auto"/>
              </w:rPr>
            </w:pPr>
            <w:r>
              <w:rPr>
                <w:rFonts w:ascii="Arial" w:cs="Arial" w:eastAsia="Arial" w:hAnsi="Arial"/>
                <w:sz w:val="18"/>
                <w:szCs w:val="18"/>
                <w:color w:val="auto"/>
              </w:rPr>
              <w:t>Total marketable</w:t>
            </w: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144,837</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1,493,434</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1,638,271</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27,933</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912,690</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940,623</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investment securities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we did not have any investments that were categorized within Level 3 of the fair value hierarchy.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00" w:type="dxa"/>
            <w:vAlign w:val="bottom"/>
          </w:tcPr>
          <w:p>
            <w:pPr>
              <w:spacing w:after="0"/>
              <w:rPr>
                <w:sz w:val="20"/>
                <w:szCs w:val="20"/>
                <w:color w:val="auto"/>
              </w:rPr>
            </w:pPr>
            <w:r>
              <w:rPr>
                <w:rFonts w:ascii="Arial" w:cs="Arial" w:eastAsia="Arial" w:hAnsi="Arial"/>
                <w:sz w:val="18"/>
                <w:szCs w:val="18"/>
                <w:b w:val="1"/>
                <w:bCs w:val="1"/>
                <w:color w:val="auto"/>
              </w:rPr>
              <w:t>NOTE 10.  PROPERTY AND EQUIPMENT</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451"/>
        </w:trPr>
        <w:tc>
          <w:tcPr>
            <w:tcW w:w="8000" w:type="dxa"/>
            <w:vAlign w:val="bottom"/>
          </w:tcPr>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7"/>
        </w:trPr>
        <w:tc>
          <w:tcPr>
            <w:tcW w:w="80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80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Satellites,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1,602,076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1,749,576</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property and equipment, net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779,162</w:t>
            </w:r>
          </w:p>
        </w:tc>
      </w:tr>
      <w:tr>
        <w:trPr>
          <w:trHeight w:val="223"/>
        </w:trPr>
        <w:tc>
          <w:tcPr>
            <w:tcW w:w="8000" w:type="dxa"/>
            <w:vAlign w:val="bottom"/>
          </w:tcPr>
          <w:p>
            <w:pPr>
              <w:ind w:left="48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2,390,313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2,528,738</w:t>
            </w:r>
          </w:p>
        </w:tc>
      </w:tr>
      <w:tr>
        <w:trPr>
          <w:trHeight w:val="21"/>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operating satellite fleet consisted of 10 satellites, seven of which are owned and three of which are leased.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They are all in geosynchronous orbit, approximately 22,300 miles above the equator.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satellite fleet as of December 31, 2020 which consists of both owned and leased satellites: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Nominal Degree</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Depreciable Life</w:t>
            </w:r>
          </w:p>
        </w:tc>
        <w:tc>
          <w:tcPr>
            <w:tcW w:w="0" w:type="dxa"/>
            <w:vAlign w:val="bottom"/>
          </w:tcPr>
          <w:p>
            <w:pPr>
              <w:spacing w:after="0"/>
              <w:rPr>
                <w:sz w:val="1"/>
                <w:szCs w:val="1"/>
                <w:color w:val="auto"/>
              </w:rPr>
            </w:pPr>
          </w:p>
        </w:tc>
      </w:tr>
      <w:tr>
        <w:trPr>
          <w:trHeight w:val="176"/>
        </w:trPr>
        <w:tc>
          <w:tcPr>
            <w:tcW w:w="3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Satellite</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Segment</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Launch Date</w:t>
            </w:r>
          </w:p>
        </w:tc>
        <w:tc>
          <w:tcPr>
            <w:tcW w:w="19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Orbital Location</w:t>
            </w: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40" w:type="dxa"/>
            <w:vAlign w:val="bottom"/>
            <w:gridSpan w:val="2"/>
            <w:vMerge w:val="continue"/>
          </w:tcPr>
          <w:p>
            <w:pPr>
              <w:spacing w:after="0"/>
              <w:rPr>
                <w:sz w:val="19"/>
                <w:szCs w:val="19"/>
                <w:color w:val="auto"/>
              </w:rPr>
            </w:pPr>
          </w:p>
        </w:tc>
        <w:tc>
          <w:tcPr>
            <w:tcW w:w="2240" w:type="dxa"/>
            <w:vAlign w:val="bottom"/>
            <w:gridSpan w:val="2"/>
            <w:vMerge w:val="continue"/>
          </w:tcPr>
          <w:p>
            <w:pPr>
              <w:spacing w:after="0"/>
              <w:rPr>
                <w:sz w:val="19"/>
                <w:szCs w:val="19"/>
                <w:color w:val="auto"/>
              </w:rPr>
            </w:pPr>
          </w:p>
        </w:tc>
        <w:tc>
          <w:tcPr>
            <w:tcW w:w="2240" w:type="dxa"/>
            <w:vAlign w:val="bottom"/>
            <w:gridSpan w:val="2"/>
            <w:vMerge w:val="continue"/>
          </w:tcPr>
          <w:p>
            <w:pPr>
              <w:spacing w:after="0"/>
              <w:rPr>
                <w:sz w:val="19"/>
                <w:szCs w:val="19"/>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(Longitude)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0" w:type="dxa"/>
            <w:vAlign w:val="bottom"/>
          </w:tcPr>
          <w:p>
            <w:pPr>
              <w:spacing w:after="0"/>
              <w:rPr>
                <w:sz w:val="1"/>
                <w:szCs w:val="1"/>
                <w:color w:val="auto"/>
              </w:rPr>
            </w:pPr>
          </w:p>
        </w:tc>
      </w:tr>
      <w:tr>
        <w:trPr>
          <w:trHeight w:val="223"/>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SPACEWAY 3 </w:t>
            </w:r>
            <w:r>
              <w:rPr>
                <w:rFonts w:ascii="Arial" w:cs="Arial" w:eastAsia="Arial" w:hAnsi="Arial"/>
                <w:sz w:val="23"/>
                <w:szCs w:val="23"/>
                <w:color w:val="auto"/>
                <w:vertAlign w:val="superscript"/>
              </w:rPr>
              <w:t>(1)</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2007</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95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EchoStar XVII</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July 2012</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107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40"/>
              <w:spacing w:after="0"/>
              <w:rPr>
                <w:sz w:val="20"/>
                <w:szCs w:val="20"/>
                <w:color w:val="auto"/>
              </w:rPr>
            </w:pPr>
            <w:r>
              <w:rPr>
                <w:rFonts w:ascii="Arial" w:cs="Arial" w:eastAsia="Arial" w:hAnsi="Arial"/>
                <w:sz w:val="18"/>
                <w:szCs w:val="18"/>
                <w:color w:val="auto"/>
              </w:rPr>
              <w:t>EchoStar XIX</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December 2016</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rPr>
              <w:t>97.1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Al Yah 3 </w:t>
            </w:r>
            <w:r>
              <w:rPr>
                <w:rFonts w:ascii="Arial" w:cs="Arial" w:eastAsia="Arial" w:hAnsi="Arial"/>
                <w:sz w:val="23"/>
                <w:szCs w:val="23"/>
                <w:color w:val="auto"/>
                <w:vertAlign w:val="superscript"/>
              </w:rPr>
              <w:t>(2)</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January 2018</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20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EchoStar IX </w:t>
            </w:r>
            <w:r>
              <w:rPr>
                <w:rFonts w:ascii="Arial" w:cs="Arial" w:eastAsia="Arial" w:hAnsi="Arial"/>
                <w:sz w:val="23"/>
                <w:szCs w:val="23"/>
                <w:color w:val="auto"/>
                <w:vertAlign w:val="superscript"/>
              </w:rPr>
              <w:t>(3)</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ESS</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2003</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121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EUTELSAT 10A (“W2A”) </w:t>
            </w:r>
            <w:r>
              <w:rPr>
                <w:rFonts w:ascii="Arial" w:cs="Arial" w:eastAsia="Arial" w:hAnsi="Arial"/>
                <w:sz w:val="23"/>
                <w:szCs w:val="23"/>
                <w:color w:val="auto"/>
                <w:vertAlign w:val="superscript"/>
              </w:rPr>
              <w:t>(4)</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Corporate and Other</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April 2009</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10 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40"/>
              <w:spacing w:after="0"/>
              <w:rPr>
                <w:sz w:val="20"/>
                <w:szCs w:val="20"/>
                <w:color w:val="auto"/>
              </w:rPr>
            </w:pPr>
            <w:r>
              <w:rPr>
                <w:rFonts w:ascii="Arial" w:cs="Arial" w:eastAsia="Arial" w:hAnsi="Arial"/>
                <w:sz w:val="18"/>
                <w:szCs w:val="18"/>
                <w:color w:val="auto"/>
              </w:rPr>
              <w:t>EchoStar XXI</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rPr>
              <w:t>Corporate and Other</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June 2017</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10.25 E</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Eutelsat 65 West A</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March 2016</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65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40"/>
              <w:spacing w:after="0"/>
              <w:rPr>
                <w:sz w:val="20"/>
                <w:szCs w:val="20"/>
                <w:color w:val="auto"/>
              </w:rPr>
            </w:pPr>
            <w:r>
              <w:rPr>
                <w:rFonts w:ascii="Arial" w:cs="Arial" w:eastAsia="Arial" w:hAnsi="Arial"/>
                <w:sz w:val="18"/>
                <w:szCs w:val="18"/>
                <w:color w:val="auto"/>
              </w:rPr>
              <w:t>Telesat T19V</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July 2018</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63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EchoStar 105/SES-11</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ESS</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October 2017</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line="254" w:lineRule="auto"/>
        <w:tabs>
          <w:tab w:leader="none" w:pos="379" w:val="left"/>
        </w:tabs>
        <w:numPr>
          <w:ilvl w:val="0"/>
          <w:numId w:val="50"/>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its acquisition of Hughes Communications, Inc. and its subsidiaries (the “Hughes Acquisition”).</w:t>
      </w:r>
    </w:p>
    <w:p>
      <w:pPr>
        <w:spacing w:after="0" w:line="1" w:lineRule="exact"/>
        <w:rPr>
          <w:rFonts w:ascii="Arial" w:cs="Arial" w:eastAsia="Arial" w:hAnsi="Arial"/>
          <w:sz w:val="14"/>
          <w:szCs w:val="14"/>
          <w:color w:val="auto"/>
        </w:rPr>
      </w:pPr>
    </w:p>
    <w:p>
      <w:pPr>
        <w:ind w:left="340" w:hanging="332"/>
        <w:spacing w:after="0" w:line="241" w:lineRule="auto"/>
        <w:tabs>
          <w:tab w:leader="none" w:pos="232" w:val="left"/>
        </w:tabs>
        <w:numPr>
          <w:ilvl w:val="0"/>
          <w:numId w:val="50"/>
        </w:numPr>
        <w:rPr>
          <w:rFonts w:ascii="Arial" w:cs="Arial" w:eastAsia="Arial" w:hAnsi="Arial"/>
          <w:sz w:val="14"/>
          <w:szCs w:val="14"/>
          <w:color w:val="auto"/>
        </w:rPr>
      </w:pPr>
      <w:r>
        <w:rPr>
          <w:rFonts w:ascii="Arial" w:cs="Arial" w:eastAsia="Arial" w:hAnsi="Arial"/>
          <w:sz w:val="14"/>
          <w:szCs w:val="14"/>
          <w:color w:val="auto"/>
        </w:rPr>
        <w:t>Upon consummation of our joint venture with Yahsat in Brazil in November 2019, we acquired the Brazilian Ka-band payload on this satellite. Depreciable life represents the remaining useful life as of November 2019.</w:t>
      </w: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own the Ka-band and Ku-band payloads on this satellite.</w:t>
      </w:r>
    </w:p>
    <w:p>
      <w:pPr>
        <w:spacing w:after="0" w:line="1" w:lineRule="exact"/>
        <w:rPr>
          <w:rFonts w:ascii="Arial" w:cs="Arial" w:eastAsia="Arial" w:hAnsi="Arial"/>
          <w:sz w:val="14"/>
          <w:szCs w:val="14"/>
          <w:color w:val="auto"/>
        </w:rPr>
      </w:pPr>
    </w:p>
    <w:p>
      <w:pPr>
        <w:ind w:left="340" w:right="20" w:hanging="332"/>
        <w:spacing w:after="0" w:line="264" w:lineRule="auto"/>
        <w:tabs>
          <w:tab w:leader="none" w:pos="406"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acquired the S-band payload on this satellite in December 2013. Prior to acquisition, the S-band payload experienced an anomaly at the time of launch and, as a result, is not fully operational.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The following table presents the components of our satellites, net:</w:t>
            </w:r>
          </w:p>
        </w:tc>
        <w:tc>
          <w:tcPr>
            <w:tcW w:w="2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374"/>
        </w:trPr>
        <w:tc>
          <w:tcPr>
            <w:tcW w:w="558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rPr>
              <w:t>Depreciable Life</w:t>
            </w:r>
          </w:p>
        </w:tc>
        <w:tc>
          <w:tcPr>
            <w:tcW w:w="4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As of December 31,</w:t>
            </w:r>
          </w:p>
        </w:tc>
      </w:tr>
      <w:tr>
        <w:trPr>
          <w:trHeight w:val="236"/>
        </w:trPr>
        <w:tc>
          <w:tcPr>
            <w:tcW w:w="558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97"/>
              </w:rPr>
              <w:t>(In Years)</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Satellites, net:</w:t>
            </w:r>
          </w:p>
        </w:tc>
        <w:tc>
          <w:tcPr>
            <w:tcW w:w="2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2020" w:type="dxa"/>
            <w:vAlign w:val="bottom"/>
          </w:tcPr>
          <w:p>
            <w:pPr>
              <w:jc w:val="center"/>
              <w:spacing w:after="0"/>
              <w:rPr>
                <w:sz w:val="20"/>
                <w:szCs w:val="20"/>
                <w:color w:val="auto"/>
              </w:rPr>
            </w:pPr>
            <w:r>
              <w:rPr>
                <w:rFonts w:ascii="Arial" w:cs="Arial" w:eastAsia="Arial" w:hAnsi="Arial"/>
                <w:sz w:val="18"/>
                <w:szCs w:val="18"/>
                <w:color w:val="auto"/>
              </w:rPr>
              <w:t>7 to 15</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1,805,590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1,816,303</w:t>
            </w:r>
          </w:p>
        </w:tc>
      </w:tr>
      <w:tr>
        <w:trPr>
          <w:trHeight w:val="229"/>
        </w:trPr>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20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381,163</w:t>
            </w:r>
          </w:p>
        </w:tc>
      </w:tr>
      <w:tr>
        <w:trPr>
          <w:trHeight w:val="230"/>
        </w:trPr>
        <w:tc>
          <w:tcPr>
            <w:tcW w:w="55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Construction in progress</w:t>
            </w:r>
          </w:p>
        </w:tc>
        <w:tc>
          <w:tcPr>
            <w:tcW w:w="20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409,032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365,133</w:t>
            </w:r>
          </w:p>
        </w:tc>
      </w:tr>
      <w:tr>
        <w:trPr>
          <w:trHeight w:val="223"/>
        </w:trPr>
        <w:tc>
          <w:tcPr>
            <w:tcW w:w="5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satellites</w:t>
            </w:r>
          </w:p>
        </w:tc>
        <w:tc>
          <w:tcPr>
            <w:tcW w:w="2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2,566,867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2,562,599</w:t>
            </w: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b w:val="1"/>
                <w:bCs w:val="1"/>
                <w:color w:val="auto"/>
              </w:rPr>
              <w:t>Accumulated depreciation</w:t>
            </w:r>
          </w:p>
        </w:tc>
        <w:tc>
          <w:tcPr>
            <w:tcW w:w="2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Satellites - owned</w:t>
            </w:r>
          </w:p>
        </w:tc>
        <w:tc>
          <w:tcPr>
            <w:tcW w:w="2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(756,635)</w:t>
            </w:r>
          </w:p>
        </w:tc>
      </w:tr>
      <w:tr>
        <w:trPr>
          <w:trHeight w:val="230"/>
        </w:trPr>
        <w:tc>
          <w:tcPr>
            <w:tcW w:w="5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Satellites - acquired under finance leases</w:t>
            </w:r>
          </w:p>
        </w:tc>
        <w:tc>
          <w:tcPr>
            <w:tcW w:w="20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(56,388)</w:t>
            </w:r>
          </w:p>
        </w:tc>
      </w:tr>
      <w:tr>
        <w:trPr>
          <w:trHeight w:val="223"/>
        </w:trPr>
        <w:tc>
          <w:tcPr>
            <w:tcW w:w="55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accumulated depreciation</w:t>
            </w:r>
          </w:p>
        </w:tc>
        <w:tc>
          <w:tcPr>
            <w:tcW w:w="20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(964,791)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(813,023)</w:t>
            </w:r>
          </w:p>
        </w:tc>
      </w:tr>
      <w:tr>
        <w:trPr>
          <w:trHeight w:val="223"/>
        </w:trPr>
        <w:tc>
          <w:tcPr>
            <w:tcW w:w="5580" w:type="dxa"/>
            <w:vAlign w:val="bottom"/>
          </w:tcPr>
          <w:p>
            <w:pPr>
              <w:ind w:left="800"/>
              <w:spacing w:after="0"/>
              <w:rPr>
                <w:sz w:val="20"/>
                <w:szCs w:val="20"/>
                <w:color w:val="auto"/>
              </w:rPr>
            </w:pPr>
            <w:r>
              <w:rPr>
                <w:rFonts w:ascii="Arial" w:cs="Arial" w:eastAsia="Arial" w:hAnsi="Arial"/>
                <w:sz w:val="18"/>
                <w:szCs w:val="18"/>
                <w:color w:val="auto"/>
              </w:rPr>
              <w:t>Total satellites, net</w:t>
            </w:r>
          </w:p>
        </w:tc>
        <w:tc>
          <w:tcPr>
            <w:tcW w:w="20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1,602,076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1,749,576</w:t>
            </w:r>
          </w:p>
        </w:tc>
      </w:tr>
      <w:tr>
        <w:trPr>
          <w:trHeight w:val="20"/>
        </w:trPr>
        <w:tc>
          <w:tcPr>
            <w:tcW w:w="5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depreciation expense associated with our satellites, net: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expense: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128,404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130,705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124,987</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20,269</w:t>
            </w:r>
          </w:p>
        </w:tc>
      </w:tr>
      <w:tr>
        <w:trPr>
          <w:trHeight w:val="223"/>
        </w:trPr>
        <w:tc>
          <w:tcPr>
            <w:tcW w:w="5740" w:type="dxa"/>
            <w:vAlign w:val="bottom"/>
          </w:tcPr>
          <w:p>
            <w:pPr>
              <w:ind w:left="460"/>
              <w:spacing w:after="0"/>
              <w:rPr>
                <w:sz w:val="20"/>
                <w:szCs w:val="20"/>
                <w:color w:val="auto"/>
              </w:rPr>
            </w:pPr>
            <w:r>
              <w:rPr>
                <w:rFonts w:ascii="Arial" w:cs="Arial" w:eastAsia="Arial" w:hAnsi="Arial"/>
                <w:sz w:val="18"/>
                <w:szCs w:val="18"/>
                <w:color w:val="auto"/>
              </w:rPr>
              <w:t>Total depreciation expense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156,015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156,460</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145,256</w:t>
            </w:r>
          </w:p>
        </w:tc>
      </w:tr>
      <w:tr>
        <w:trPr>
          <w:trHeight w:val="21"/>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capitalized interest associated with our satellites and satellite-related ground infrastructure: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in Progress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2017, we entered into a contract for the design and construction of the EchoStar XXIV satellite, a new, next-generation, high throughput geostationary satellite. The EchoStar XXIV satellite is primarily intended to provide additional capacity for our HughesNet satellite internet service (“HughesNet service”) in North, Central and South America as well as enterprise broadband services. Maxar Space, LLC (formerly Space Systems/Loral, LLC), the manufacturer of our EchoStar XXIV satellite has notified us of a delay in completion of the satellite. Capital expenditures associated with the construction and launch of the EchoStar XXIV satellite are included in Corporate and Other in our segment reporting. We launched two nano-satellites in the third quarter of 2020. Following launch, both nano-satellites experienced technical anomalies that precluded them from fulfilling their intended regulatory milestone missions. We recorded an impairment of $1.7 million for the year ended December 31, 2020, related to these nano-satellites.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Satellite-Related Commitments</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2020 and 2019 our satellite-related commitments were $487.7 million and $419.0 million, respectively. These include payments pursuant to agreements for the construction of the EchoStar XXIV satellite, payments pursuant to the EchoStar XXIV launch contract, payments pursuant to regulatory authorizations, non-lease costs associated with our finance lease satellites, in-orbit incentives relating to certain satellites and commitments for satellite service arrangements.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Anomalies and Impairments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the agreements governing certain portions of our long-term debt and our joint venture agreements with Yahsat, we are required, subject to certain limitations on coverage, to maintain only for the SPACEWAY 3 satellite, the EchoStar XVII satellite and the Al Yah 3 Brazilian payload, insurance or other contractual arrangements during the commercial in-orbit service of such satellite or payload. Our other satellites and payloads, either in orbit or under construction, are not covered by launch or in-orbit insurance or other contractual arrangements. We will continue to assess circumstances going forward and make insurance-related decisions on a case-by-case basis.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In-Orbit Incentives</w:t>
      </w:r>
    </w:p>
    <w:p>
      <w:pPr>
        <w:spacing w:after="0" w:line="25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As of December 31, 2020 and 2019, the fair values of our in-orbit incentive obligations from our continuing operations approximated their carrying amounts of $55.4 million and $57.0 million,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spacing w:after="0"/>
              <w:rPr>
                <w:sz w:val="20"/>
                <w:szCs w:val="20"/>
                <w:color w:val="auto"/>
              </w:rPr>
            </w:pPr>
            <w:r>
              <w:rPr>
                <w:rFonts w:ascii="Arial" w:cs="Arial" w:eastAsia="Arial" w:hAnsi="Arial"/>
                <w:sz w:val="18"/>
                <w:szCs w:val="18"/>
                <w:b w:val="1"/>
                <w:bCs w:val="1"/>
                <w:color w:val="auto"/>
              </w:rPr>
              <w:t>Other Property and Equipment, Net</w:t>
            </w: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451"/>
        </w:trPr>
        <w:tc>
          <w:tcPr>
            <w:tcW w:w="5740" w:type="dxa"/>
            <w:vAlign w:val="bottom"/>
          </w:tcPr>
          <w:p>
            <w:pPr>
              <w:spacing w:after="0"/>
              <w:rPr>
                <w:sz w:val="20"/>
                <w:szCs w:val="20"/>
                <w:color w:val="auto"/>
              </w:rPr>
            </w:pPr>
            <w:r>
              <w:rPr>
                <w:rFonts w:ascii="Arial" w:cs="Arial" w:eastAsia="Arial" w:hAnsi="Arial"/>
                <w:sz w:val="18"/>
                <w:szCs w:val="18"/>
                <w:color w:val="auto"/>
              </w:rPr>
              <w:t xml:space="preserve">The following table presents </w:t>
            </w:r>
            <w:r>
              <w:rPr>
                <w:rFonts w:ascii="Arial" w:cs="Arial" w:eastAsia="Arial" w:hAnsi="Arial"/>
                <w:sz w:val="18"/>
                <w:szCs w:val="18"/>
                <w:i w:val="1"/>
                <w:iCs w:val="1"/>
                <w:color w:val="auto"/>
              </w:rPr>
              <w:t>Other property and equipment, net</w:t>
            </w:r>
            <w:r>
              <w:rPr>
                <w:rFonts w:ascii="Arial" w:cs="Arial" w:eastAsia="Arial" w:hAnsi="Arial"/>
                <w:sz w:val="18"/>
                <w:szCs w:val="18"/>
                <w:color w:val="auto"/>
              </w:rPr>
              <w:t>:</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4"/>
        </w:trPr>
        <w:tc>
          <w:tcPr>
            <w:tcW w:w="5740" w:type="dxa"/>
            <w:vAlign w:val="bottom"/>
          </w:tcPr>
          <w:p>
            <w:pPr>
              <w:spacing w:after="0"/>
              <w:rPr>
                <w:sz w:val="24"/>
                <w:szCs w:val="24"/>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Depreciable Life</w:t>
            </w:r>
          </w:p>
        </w:tc>
        <w:tc>
          <w:tcPr>
            <w:tcW w:w="4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As of December 31,</w:t>
            </w:r>
          </w:p>
        </w:tc>
      </w:tr>
      <w:tr>
        <w:trPr>
          <w:trHeight w:val="237"/>
        </w:trPr>
        <w:tc>
          <w:tcPr>
            <w:tcW w:w="574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(In Years)</w:t>
            </w:r>
          </w:p>
        </w:tc>
        <w:tc>
          <w:tcPr>
            <w:tcW w:w="40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10"/>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property and equipment, net:</w:t>
            </w: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Land</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29,055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28,943</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Buildings and improvements</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1 to 40</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113,938</w:t>
            </w: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Furniture, fixtures, equipment and other</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rPr>
              <w:t>1 to 12</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887,086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855,274</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Customer premises equipment</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2 to 4</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1,377,914</w:t>
            </w: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Construction in progress</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52,986</w:t>
            </w:r>
          </w:p>
        </w:tc>
      </w:tr>
      <w:tr>
        <w:trPr>
          <w:trHeight w:val="223"/>
        </w:trPr>
        <w:tc>
          <w:tcPr>
            <w:tcW w:w="5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property and equipment</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2,748,245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2,429,055</w:t>
            </w:r>
          </w:p>
        </w:tc>
      </w:tr>
      <w:tr>
        <w:trPr>
          <w:trHeight w:val="230"/>
        </w:trPr>
        <w:tc>
          <w:tcPr>
            <w:tcW w:w="5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Accumulated depreciation</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(1,960,008)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(1,649,893)</w:t>
            </w:r>
          </w:p>
        </w:tc>
      </w:tr>
      <w:tr>
        <w:trPr>
          <w:trHeight w:val="248"/>
        </w:trPr>
        <w:tc>
          <w:tcPr>
            <w:tcW w:w="57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Other property and equipment, net</w:t>
            </w: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779,162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depreciation expense associated with our other property and equipment: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property and equipment depreciation expense: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Buildings and improvements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5,394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5,791</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11,285</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Furniture, fixtures, equipment and other</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90,885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82,945</w:t>
            </w: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Customer premises equipment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194,906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174,749</w:t>
            </w:r>
          </w:p>
        </w:tc>
      </w:tr>
      <w:tr>
        <w:trPr>
          <w:trHeight w:val="248"/>
        </w:trPr>
        <w:tc>
          <w:tcPr>
            <w:tcW w:w="5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depreciation expense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291,582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268,979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REGULATORY AUTHORIZATIONS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Regulatory authorizations, net:</w:t>
      </w: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3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Finite lived</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4"/>
                <w:szCs w:val="14"/>
                <w:color w:val="auto"/>
              </w:rPr>
            </w:pPr>
          </w:p>
        </w:tc>
        <w:tc>
          <w:tcPr>
            <w:tcW w:w="136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Total</w:t>
            </w:r>
          </w:p>
        </w:tc>
        <w:tc>
          <w:tcPr>
            <w:tcW w:w="14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Indefinite lived</w:t>
            </w:r>
          </w:p>
        </w:tc>
        <w:tc>
          <w:tcPr>
            <w:tcW w:w="300" w:type="dxa"/>
            <w:vAlign w:val="bottom"/>
          </w:tcPr>
          <w:p>
            <w:pPr>
              <w:spacing w:after="0"/>
              <w:rPr>
                <w:sz w:val="14"/>
                <w:szCs w:val="14"/>
                <w:color w:val="auto"/>
              </w:rPr>
            </w:pPr>
          </w:p>
        </w:tc>
        <w:tc>
          <w:tcPr>
            <w:tcW w:w="10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8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71,279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400,042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471,321</w:t>
            </w:r>
          </w:p>
        </w:tc>
        <w:tc>
          <w:tcPr>
            <w:tcW w:w="0" w:type="dxa"/>
            <w:vAlign w:val="bottom"/>
          </w:tcPr>
          <w:p>
            <w:pPr>
              <w:spacing w:after="0"/>
              <w:rPr>
                <w:sz w:val="1"/>
                <w:szCs w:val="1"/>
                <w:color w:val="auto"/>
              </w:rPr>
            </w:pPr>
          </w:p>
        </w:tc>
      </w:tr>
      <w:tr>
        <w:trPr>
          <w:trHeight w:val="230"/>
        </w:trPr>
        <w:tc>
          <w:tcPr>
            <w:tcW w:w="3640" w:type="dxa"/>
            <w:vAlign w:val="bottom"/>
          </w:tcPr>
          <w:p>
            <w:pPr>
              <w:ind w:left="220"/>
              <w:spacing w:after="0"/>
              <w:rPr>
                <w:sz w:val="20"/>
                <w:szCs w:val="20"/>
                <w:color w:val="auto"/>
              </w:rPr>
            </w:pPr>
            <w:r>
              <w:rPr>
                <w:rFonts w:ascii="Arial" w:cs="Arial" w:eastAsia="Arial" w:hAnsi="Arial"/>
                <w:sz w:val="18"/>
                <w:szCs w:val="18"/>
                <w:color w:val="auto"/>
              </w:rPr>
              <w:t>Impairment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(37,476)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(29,628)</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29"/>
        </w:trPr>
        <w:tc>
          <w:tcPr>
            <w:tcW w:w="3640" w:type="dxa"/>
            <w:vAlign w:val="bottom"/>
          </w:tcPr>
          <w:p>
            <w:pPr>
              <w:ind w:left="22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400,042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430,039</w:t>
            </w:r>
          </w:p>
        </w:tc>
        <w:tc>
          <w:tcPr>
            <w:tcW w:w="0" w:type="dxa"/>
            <w:vAlign w:val="bottom"/>
          </w:tcPr>
          <w:p>
            <w:pPr>
              <w:spacing w:after="0"/>
              <w:rPr>
                <w:sz w:val="1"/>
                <w:szCs w:val="1"/>
                <w:color w:val="auto"/>
              </w:rPr>
            </w:pPr>
          </w:p>
        </w:tc>
      </w:tr>
      <w:tr>
        <w:trPr>
          <w:trHeight w:val="223"/>
        </w:trPr>
        <w:tc>
          <w:tcPr>
            <w:tcW w:w="3640" w:type="dxa"/>
            <w:vAlign w:val="bottom"/>
          </w:tcPr>
          <w:p>
            <w:pPr>
              <w:ind w:left="22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52,324</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478,598</w:t>
            </w:r>
          </w:p>
        </w:tc>
        <w:tc>
          <w:tcPr>
            <w:tcW w:w="0" w:type="dxa"/>
            <w:vAlign w:val="bottom"/>
          </w:tcPr>
          <w:p>
            <w:pPr>
              <w:spacing w:after="0"/>
              <w:rPr>
                <w:sz w:val="1"/>
                <w:szCs w:val="1"/>
                <w:color w:val="auto"/>
              </w:rPr>
            </w:pPr>
          </w:p>
        </w:tc>
      </w:tr>
      <w:tr>
        <w:trPr>
          <w:trHeight w:val="223"/>
        </w:trPr>
        <w:tc>
          <w:tcPr>
            <w:tcW w:w="3640" w:type="dxa"/>
            <w:vAlign w:val="bottom"/>
          </w:tcPr>
          <w:p>
            <w:pPr>
              <w:ind w:left="22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Balance, December 31, 2020</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444,020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478,762</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Weighted average useful life (in years)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Finite Lived Assets</w:t>
      </w:r>
    </w:p>
    <w:p>
      <w:pPr>
        <w:spacing w:after="0" w:line="25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 November 2019, we were granted an S-band spectrum license for terrestrial rights in Mexico for $7.9 million. The acquired asset is subject to amortization over a period of 15 years.</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 November 2019, we also acquired Ka-band spectrum rights $4.5 million, upon consummation of the Yahsat Brazil JV Transaction, which are subject to amortization over a period of 11 years.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2018, impairment of long-lived assets was $65.2 million, which was primarily attributable to the determination that the fair value of the 45 degree west longitude regulatory authorization was de minimis. Our recognition of a loss on the assets and the in-substance liquidation of the business related to this regulatory authorization are as follows: (i) $ 29.6 million related to the regulatory authorization; (ii) $3.5 million related to other assets; and (iii) $32.1 million of foreign currency translation adjustment.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Amortization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estimated future amortization of our regulatory authorizations with finite lives as of December 31,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80" w:type="dxa"/>
            <w:vAlign w:val="bottom"/>
            <w:gridSpan w:val="2"/>
          </w:tcPr>
          <w:p>
            <w:pPr>
              <w:ind w:left="320"/>
              <w:spacing w:after="0"/>
              <w:rPr>
                <w:sz w:val="20"/>
                <w:szCs w:val="20"/>
                <w:color w:val="auto"/>
              </w:rPr>
            </w:pPr>
            <w:r>
              <w:rPr>
                <w:rFonts w:ascii="Arial" w:cs="Arial" w:eastAsia="Arial" w:hAnsi="Arial"/>
                <w:sz w:val="18"/>
                <w:szCs w:val="18"/>
                <w:b w:val="1"/>
                <w:bCs w:val="1"/>
                <w:color w:val="auto"/>
              </w:rPr>
              <w:t>Amount</w:t>
            </w:r>
          </w:p>
        </w:tc>
      </w:tr>
      <w:tr>
        <w:trPr>
          <w:trHeight w:val="22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years ending December 31,</w:t>
            </w:r>
          </w:p>
        </w:tc>
        <w:tc>
          <w:tcPr>
            <w:tcW w:w="47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220" w:type="dxa"/>
            <w:vAlign w:val="bottom"/>
          </w:tcPr>
          <w:p>
            <w:pPr>
              <w:ind w:left="240"/>
              <w:spacing w:after="0"/>
              <w:rPr>
                <w:sz w:val="20"/>
                <w:szCs w:val="20"/>
                <w:color w:val="auto"/>
              </w:rPr>
            </w:pPr>
            <w:r>
              <w:rPr>
                <w:rFonts w:ascii="Arial" w:cs="Arial" w:eastAsia="Arial" w:hAnsi="Arial"/>
                <w:sz w:val="18"/>
                <w:szCs w:val="18"/>
                <w:color w:val="auto"/>
              </w:rPr>
              <w:t>2021</w:t>
            </w:r>
          </w:p>
        </w:tc>
        <w:tc>
          <w:tcPr>
            <w:tcW w:w="51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4,610</w:t>
            </w:r>
          </w:p>
        </w:tc>
        <w:tc>
          <w:tcPr>
            <w:tcW w:w="120" w:type="dxa"/>
            <w:vAlign w:val="bottom"/>
          </w:tcPr>
          <w:p>
            <w:pPr>
              <w:spacing w:after="0"/>
              <w:rPr>
                <w:sz w:val="19"/>
                <w:szCs w:val="19"/>
                <w:color w:val="auto"/>
              </w:rPr>
            </w:pPr>
          </w:p>
        </w:tc>
      </w:tr>
      <w:tr>
        <w:trPr>
          <w:trHeight w:val="230"/>
        </w:trPr>
        <w:tc>
          <w:tcPr>
            <w:tcW w:w="4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4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20" w:type="dxa"/>
            <w:vAlign w:val="bottom"/>
          </w:tcPr>
          <w:p>
            <w:pPr>
              <w:spacing w:after="0"/>
              <w:rPr>
                <w:sz w:val="19"/>
                <w:szCs w:val="19"/>
                <w:color w:val="auto"/>
              </w:rPr>
            </w:pPr>
          </w:p>
        </w:tc>
      </w:tr>
      <w:tr>
        <w:trPr>
          <w:trHeight w:val="230"/>
        </w:trPr>
        <w:tc>
          <w:tcPr>
            <w:tcW w:w="4220" w:type="dxa"/>
            <w:vAlign w:val="bottom"/>
          </w:tcPr>
          <w:p>
            <w:pPr>
              <w:ind w:left="240"/>
              <w:spacing w:after="0"/>
              <w:rPr>
                <w:sz w:val="20"/>
                <w:szCs w:val="20"/>
                <w:color w:val="auto"/>
              </w:rPr>
            </w:pPr>
            <w:r>
              <w:rPr>
                <w:rFonts w:ascii="Arial" w:cs="Arial" w:eastAsia="Arial" w:hAnsi="Arial"/>
                <w:sz w:val="18"/>
                <w:szCs w:val="18"/>
                <w:color w:val="auto"/>
              </w:rPr>
              <w:t>2023</w:t>
            </w:r>
          </w:p>
        </w:tc>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4,658</w:t>
            </w:r>
          </w:p>
        </w:tc>
        <w:tc>
          <w:tcPr>
            <w:tcW w:w="120" w:type="dxa"/>
            <w:vAlign w:val="bottom"/>
          </w:tcPr>
          <w:p>
            <w:pPr>
              <w:spacing w:after="0"/>
              <w:rPr>
                <w:sz w:val="19"/>
                <w:szCs w:val="19"/>
                <w:color w:val="auto"/>
              </w:rPr>
            </w:pPr>
          </w:p>
        </w:tc>
      </w:tr>
      <w:tr>
        <w:trPr>
          <w:trHeight w:val="229"/>
        </w:trPr>
        <w:tc>
          <w:tcPr>
            <w:tcW w:w="4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2024</w:t>
            </w:r>
          </w:p>
        </w:tc>
        <w:tc>
          <w:tcPr>
            <w:tcW w:w="4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20" w:type="dxa"/>
            <w:vAlign w:val="bottom"/>
          </w:tcPr>
          <w:p>
            <w:pPr>
              <w:spacing w:after="0"/>
              <w:rPr>
                <w:sz w:val="19"/>
                <w:szCs w:val="19"/>
                <w:color w:val="auto"/>
              </w:rPr>
            </w:pPr>
          </w:p>
        </w:tc>
      </w:tr>
      <w:tr>
        <w:trPr>
          <w:trHeight w:val="230"/>
        </w:trPr>
        <w:tc>
          <w:tcPr>
            <w:tcW w:w="4220" w:type="dxa"/>
            <w:vAlign w:val="bottom"/>
          </w:tcPr>
          <w:p>
            <w:pPr>
              <w:ind w:left="240"/>
              <w:spacing w:after="0"/>
              <w:rPr>
                <w:sz w:val="20"/>
                <w:szCs w:val="20"/>
                <w:color w:val="auto"/>
              </w:rPr>
            </w:pPr>
            <w:r>
              <w:rPr>
                <w:rFonts w:ascii="Arial" w:cs="Arial" w:eastAsia="Arial" w:hAnsi="Arial"/>
                <w:sz w:val="18"/>
                <w:szCs w:val="18"/>
                <w:color w:val="auto"/>
              </w:rPr>
              <w:t>2025</w:t>
            </w:r>
          </w:p>
        </w:tc>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4,658</w:t>
            </w:r>
          </w:p>
        </w:tc>
        <w:tc>
          <w:tcPr>
            <w:tcW w:w="120" w:type="dxa"/>
            <w:vAlign w:val="bottom"/>
          </w:tcPr>
          <w:p>
            <w:pPr>
              <w:spacing w:after="0"/>
              <w:rPr>
                <w:sz w:val="19"/>
                <w:szCs w:val="19"/>
                <w:color w:val="auto"/>
              </w:rPr>
            </w:pPr>
          </w:p>
        </w:tc>
      </w:tr>
      <w:tr>
        <w:trPr>
          <w:trHeight w:val="229"/>
        </w:trPr>
        <w:tc>
          <w:tcPr>
            <w:tcW w:w="4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2026 and beyond</w:t>
            </w:r>
          </w:p>
        </w:tc>
        <w:tc>
          <w:tcPr>
            <w:tcW w:w="47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11,490</w:t>
            </w:r>
          </w:p>
        </w:tc>
        <w:tc>
          <w:tcPr>
            <w:tcW w:w="120" w:type="dxa"/>
            <w:vAlign w:val="bottom"/>
          </w:tcPr>
          <w:p>
            <w:pPr>
              <w:spacing w:after="0"/>
              <w:rPr>
                <w:sz w:val="19"/>
                <w:szCs w:val="19"/>
                <w:color w:val="auto"/>
              </w:rPr>
            </w:pPr>
          </w:p>
        </w:tc>
      </w:tr>
      <w:tr>
        <w:trPr>
          <w:trHeight w:val="223"/>
        </w:trPr>
        <w:tc>
          <w:tcPr>
            <w:tcW w:w="4220" w:type="dxa"/>
            <w:vAlign w:val="bottom"/>
          </w:tcPr>
          <w:p>
            <w:pPr>
              <w:ind w:left="440"/>
              <w:spacing w:after="0"/>
              <w:rPr>
                <w:sz w:val="20"/>
                <w:szCs w:val="20"/>
                <w:color w:val="auto"/>
              </w:rPr>
            </w:pPr>
            <w:r>
              <w:rPr>
                <w:rFonts w:ascii="Arial" w:cs="Arial" w:eastAsia="Arial" w:hAnsi="Arial"/>
                <w:sz w:val="18"/>
                <w:szCs w:val="18"/>
                <w:color w:val="auto"/>
              </w:rPr>
              <w:t>Total</w:t>
            </w:r>
          </w:p>
        </w:tc>
        <w:tc>
          <w:tcPr>
            <w:tcW w:w="47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34,742</w:t>
            </w:r>
          </w:p>
        </w:tc>
        <w:tc>
          <w:tcPr>
            <w:tcW w:w="12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88"/>
        </w:trPr>
        <w:tc>
          <w:tcPr>
            <w:tcW w:w="4220" w:type="dxa"/>
            <w:vAlign w:val="bottom"/>
          </w:tcPr>
          <w:p>
            <w:pPr>
              <w:spacing w:after="0"/>
              <w:rPr>
                <w:sz w:val="24"/>
                <w:szCs w:val="24"/>
                <w:color w:val="auto"/>
              </w:rPr>
            </w:pPr>
          </w:p>
        </w:tc>
        <w:tc>
          <w:tcPr>
            <w:tcW w:w="5140" w:type="dxa"/>
            <w:vAlign w:val="bottom"/>
            <w:gridSpan w:val="2"/>
          </w:tcPr>
          <w:p>
            <w:pPr>
              <w:jc w:val="right"/>
              <w:ind w:right="3470"/>
              <w:spacing w:after="0"/>
              <w:rPr>
                <w:sz w:val="20"/>
                <w:szCs w:val="20"/>
                <w:color w:val="auto"/>
              </w:rPr>
            </w:pPr>
            <w:r>
              <w:rPr>
                <w:rFonts w:ascii="Arial" w:cs="Arial" w:eastAsia="Arial" w:hAnsi="Arial"/>
                <w:sz w:val="18"/>
                <w:szCs w:val="18"/>
                <w:color w:val="auto"/>
              </w:rPr>
              <w:t>F-43</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1"/>
        </w:trPr>
        <w:tc>
          <w:tcPr>
            <w:tcW w:w="422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Indefinite Lived Assets</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2019, we acquired Sirion Global Pty Ltd., which we have renamed EchoStar Global Australia Pty Ltd (“EchoStar Global”), which holds global S-band non-geostationary stationary satellite spectrum rights for mobile satellite services. We acquired the global S-band non-geostationary satellite spectrum rights for $39.5 million, of which $26.5 million were made in cash payments and the remainder relate to deferred tax liabilities. The acquired spectrum rights are not subject to amortization.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40" w:type="dxa"/>
            <w:vAlign w:val="bottom"/>
          </w:tcPr>
          <w:p>
            <w:pPr>
              <w:spacing w:after="0"/>
              <w:rPr>
                <w:sz w:val="20"/>
                <w:szCs w:val="20"/>
                <w:color w:val="auto"/>
              </w:rPr>
            </w:pPr>
            <w:r>
              <w:rPr>
                <w:rFonts w:ascii="Arial" w:cs="Arial" w:eastAsia="Arial" w:hAnsi="Arial"/>
                <w:sz w:val="18"/>
                <w:szCs w:val="18"/>
                <w:b w:val="1"/>
                <w:bCs w:val="1"/>
                <w:color w:val="auto"/>
              </w:rPr>
              <w:t>NOTE 12.  OTHER INTANGIBLE ASSETS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4740" w:type="dxa"/>
            <w:vAlign w:val="bottom"/>
          </w:tcPr>
          <w:p>
            <w:pPr>
              <w:spacing w:after="0"/>
              <w:rPr>
                <w:sz w:val="20"/>
                <w:szCs w:val="20"/>
                <w:color w:val="auto"/>
              </w:rPr>
            </w:pPr>
            <w:r>
              <w:rPr>
                <w:rFonts w:ascii="Arial" w:cs="Arial" w:eastAsia="Arial" w:hAnsi="Arial"/>
                <w:sz w:val="18"/>
                <w:szCs w:val="18"/>
                <w:color w:val="auto"/>
              </w:rPr>
              <w:t>The following table presents our other intangible assets: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Customer</w:t>
            </w:r>
          </w:p>
        </w:tc>
        <w:tc>
          <w:tcPr>
            <w:tcW w:w="280" w:type="dxa"/>
            <w:vAlign w:val="bottom"/>
          </w:tcPr>
          <w:p>
            <w:pPr>
              <w:spacing w:after="0"/>
              <w:rPr>
                <w:sz w:val="24"/>
                <w:szCs w:val="24"/>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Patents</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Trademarks and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Relationships</w:t>
            </w:r>
          </w:p>
        </w:tc>
        <w:tc>
          <w:tcPr>
            <w:tcW w:w="2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b w:val="1"/>
                <w:bCs w:val="1"/>
                <w:color w:val="auto"/>
              </w:rPr>
              <w:t>Licenses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270,300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61,300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29,700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361,300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Write-off</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As of December 31, 2018</w:t>
            </w: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270,300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61,283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361,283</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of December 31, 2019</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361,283</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270,300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61,283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361,283</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of December 31,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(302,345)</w:t>
            </w:r>
          </w:p>
        </w:tc>
        <w:tc>
          <w:tcPr>
            <w:tcW w:w="0" w:type="dxa"/>
            <w:vAlign w:val="bottom"/>
          </w:tcPr>
          <w:p>
            <w:pPr>
              <w:spacing w:after="0"/>
              <w:rPr>
                <w:sz w:val="1"/>
                <w:szCs w:val="1"/>
                <w:color w:val="auto"/>
              </w:rPr>
            </w:pPr>
          </w:p>
        </w:tc>
      </w:tr>
      <w:tr>
        <w:trPr>
          <w:trHeight w:val="230"/>
        </w:trPr>
        <w:tc>
          <w:tcPr>
            <w:tcW w:w="4740" w:type="dxa"/>
            <w:vAlign w:val="bottom"/>
          </w:tcPr>
          <w:p>
            <w:pPr>
              <w:ind w:left="460"/>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(14,724)</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Write-off</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2018</w:t>
            </w: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(244,787)</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(61,004)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(317,052)</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expense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(14,724)</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2019</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(257,933)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(61,097)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(331,776)</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expense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(267,429)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(61,190)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(342,850)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Carrying amount:</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of December 31,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58,955</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25,513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18,439</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44,231</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of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29,507</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2,871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15,469</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18,433</w:t>
            </w:r>
          </w:p>
        </w:tc>
        <w:tc>
          <w:tcPr>
            <w:tcW w:w="0" w:type="dxa"/>
            <w:vAlign w:val="bottom"/>
          </w:tcPr>
          <w:p>
            <w:pPr>
              <w:spacing w:after="0"/>
              <w:rPr>
                <w:sz w:val="1"/>
                <w:szCs w:val="1"/>
                <w:color w:val="auto"/>
              </w:rPr>
            </w:pPr>
          </w:p>
        </w:tc>
      </w:tr>
      <w:tr>
        <w:trPr>
          <w:trHeight w:val="270"/>
        </w:trPr>
        <w:tc>
          <w:tcPr>
            <w:tcW w:w="4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Weighted average useful life (in years)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Amortization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estimated future amortization of other intangible assets as of December 31,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Amount</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years ending December 31,</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4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9"/>
                <w:szCs w:val="19"/>
                <w:color w:val="auto"/>
              </w:rPr>
            </w:pPr>
          </w:p>
        </w:tc>
        <w:tc>
          <w:tcPr>
            <w:tcW w:w="124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4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4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2026 and beyond</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Pr>
          <w:p>
            <w:pPr>
              <w:ind w:left="44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NOTE 13.  OTHER INVESTMENTS</w:t>
            </w: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8"/>
        </w:trPr>
        <w:tc>
          <w:tcPr>
            <w:tcW w:w="7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940" w:type="dxa"/>
            <w:vAlign w:val="bottom"/>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Other investments, net</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9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rPr>
              <w:t>As of December 31,</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investments, net:</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40"/>
              <w:spacing w:after="0"/>
              <w:rPr>
                <w:sz w:val="20"/>
                <w:szCs w:val="20"/>
                <w:color w:val="auto"/>
              </w:rPr>
            </w:pPr>
            <w:r>
              <w:rPr>
                <w:rFonts w:ascii="Arial" w:cs="Arial" w:eastAsia="Arial" w:hAnsi="Arial"/>
                <w:sz w:val="18"/>
                <w:szCs w:val="18"/>
                <w:color w:val="auto"/>
              </w:rPr>
              <w:t>Equity method investments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151,070</w:t>
            </w:r>
          </w:p>
        </w:tc>
        <w:tc>
          <w:tcPr>
            <w:tcW w:w="10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166,209</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equity investments</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66,627</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investments, net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102,205</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92,569</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other investments,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284,937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325,405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Dish Mexico</w:t>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own 49% of Dish Mexico, a joint venture that we entered into in 2008 to provide direct-to-home satellite services in Mexico. Historically, we provided certain satellite services to Dish Mexico. However, following the consummation of the BSS Transaction, we no longer provide these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Deluxe/EchoStar LLC</w:t>
      </w:r>
    </w:p>
    <w:p>
      <w:pPr>
        <w:spacing w:after="0" w:line="250"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We own 50% of Deluxe/EchoStar LLC (“Deluxe”), a joint venture that we entered into in 2010 to build an advanced digital cinema satellite distribution network targeting delivery to digitally equipped theaters in the U.S. and Canada.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Connectivity Solutions (Restricted) Limited</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August 2018, we entered into an agreement with Yahsat to establish a new entity, Broadband Connectivity Solutions (Restricted) Limited (together with its subsidiaries, “BCS”), to provide commercial Ka-band satellite broadband services across Africa, the Middle East and southwest Asia operating over Yahsat's Al Yah 2 and Al Yah 3 Ka-band satellites. The transaction was consummated in December 2018 when we invested $100.0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r>
              <w:rPr>
                <w:rFonts w:ascii="Arial" w:cs="Arial" w:eastAsia="Arial" w:hAnsi="Arial"/>
                <w:sz w:val="18"/>
                <w:szCs w:val="18"/>
                <w:i w:val="1"/>
                <w:iCs w:val="1"/>
                <w:color w:val="auto"/>
              </w:rPr>
              <w:t>Financial Information for Our Equity Method Investments</w:t>
            </w: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The following table presents revenue recognized:</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95"/>
        </w:trPr>
        <w:tc>
          <w:tcPr>
            <w:tcW w:w="57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BCS</w:t>
            </w:r>
          </w:p>
        </w:tc>
        <w:tc>
          <w:tcPr>
            <w:tcW w:w="1140" w:type="dxa"/>
            <w:vAlign w:val="bottom"/>
            <w:tcBorders>
              <w:bottom w:val="single" w:sz="8" w:color="auto"/>
            </w:tcBorders>
          </w:tcPr>
          <w:p>
            <w:pPr>
              <w:jc w:val="right"/>
              <w:ind w:right="930"/>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9,080</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8,979</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695</w:t>
            </w:r>
          </w:p>
        </w:tc>
      </w:tr>
      <w:tr>
        <w:trPr>
          <w:trHeight w:val="21"/>
        </w:trPr>
        <w:tc>
          <w:tcPr>
            <w:tcW w:w="5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trade accounts receivable:</w:t>
      </w:r>
    </w:p>
    <w:p>
      <w:pPr>
        <w:spacing w:after="0" w:line="291"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21590</wp:posOffset>
            </wp:positionV>
            <wp:extent cx="2091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6" w:lineRule="exact"/>
        <w:rPr>
          <w:sz w:val="20"/>
          <w:szCs w:val="20"/>
          <w:color w:val="auto"/>
        </w:rPr>
      </w:pPr>
    </w:p>
    <w:p>
      <w:pPr>
        <w:ind w:left="8540"/>
        <w:spacing w:after="0"/>
        <w:tabs>
          <w:tab w:leader="none" w:pos="102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40" w:type="dxa"/>
            <w:vAlign w:val="bottom"/>
          </w:tcPr>
          <w:p>
            <w:pPr>
              <w:ind w:left="20"/>
              <w:spacing w:after="0" w:line="203" w:lineRule="exact"/>
              <w:rPr>
                <w:sz w:val="20"/>
                <w:szCs w:val="20"/>
                <w:color w:val="auto"/>
              </w:rPr>
            </w:pPr>
            <w:r>
              <w:rPr>
                <w:rFonts w:ascii="Arial" w:cs="Arial" w:eastAsia="Arial" w:hAnsi="Arial"/>
                <w:sz w:val="18"/>
                <w:szCs w:val="18"/>
                <w:color w:val="auto"/>
              </w:rPr>
              <w:t>BCS</w:t>
            </w:r>
          </w:p>
        </w:tc>
        <w:tc>
          <w:tcPr>
            <w:tcW w:w="60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9,347</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5,171</w:t>
            </w:r>
          </w:p>
        </w:tc>
      </w:tr>
      <w:tr>
        <w:trPr>
          <w:trHeight w:val="21"/>
        </w:trPr>
        <w:tc>
          <w:tcPr>
            <w:tcW w:w="7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There were no cash distributions from our investments for the year ended December 31, 2020. We recorded cash distributions from our investments of $2.7 million and $10.0 million, respectively, for the years ended December 31, 2019 and 2018. These cash distributions were determined to be a return on investment and reported in </w:t>
      </w:r>
      <w:r>
        <w:rPr>
          <w:rFonts w:ascii="Arial" w:cs="Arial" w:eastAsia="Arial" w:hAnsi="Arial"/>
          <w:sz w:val="18"/>
          <w:szCs w:val="18"/>
          <w:i w:val="1"/>
          <w:iCs w:val="1"/>
          <w:color w:val="auto"/>
        </w:rPr>
        <w:t>Net cash flows from operating activities</w:t>
      </w:r>
      <w:r>
        <w:rPr>
          <w:rFonts w:ascii="Arial" w:cs="Arial" w:eastAsia="Arial" w:hAnsi="Arial"/>
          <w:sz w:val="18"/>
          <w:szCs w:val="18"/>
          <w:color w:val="auto"/>
        </w:rPr>
        <w:t xml:space="preserve"> in the Consolidated Statements of Cash Flows. Additionally, we recorded an additional dividend from our investments of $2.3 million for the year ended December 31, 2019 that was considered a return of investment and reported in </w:t>
      </w:r>
      <w:r>
        <w:rPr>
          <w:rFonts w:ascii="Arial" w:cs="Arial" w:eastAsia="Arial" w:hAnsi="Arial"/>
          <w:sz w:val="18"/>
          <w:szCs w:val="18"/>
          <w:i w:val="1"/>
          <w:iCs w:val="1"/>
          <w:color w:val="auto"/>
        </w:rPr>
        <w:t>Net cash flows from investing activities</w:t>
      </w:r>
      <w:r>
        <w:rPr>
          <w:rFonts w:ascii="Arial" w:cs="Arial" w:eastAsia="Arial" w:hAnsi="Arial"/>
          <w:sz w:val="18"/>
          <w:szCs w:val="18"/>
          <w:color w:val="auto"/>
        </w:rPr>
        <w:t xml:space="preserve"> in the Consolidated Statements of Cash Flows. There were no returns of investment during the years ended December 31, 2020 and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 Investments</w:t>
      </w:r>
    </w:p>
    <w:p>
      <w:pPr>
        <w:spacing w:after="0" w:line="25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following table presents reductions to the carrying amount of our investments based on circumstances that indicated the fair value of the investments was less than their carry amount: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on investments, net</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Other Debt Investments, Net</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57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740" w:type="dxa"/>
            <w:vAlign w:val="bottom"/>
          </w:tcPr>
          <w:p>
            <w:pPr>
              <w:spacing w:after="0"/>
              <w:rPr>
                <w:sz w:val="20"/>
                <w:szCs w:val="20"/>
                <w:color w:val="auto"/>
              </w:rPr>
            </w:pPr>
            <w:r>
              <w:rPr>
                <w:rFonts w:ascii="Arial" w:cs="Arial" w:eastAsia="Arial" w:hAnsi="Arial"/>
                <w:sz w:val="18"/>
                <w:szCs w:val="18"/>
                <w:color w:val="auto"/>
              </w:rPr>
              <w:t>The following table presents our other debt investments, net:</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71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debt investments, net:</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Cost basis</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114,903</w:t>
            </w:r>
          </w:p>
        </w:tc>
        <w:tc>
          <w:tcPr>
            <w:tcW w:w="58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102,878</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(10,309)</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Allowance for credit losses</w:t>
            </w:r>
          </w:p>
        </w:tc>
        <w:tc>
          <w:tcPr>
            <w:tcW w:w="1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other debt investments, net</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102,205</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00" w:type="dxa"/>
            <w:vAlign w:val="bottom"/>
          </w:tcPr>
          <w:p>
            <w:pPr>
              <w:spacing w:after="0"/>
              <w:rPr>
                <w:sz w:val="20"/>
                <w:szCs w:val="20"/>
                <w:color w:val="auto"/>
              </w:rPr>
            </w:pPr>
            <w:r>
              <w:rPr>
                <w:rFonts w:ascii="Arial" w:cs="Arial" w:eastAsia="Arial" w:hAnsi="Arial"/>
                <w:sz w:val="18"/>
                <w:szCs w:val="18"/>
                <w:color w:val="auto"/>
              </w:rPr>
              <w:t>The following table presents the activity in our allowance for credit losses for these investments:</w:t>
            </w: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442"/>
        </w:trPr>
        <w:tc>
          <w:tcPr>
            <w:tcW w:w="9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jc w:val="right"/>
              <w:ind w:right="210"/>
              <w:spacing w:after="0"/>
              <w:rPr>
                <w:sz w:val="20"/>
                <w:szCs w:val="20"/>
                <w:color w:val="auto"/>
              </w:rPr>
            </w:pPr>
            <w:r>
              <w:rPr>
                <w:rFonts w:ascii="Arial" w:cs="Arial" w:eastAsia="Arial" w:hAnsi="Arial"/>
                <w:sz w:val="18"/>
                <w:szCs w:val="18"/>
                <w:b w:val="1"/>
                <w:bCs w:val="1"/>
                <w:color w:val="auto"/>
              </w:rPr>
              <w:t>For the year ended</w:t>
            </w:r>
          </w:p>
        </w:tc>
      </w:tr>
      <w:tr>
        <w:trPr>
          <w:trHeight w:val="229"/>
        </w:trPr>
        <w:tc>
          <w:tcPr>
            <w:tcW w:w="90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the beginning of the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Credit Losses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2,513</w:t>
            </w:r>
          </w:p>
        </w:tc>
      </w:tr>
      <w:tr>
        <w:trPr>
          <w:trHeight w:val="229"/>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Deductions</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r>
      <w:tr>
        <w:trPr>
          <w:trHeight w:val="20"/>
        </w:trPr>
        <w:tc>
          <w:tcPr>
            <w:tcW w:w="9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160" w:hanging="152"/>
        <w:spacing w:after="0"/>
        <w:tabs>
          <w:tab w:leader="none" w:pos="16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 xml:space="preserve">The impact of adopting ASC 326 on January 1, 2020 was a $2.1 million adjustment to </w:t>
      </w:r>
      <w:r>
        <w:rPr>
          <w:rFonts w:ascii="Arial" w:cs="Arial" w:eastAsia="Arial" w:hAnsi="Arial"/>
          <w:sz w:val="14"/>
          <w:szCs w:val="14"/>
          <w:i w:val="1"/>
          <w:iCs w:val="1"/>
          <w:color w:val="auto"/>
        </w:rPr>
        <w:t>Accumulated earnings (losses)</w:t>
      </w:r>
      <w:r>
        <w:rPr>
          <w:rFonts w:ascii="Arial" w:cs="Arial" w:eastAsia="Arial" w:hAnsi="Arial"/>
          <w:sz w:val="14"/>
          <w:szCs w:val="14"/>
          <w:color w:val="auto"/>
        </w:rPr>
        <w:t>.</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The following table presents the interest income, net related to our debt investments, net:</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495"/>
        </w:trPr>
        <w:tc>
          <w:tcPr>
            <w:tcW w:w="7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79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0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net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9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14,736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Credit losses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40" w:type="dxa"/>
            <w:vAlign w:val="bottom"/>
          </w:tcPr>
          <w:p>
            <w:pPr>
              <w:ind w:left="460"/>
              <w:spacing w:after="0"/>
              <w:rPr>
                <w:sz w:val="20"/>
                <w:szCs w:val="20"/>
                <w:color w:val="auto"/>
              </w:rPr>
            </w:pPr>
            <w:r>
              <w:rPr>
                <w:rFonts w:ascii="Arial" w:cs="Arial" w:eastAsia="Arial" w:hAnsi="Arial"/>
                <w:sz w:val="18"/>
                <w:szCs w:val="18"/>
                <w:color w:val="auto"/>
              </w:rPr>
              <w:t>Total interest income,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14.</w:t>
        <w:tab/>
        <w:t>LONG-TERM DEBT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carrying amount and fair values of our </w:t>
      </w:r>
      <w:r>
        <w:rPr>
          <w:rFonts w:ascii="Arial" w:cs="Arial" w:eastAsia="Arial" w:hAnsi="Arial"/>
          <w:sz w:val="18"/>
          <w:szCs w:val="18"/>
          <w:i w:val="1"/>
          <w:iCs w:val="1"/>
          <w:color w:val="auto"/>
        </w:rPr>
        <w:t>Current portion of long-term debt,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Long-term debt, net: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As of December 31,</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37"/>
        </w:trPr>
        <w:tc>
          <w:tcPr>
            <w:tcW w:w="3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Effective</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1040" w:type="dxa"/>
            <w:vAlign w:val="bottom"/>
            <w:tcBorders>
              <w:bottom w:val="single" w:sz="8" w:color="auto"/>
            </w:tcBorders>
          </w:tcPr>
          <w:p>
            <w:pPr>
              <w:spacing w:after="0"/>
              <w:rPr>
                <w:sz w:val="20"/>
                <w:szCs w:val="20"/>
                <w:color w:val="auto"/>
              </w:rPr>
            </w:pPr>
          </w:p>
        </w:tc>
      </w:tr>
      <w:tr>
        <w:trPr>
          <w:trHeight w:val="183"/>
        </w:trPr>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160" w:type="dxa"/>
            <w:vAlign w:val="bottom"/>
            <w:gridSpan w:val="2"/>
          </w:tcPr>
          <w:p>
            <w:pPr>
              <w:jc w:val="center"/>
              <w:ind w:right="100"/>
              <w:spacing w:after="0" w:line="182" w:lineRule="exact"/>
              <w:rPr>
                <w:sz w:val="20"/>
                <w:szCs w:val="20"/>
                <w:color w:val="auto"/>
              </w:rPr>
            </w:pPr>
            <w:r>
              <w:rPr>
                <w:rFonts w:ascii="Arial" w:cs="Arial" w:eastAsia="Arial" w:hAnsi="Arial"/>
                <w:sz w:val="18"/>
                <w:szCs w:val="18"/>
                <w:b w:val="1"/>
                <w:bCs w:val="1"/>
                <w:color w:val="auto"/>
              </w:rPr>
              <w:t>Interest</w:t>
            </w:r>
          </w:p>
        </w:tc>
        <w:tc>
          <w:tcPr>
            <w:tcW w:w="200" w:type="dxa"/>
            <w:vAlign w:val="bottom"/>
          </w:tcPr>
          <w:p>
            <w:pPr>
              <w:spacing w:after="0"/>
              <w:rPr>
                <w:sz w:val="15"/>
                <w:szCs w:val="15"/>
                <w:color w:val="auto"/>
              </w:rPr>
            </w:pPr>
          </w:p>
        </w:tc>
        <w:tc>
          <w:tcPr>
            <w:tcW w:w="1240" w:type="dxa"/>
            <w:vAlign w:val="bottom"/>
            <w:gridSpan w:val="2"/>
          </w:tcPr>
          <w:p>
            <w:pPr>
              <w:jc w:val="center"/>
              <w:ind w:right="300"/>
              <w:spacing w:after="0" w:line="182" w:lineRule="exact"/>
              <w:rPr>
                <w:sz w:val="20"/>
                <w:szCs w:val="20"/>
                <w:color w:val="auto"/>
              </w:rPr>
            </w:pPr>
            <w:r>
              <w:rPr>
                <w:rFonts w:ascii="Arial" w:cs="Arial" w:eastAsia="Arial" w:hAnsi="Arial"/>
                <w:sz w:val="18"/>
                <w:szCs w:val="18"/>
                <w:b w:val="1"/>
                <w:bCs w:val="1"/>
                <w:color w:val="auto"/>
                <w:w w:val="99"/>
              </w:rPr>
              <w:t>Carrying</w:t>
            </w:r>
          </w:p>
        </w:tc>
        <w:tc>
          <w:tcPr>
            <w:tcW w:w="280" w:type="dxa"/>
            <w:vAlign w:val="bottom"/>
          </w:tcPr>
          <w:p>
            <w:pPr>
              <w:spacing w:after="0"/>
              <w:rPr>
                <w:sz w:val="15"/>
                <w:szCs w:val="15"/>
                <w:color w:val="auto"/>
              </w:rPr>
            </w:pPr>
          </w:p>
        </w:tc>
        <w:tc>
          <w:tcPr>
            <w:tcW w:w="1140" w:type="dxa"/>
            <w:vAlign w:val="bottom"/>
            <w:gridSpan w:val="2"/>
          </w:tcPr>
          <w:p>
            <w:pPr>
              <w:jc w:val="center"/>
              <w:ind w:right="380"/>
              <w:spacing w:after="0" w:line="182"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line="182" w:lineRule="exact"/>
              <w:rPr>
                <w:sz w:val="20"/>
                <w:szCs w:val="20"/>
                <w:color w:val="auto"/>
              </w:rPr>
            </w:pPr>
            <w:r>
              <w:rPr>
                <w:rFonts w:ascii="Arial" w:cs="Arial" w:eastAsia="Arial" w:hAnsi="Arial"/>
                <w:sz w:val="18"/>
                <w:szCs w:val="18"/>
                <w:b w:val="1"/>
                <w:bCs w:val="1"/>
                <w:color w:val="auto"/>
                <w:w w:val="99"/>
              </w:rPr>
              <w:t>Carrying</w:t>
            </w:r>
          </w:p>
        </w:tc>
        <w:tc>
          <w:tcPr>
            <w:tcW w:w="280" w:type="dxa"/>
            <w:vAlign w:val="bottom"/>
          </w:tcPr>
          <w:p>
            <w:pPr>
              <w:spacing w:after="0"/>
              <w:rPr>
                <w:sz w:val="15"/>
                <w:szCs w:val="15"/>
                <w:color w:val="auto"/>
              </w:rPr>
            </w:pPr>
          </w:p>
        </w:tc>
        <w:tc>
          <w:tcPr>
            <w:tcW w:w="1040" w:type="dxa"/>
            <w:vAlign w:val="bottom"/>
          </w:tcPr>
          <w:p>
            <w:pPr>
              <w:jc w:val="right"/>
              <w:ind w:right="410"/>
              <w:spacing w:after="0" w:line="182" w:lineRule="exact"/>
              <w:rPr>
                <w:sz w:val="20"/>
                <w:szCs w:val="20"/>
                <w:color w:val="auto"/>
              </w:rPr>
            </w:pPr>
            <w:r>
              <w:rPr>
                <w:rFonts w:ascii="Arial" w:cs="Arial" w:eastAsia="Arial" w:hAnsi="Arial"/>
                <w:sz w:val="18"/>
                <w:szCs w:val="18"/>
                <w:b w:val="1"/>
                <w:bCs w:val="1"/>
                <w:color w:val="auto"/>
              </w:rPr>
              <w:t>Fair</w:t>
            </w:r>
          </w:p>
        </w:tc>
      </w:tr>
      <w:tr>
        <w:trPr>
          <w:trHeight w:val="230"/>
        </w:trPr>
        <w:tc>
          <w:tcPr>
            <w:tcW w:w="3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Rate</w:t>
            </w:r>
          </w:p>
        </w:tc>
        <w:tc>
          <w:tcPr>
            <w:tcW w:w="2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Amount</w:t>
            </w:r>
          </w:p>
        </w:tc>
        <w:tc>
          <w:tcPr>
            <w:tcW w:w="280" w:type="dxa"/>
            <w:vAlign w:val="bottom"/>
          </w:tcPr>
          <w:p>
            <w:pPr>
              <w:spacing w:after="0"/>
              <w:rPr>
                <w:sz w:val="19"/>
                <w:szCs w:val="19"/>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Value</w:t>
            </w:r>
          </w:p>
        </w:tc>
        <w:tc>
          <w:tcPr>
            <w:tcW w:w="2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Amount</w:t>
            </w:r>
          </w:p>
        </w:tc>
        <w:tc>
          <w:tcPr>
            <w:tcW w:w="28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209"/>
        </w:trPr>
        <w:tc>
          <w:tcPr>
            <w:tcW w:w="4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Senior Secured Notes:</w:t>
            </w: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4120" w:type="dxa"/>
            <w:vAlign w:val="bottom"/>
          </w:tcPr>
          <w:p>
            <w:pPr>
              <w:ind w:left="60"/>
              <w:spacing w:after="0"/>
              <w:rPr>
                <w:sz w:val="20"/>
                <w:szCs w:val="20"/>
                <w:color w:val="auto"/>
              </w:rPr>
            </w:pPr>
            <w:r>
              <w:rPr>
                <w:rFonts w:ascii="Arial" w:cs="Arial" w:eastAsia="Arial" w:hAnsi="Arial"/>
                <w:sz w:val="18"/>
                <w:szCs w:val="18"/>
                <w:color w:val="auto"/>
              </w:rPr>
              <w:t>1/4% Senior Secured Notes due 2026</w:t>
            </w:r>
          </w:p>
        </w:tc>
        <w:tc>
          <w:tcPr>
            <w:tcW w:w="1060" w:type="dxa"/>
            <w:vAlign w:val="bottom"/>
          </w:tcPr>
          <w:p>
            <w:pPr>
              <w:jc w:val="center"/>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834,045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825,308</w:t>
            </w:r>
          </w:p>
        </w:tc>
      </w:tr>
      <w:tr>
        <w:trPr>
          <w:trHeight w:val="230"/>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Senior Unsecured Notes:</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4120" w:type="dxa"/>
            <w:vAlign w:val="bottom"/>
          </w:tcPr>
          <w:p>
            <w:pPr>
              <w:ind w:left="60"/>
              <w:spacing w:after="0"/>
              <w:rPr>
                <w:sz w:val="20"/>
                <w:szCs w:val="20"/>
                <w:color w:val="auto"/>
              </w:rPr>
            </w:pPr>
            <w:r>
              <w:rPr>
                <w:rFonts w:ascii="Arial" w:cs="Arial" w:eastAsia="Arial" w:hAnsi="Arial"/>
                <w:sz w:val="18"/>
                <w:szCs w:val="18"/>
                <w:color w:val="auto"/>
              </w:rPr>
              <w:t>5/8% Senior Unsecured Notes due 2021</w:t>
            </w:r>
          </w:p>
        </w:tc>
        <w:tc>
          <w:tcPr>
            <w:tcW w:w="1060" w:type="dxa"/>
            <w:vAlign w:val="bottom"/>
          </w:tcPr>
          <w:p>
            <w:pPr>
              <w:jc w:val="center"/>
              <w:spacing w:after="0"/>
              <w:rPr>
                <w:sz w:val="20"/>
                <w:szCs w:val="20"/>
                <w:color w:val="auto"/>
              </w:rPr>
            </w:pPr>
            <w:r>
              <w:rPr>
                <w:rFonts w:ascii="Arial" w:cs="Arial" w:eastAsia="Arial" w:hAnsi="Arial"/>
                <w:sz w:val="18"/>
                <w:szCs w:val="18"/>
                <w:color w:val="auto"/>
              </w:rPr>
              <w:t>8.028%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924,003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963,783</w:t>
            </w:r>
          </w:p>
        </w:tc>
      </w:tr>
      <w:tr>
        <w:trPr>
          <w:trHeight w:val="229"/>
        </w:trPr>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5/8% Senior Unsecured Notes due 2026</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6.667%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833,903</w:t>
            </w: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Less: Unamortized debt issuance costs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0" w:type="dxa"/>
            <w:vAlign w:val="bottom"/>
            <w:tcBorders>
              <w:top w:val="single" w:sz="8" w:color="CCEEFF"/>
            </w:tcBorders>
            <w:shd w:val="clear" w:color="auto" w:fill="CCEEFF"/>
          </w:tcPr>
          <w:p>
            <w:pPr>
              <w:spacing w:after="0"/>
              <w:rPr>
                <w:sz w:val="19"/>
                <w:szCs w:val="19"/>
                <w:color w:val="auto"/>
              </w:rPr>
            </w:pPr>
          </w:p>
        </w:tc>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0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2,393,493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2,610,858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2,389,168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2,622,994</w:t>
            </w:r>
          </w:p>
        </w:tc>
      </w:tr>
      <w:tr>
        <w:trPr>
          <w:trHeight w:val="230"/>
        </w:trPr>
        <w:tc>
          <w:tcPr>
            <w:tcW w:w="34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Less: Current portion, net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(898,237)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(924,003)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41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debt, net</w:t>
            </w: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1,495,256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2,389,168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2,622,994</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Senior Unsecured Notes</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1, 2011, HSSC issued $900.0 million aggregate principal amount of 7 5/8% Senior Unsecured Notes due 2021 (the “2021 Senior Unsecured Notes,”) at an issue price of 100.0%, pursuant to an Unsecured Indenture dated June 1, 2011 (the “2011 Indenture”). The 2021 Senior Unsecured Notes mature on June 15, 2021. Interest accrues at an annual rate of 7 5/8% and is payable semi-annually in cash, in arrears on June 15 and December 15 of each year.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Senior Secured Notes and 2026 Senior Unsecured Notes</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27, 2016, HSSC issued $ 750.0 million aggregate principal amount of 5 1/4% Senior Secured Notes due 2026 (the “2026 Senior Secured Notes”) at an issue price of 100.0%, pursuant to an indenture dated July 27, 2016 (the “2016 Secured Indenture”) and $750.0 million aggregate principal amount of 6 5/8% Senior Unsecured Notes due 2026 (the “2026 Senior Unsecured Notes” and, together with the 2021 Senior Unsecured Notes, the “Unsecured Notes”) at an issue price of 100.0%, pursuant to an indenture dated July 27, 2016 (together with the 2011 Indenture and the 2016 Secured Indenture, the “Indentures”). The 2021 Senior Unsecured Notes, the 2026 Senior Secured Notes and the 2026 Senior Unsecured Notes are referred to collectively as the “Notes” and individually as a series of the Notes. The 2026 Senior Secured Notes and the 2026 Senior Unsecured Notes (collectively, the “2026 Notes”) mature on August 1, 2026. Interest on the 2026 Senior Secured Notes accrue at an annual rate of 5 1/4% and interest on the 2026 Senior Unsecured Notes accrues at an annual rate of 6 5/8%. Interest on the 2026 Notes are payable semi-annually in cash, in arrears, on February 1 and August 1 of each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Relating to the Notes</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Each series of the Notes is redeemable, in whole or in part, at any time at a redemption price equal to 100.0% of the principal amount thereof plus a “make-whole” premium, as defined in the applicable Indenture, together with accrued and unpaid interest, if any, to the date of redemption.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2026 Senior Secured Notes are:</w:t>
      </w:r>
    </w:p>
    <w:p>
      <w:pPr>
        <w:spacing w:after="0" w:line="252"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secured obligations of HSSC;</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secured by security interests in substantially all existing and future tangible and intangible assets of HSSC and certain of its subsidiaries on a first priority basis, subject to certain exceptions;</w:t>
      </w:r>
    </w:p>
    <w:p>
      <w:pPr>
        <w:spacing w:after="0" w:line="9"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effectively junior to HSSC’s obligations that are secured by assets that are not part of the collateral that secures the 2026 Senior Secured Notes, in each case, to the extent of the value of the collateral securing such obligations;</w:t>
      </w:r>
    </w:p>
    <w:p>
      <w:pPr>
        <w:spacing w:after="0" w:line="9"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effectively senior to HSSC’s existing and future unsecured obligations to the extent of the value of the collateral securing the 2026 Senior Secured Notes, after giving effect to permitted liens as provided in the 2016 Secured Indenture;</w:t>
      </w:r>
    </w:p>
    <w:p>
      <w:pPr>
        <w:spacing w:after="0" w:line="9"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senior in right of payment to all existing and future obligations of HSSC that are expressly subordinated to the 2026 Senior Secured Notes;</w:t>
      </w:r>
    </w:p>
    <w:p>
      <w:pPr>
        <w:spacing w:after="0" w:line="9"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structurally junior to any existing and future obligations of any of HSSC’s subsidiaries that do not guarantee the 2026 Senior Secured Notes; and</w:t>
      </w:r>
    </w:p>
    <w:p>
      <w:pPr>
        <w:spacing w:after="0" w:line="9"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unconditionally guaranteed, jointly and severally, on a general senior secured basis by certain of our HSSC’s subsidiaries, which guarantees rank equally with all of the guarantors’ existing and future unsubordinated indebtedness and effectively senior to such guarantors’ existing and future obligations to the extent of the value of the assets securing the 2026 Senior Secured Notes.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Unsecured Notes are:</w:t>
      </w:r>
    </w:p>
    <w:p>
      <w:pPr>
        <w:spacing w:after="0" w:line="25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unsecured senior obligations of HSSC;</w:t>
      </w:r>
    </w:p>
    <w:p>
      <w:pPr>
        <w:spacing w:after="0" w:line="90"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ranked equally with all existing and future unsubordinated indebtedness (including as between the 2021 Senior Unsecured Notes and the 2026 Senior Unsecured Notes) and effectively junior to any secured indebtedness up to the value of the assets securing such indebtedness;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effectively junior to HSSC’s obligations that are secured to the extent of the value of the collateral securing such obligations;</w:t>
      </w:r>
    </w:p>
    <w:p>
      <w:pPr>
        <w:spacing w:after="0" w:line="90"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senior in right of payment to all existing and future obligations of HSSC that are expressly subordinated to the respective Unsecured Notes;</w:t>
      </w:r>
    </w:p>
    <w:p>
      <w:pPr>
        <w:spacing w:after="0" w:line="9"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structurally junior to any existing and future obligations of any of HSSC’s subsidiaries that do not guarantee the respective Unsecured Notes;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660" w:right="20" w:hanging="328"/>
        <w:spacing w:after="0" w:line="27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unconditionally guaranteed, jointly and severally, on a general senior secured basis by certain of HSSC’s subsidiaries, which guarantees rank equally with all of the guarantors’ existing and future unsubordinated indebtedness, and effectively junior to any secured indebtedness of the guarantors up to the value of the assets securing such indebtedness.</w:t>
      </w:r>
    </w:p>
    <w:p>
      <w:pPr>
        <w:spacing w:after="0" w:line="27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Subject to certain exceptions, the Indentures contain restrictive covenants that, among other things, impose limitations on HSSC’s ability and, in certain instances, the ability of certain of HSSC’s subsidiaries to:</w:t>
      </w:r>
    </w:p>
    <w:p>
      <w:pPr>
        <w:spacing w:after="0" w:line="17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 dividends or make distributions on HSSC’s or their capital stock or repurchase HSSC’s or their capital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transfer and sell assets;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allow to exist certain restrictions on its or their ability to pay dividends, make distributions, make other payments, or transfer assets.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the event of a Change of Control, as defined in the respective Indentures, HSSC would be required to make an offer to repurchase all or any part of a holder’s Notes at a purchase price equal to 101.0% of the aggregate principal amount thereof, together with accrued and unpaid interest to the date of repurchase.</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Indentures provide for customary events of default for each series of the Notes, including, among other things, non-payment, breach of the covenants in the applicable Indentures, payment defaults or acceleration of other indebtedness, a failure to pay certain judgments and certain events of bankruptcy, insolvency and reorganization. If any event of default occurs and is continuing with respect to any series of the Notes, the trustee or the holders of at least 25.0% in principal amount of the then outstanding Notes of such series may declare all the Notes of such series to be due and payable immediately, together with any accrued and unpaid interest.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For the years ended December 31, 2020, 2019 and 2018, we amortized $4.3 million, $5.9 million and $ 7.9 million, respectively, of debt issuance costs incurred for all debt issuances, which are included in </w:t>
      </w:r>
      <w:r>
        <w:rPr>
          <w:rFonts w:ascii="Arial" w:cs="Arial" w:eastAsia="Arial" w:hAnsi="Arial"/>
          <w:sz w:val="18"/>
          <w:szCs w:val="18"/>
          <w:i w:val="1"/>
          <w:iCs w:val="1"/>
          <w:color w:val="auto"/>
        </w:rPr>
        <w:t>Interest expense, net of amounts capitalized</w:t>
      </w:r>
      <w:r>
        <w:rPr>
          <w:rFonts w:ascii="Arial" w:cs="Arial" w:eastAsia="Arial" w:hAnsi="Arial"/>
          <w:sz w:val="18"/>
          <w:szCs w:val="18"/>
          <w:color w:val="auto"/>
        </w:rPr>
        <w:t xml:space="preserve"> in the Consolidated Statements of Operations.</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INCOME TAXES</w:t>
      </w:r>
    </w:p>
    <w:p>
      <w:pPr>
        <w:spacing w:after="0" w:line="25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Income (loss) from continuing operations before income taxes</w:t>
      </w:r>
      <w:r>
        <w:rPr>
          <w:rFonts w:ascii="Arial" w:cs="Arial" w:eastAsia="Arial" w:hAnsi="Arial"/>
          <w:sz w:val="18"/>
          <w:szCs w:val="18"/>
          <w:color w:val="auto"/>
        </w:rPr>
        <w:t xml:space="preserve"> in the Consolidated Statements of Operations: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33,176</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(213,460)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(158,962)</w:t>
            </w: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(loss) from continuing operations before income taxes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(125,786)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Income tax benefit (provision), net</w:t>
      </w:r>
      <w:r>
        <w:rPr>
          <w:rFonts w:ascii="Arial" w:cs="Arial" w:eastAsia="Arial" w:hAnsi="Arial"/>
          <w:sz w:val="18"/>
          <w:szCs w:val="18"/>
          <w:color w:val="auto"/>
        </w:rPr>
        <w:t>, in the Consolidated Statements of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benefit (provision),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(5,089)</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(1,476)</w:t>
            </w: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r>
      <w:tr>
        <w:trPr>
          <w:trHeight w:val="230"/>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r>
      <w:tr>
        <w:trPr>
          <w:trHeight w:val="223"/>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benefit (provision),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16"/>
        </w:trPr>
        <w:tc>
          <w:tcPr>
            <w:tcW w:w="5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benefit (provision),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(9,707)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(7,511)</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6,857</w:t>
            </w: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w:t>
            </w:r>
          </w:p>
        </w:tc>
      </w:tr>
      <w:tr>
        <w:trPr>
          <w:trHeight w:val="230"/>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23"/>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benefit (provision), net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(7,291)</w:t>
            </w:r>
          </w:p>
        </w:tc>
      </w:tr>
      <w:tr>
        <w:trPr>
          <w:trHeight w:val="223"/>
        </w:trPr>
        <w:tc>
          <w:tcPr>
            <w:tcW w:w="5740" w:type="dxa"/>
            <w:vAlign w:val="bottom"/>
          </w:tcPr>
          <w:p>
            <w:pPr>
              <w:ind w:left="680"/>
              <w:spacing w:after="0"/>
              <w:rPr>
                <w:sz w:val="20"/>
                <w:szCs w:val="20"/>
                <w:color w:val="auto"/>
              </w:rPr>
            </w:pPr>
            <w:r>
              <w:rPr>
                <w:rFonts w:ascii="Arial" w:cs="Arial" w:eastAsia="Arial" w:hAnsi="Arial"/>
                <w:sz w:val="18"/>
                <w:szCs w:val="18"/>
                <w:color w:val="auto"/>
              </w:rPr>
              <w:t>Total income tax benefit (provision), net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(20,488)</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(6,576)</w:t>
            </w:r>
          </w:p>
        </w:tc>
      </w:tr>
      <w:tr>
        <w:trPr>
          <w:trHeight w:val="21"/>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actual tax provisions reconciled to the amounts computed by applying the statutory federal tax rate to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(loss) from continuing operations before income taxes </w:t>
      </w:r>
      <w:r>
        <w:rPr>
          <w:rFonts w:ascii="Arial" w:cs="Arial" w:eastAsia="Arial" w:hAnsi="Arial"/>
          <w:sz w:val="18"/>
          <w:szCs w:val="18"/>
          <w:color w:val="auto"/>
        </w:rPr>
        <w:t>in the Consolidated Statements of Operations :</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26,415</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State income taxes, net of federal provision (benefit)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(8,137)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(10,519)</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12,453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7,825</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(50,118)</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Rates different than statutory</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18,786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20,254</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Withholding tax</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income tax benefit (provision), net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The following table presents the components of our deferred tax assets and liabilities: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347"/>
        </w:trPr>
        <w:tc>
          <w:tcPr>
            <w:tcW w:w="79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Net operating losses, credit and other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274,894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289,353</w:t>
            </w: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losses on investments, net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39,018</w:t>
            </w: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19,660</w:t>
            </w: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w:t>
            </w:r>
          </w:p>
        </w:tc>
      </w:tr>
      <w:tr>
        <w:trPr>
          <w:trHeight w:val="229"/>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28,163</w:t>
            </w:r>
          </w:p>
        </w:tc>
      </w:tr>
      <w:tr>
        <w:trPr>
          <w:trHeight w:val="223"/>
        </w:trPr>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381,966</w:t>
            </w:r>
          </w:p>
        </w:tc>
      </w:tr>
      <w:tr>
        <w:trPr>
          <w:trHeight w:val="229"/>
        </w:trPr>
        <w:tc>
          <w:tcPr>
            <w:tcW w:w="79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(181,032)</w:t>
            </w:r>
          </w:p>
        </w:tc>
      </w:tr>
      <w:tr>
        <w:trPr>
          <w:trHeight w:val="223"/>
        </w:trPr>
        <w:tc>
          <w:tcPr>
            <w:tcW w:w="7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tax assets after valuation allowance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200,934</w:t>
            </w:r>
          </w:p>
        </w:tc>
      </w:tr>
      <w:tr>
        <w:trPr>
          <w:trHeight w:val="196"/>
        </w:trPr>
        <w:tc>
          <w:tcPr>
            <w:tcW w:w="7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(514,091)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(544,158)</w:t>
            </w: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r>
      <w:tr>
        <w:trPr>
          <w:trHeight w:val="223"/>
        </w:trPr>
        <w:tc>
          <w:tcPr>
            <w:tcW w:w="7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(545,375)</w:t>
            </w:r>
          </w:p>
        </w:tc>
      </w:tr>
      <w:tr>
        <w:trPr>
          <w:trHeight w:val="248"/>
        </w:trPr>
        <w:tc>
          <w:tcPr>
            <w:tcW w:w="79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net deferred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(344,441)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 foreign jurisdiction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deferred tax liability domestic</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(351,692)</w:t>
            </w:r>
          </w:p>
        </w:tc>
      </w:tr>
      <w:tr>
        <w:trPr>
          <w:trHeight w:val="248"/>
        </w:trPr>
        <w:tc>
          <w:tcPr>
            <w:tcW w:w="79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net deferred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(344,441)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Overall, our net deferred tax assets were offset by a valuation allowance of $225.6 million and $181.0 million as of December 31, 2020 and 2019, respectively. The change in the valuation allowance primarily relates to an increase in the net operating loss carryforwards of certain foreign subsidiaries and a decrease associated with unrealized gains that are capital in nature.</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Tax benefits of net operating loss and tax credit carryforwards are evaluated on an ongoing basis, including a review of historical and projected future operating results, the eligible carryforward period, and other circumstances. As of December 31, 2020, we had net operating loss carryforwards of $657.5 million, including $ 521.2 million of foreign net operating loss carryforwards. A substantial portion of these net operating loss carryforwards will begin to expire in 2037. As of December 31, 2020, we have tax credit carryforwards of $ 148.0 million and $103.4 million for federal and state income tax purposes, respectively. If not utilized, the federal tax credit carryforwards will begin to expire in 2024 and the state tax credit carryforwards begin to expire in 2020.</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As of December 31, 2020, we had undistributed earnings attributable to foreign subsidiaries for which no provision for U.S. income taxes or foreign withholding taxes has been made because it is expected that such earnings will be reinvested outside the U.S. indefinitely. It is not practicable to determine the amount of the unrecognized deferred tax liability at this time. However, due to the one-time transition tax on the deemed repatriation of post-1986 undistributed foreign subsidiary earnings, the majority of previously unremitted earnings have now been subjected to U.S. federal income tax. As of December 31, 2020 and 2019, we had net deferred tax assets related to our foreign subsidiaries of $1.8 million and $7.3 million, respectively, which were recorded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Uncertainty in Income Taxes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filing U.S. federal income tax returns, we file income tax returns in all states that impose an income tax. As of December 31, 2020, we are not currently under a U.S. federal income tax examination. However, the IRS could perform tax examinations on years as early as tax year 2008. We are also subject to frequent state income tax audits and have open state examinations on years as early as 2008. We also file income tax returns in the United Kingdom, Brazil, India and a number of other foreign jurisdictions. We generally are open to income tax examination in these foreign jurisdictions for taxable years beginning in 2003. As of December 31, 2020, we are currently being audited by the Indian tax authorities for fiscal years 2003 through 2018. We have no other on-going significant income tax examinations in process in our foreign jurisdictions.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the beginning and ending amount of unrecognized income tax benefits: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 balance as of beginning of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63,296</w:t>
            </w: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Additions based on tax positions related to the current year</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4,361</w:t>
            </w: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based on tax positions related to prior years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Reductions based on tax positions related to prior years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48"/>
        </w:trPr>
        <w:tc>
          <w:tcPr>
            <w:tcW w:w="57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Balance as of end of period</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of December 31, 2020 and 2019, we had $150.1 million and $70.4 million, respectively, of unrecognized income tax benefits, all of which, if recognized, would affect our effective tax rate. Additions based on tax positions related to prior years in 2020 include amounts in our deferred tax assets previously considered contingent liabilities related to combined state filings with DISH Network. During 2020, we and DISH Network concluded that combined state filings were no longer required. The amounts have been added to this schedule to reflect the change in filing status.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2020, 2019 and 2018, our income tax provision included an insignificant amount of interest and penalties.</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Coronavirus Aid, Relief, and Economic Security Act (the “CARES Act”) was enacted in March 2020. The CARES Act features significant tax provisions and other measures to assist individuals and businesses impacted by the economic effects of the COVID-19 pandemic, including a five-year carryback of net operating losses, relaxation of Section 163(j) interest deduction limitations, acceleration of Alternative Minimum Tax refunds, relief for payroll tax and tax credits for employers who retain employees. These provisions did not affect our income tax provision for the year ended December 31, 2020.</w:t>
      </w:r>
    </w:p>
    <w:p>
      <w:pPr>
        <w:spacing w:after="0" w:line="20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board of directors is authorized to issue preferred stock and may divide such preferred stock into series and, with respect to each series, to determine the preferences and rights and the qualifications, limitations or restrictions of the series, including the dividend rights, conversion rights, voting rights, redemption rights and terms, liquidation preferences, sinking fund provisions, the number of shares constituting the series and the designation of such series. Our board of directors may, without stockholder approval, issue additional preferred stock of existing or new series with voting and other rights that could adversely affect the voting power of the holders of common stock and could have certain anti-takeover effects.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Class A, Class B, and Class C common stock are equivalent except for voting rights. Holders of Class A and Class C common stock are entitled to one vote per share and holders of Class B common stock are entitled to 10 votes per share. Upon a change in control of the Company, each holder of outstanding shares of Class C common stock is entitled to 10 votes for each share of Class C common stock held. Each share of Class B and Class C common stock is convertible, at the option of the holder, into one share of Class A common stock. Charles W. Ergen, our Chairman, and certain entities established for the benefit of his family beneficially own all outstanding Class B common stock. There are no shares of Class C common stock outstanding.</w:t>
      </w:r>
    </w:p>
    <w:p>
      <w:pPr>
        <w:spacing w:after="0" w:line="17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Any holder of Class D common stock is not entitled to a vote on any matter or to convert the shares of Class D common stock into any other class of common stock. There are no shares of Class D common stock outstanding.</w:t>
      </w:r>
    </w:p>
    <w:p>
      <w:pPr>
        <w:spacing w:after="0" w:line="14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Each share of common stock is entitled to receive its pro rata share, based upon the number of shares of common stock held, of dividends and distributions upon liquidation.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stock repurchase programs approved by our board of directors, we were authorized to repurchase up to $500.0 million of our outstanding shares of Class A common stock through and including December 31, 2020. The following table presents information with respect to purchases made by the Company: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36"/>
              <w:spacing w:after="0" w:line="135"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Shares (or Units)</w:t>
            </w:r>
          </w:p>
        </w:tc>
        <w:tc>
          <w:tcPr>
            <w:tcW w:w="120" w:type="dxa"/>
            <w:vAlign w:val="bottom"/>
          </w:tcPr>
          <w:p>
            <w:pPr>
              <w:spacing w:after="0"/>
              <w:rPr>
                <w:sz w:val="11"/>
                <w:szCs w:val="11"/>
                <w:color w:val="auto"/>
              </w:rPr>
            </w:pPr>
          </w:p>
        </w:tc>
        <w:tc>
          <w:tcPr>
            <w:tcW w:w="1520" w:type="dxa"/>
            <w:vAlign w:val="bottom"/>
          </w:tcPr>
          <w:p>
            <w:pPr>
              <w:jc w:val="center"/>
              <w:ind w:right="36"/>
              <w:spacing w:after="0" w:line="135" w:lineRule="exact"/>
              <w:rPr>
                <w:sz w:val="20"/>
                <w:szCs w:val="20"/>
                <w:color w:val="auto"/>
              </w:rPr>
            </w:pPr>
            <w:r>
              <w:rPr>
                <w:rFonts w:ascii="Arial" w:cs="Arial" w:eastAsia="Arial" w:hAnsi="Arial"/>
                <w:sz w:val="14"/>
                <w:szCs w:val="14"/>
                <w:b w:val="1"/>
                <w:bCs w:val="1"/>
                <w:color w:val="auto"/>
              </w:rPr>
              <w:t>Value) of Shares (or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 Price Paid</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Purchased as Part of</w:t>
            </w:r>
          </w:p>
        </w:tc>
        <w:tc>
          <w:tcPr>
            <w:tcW w:w="1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Units) That May Yet Be</w:t>
            </w:r>
          </w:p>
        </w:tc>
        <w:tc>
          <w:tcPr>
            <w:tcW w:w="0" w:type="dxa"/>
            <w:vAlign w:val="bottom"/>
          </w:tcPr>
          <w:p>
            <w:pPr>
              <w:spacing w:after="0"/>
              <w:rPr>
                <w:sz w:val="1"/>
                <w:szCs w:val="1"/>
                <w:color w:val="auto"/>
              </w:rPr>
            </w:pPr>
          </w:p>
        </w:tc>
      </w:tr>
      <w:tr>
        <w:trPr>
          <w:trHeight w:val="135"/>
        </w:trPr>
        <w:tc>
          <w:tcPr>
            <w:tcW w:w="47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Shares (or Units)</w:t>
            </w:r>
          </w:p>
        </w:tc>
        <w:tc>
          <w:tcPr>
            <w:tcW w:w="1580" w:type="dxa"/>
            <w:vAlign w:val="bottom"/>
            <w:gridSpan w:val="3"/>
            <w:vMerge w:val="continue"/>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Publicly Disclosed</w:t>
            </w:r>
          </w:p>
        </w:tc>
        <w:tc>
          <w:tcPr>
            <w:tcW w:w="1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5"/>
        </w:trPr>
        <w:tc>
          <w:tcPr>
            <w:tcW w:w="4760" w:type="dxa"/>
            <w:vAlign w:val="bottom"/>
            <w:gridSpan w:val="2"/>
            <w:vMerge w:val="continue"/>
          </w:tcPr>
          <w:p>
            <w:pPr>
              <w:spacing w:after="0"/>
              <w:rPr>
                <w:sz w:val="15"/>
                <w:szCs w:val="15"/>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Purchased</w:t>
            </w: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 Share (or Unit)</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Plans or Program</w:t>
            </w:r>
          </w:p>
        </w:tc>
        <w:tc>
          <w:tcPr>
            <w:tcW w:w="120" w:type="dxa"/>
            <w:vAlign w:val="bottom"/>
          </w:tcPr>
          <w:p>
            <w:pPr>
              <w:spacing w:after="0"/>
              <w:rPr>
                <w:sz w:val="15"/>
                <w:szCs w:val="15"/>
                <w:color w:val="auto"/>
              </w:rPr>
            </w:pPr>
          </w:p>
        </w:tc>
        <w:tc>
          <w:tcPr>
            <w:tcW w:w="1520" w:type="dxa"/>
            <w:vAlign w:val="bottom"/>
          </w:tcPr>
          <w:p>
            <w:pPr>
              <w:jc w:val="center"/>
              <w:ind w:right="36"/>
              <w:spacing w:after="0"/>
              <w:rPr>
                <w:sz w:val="20"/>
                <w:szCs w:val="20"/>
                <w:color w:val="auto"/>
              </w:rPr>
            </w:pPr>
            <w:r>
              <w:rPr>
                <w:rFonts w:ascii="Arial" w:cs="Arial" w:eastAsia="Arial" w:hAnsi="Arial"/>
                <w:sz w:val="14"/>
                <w:szCs w:val="14"/>
                <w:b w:val="1"/>
                <w:bCs w:val="1"/>
                <w:color w:val="auto"/>
              </w:rPr>
              <w:t>Plans or Program</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2018</w:t>
            </w:r>
          </w:p>
        </w:tc>
        <w:tc>
          <w:tcPr>
            <w:tcW w:w="1520" w:type="dxa"/>
            <w:vAlign w:val="bottom"/>
          </w:tcPr>
          <w:p>
            <w:pPr>
              <w:jc w:val="right"/>
              <w:spacing w:after="0"/>
              <w:rPr>
                <w:sz w:val="20"/>
                <w:szCs w:val="20"/>
                <w:color w:val="auto"/>
              </w:rPr>
            </w:pPr>
            <w:r>
              <w:rPr>
                <w:rFonts w:ascii="Arial" w:cs="Arial" w:eastAsia="Arial" w:hAnsi="Arial"/>
                <w:sz w:val="18"/>
                <w:szCs w:val="18"/>
                <w:color w:val="auto"/>
              </w:rPr>
              <w:t>952,603</w:t>
            </w:r>
          </w:p>
        </w:tc>
        <w:tc>
          <w:tcPr>
            <w:tcW w:w="100" w:type="dxa"/>
            <w:vAlign w:val="bottom"/>
          </w:tcPr>
          <w:p>
            <w:pPr>
              <w:spacing w:after="0"/>
              <w:rPr>
                <w:sz w:val="19"/>
                <w:szCs w:val="19"/>
                <w:color w:val="auto"/>
              </w:rPr>
            </w:pPr>
          </w:p>
        </w:tc>
        <w:tc>
          <w:tcPr>
            <w:tcW w:w="540" w:type="dxa"/>
            <w:vAlign w:val="bottom"/>
          </w:tcPr>
          <w:p>
            <w:pPr>
              <w:jc w:val="right"/>
              <w:ind w:right="339"/>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34.95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952,603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466,708</w:t>
            </w: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Q4 Repurchase Authorization </w:t>
            </w:r>
            <w:r>
              <w:rPr>
                <w:rFonts w:ascii="Arial" w:cs="Arial" w:eastAsia="Arial" w:hAnsi="Arial"/>
                <w:sz w:val="23"/>
                <w:szCs w:val="23"/>
                <w:color w:val="auto"/>
                <w:vertAlign w:val="superscript"/>
              </w:rPr>
              <w:t>(1)</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2019</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2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1,905,906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1,905,906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456,542</w:t>
            </w:r>
          </w:p>
        </w:tc>
        <w:tc>
          <w:tcPr>
            <w:tcW w:w="0" w:type="dxa"/>
            <w:vAlign w:val="bottom"/>
          </w:tcPr>
          <w:p>
            <w:pPr>
              <w:spacing w:after="0"/>
              <w:rPr>
                <w:sz w:val="1"/>
                <w:szCs w:val="1"/>
                <w:color w:val="auto"/>
              </w:rPr>
            </w:pPr>
          </w:p>
        </w:tc>
      </w:tr>
      <w:tr>
        <w:trPr>
          <w:trHeight w:val="223"/>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2,858,509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2,858,509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456,542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left="80" w:firstLine="9"/>
        <w:spacing w:after="0" w:line="258" w:lineRule="auto"/>
        <w:tabs>
          <w:tab w:leader="none" w:pos="234" w:val="left"/>
        </w:tabs>
        <w:numPr>
          <w:ilvl w:val="0"/>
          <w:numId w:val="56"/>
        </w:numPr>
        <w:rPr>
          <w:rFonts w:ascii="Arial" w:cs="Arial" w:eastAsia="Arial" w:hAnsi="Arial"/>
          <w:sz w:val="17"/>
          <w:szCs w:val="17"/>
          <w:color w:val="auto"/>
          <w:vertAlign w:val="superscript"/>
        </w:rPr>
      </w:pPr>
      <w:r>
        <w:rPr>
          <w:rFonts w:ascii="Arial" w:cs="Arial" w:eastAsia="Arial" w:hAnsi="Arial"/>
          <w:sz w:val="13"/>
          <w:szCs w:val="13"/>
          <w:color w:val="auto"/>
        </w:rPr>
        <w:t>On October 29, 2019, our Board of Directors authorized us to repurchase up to $500.0 million of our Class A common stock through and including December 31, 2020. Purchases under our repurchase authorization may be made through privately negotiated transactions, open market repurchases, one or more trading plans in accordance with Rule 10b5-1 under the Securities Exchange Act of 1934, as amended, or otherwise, subject to market conditions and other factors. We may elect to purchase some or all, or not to purchase the maximum amount or any of, the remaining shares allowable under this program and we may also enter into additional share repurchase programs authorized by our Board of Directors. All shares repurchased reflected in the table above have been converted to treasury shares.</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EMPLOYEE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an employee stock purchase plan (the “ESPP”), under which we are authorized to issue 5.0 million shares of Class A common stock. As of December 31, 2020, we had approximately 1.7 million shares of Class A common stock which remain available for issuance under the ESPP. Generally, all full-time employees who have been employed by EchoStar for at least one calendar quarter are eligible to participate in the ESPP. Employee stock purchases are made through payroll deductions. Under the terms of the ESPP, each employee’s deductions are limited so that the maximum they may purchase under the ESPP is $25,000 in fair value of Class A common stock per year. Stock purchases are made on the last business day of each calendar quarter at 85.0% of the closing price of the Class A common stock on that date. For the years ended December 31, 2020, 2019 and 2018, employee purchases of Class A common stock through the ESPP totaled approximately 452,000 shares, 285,000 shares and 245,000 shares, respectively.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Employee Savings Plans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EchoStar 401(k) Plan (“the Plan”), eligible employees are entitled to contribute up to 75.0% of their eligible compensation, on a pre-tax and/or after-tax basis, subject to the maximum contribution limit provided by the Internal Revenue Code of 1986, as amended (the “Code”). All employee contributions to the Plan are immediately vested. We match 50 cents on the dollar for the first 6.0% of each employee’s salary contributions to the Plan for a total of 3.0% match on a pre-tax basis up to a maximum of $7,500 annually. Our match is calculated each pay period there is an employee contribution. In addition, we may make an annual discretionary contribution to the Plan to be made in cash or our stock. Our contributions under the Plan vest at 20.0% per year and are 100.0% vested after an eligible employee has completed five years of employment. Forfeitures of unvested participant balances may be used to fund matching and discretionary contributions.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matching contributions, discretionary contributions and shares: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Matching contributions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Fair value of discretionary contributions of our Class A common stock,</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740" w:type="dxa"/>
            <w:vAlign w:val="bottom"/>
            <w:vMerge w:val="continue"/>
          </w:tcPr>
          <w:p>
            <w:pPr>
              <w:spacing w:after="0"/>
              <w:rPr>
                <w:sz w:val="10"/>
                <w:szCs w:val="10"/>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6,921</w:t>
            </w:r>
          </w:p>
        </w:tc>
        <w:tc>
          <w:tcPr>
            <w:tcW w:w="100" w:type="dxa"/>
            <w:vAlign w:val="bottom"/>
          </w:tcPr>
          <w:p>
            <w:pPr>
              <w:spacing w:after="0"/>
              <w:rPr>
                <w:sz w:val="10"/>
                <w:szCs w:val="10"/>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6,654</w:t>
            </w:r>
          </w:p>
        </w:tc>
        <w:tc>
          <w:tcPr>
            <w:tcW w:w="120" w:type="dxa"/>
            <w:vAlign w:val="bottom"/>
          </w:tcPr>
          <w:p>
            <w:pPr>
              <w:spacing w:after="0"/>
              <w:rPr>
                <w:sz w:val="10"/>
                <w:szCs w:val="10"/>
                <w:color w:val="auto"/>
              </w:rPr>
            </w:pPr>
          </w:p>
        </w:tc>
        <w:tc>
          <w:tcPr>
            <w:tcW w:w="580" w:type="dxa"/>
            <w:vAlign w:val="bottom"/>
            <w:vMerge w:val="restart"/>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7,605</w:t>
            </w:r>
          </w:p>
        </w:tc>
        <w:tc>
          <w:tcPr>
            <w:tcW w:w="0" w:type="dxa"/>
            <w:vAlign w:val="bottom"/>
          </w:tcPr>
          <w:p>
            <w:pPr>
              <w:spacing w:after="0"/>
              <w:rPr>
                <w:sz w:val="1"/>
                <w:szCs w:val="1"/>
                <w:color w:val="auto"/>
              </w:rPr>
            </w:pPr>
          </w:p>
        </w:tc>
      </w:tr>
      <w:tr>
        <w:trPr>
          <w:trHeight w:val="208"/>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net of forfeitures, under 401(k) plan</w:t>
            </w:r>
          </w:p>
        </w:tc>
        <w:tc>
          <w:tcPr>
            <w:tcW w:w="40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Approximate number of shares</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127,000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stock incentive plans to attract and retain officers, directors, employees, consultants and advisors. Stock awards under these plans may include both performance-based and non-performance-based stock incentives. As of December 31, 2020, we had outstanding stock options to acquire approximately 4.8 million shares of our Class A common stock under these plans. Stock options granted prior to December 31, 2020 were granted with exercise prices equal to or greater than the market value of our Class A common stock at the date of grant or the last trading day prior to the date of grant (if the grant date is not a trading day) and generally with a maximum term of ten years for our officers and employees and five years for our non-employee directors. While we generally issue stock awards subject to vesting, typically over five years, some stock awards have been granted with immediate or longer vesting periods or that vest only upon the achievement of certain performance objectives. Under these plans, we grant to certain of our employees awards of fully vested shares of Class A common stock under our Employee Innovator Recognition Program, which is available to all of our eligible employees. As of December 31, 2020, we had approximately 6.3 million shares of our Class A common stock available for future grant under our stock incentive plans.</w:t>
      </w:r>
    </w:p>
    <w:p>
      <w:pPr>
        <w:spacing w:after="0" w:line="20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 connection with the BSS Transaction, we adjusted stock options that were unexercised and outstanding as of the date of the Distribution, which resulted in an increase in the number of such options and a reduction in the exercise price of such options.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exercise prices for stock options outstanding and exercisable as of December 31,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Options Outstanding</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rPr>
              <w:t>Options Exercisable</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10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16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Average</w:t>
            </w:r>
          </w:p>
        </w:tc>
        <w:tc>
          <w:tcPr>
            <w:tcW w:w="1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1"/>
                <w:szCs w:val="11"/>
                <w:color w:val="auto"/>
              </w:rPr>
            </w:pPr>
          </w:p>
        </w:tc>
        <w:tc>
          <w:tcPr>
            <w:tcW w:w="110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22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Exercise Price Range</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Outstanding as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Contractual Term</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Exercise</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Exercisable as of</w:t>
            </w:r>
          </w:p>
        </w:tc>
        <w:tc>
          <w:tcPr>
            <w:tcW w:w="100" w:type="dxa"/>
            <w:vAlign w:val="bottom"/>
          </w:tcPr>
          <w:p>
            <w:pPr>
              <w:spacing w:after="0"/>
              <w:rPr>
                <w:sz w:val="11"/>
                <w:szCs w:val="11"/>
                <w:color w:val="auto"/>
              </w:rPr>
            </w:pP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Contractual Term</w:t>
            </w:r>
          </w:p>
        </w:tc>
        <w:tc>
          <w:tcPr>
            <w:tcW w:w="220" w:type="dxa"/>
            <w:vAlign w:val="bottom"/>
          </w:tcPr>
          <w:p>
            <w:pPr>
              <w:spacing w:after="0"/>
              <w:rPr>
                <w:sz w:val="11"/>
                <w:szCs w:val="11"/>
                <w:color w:val="auto"/>
              </w:rPr>
            </w:pPr>
          </w:p>
        </w:tc>
        <w:tc>
          <w:tcPr>
            <w:tcW w:w="110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5"/>
        </w:trPr>
        <w:tc>
          <w:tcPr>
            <w:tcW w:w="2200" w:type="dxa"/>
            <w:vAlign w:val="bottom"/>
            <w:gridSpan w:val="2"/>
            <w:vMerge w:val="continue"/>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Price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1100" w:type="dxa"/>
            <w:vAlign w:val="bottom"/>
          </w:tcPr>
          <w:p>
            <w:pPr>
              <w:jc w:val="center"/>
              <w:ind w:right="13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3"/>
        </w:trPr>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$0.00 - $20.00</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29"/>
        </w:trPr>
        <w:tc>
          <w:tcPr>
            <w:tcW w:w="2080" w:type="dxa"/>
            <w:vAlign w:val="bottom"/>
          </w:tcPr>
          <w:p>
            <w:pPr>
              <w:jc w:val="center"/>
              <w:spacing w:after="0"/>
              <w:rPr>
                <w:sz w:val="20"/>
                <w:szCs w:val="20"/>
                <w:color w:val="auto"/>
              </w:rPr>
            </w:pPr>
            <w:r>
              <w:rPr>
                <w:rFonts w:ascii="Arial" w:cs="Arial" w:eastAsia="Arial" w:hAnsi="Arial"/>
                <w:sz w:val="18"/>
                <w:szCs w:val="18"/>
                <w:color w:val="auto"/>
                <w:w w:val="99"/>
              </w:rPr>
              <w:t>$20.01 - $25.00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5,221</w:t>
            </w:r>
          </w:p>
        </w:tc>
        <w:tc>
          <w:tcPr>
            <w:tcW w:w="170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3,221</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$25.01 - $30.00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430,635</w:t>
            </w:r>
          </w:p>
        </w:tc>
        <w:tc>
          <w:tcPr>
            <w:tcW w:w="170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430,635</w:t>
            </w:r>
          </w:p>
        </w:tc>
        <w:tc>
          <w:tcPr>
            <w:tcW w:w="16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29"/>
        </w:trPr>
        <w:tc>
          <w:tcPr>
            <w:tcW w:w="2080" w:type="dxa"/>
            <w:vAlign w:val="bottom"/>
          </w:tcPr>
          <w:p>
            <w:pPr>
              <w:jc w:val="center"/>
              <w:spacing w:after="0"/>
              <w:rPr>
                <w:sz w:val="20"/>
                <w:szCs w:val="20"/>
                <w:color w:val="auto"/>
              </w:rPr>
            </w:pPr>
            <w:r>
              <w:rPr>
                <w:rFonts w:ascii="Arial" w:cs="Arial" w:eastAsia="Arial" w:hAnsi="Arial"/>
                <w:sz w:val="18"/>
                <w:szCs w:val="18"/>
                <w:color w:val="auto"/>
                <w:w w:val="99"/>
              </w:rPr>
              <w:t>$30.01 - $35.00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810,361</w:t>
            </w:r>
          </w:p>
        </w:tc>
        <w:tc>
          <w:tcPr>
            <w:tcW w:w="170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488,397</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$35.01 - $40.00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1,572,812</w:t>
            </w:r>
          </w:p>
        </w:tc>
        <w:tc>
          <w:tcPr>
            <w:tcW w:w="170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506,582</w:t>
            </w:r>
          </w:p>
        </w:tc>
        <w:tc>
          <w:tcPr>
            <w:tcW w:w="16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30"/>
        </w:trPr>
        <w:tc>
          <w:tcPr>
            <w:tcW w:w="2080" w:type="dxa"/>
            <w:vAlign w:val="bottom"/>
          </w:tcPr>
          <w:p>
            <w:pPr>
              <w:jc w:val="center"/>
              <w:spacing w:after="0"/>
              <w:rPr>
                <w:sz w:val="20"/>
                <w:szCs w:val="20"/>
                <w:color w:val="auto"/>
              </w:rPr>
            </w:pPr>
            <w:r>
              <w:rPr>
                <w:rFonts w:ascii="Arial" w:cs="Arial" w:eastAsia="Arial" w:hAnsi="Arial"/>
                <w:sz w:val="18"/>
                <w:szCs w:val="18"/>
                <w:color w:val="auto"/>
                <w:w w:val="99"/>
              </w:rPr>
              <w:t>$40.01 - $45.00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1,025,386</w:t>
            </w:r>
          </w:p>
        </w:tc>
        <w:tc>
          <w:tcPr>
            <w:tcW w:w="170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1,019,235</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$45.01 - $50.00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875,335</w:t>
            </w:r>
          </w:p>
        </w:tc>
        <w:tc>
          <w:tcPr>
            <w:tcW w:w="170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531,357</w:t>
            </w:r>
          </w:p>
        </w:tc>
        <w:tc>
          <w:tcPr>
            <w:tcW w:w="16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$50.01 - $55.00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63,277</w:t>
            </w:r>
          </w:p>
        </w:tc>
        <w:tc>
          <w:tcPr>
            <w:tcW w:w="20" w:type="dxa"/>
            <w:vAlign w:val="bottom"/>
            <w:tcBorders>
              <w:bottom w:val="single" w:sz="8" w:color="auto"/>
            </w:tcBorders>
          </w:tcPr>
          <w:p>
            <w:pPr>
              <w:spacing w:after="0"/>
              <w:rPr>
                <w:sz w:val="19"/>
                <w:szCs w:val="19"/>
                <w:color w:val="auto"/>
              </w:rPr>
            </w:pPr>
          </w:p>
        </w:tc>
        <w:tc>
          <w:tcPr>
            <w:tcW w:w="16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52.69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43,709</w:t>
            </w:r>
          </w:p>
        </w:tc>
        <w:tc>
          <w:tcPr>
            <w:tcW w:w="16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52.71</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4,804,891</w:t>
            </w:r>
          </w:p>
        </w:tc>
        <w:tc>
          <w:tcPr>
            <w:tcW w:w="170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3,045,000</w:t>
            </w:r>
          </w:p>
        </w:tc>
        <w:tc>
          <w:tcPr>
            <w:tcW w:w="16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 Activity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stock option activity: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120" w:type="dxa"/>
            <w:vAlign w:val="bottom"/>
          </w:tcPr>
          <w:p>
            <w:pPr>
              <w:spacing w:after="0"/>
              <w:rPr>
                <w:sz w:val="19"/>
                <w:szCs w:val="19"/>
                <w:color w:val="auto"/>
              </w:rPr>
            </w:pPr>
          </w:p>
        </w:tc>
        <w:tc>
          <w:tcPr>
            <w:tcW w:w="18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157"/>
              <w:spacing w:after="0" w:line="142"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157"/>
              <w:spacing w:after="0" w:line="142"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157"/>
              <w:spacing w:after="0" w:line="142"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Average</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3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1"/>
                <w:szCs w:val="11"/>
                <w:color w:val="auto"/>
              </w:rPr>
            </w:pPr>
          </w:p>
        </w:tc>
        <w:tc>
          <w:tcPr>
            <w:tcW w:w="13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Exercise</w:t>
            </w:r>
          </w:p>
        </w:tc>
        <w:tc>
          <w:tcPr>
            <w:tcW w:w="13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5"/>
        </w:trPr>
        <w:tc>
          <w:tcPr>
            <w:tcW w:w="24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Price</w:t>
            </w:r>
          </w:p>
        </w:tc>
        <w:tc>
          <w:tcPr>
            <w:tcW w:w="1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55"/>
        </w:trPr>
        <w:tc>
          <w:tcPr>
            <w:tcW w:w="24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options outstanding,</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4,812,644</w:t>
            </w: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4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5,013,038</w:t>
            </w: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12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4,951,256</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36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180,500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1,959,597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215,500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51.71</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(1,986,937)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 and canceled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(173,054)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48.99</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155"/>
        </w:trPr>
        <w:tc>
          <w:tcPr>
            <w:tcW w:w="24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options outstanding,</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4,804,891</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00" w:type="dxa"/>
            <w:vAlign w:val="bottom"/>
            <w:vMerge w:val="restart"/>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4,812,644</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2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5,013,038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end of period</w:t>
            </w: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ind w:left="20"/>
              <w:spacing w:after="0"/>
              <w:rPr>
                <w:sz w:val="20"/>
                <w:szCs w:val="20"/>
                <w:color w:val="auto"/>
              </w:rPr>
            </w:pPr>
            <w:r>
              <w:rPr>
                <w:rFonts w:ascii="Arial" w:cs="Arial" w:eastAsia="Arial" w:hAnsi="Arial"/>
                <w:sz w:val="18"/>
                <w:szCs w:val="18"/>
                <w:color w:val="auto"/>
              </w:rPr>
              <w:t>Exercisable at end of period</w:t>
            </w: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20" w:type="dxa"/>
            <w:vAlign w:val="bottom"/>
            <w:vMerge w:val="continue"/>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3,045,000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39.42</w:t>
            </w:r>
          </w:p>
        </w:tc>
        <w:tc>
          <w:tcPr>
            <w:tcW w:w="10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2,510,947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38.76</w:t>
            </w:r>
          </w:p>
        </w:tc>
        <w:tc>
          <w:tcPr>
            <w:tcW w:w="12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3,710,138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additional share-based compensation disclosures: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benefits from stock options exercised</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Aggregate intrinsic value of our stock options exercised</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ind w:right="950"/>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17,101</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20" w:type="dxa"/>
            <w:vAlign w:val="bottom"/>
          </w:tcPr>
          <w:p>
            <w:pPr>
              <w:spacing w:after="0"/>
              <w:rPr>
                <w:sz w:val="20"/>
                <w:szCs w:val="20"/>
                <w:color w:val="auto"/>
              </w:rPr>
            </w:pPr>
            <w:r>
              <w:rPr>
                <w:rFonts w:ascii="Arial" w:cs="Arial" w:eastAsia="Arial" w:hAnsi="Arial"/>
                <w:sz w:val="18"/>
                <w:szCs w:val="18"/>
                <w:b w:val="1"/>
                <w:bCs w:val="1"/>
                <w:color w:val="auto"/>
              </w:rPr>
              <w:t>Stock-Based Compensation</w:t>
            </w: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24"/>
        </w:trPr>
        <w:tc>
          <w:tcPr>
            <w:tcW w:w="6960" w:type="dxa"/>
            <w:vAlign w:val="bottom"/>
            <w:gridSpan w:val="2"/>
          </w:tcPr>
          <w:p>
            <w:pPr>
              <w:spacing w:after="0"/>
              <w:rPr>
                <w:sz w:val="20"/>
                <w:szCs w:val="20"/>
                <w:color w:val="auto"/>
              </w:rPr>
            </w:pPr>
            <w:r>
              <w:rPr>
                <w:rFonts w:ascii="Arial" w:cs="Arial" w:eastAsia="Arial" w:hAnsi="Arial"/>
                <w:sz w:val="18"/>
                <w:szCs w:val="18"/>
                <w:color w:val="auto"/>
              </w:rPr>
              <w:t>The following table presents our total non-cash, stock-based compensation expense:</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7"/>
        </w:trPr>
        <w:tc>
          <w:tcPr>
            <w:tcW w:w="58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40" w:type="dxa"/>
            <w:vAlign w:val="bottom"/>
            <w:tcBorders>
              <w:bottom w:val="single" w:sz="8" w:color="auto"/>
            </w:tcBorders>
          </w:tcPr>
          <w:p>
            <w:pPr>
              <w:spacing w:after="0"/>
              <w:rPr>
                <w:sz w:val="24"/>
                <w:szCs w:val="24"/>
                <w:color w:val="auto"/>
              </w:rPr>
            </w:pPr>
          </w:p>
        </w:tc>
      </w:tr>
      <w:tr>
        <w:trPr>
          <w:trHeight w:val="223"/>
        </w:trPr>
        <w:tc>
          <w:tcPr>
            <w:tcW w:w="58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Stock-based compensation expense:</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820" w:type="dxa"/>
            <w:vAlign w:val="bottom"/>
          </w:tcPr>
          <w:p>
            <w:pPr>
              <w:ind w:left="240"/>
              <w:spacing w:after="0"/>
              <w:rPr>
                <w:sz w:val="20"/>
                <w:szCs w:val="20"/>
                <w:color w:val="auto"/>
              </w:rPr>
            </w:pPr>
            <w:r>
              <w:rPr>
                <w:rFonts w:ascii="Arial" w:cs="Arial" w:eastAsia="Arial" w:hAnsi="Arial"/>
                <w:sz w:val="18"/>
                <w:szCs w:val="18"/>
                <w:color w:val="auto"/>
              </w:rPr>
              <w:t>Research and development expenses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30"/>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9,442</w:t>
            </w:r>
          </w:p>
        </w:tc>
      </w:tr>
      <w:tr>
        <w:trPr>
          <w:trHeight w:val="223"/>
        </w:trPr>
        <w:tc>
          <w:tcPr>
            <w:tcW w:w="582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10,076</w:t>
            </w:r>
          </w:p>
        </w:tc>
      </w:tr>
      <w:tr>
        <w:trPr>
          <w:trHeight w:val="21"/>
        </w:trPr>
        <w:tc>
          <w:tcPr>
            <w:tcW w:w="5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income tax benefits related to stock-based compensation expense was $1.7 million, $1.9 million and $2.0 million for the years ended December 31, 2020, 2019 and 2018, respectively. As of December 31, 2020, total unrecognized stock-based compensation cost, net of estimated forfeitures, related to our unvested stock awards was $15.0 million. This amount is based on an estimated future forfeiture rate of 2.0% per year and will be recognized over a weighted-average period of approximately two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Stock Options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fair value of each stock option granted for the years ended December 31, 2020, 2019 and 2018 was estimated at the date of the grant using a Black-Scholes option valuation model. The following table presents the estimated grant-date fair values and related assumptions: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6"/>
          </w:tcPr>
          <w:p>
            <w:pPr>
              <w:jc w:val="center"/>
              <w:ind w:left="30"/>
              <w:spacing w:after="0"/>
              <w:rPr>
                <w:sz w:val="20"/>
                <w:szCs w:val="20"/>
                <w:color w:val="auto"/>
              </w:rPr>
            </w:pPr>
            <w:r>
              <w:rPr>
                <w:rFonts w:ascii="Arial" w:cs="Arial" w:eastAsia="Arial" w:hAnsi="Arial"/>
                <w:sz w:val="18"/>
                <w:szCs w:val="18"/>
                <w:b w:val="1"/>
                <w:bCs w:val="1"/>
                <w:color w:val="auto"/>
                <w:w w:val="99"/>
              </w:rPr>
              <w:t>For the years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536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Assumptions:</w:t>
            </w: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Risk-free interest rate</w:t>
            </w:r>
          </w:p>
        </w:tc>
        <w:tc>
          <w:tcPr>
            <w:tcW w:w="880" w:type="dxa"/>
            <w:vAlign w:val="bottom"/>
          </w:tcPr>
          <w:p>
            <w:pPr>
              <w:jc w:val="right"/>
              <w:spacing w:after="0"/>
              <w:rPr>
                <w:sz w:val="20"/>
                <w:szCs w:val="20"/>
                <w:color w:val="auto"/>
              </w:rPr>
            </w:pPr>
            <w:r>
              <w:rPr>
                <w:rFonts w:ascii="Arial" w:cs="Arial" w:eastAsia="Arial" w:hAnsi="Arial"/>
                <w:sz w:val="18"/>
                <w:szCs w:val="18"/>
                <w:color w:val="auto"/>
              </w:rPr>
              <w:t>0.25%</w:t>
            </w:r>
          </w:p>
        </w:tc>
        <w:tc>
          <w:tcPr>
            <w:tcW w:w="980" w:type="dxa"/>
            <w:vAlign w:val="bottom"/>
          </w:tcPr>
          <w:p>
            <w:pPr>
              <w:ind w:left="20"/>
              <w:spacing w:after="0"/>
              <w:rPr>
                <w:sz w:val="20"/>
                <w:szCs w:val="20"/>
                <w:color w:val="auto"/>
              </w:rPr>
            </w:pPr>
            <w:r>
              <w:rPr>
                <w:rFonts w:ascii="Arial" w:cs="Arial" w:eastAsia="Arial" w:hAnsi="Arial"/>
                <w:sz w:val="18"/>
                <w:szCs w:val="18"/>
                <w:color w:val="auto"/>
              </w:rPr>
              <w:t>- 1.72%</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w:t>
            </w:r>
          </w:p>
        </w:tc>
        <w:tc>
          <w:tcPr>
            <w:tcW w:w="1000" w:type="dxa"/>
            <w:vAlign w:val="bottom"/>
          </w:tcPr>
          <w:p>
            <w:pPr>
              <w:ind w:left="40"/>
              <w:spacing w:after="0"/>
              <w:rPr>
                <w:sz w:val="20"/>
                <w:szCs w:val="20"/>
                <w:color w:val="auto"/>
              </w:rPr>
            </w:pPr>
            <w:r>
              <w:rPr>
                <w:rFonts w:ascii="Arial" w:cs="Arial" w:eastAsia="Arial" w:hAnsi="Arial"/>
                <w:sz w:val="18"/>
                <w:szCs w:val="18"/>
                <w:color w:val="auto"/>
              </w:rPr>
              <w:t>- 2.54%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c>
          <w:tcPr>
            <w:tcW w:w="1000" w:type="dxa"/>
            <w:vAlign w:val="bottom"/>
          </w:tcPr>
          <w:p>
            <w:pPr>
              <w:ind w:left="20"/>
              <w:spacing w:after="0"/>
              <w:rPr>
                <w:sz w:val="20"/>
                <w:szCs w:val="20"/>
                <w:color w:val="auto"/>
              </w:rPr>
            </w:pPr>
            <w:r>
              <w:rPr>
                <w:rFonts w:ascii="Arial" w:cs="Arial" w:eastAsia="Arial" w:hAnsi="Arial"/>
                <w:sz w:val="18"/>
                <w:szCs w:val="18"/>
                <w:color w:val="auto"/>
              </w:rPr>
              <w:t>- 2.99%</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Volatility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- 30.07%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- 30.95%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- 23.28%</w:t>
            </w: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Expected term of options (in years)</w:t>
            </w: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980" w:type="dxa"/>
            <w:vAlign w:val="bottom"/>
          </w:tcPr>
          <w:p>
            <w:pPr>
              <w:ind w:left="20"/>
              <w:spacing w:after="0"/>
              <w:rPr>
                <w:sz w:val="20"/>
                <w:szCs w:val="20"/>
                <w:color w:val="auto"/>
              </w:rPr>
            </w:pPr>
            <w:r>
              <w:rPr>
                <w:rFonts w:ascii="Arial" w:cs="Arial" w:eastAsia="Arial" w:hAnsi="Arial"/>
                <w:sz w:val="18"/>
                <w:szCs w:val="18"/>
                <w:color w:val="auto"/>
              </w:rPr>
              <w:t>- 5.9</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000" w:type="dxa"/>
            <w:vAlign w:val="bottom"/>
          </w:tcPr>
          <w:p>
            <w:pPr>
              <w:ind w:left="40"/>
              <w:spacing w:after="0"/>
              <w:rPr>
                <w:sz w:val="20"/>
                <w:szCs w:val="20"/>
                <w:color w:val="auto"/>
              </w:rPr>
            </w:pPr>
            <w:r>
              <w:rPr>
                <w:rFonts w:ascii="Arial" w:cs="Arial" w:eastAsia="Arial" w:hAnsi="Arial"/>
                <w:sz w:val="18"/>
                <w:szCs w:val="18"/>
                <w:color w:val="auto"/>
              </w:rPr>
              <w:t>- 5.8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000" w:type="dxa"/>
            <w:vAlign w:val="bottom"/>
          </w:tcPr>
          <w:p>
            <w:pPr>
              <w:ind w:left="20"/>
              <w:spacing w:after="0"/>
              <w:rPr>
                <w:sz w:val="20"/>
                <w:szCs w:val="20"/>
                <w:color w:val="auto"/>
              </w:rPr>
            </w:pPr>
            <w:r>
              <w:rPr>
                <w:rFonts w:ascii="Arial" w:cs="Arial" w:eastAsia="Arial" w:hAnsi="Arial"/>
                <w:sz w:val="18"/>
                <w:szCs w:val="18"/>
                <w:color w:val="auto"/>
              </w:rPr>
              <w:t>- 5.8</w:t>
            </w: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grant-date fair value</w:t>
            </w:r>
          </w:p>
        </w:tc>
        <w:tc>
          <w:tcPr>
            <w:tcW w:w="18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$6.56 - $11.63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$14.49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$16.23</w:t>
            </w:r>
          </w:p>
        </w:tc>
      </w:tr>
    </w:tbl>
    <w:p>
      <w:pPr>
        <w:spacing w:after="0" w:line="28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do not currently intend to pay dividends on our common stock and accordingly, the dividend yield used in the Black-Scholes option valuation model was assumed to be zero for all periods. The Black-Scholes option valuation model was developed for use in estimating the fair value of traded stock options which have no vesting restrictions and are fully transferable. Consequently, our estimate of fair value may differ from that determined using other valuation models. Further, the Black-Scholes option valuation model requires the input of subjective assumptions. Changes in the subjective input assumptions can materially affect the fair value estimate.</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Based on the closing market price of our Class A common stock on December 31, 2020, the aggregate intrinsic value of our stock options was $0.1 million for options outstanding and $0.1 million for options exercisable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19.</w:t>
        <w:tab/>
        <w:t>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from our continuing operations as of December 31,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11"/>
          </w:tcPr>
          <w:p>
            <w:pPr>
              <w:spacing w:after="0"/>
              <w:rPr>
                <w:sz w:val="20"/>
                <w:szCs w:val="20"/>
                <w:color w:val="auto"/>
              </w:rPr>
            </w:pPr>
            <w:r>
              <w:rPr>
                <w:rFonts w:ascii="Arial" w:cs="Arial" w:eastAsia="Arial" w:hAnsi="Arial"/>
                <w:sz w:val="16"/>
                <w:szCs w:val="16"/>
                <w:b w:val="1"/>
                <w:bCs w:val="1"/>
                <w:color w:val="auto"/>
              </w:rPr>
              <w:t>Payments Due in the Years Ending December 31,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10"/>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860" w:type="dxa"/>
            <w:vAlign w:val="bottom"/>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Thereafter</w:t>
            </w:r>
          </w:p>
        </w:tc>
      </w:tr>
      <w:tr>
        <w:trPr>
          <w:trHeight w:val="209"/>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900,000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1,500,000</w:t>
            </w:r>
          </w:p>
        </w:tc>
      </w:tr>
      <w:tr>
        <w:trPr>
          <w:trHeight w:val="216"/>
        </w:trPr>
        <w:tc>
          <w:tcPr>
            <w:tcW w:w="2700" w:type="dxa"/>
            <w:vAlign w:val="bottom"/>
          </w:tcPr>
          <w:p>
            <w:pPr>
              <w:ind w:left="20"/>
              <w:spacing w:after="0"/>
              <w:rPr>
                <w:sz w:val="20"/>
                <w:szCs w:val="20"/>
                <w:color w:val="auto"/>
              </w:rPr>
            </w:pPr>
            <w:r>
              <w:rPr>
                <w:rFonts w:ascii="Arial" w:cs="Arial" w:eastAsia="Arial" w:hAnsi="Arial"/>
                <w:sz w:val="16"/>
                <w:szCs w:val="16"/>
                <w:color w:val="auto"/>
              </w:rPr>
              <w:t>Interest on long-term debt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568,711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123,396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89,063</w:t>
            </w: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Satellite-related commitments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487,665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125,717</w:t>
            </w:r>
          </w:p>
        </w:tc>
      </w:tr>
      <w:tr>
        <w:trPr>
          <w:trHeight w:val="216"/>
        </w:trPr>
        <w:tc>
          <w:tcPr>
            <w:tcW w:w="2700" w:type="dxa"/>
            <w:vAlign w:val="bottom"/>
          </w:tcPr>
          <w:p>
            <w:pPr>
              <w:ind w:left="20"/>
              <w:spacing w:after="0"/>
              <w:rPr>
                <w:sz w:val="20"/>
                <w:szCs w:val="20"/>
                <w:color w:val="auto"/>
              </w:rPr>
            </w:pPr>
            <w:r>
              <w:rPr>
                <w:rFonts w:ascii="Arial" w:cs="Arial" w:eastAsia="Arial" w:hAnsi="Arial"/>
                <w:sz w:val="16"/>
                <w:szCs w:val="16"/>
                <w:color w:val="auto"/>
              </w:rPr>
              <w:t>Operating lease obligations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176,001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21,051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20,409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19,628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86,194</w:t>
            </w: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obligations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700" w:type="dxa"/>
            <w:vAlign w:val="bottom"/>
          </w:tcPr>
          <w:p>
            <w:pPr>
              <w:ind w:left="2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3,632,985</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1,268,447</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183,020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131,469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126,170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122,905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1,800,974</w:t>
            </w:r>
          </w:p>
        </w:tc>
      </w:tr>
      <w:tr>
        <w:trPr>
          <w:trHeight w:val="21"/>
        </w:trPr>
        <w:tc>
          <w:tcPr>
            <w:tcW w:w="2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table above does not include amounts related to deferred tax liabilities, unrecognized tax positions and certain other amounts recorded in our non-current liabilities as the timing of any payments is uncertain. The table also excludes long-term deferred revenue and other long-term liabilities that do not require future cash payments. Additionally, our satellite-related commitments include payments pursuant to agreements for the construction of the EchoStar XXIV satellite, payments pursuant to the EchoStar XXIV launch contract, payments pursuant to regulatory authorizations, non-lease costs associated with our finance lease satellites, in-orbit incentives relating to certain satellites and commitments for satellite service arrangements.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Arrangements with DISH Network</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our spin-off from DISH in 2008 (the “Spin-off”),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In connection with the Share Exchange and BSS Transaction, we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transferred businesses and assets. These agreements also contain additional indemnification provisions between us and DISH Network for, in the case of the Share Exchange, certain pre-existing liabilities and legal proceedings and, in the case of the BSS Transaction, certain losses with respect to breaches of certain representations and covenants and certain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expense as incurred.</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certain proceedings,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Elbit</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23, 2015, Elbit Systems Land and C4I LTD and Elbit Systems of America Ltd. (together referred to as “Elbit”) filed a complaint against our subsidiary Hughes Network Systems, L.L.C. (“HNS”), as well as against Black Elk Energy Offshore Operations, LLC, Bluetide Communications, Inc. and Helm Hotels Group, in the U.S. District Court for the Eastern District of Texas, alleging infringement of U.S. Patent Nos. 6,240,073 (the “073 patent”) and 7,245,874 (“874 patent”). In December 2019, we entered into a comprehensive settlement agreement with Elbit pursuant to which we paid a total of $33.0 million in satisfaction of all amounts relating to these matters and all open proceedings, including appeals, were dismissed with prejudice.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2, 2019, the City of Hallandale Beach Police Officers’ and Firefighters’ Personnel Retirement Trust, purporting to sue on behalf of a class of EchoStar Corporation’s stockholders, filed a complaint in the District Court of Clark County, Nevada against our directors, Charles W. Ergen, R. Stanton Dodge, Anthony M. Federico, Pradman P. Kaul, C. Michael Schroeder, Jeffrey R. Tarr, William D. Wade, and Michael T. Dugan; our officer, David J. Rayner; EchoStar Corporation; our subsidiary Hughes Satellite Systems Corporation (“HSSC”); our former subsidiary BSS Corp.; and DISH and its subsidiary Merger Sub. On September 5, 2019, the defendants filed motions to dismiss. On October 11, 2019, the plaintiffs filed an amended complaint removing Messrs. Dodge, Federico, Kaul, Schroeder, Tarr and Wade as defendants. The amended complaint alleges that Mr. Ergen, as our controlling stockholder, breached fiduciary duties to EchoStar Corporation’s minority stockholders by structuring the BSS Transaction with inadequate consideration and improperly influencing our and HSSC’s boards of directors to approve the BSS Transaction. The amended complaint also alleges that the other defendants aided and abetted such alleged breaches. The plaintiffs seek equitable and monetary relief, including the issuance of additional DISH Common Stock, and other costs and disbursements, including attorneys’ fees on behalf of the purported class. On November 11, 2019, we and the other defendants filed separate motions to dismiss plaintiff’s amended complaint and during a hearing on January 13, 2020 the court denied these motions. On February 10, 2020, we and the other defendants filed answers to the amended complaint. The Court certified plaintiff’s class on January 11, 2021. We intend to vigorously defend this case. We cannot predict its outcome with any degree of certainty</w:t>
      </w:r>
      <w:r>
        <w:rPr>
          <w:rFonts w:ascii="Arial" w:cs="Arial" w:eastAsia="Arial" w:hAnsi="Arial"/>
          <w:sz w:val="18"/>
          <w:szCs w:val="18"/>
          <w:i w:val="1"/>
          <w:iCs w:val="1"/>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 Dispute with Government of India, Department of Telecommunications</w:t>
      </w:r>
    </w:p>
    <w:p>
      <w:pPr>
        <w:spacing w:after="0" w:line="25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1999, HCIPL’s license was amended pursuant to a new government policy that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interest on such fees and penalties and interest on the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 On September 1, 2020, the Supreme Court issued a judgment permitting 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10-year payment schedule. Under the payment schedule, HCIPL is required to make a payment of 10% of the legally payable dues by March 31, 2021, and thereafter make payments in yearly installments through 2031. To date, HCIPL has paid the DOT $2.9 million with respect to this matter. As a result of the Supreme Court’s orders, HCIPL’s payments to date and the impact of foreign exchange rates, we have recorded an accrual of $81.7 million as of December 31, 2020, comprised of $3.9 million for additional license fees, $4.0 million for penalties and $73.8 million for interest and interest on penalties. We had recorded an accrual of $80.2 million as of December 31, 2019. Any eventual payments made with respect to the ultimate outcome of this matter may be different from our accrual and such differences could be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20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20.</w:t>
        <w:tab/>
        <w:t>SEGMENT REPORTING</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Business segments are components of an enterprise for which separate financial information is available and regularly evaluated by our chief operating decision maker (“CODM”), who is our Chief Executive Officer. We operate in two business segments, Hughes and ESS, as described in </w:t>
      </w:r>
      <w:r>
        <w:rPr>
          <w:rFonts w:ascii="Arial" w:cs="Arial" w:eastAsia="Arial" w:hAnsi="Arial"/>
          <w:sz w:val="18"/>
          <w:szCs w:val="18"/>
          <w:i w:val="1"/>
          <w:iCs w:val="1"/>
          <w:color w:val="auto"/>
        </w:rPr>
        <w:t>Note 1. Organization and Business Activities</w:t>
      </w:r>
      <w:r>
        <w:rPr>
          <w:rFonts w:ascii="Arial" w:cs="Arial" w:eastAsia="Arial" w:hAnsi="Arial"/>
          <w:sz w:val="18"/>
          <w:szCs w:val="18"/>
          <w:color w:val="auto"/>
        </w:rPr>
        <w:t>.</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net income (loss) from discontinued operations and net income (loss) attributable to non-controlling interests (“EBITDA”).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have not been reported herein because the information is not provided to our CODM on a regular basis.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table presents revenue, EBITDA and capital expenditures for each of our business segments. Capital expenditures are net of refunds and other receipts related to our property and equipment.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60" w:type="dxa"/>
            <w:vAlign w:val="bottom"/>
          </w:tcPr>
          <w:p>
            <w:pPr>
              <w:spacing w:after="0"/>
              <w:rPr>
                <w:sz w:val="17"/>
                <w:szCs w:val="17"/>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ESS</w:t>
            </w: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Corporate and</w:t>
            </w:r>
          </w:p>
        </w:tc>
        <w:tc>
          <w:tcPr>
            <w:tcW w:w="16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2020</w:t>
            </w:r>
          </w:p>
        </w:tc>
        <w:tc>
          <w:tcPr>
            <w:tcW w:w="2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1,860,834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16,237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10,836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1,887,907</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Intersegment revenue</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1,860,834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1,887,907</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727,608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(118,606)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616,875</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408,798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2019</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1,852,742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15,131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18,208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1,886,081</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Intersegment revenue</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1,852,742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1,886,081</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577,599</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418,074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2018</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1,716,169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27,009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19,460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1,762,638</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Intersegment revenue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1,716,528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1,762,638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(150,582)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468,501</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477,442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Income (loss) from continuing operations before income taxes</w:t>
      </w:r>
      <w:r>
        <w:rPr>
          <w:rFonts w:ascii="Arial" w:cs="Arial" w:eastAsia="Arial" w:hAnsi="Arial"/>
          <w:sz w:val="18"/>
          <w:szCs w:val="18"/>
          <w:color w:val="auto"/>
        </w:rPr>
        <w:t xml:space="preserve"> in the Consolidated Statements of Operations to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(125,786)</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(39,982)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(82,352)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(80,275)</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 of amounts capitalized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251,016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219,288</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525,011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490,765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457,116</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(income) attributable to 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r>
      <w:tr>
        <w:trPr>
          <w:trHeight w:val="223"/>
        </w:trPr>
        <w:tc>
          <w:tcPr>
            <w:tcW w:w="5740" w:type="dxa"/>
            <w:vAlign w:val="bottom"/>
          </w:tcPr>
          <w:p>
            <w:pPr>
              <w:ind w:left="440"/>
              <w:spacing w:after="0"/>
              <w:rPr>
                <w:sz w:val="20"/>
                <w:szCs w:val="20"/>
                <w:color w:val="auto"/>
              </w:rPr>
            </w:pPr>
            <w:r>
              <w:rPr>
                <w:rFonts w:ascii="Arial" w:cs="Arial" w:eastAsia="Arial" w:hAnsi="Arial"/>
                <w:sz w:val="18"/>
                <w:szCs w:val="18"/>
                <w:color w:val="auto"/>
              </w:rPr>
              <w:t>EBITDA</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616,875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577,599</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468,501</w:t>
            </w:r>
          </w:p>
        </w:tc>
      </w:tr>
      <w:tr>
        <w:trPr>
          <w:trHeight w:val="20"/>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5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table summarizes total long-lived assets attributed to the North America, South and Central America and other foreign locations: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jc w:val="right"/>
              <w:ind w:right="82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40"/>
              <w:spacing w:after="0"/>
              <w:rPr>
                <w:sz w:val="20"/>
                <w:szCs w:val="20"/>
                <w:color w:val="auto"/>
              </w:rPr>
            </w:pPr>
            <w:r>
              <w:rPr>
                <w:rFonts w:ascii="Arial" w:cs="Arial" w:eastAsia="Arial" w:hAnsi="Arial"/>
                <w:sz w:val="18"/>
                <w:szCs w:val="18"/>
                <w:color w:val="auto"/>
              </w:rPr>
              <w:t>North America</w:t>
            </w: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2,954,421</w:t>
            </w:r>
          </w:p>
        </w:tc>
        <w:tc>
          <w:tcPr>
            <w:tcW w:w="20" w:type="dxa"/>
            <w:vAlign w:val="bottom"/>
          </w:tcPr>
          <w:p>
            <w:pPr>
              <w:spacing w:after="0"/>
              <w:rPr>
                <w:sz w:val="19"/>
                <w:szCs w:val="19"/>
                <w:color w:val="auto"/>
              </w:rPr>
            </w:pP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3,092,773</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South and Central America</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310,226</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140,797</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long-lived assets</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3,399,105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3,543,796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21.  QUARTERLY FINANCIAL DATA (UNAUDITED)</w:t>
            </w: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52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240" w:type="dxa"/>
            <w:vAlign w:val="bottom"/>
            <w:gridSpan w:val="2"/>
          </w:tcPr>
          <w:p>
            <w:pPr>
              <w:spacing w:after="0"/>
              <w:rPr>
                <w:sz w:val="20"/>
                <w:szCs w:val="20"/>
                <w:color w:val="auto"/>
              </w:rPr>
            </w:pPr>
            <w:r>
              <w:rPr>
                <w:rFonts w:ascii="Arial" w:cs="Arial" w:eastAsia="Arial" w:hAnsi="Arial"/>
                <w:sz w:val="18"/>
                <w:szCs w:val="18"/>
                <w:color w:val="auto"/>
              </w:rPr>
              <w:t>The following table presents our quarterly results of operations: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6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ind w:left="240"/>
              <w:spacing w:after="0"/>
              <w:rPr>
                <w:sz w:val="20"/>
                <w:szCs w:val="20"/>
                <w:color w:val="auto"/>
              </w:rPr>
            </w:pPr>
            <w:r>
              <w:rPr>
                <w:rFonts w:ascii="Arial" w:cs="Arial" w:eastAsia="Arial" w:hAnsi="Arial"/>
                <w:sz w:val="18"/>
                <w:szCs w:val="18"/>
                <w:b w:val="1"/>
                <w:bCs w:val="1"/>
                <w:color w:val="auto"/>
              </w:rPr>
              <w:t>For the Three Months Ended</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1640" w:type="dxa"/>
            <w:vAlign w:val="bottom"/>
            <w:gridSpan w:val="3"/>
          </w:tcPr>
          <w:p>
            <w:pPr>
              <w:ind w:left="20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6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489,273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473,502</w:t>
            </w:r>
          </w:p>
        </w:tc>
        <w:tc>
          <w:tcPr>
            <w:tcW w:w="6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459,466</w:t>
            </w:r>
          </w:p>
        </w:tc>
        <w:tc>
          <w:tcPr>
            <w:tcW w:w="20" w:type="dxa"/>
            <w:vAlign w:val="bottom"/>
          </w:tcPr>
          <w:p>
            <w:pPr>
              <w:spacing w:after="0"/>
              <w:rPr>
                <w:sz w:val="19"/>
                <w:szCs w:val="19"/>
                <w:color w:val="auto"/>
              </w:rPr>
            </w:pP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465,666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23,273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Net income (loss) from continuing operations</w:t>
            </w:r>
          </w:p>
        </w:tc>
        <w:tc>
          <w:tcPr>
            <w:tcW w:w="6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25,440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(11,412)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(54,295)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attributable to EchoStar common stock</w:t>
            </w:r>
          </w:p>
        </w:tc>
        <w:tc>
          <w:tcPr>
            <w:tcW w:w="6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220"/>
              <w:spacing w:after="0" w:line="176" w:lineRule="exact"/>
              <w:rPr>
                <w:sz w:val="20"/>
                <w:szCs w:val="20"/>
                <w:color w:val="auto"/>
              </w:rPr>
            </w:pPr>
            <w:r>
              <w:rPr>
                <w:rFonts w:ascii="Arial" w:cs="Arial" w:eastAsia="Arial" w:hAnsi="Arial"/>
                <w:sz w:val="18"/>
                <w:szCs w:val="18"/>
                <w:color w:val="auto"/>
              </w:rPr>
              <w:t>Net income (loss) attributable to EchoStar Corporation</w:t>
            </w:r>
          </w:p>
        </w:tc>
        <w:tc>
          <w:tcPr>
            <w:tcW w:w="6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25,440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(11,412)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(54,295)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6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Basic and diluted income (loss) from continuing</w:t>
            </w:r>
          </w:p>
        </w:tc>
        <w:tc>
          <w:tcPr>
            <w:tcW w:w="6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 per share</w:t>
            </w:r>
          </w:p>
        </w:tc>
        <w:tc>
          <w:tcPr>
            <w:tcW w:w="6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rPr>
                <w:sz w:val="20"/>
                <w:szCs w:val="20"/>
                <w:color w:val="auto"/>
              </w:rPr>
            </w:pPr>
            <w:r>
              <w:rPr>
                <w:rFonts w:ascii="Arial" w:cs="Arial" w:eastAsia="Arial" w:hAnsi="Arial"/>
                <w:sz w:val="18"/>
                <w:szCs w:val="18"/>
                <w:color w:val="auto"/>
              </w:rPr>
              <w:t>Total basic and diluted earnings (losses) per share</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472,262</w:t>
            </w: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460,431</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26,093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220"/>
              <w:spacing w:after="0" w:line="176" w:lineRule="exact"/>
              <w:rPr>
                <w:sz w:val="20"/>
                <w:szCs w:val="20"/>
                <w:color w:val="auto"/>
              </w:rPr>
            </w:pPr>
            <w:r>
              <w:rPr>
                <w:rFonts w:ascii="Arial" w:cs="Arial" w:eastAsia="Arial" w:hAnsi="Arial"/>
                <w:sz w:val="18"/>
                <w:szCs w:val="18"/>
                <w:color w:val="auto"/>
              </w:rPr>
              <w:t>Net income (loss) from continuing operations</w:t>
            </w:r>
          </w:p>
        </w:tc>
        <w:tc>
          <w:tcPr>
            <w:tcW w:w="6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(46,297)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(20,317)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(30,660)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(5,044)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rPr>
                <w:sz w:val="20"/>
                <w:szCs w:val="20"/>
                <w:color w:val="auto"/>
              </w:rPr>
            </w:pPr>
            <w:r>
              <w:rPr>
                <w:rFonts w:ascii="Arial" w:cs="Arial" w:eastAsia="Arial" w:hAnsi="Arial"/>
                <w:sz w:val="18"/>
                <w:szCs w:val="18"/>
                <w:color w:val="auto"/>
              </w:rPr>
              <w:t>attributable to EchoStar common stock</w:t>
            </w:r>
          </w:p>
        </w:tc>
        <w:tc>
          <w:tcPr>
            <w:tcW w:w="6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Net income (loss) attributable to EchoStar common</w:t>
            </w:r>
          </w:p>
        </w:tc>
        <w:tc>
          <w:tcPr>
            <w:tcW w:w="6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(53,118)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(18,309)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(5,692)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w:t>
            </w:r>
          </w:p>
        </w:tc>
        <w:tc>
          <w:tcPr>
            <w:tcW w:w="6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40" w:type="dxa"/>
            <w:vAlign w:val="bottom"/>
          </w:tcPr>
          <w:p>
            <w:pPr>
              <w:ind w:left="220"/>
              <w:spacing w:after="0" w:line="176" w:lineRule="exact"/>
              <w:rPr>
                <w:sz w:val="20"/>
                <w:szCs w:val="20"/>
                <w:color w:val="auto"/>
              </w:rPr>
            </w:pPr>
            <w:r>
              <w:rPr>
                <w:rFonts w:ascii="Arial" w:cs="Arial" w:eastAsia="Arial" w:hAnsi="Arial"/>
                <w:sz w:val="18"/>
                <w:szCs w:val="18"/>
                <w:color w:val="auto"/>
              </w:rPr>
              <w:t>Basic and diluted income (loss) from continuing</w:t>
            </w:r>
          </w:p>
        </w:tc>
        <w:tc>
          <w:tcPr>
            <w:tcW w:w="6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Arial" w:cs="Arial" w:eastAsia="Arial" w:hAnsi="Arial"/>
                <w:sz w:val="18"/>
                <w:szCs w:val="18"/>
                <w:color w:val="auto"/>
              </w:rPr>
              <w:t>operations per share</w:t>
            </w:r>
          </w:p>
        </w:tc>
        <w:tc>
          <w:tcPr>
            <w:tcW w:w="6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basic and diluted earnings (losses) per share</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7"/>
          <w:szCs w:val="17"/>
          <w:b w:val="1"/>
          <w:bCs w:val="1"/>
          <w:color w:val="auto"/>
        </w:rPr>
        <w:t>RELATED PARTY TRANSACTIONS - DISH NETWORK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EchoStar Corporation and DISH have operated as separate publicly-traded companies since 2008. A substantial majority of the voting power of the shares of each of EchoStar Corporation and DISH is owned beneficially by Charles W. Ergen, our Chairman, and by certain entities established for the benefit of his family. In addition, prior to March 2017, DISH Network owned the Trading Stock, which in the aggregate represented an 80% economic interest in the residential retail satellite broadband business of our Hughes segment. The Trading Stock was retired in March 2017.</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and following the Spin-off, the Share Exchange and the BSS Transaction,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Generally, the amounts we or DISH Network pay for products and services provided under the agreements are based on cost plus a fixed margin (unless noted differently below), which varies depending on the nature of the products and services provided. We may also enter into additional agreements with DISH Network in the future.</w:t>
      </w:r>
    </w:p>
    <w:p>
      <w:pPr>
        <w:spacing w:after="0" w:line="20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following is a summary of the transactions and the terms of the underlying principal agreements that have had or may have an impact on our consolidated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Other Revenue — DISH Network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Services and other revenue - DISH Network</w:t>
      </w:r>
      <w:r>
        <w:rPr>
          <w:rFonts w:ascii="Arial" w:cs="Arial" w:eastAsia="Arial" w:hAnsi="Arial"/>
          <w:sz w:val="18"/>
          <w:szCs w:val="18"/>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 and other revenue - DISH Network</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53,429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73,465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the related trade accounts receivable:</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7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 DISH Network</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We have entered into an agreement and have previously entered into a now terminated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to lease satellite capacity pursuant to which we have provided satellite services to DISH Network on certain satellites owned or leased by us. The fees for the services provided under these agreements depend upon, among other things, the orbital location of the applicable satellite, the number of transponders that are providing services on the applicable satellite, the length of the service arrangements and any third-party costs associated with the satellite capacity. The terms of these agreements are set forth below:</w:t>
      </w:r>
    </w:p>
    <w:p>
      <w:pPr>
        <w:spacing w:after="0" w:line="175" w:lineRule="exact"/>
        <w:rPr>
          <w:sz w:val="20"/>
          <w:szCs w:val="20"/>
          <w:color w:val="auto"/>
        </w:rPr>
      </w:pPr>
    </w:p>
    <w:p>
      <w:pPr>
        <w:jc w:val="both"/>
        <w:ind w:left="660" w:hanging="328"/>
        <w:spacing w:after="0" w:line="271" w:lineRule="auto"/>
        <w:tabs>
          <w:tab w:leader="none" w:pos="655"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IX </w:t>
      </w:r>
      <w:r>
        <w:rPr>
          <w:rFonts w:ascii="Arial" w:cs="Arial" w:eastAsia="Arial" w:hAnsi="Arial"/>
          <w:sz w:val="18"/>
          <w:szCs w:val="18"/>
          <w:color w:val="auto"/>
        </w:rPr>
        <w:t>— Effective January 2008, DISH Network began leasing satellite capacity from us on the EchoStar IX satellite.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availability, DISH Network generally has the right to continue leasing satellite capacity from us on the EchoStar IX satellite on a month-to-month basis.</w:t>
      </w:r>
    </w:p>
    <w:p>
      <w:pPr>
        <w:spacing w:after="0" w:line="162" w:lineRule="exact"/>
        <w:rPr>
          <w:rFonts w:ascii="Arial" w:cs="Arial" w:eastAsia="Arial" w:hAnsi="Arial"/>
          <w:sz w:val="18"/>
          <w:szCs w:val="18"/>
          <w:b w:val="1"/>
          <w:bCs w:val="1"/>
          <w:i w:val="1"/>
          <w:iCs w:val="1"/>
          <w:color w:val="auto"/>
        </w:rPr>
      </w:pPr>
    </w:p>
    <w:p>
      <w:pPr>
        <w:jc w:val="both"/>
        <w:ind w:left="660" w:hanging="328"/>
        <w:spacing w:after="0" w:line="258" w:lineRule="auto"/>
        <w:tabs>
          <w:tab w:leader="none" w:pos="655"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103 Degree Orbital Location/SES-3 </w:t>
      </w:r>
      <w:r>
        <w:rPr>
          <w:rFonts w:ascii="Arial" w:cs="Arial" w:eastAsia="Arial" w:hAnsi="Arial"/>
          <w:sz w:val="18"/>
          <w:szCs w:val="18"/>
          <w:color w:val="auto"/>
        </w:rPr>
        <w:t>— In May 2012, we entered into a spectrum development agreement (the “103 Spectrum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Agreement”) 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Effective in March 2018, DISH Network exercised its right to terminate the DISH 103 Spectrum Development Agreement and we exercised our right to terminate the 103 Spectrum Development Agreement.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In connection with the 103 Spectrum Development Agreement, in May 2012, we also entered into a ten-year agreement with Ciel pursuant to which we leased certain satellite capacity from Ciel on the SES-3 satellite at the 103 degree west longitude orbital location (the “Ciel 103 Agreement”). In June 2013, we and DISH Network entered into an agreement pursuant to which DISH Network leased certain satellite capacity from us on the SES-3 satellite (the “DISH 103 Agreement”). Under the terms of the DISH 103 Agreement, DISH Network made certain monthly payments to us through the service term. Effective in March 2018, DISH Network exercised its right to terminate the DISH 103 Agreement and we exercised our right to terminate the Ciel 103 Agreement.</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Telesat Obligation Agreement. </w:t>
      </w:r>
      <w:r>
        <w:rPr>
          <w:rFonts w:ascii="Arial" w:cs="Arial" w:eastAsia="Arial" w:hAnsi="Arial"/>
          <w:sz w:val="18"/>
          <w:szCs w:val="18"/>
          <w:color w:val="auto"/>
        </w:rPr>
        <w:t>We transferred the Telesat Transponder Agreement to DISH Network as part of the BSS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we retained certain obligations related to DISH Network’s performance under that agreement. In September 2019, we and DISH Network entered into an agreement whereby DISH Network compensates us for retaining such obligations.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Real Estate Leases to DISH Network. </w:t>
      </w:r>
      <w:r>
        <w:rPr>
          <w:rFonts w:ascii="Arial" w:cs="Arial" w:eastAsia="Arial" w:hAnsi="Arial"/>
          <w:sz w:val="18"/>
          <w:szCs w:val="18"/>
          <w:color w:val="auto"/>
        </w:rPr>
        <w:t>We have entered into lease agreements pursuant to which DISH Network leases certain real estate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us. The rent on a per square foot basis for each of the leases is comparable to per square foot rental rates of similar commercial property in the same geographic area at the time of the leases or subsequent amendments. Additionally, DISH Network compensates us for its portion of the taxes, insurance, utilities and/or maintenance of the premises. The terms of each of the leases are set forth below:</w:t>
      </w:r>
    </w:p>
    <w:p>
      <w:pPr>
        <w:spacing w:after="0" w:line="169" w:lineRule="exact"/>
        <w:rPr>
          <w:sz w:val="20"/>
          <w:szCs w:val="20"/>
          <w:color w:val="auto"/>
        </w:rPr>
      </w:pPr>
    </w:p>
    <w:p>
      <w:pPr>
        <w:jc w:val="both"/>
        <w:ind w:left="660" w:hanging="328"/>
        <w:spacing w:after="0" w:line="256" w:lineRule="auto"/>
        <w:tabs>
          <w:tab w:leader="none" w:pos="655"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100 Inverness Occupancy License Agreement </w:t>
      </w:r>
      <w:r>
        <w:rPr>
          <w:rFonts w:ascii="Arial" w:cs="Arial" w:eastAsia="Arial" w:hAnsi="Arial"/>
          <w:sz w:val="18"/>
          <w:szCs w:val="18"/>
          <w:color w:val="auto"/>
        </w:rPr>
        <w:t>— Effective March 2017, DISH Network is licensed to use certain of our space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 Inverness Terrace East, Englewood, Colorado for a period ending in December 2020. Effective December 2020, we amended this agreement to extend the license until December 2021. This agreement may be terminated by either party upon 180 days’ prior notice. This agreement will be converted to a month-to-month lease agreement unless extended by mutual consent or terminated by one of the parties upon 30 days’ notice. In connection with the BSS Transaction, we transferred to DISH Network the Englewood Satellite Operations Center located at 100 Inverness Terrace East, including any and all equipment, hardware licenses, software, processes, software licenses, furniture and technical documentation associated with the satellites transferred in the BSS Transaction.</w:t>
      </w:r>
    </w:p>
    <w:p>
      <w:pPr>
        <w:spacing w:after="0" w:line="204" w:lineRule="exact"/>
        <w:rPr>
          <w:rFonts w:ascii="Arial" w:cs="Arial" w:eastAsia="Arial" w:hAnsi="Arial"/>
          <w:sz w:val="18"/>
          <w:szCs w:val="18"/>
          <w:b w:val="1"/>
          <w:bCs w:val="1"/>
          <w:i w:val="1"/>
          <w:iCs w:val="1"/>
          <w:color w:val="auto"/>
        </w:rPr>
      </w:pPr>
    </w:p>
    <w:p>
      <w:pPr>
        <w:jc w:val="both"/>
        <w:ind w:left="660" w:hanging="328"/>
        <w:spacing w:after="0" w:line="264" w:lineRule="auto"/>
        <w:tabs>
          <w:tab w:leader="none" w:pos="655"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Meridian Lease Agreement </w:t>
      </w:r>
      <w:r>
        <w:rPr>
          <w:rFonts w:ascii="Arial" w:cs="Arial" w:eastAsia="Arial" w:hAnsi="Arial"/>
          <w:sz w:val="18"/>
          <w:szCs w:val="18"/>
          <w:color w:val="auto"/>
        </w:rPr>
        <w:t>— The lease for all of 9601 S. Meridian Blvd., Englewood, Colorado was originally for a period ending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December 2016. We and DISH Network have amended this lease over time to, among other things, extend the term through December 2021. After December 2021, this agreement may be converted by mutual consent to a month-to-month lease agreement with either party having the right to terminate upon 30 days’ notice.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TerreStar Agreement. </w:t>
      </w:r>
      <w:r>
        <w:rPr>
          <w:rFonts w:ascii="Arial" w:cs="Arial" w:eastAsia="Arial" w:hAnsi="Arial"/>
          <w:sz w:val="18"/>
          <w:szCs w:val="18"/>
          <w:color w:val="auto"/>
        </w:rPr>
        <w:t>In March 2012, DISH Network completed its acquisition of substantially all the assets of TerreStar Networks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(“TerreStar”). Prior to DISH Network’s acquisition of substantially all the assets of TerreStar and our completion of the Hughes Acquisition, TerreStar and HNS entered into various agreements pursuant to which we provide, among other things, warranty, operations and maintenance and hosting services for TerreStar’s ground-based communications equipment (the “TerreStar Agreements”).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operations and maintenance services are terminated by DISH Network upon at least 90 days’ written notice to us. The provision of hosting services will continue until May 2022.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 As a result, we and DISH Network amended the TerreStar Agreements to suspend our provision of warranty services to DISH Network from April 2020 through December 2020. Following the expiration of this suspension, we will continue to provide warranty services to DISH Network.</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Hughes Broadband Distribution Agreement. </w:t>
      </w:r>
      <w:r>
        <w:rPr>
          <w:rFonts w:ascii="Arial" w:cs="Arial" w:eastAsia="Arial" w:hAnsi="Arial"/>
          <w:sz w:val="18"/>
          <w:szCs w:val="18"/>
          <w:color w:val="auto"/>
        </w:rPr>
        <w:t>Effective October 2012, we and DISH Network, entered into a distribution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Agreement”) pursuant to which DISH Network has the right, but not the obligation, to market, sell and distribute our Gen 4 HughesNet service. DISH Network pays us a monthly per subscriber wholesale service fee for our Gen 4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Gen 4 HughesNet service. The Distribution Agreement had an initial term of five years with automatic renewal for successive one 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Gen 4 HughesNet service to the then-current DISH Network subscribers pursuant to the terms and conditions of the Distribution Agreement.</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DBSD North America Agreement. </w:t>
      </w:r>
      <w:r>
        <w:rPr>
          <w:rFonts w:ascii="Arial" w:cs="Arial" w:eastAsia="Arial" w:hAnsi="Arial"/>
          <w:sz w:val="18"/>
          <w:szCs w:val="18"/>
          <w:color w:val="auto"/>
        </w:rPr>
        <w:t>In March 2012, DISH Network completed its acquisition of all of the equity of reorganized DBSD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Inc. (“DBSD North America”). Prior to DISH Network’s acquisition of 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2022 and will 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Hughes Equipment and Services Agreement</w:t>
      </w:r>
      <w:r>
        <w:rPr>
          <w:rFonts w:ascii="Arial" w:cs="Arial" w:eastAsia="Arial" w:hAnsi="Arial"/>
          <w:sz w:val="18"/>
          <w:szCs w:val="18"/>
          <w:color w:val="auto"/>
        </w:rPr>
        <w:t>. In February 2019, we and DISH Network entered into an agreement pursuant to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 DISH Network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expenses related to DISH Network:</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 DISH Network</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the related trade accounts payable:</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7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73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payable - DISH Network</w:t>
            </w:r>
          </w:p>
        </w:tc>
        <w:tc>
          <w:tcPr>
            <w:tcW w:w="1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Amended and Restated Professional Services Agreement</w:t>
      </w:r>
      <w:r>
        <w:rPr>
          <w:rFonts w:ascii="Arial" w:cs="Arial" w:eastAsia="Arial" w:hAnsi="Arial"/>
          <w:sz w:val="18"/>
          <w:szCs w:val="18"/>
          <w:color w:val="auto"/>
        </w:rPr>
        <w:t>. In connection with the Spin-off, we entered into various agreements with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including a transition services agreement, satellite procurement agreement and services agreement, all of which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(as amended to date,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we and DISH further amended the Amended and Restated Professional Services Agreement to provide that we and DISH Network shall have the right to receive additional services that either we or DISH Network may require as a result of the BSS Transaction and to remove our access to and the maintenance and support services for the TT&amp;C Antennas. The term of the Amended and Restated Professional Services Agreement is through January 2021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being provided for under the Amended and Restated Professional Services Agreement may survive the termination of the agreement.</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Real Estate Leases from DISH Network. </w:t>
      </w:r>
      <w:r>
        <w:rPr>
          <w:rFonts w:ascii="Arial" w:cs="Arial" w:eastAsia="Arial" w:hAnsi="Arial"/>
          <w:sz w:val="18"/>
          <w:szCs w:val="18"/>
          <w:color w:val="auto"/>
        </w:rPr>
        <w:t>We have entered into lease agreements pursuant to which we lease certain real estate from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The rent on a per square foot basis is comparable to per square foot rental rates of similar commercial property in the same geographic area at the time of the leases or subsequent amendments and, includes our portion of the taxes, insurance, utilities and/or maintenance of the premises. The terms of each of the leases are set forth below:</w:t>
      </w:r>
    </w:p>
    <w:p>
      <w:pPr>
        <w:spacing w:after="0" w:line="196" w:lineRule="exact"/>
        <w:rPr>
          <w:sz w:val="20"/>
          <w:szCs w:val="20"/>
          <w:color w:val="auto"/>
        </w:rPr>
      </w:pPr>
    </w:p>
    <w:p>
      <w:pPr>
        <w:jc w:val="both"/>
        <w:ind w:left="660" w:hanging="328"/>
        <w:spacing w:after="0" w:line="258" w:lineRule="auto"/>
        <w:tabs>
          <w:tab w:leader="none" w:pos="655"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Cheyenne Lease Agreement </w:t>
      </w:r>
      <w:r>
        <w:rPr>
          <w:rFonts w:ascii="Arial" w:cs="Arial" w:eastAsia="Arial" w:hAnsi="Arial"/>
          <w:sz w:val="18"/>
          <w:szCs w:val="18"/>
          <w:color w:val="auto"/>
        </w:rPr>
        <w:t>— Effective March 2017, we entered into a lease with DISH Network for certain space at 530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Drive in Cheyenne, Wyoming for a period ending in February 2019. In August 2018, we exercised our option to renew this lease for a one year period ending in February 2020. In connection with the BSS Transaction, we transferred the Cheyenne Satellite Operations Center, including any equipment, software licenses, and furniture located within, to DISH Network and amended this lease to reduce the space provided to us for the Cheyenne Satellite Access Center for a period ending in September 2021, with the option for us to renew for a one year period upon 180 days’ written notice prior to the end of the term</w:t>
      </w:r>
      <w:r>
        <w:rPr>
          <w:rFonts w:ascii="Arial" w:cs="Arial" w:eastAsia="Arial" w:hAnsi="Arial"/>
          <w:sz w:val="18"/>
          <w:szCs w:val="18"/>
          <w:i w:val="1"/>
          <w:iCs w:val="1"/>
          <w:color w:val="auto"/>
        </w:rPr>
        <w:t>.</w:t>
      </w:r>
    </w:p>
    <w:p>
      <w:pPr>
        <w:spacing w:after="0" w:line="203" w:lineRule="exact"/>
        <w:rPr>
          <w:rFonts w:ascii="Arial" w:cs="Arial" w:eastAsia="Arial" w:hAnsi="Arial"/>
          <w:sz w:val="18"/>
          <w:szCs w:val="18"/>
          <w:b w:val="1"/>
          <w:bCs w:val="1"/>
          <w:i w:val="1"/>
          <w:iCs w:val="1"/>
          <w:color w:val="auto"/>
        </w:rPr>
      </w:pPr>
    </w:p>
    <w:p>
      <w:pPr>
        <w:jc w:val="both"/>
        <w:ind w:left="660" w:hanging="328"/>
        <w:spacing w:after="0" w:line="264" w:lineRule="auto"/>
        <w:tabs>
          <w:tab w:leader="none" w:pos="655"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American Fork Occupancy License Agreement </w:t>
      </w:r>
      <w:r>
        <w:rPr>
          <w:rFonts w:ascii="Arial" w:cs="Arial" w:eastAsia="Arial" w:hAnsi="Arial"/>
          <w:sz w:val="18"/>
          <w:szCs w:val="18"/>
          <w:color w:val="auto"/>
        </w:rPr>
        <w:t>— Effective March 2017, we entered into an agreement with DISH Network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space at 796 East Utah Valley Drive in American Fork, Utah for a period ending in August 2017. We exercised our option to renew this agreement for a five-year period ending in August 2022. We and DISH Network amended this agreement to, among other things, terminate this agreement in March 2019.</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Collocation and Antenna Space Agreements</w:t>
      </w:r>
      <w:r>
        <w:rPr>
          <w:rFonts w:ascii="Arial" w:cs="Arial" w:eastAsia="Arial" w:hAnsi="Arial"/>
          <w:sz w:val="18"/>
          <w:szCs w:val="18"/>
          <w:color w:val="auto"/>
        </w:rPr>
        <w:t>. We and DISH Network have entered into an agreement pursuant to which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us with collocation space in El Paso, Texas. This agreement was for an initial period ending in August 2015, and provides us with renewal options for four consecutive years. Effective August 2015, we exercised our first renewal option for a period ending in August 2018 and in April 2018 we exercised our second renewal option for a period ending in August 2021. In connection with the Share Exchange, effective March 2017, we also entered into certain agreements pursuant to which DISH Network provides collocation and antenna space to EchoStar through February 2022 at the following locations: Cheyenne, Wyoming; Gilbert, Arizona; New</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Braunfels, Texas; Monee, Illinois; Spokane, Washington; and Englewood, Colorado. In October 2019, we provided a termination notice for our New Braunfels, Texas agreement to be effective May 2020. In August 2017, we and DISH Network also entered into certain other agreements pursuant to which DISH Network provides additional collocation and antenna space to us in Monee, Illinois and Spokane, Washington through August 2022.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In September 2019, in connection with the BSS Transaction, we entered into an agreement pursuant to which DISH Network provided us with certain additional collocation space in Cheyenne, Wyoming for a period ending in September 2020. The fees for the services provided under these agreements depend on the number of racks located at the location.</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Also in connection with the BSS Transaction, in September 2019, we entered into an agreement pursuant to which DISH Network provides us with antenna space and power in Cheyenne, Wyoming for a period of five years commencing in August 2020, with four three-year renewal terms, with prior written notice no more than 120 days but no less than 90 days prior to the end of the then-current term.</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conjunction with the launch of our EchoStar XIX satellite, in March 2017, we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entered into a master service agreement (the “Hughes Broadband MSA”) pursuant to which DISH Network, among other things: (i) has the right, but not the obligation, to market, promote and solicit orders and upgrades for our Gen 5 HughesNet service and related equipment and other telecommunication services and (ii) installs Gen 5 HughesNet service equipment with respect to activations generated by DISH Network. Under the Hughes Broadband MSA, we and DISH Network make certain payments to each other relating to sales, upgrades, purchases and installation services. The Hughes Broadband MSA has an initial term of five years through March 2022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Gen 5 HughesNet service to subscribers and make certain payments to DISH Network pursuant to the terms and conditions of the Hughes Broadband MSA. We incurred sales incentives and other costs under the Hughes Broadband MSA totaling $16.6 million, $17.1 million and $33.2 million for the years ended December 31, 2020, 2019 and 2018, respectively.</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2019 TT&amp;C Agreement</w:t>
      </w:r>
      <w:r>
        <w:rPr>
          <w:rFonts w:ascii="Arial" w:cs="Arial" w:eastAsia="Arial" w:hAnsi="Arial"/>
          <w:sz w:val="18"/>
          <w:szCs w:val="18"/>
          <w:color w:val="auto"/>
        </w:rPr>
        <w:t>. In September 2019, in connection with the BSS Transaction, we entered into an agreement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provides TT&amp;C services to us for a period ending in September 2021, with the option for us to renew for a one-year period upon written notice at least 90 days prior to the initial expiration (the “2019 TT&amp;C Agreement”).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Receivables - DISH Network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other receivables owed from DISH Network:</w:t>
      </w:r>
    </w:p>
    <w:p>
      <w:pPr>
        <w:spacing w:after="0" w:line="142"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21590</wp:posOffset>
            </wp:positionV>
            <wp:extent cx="2091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6" w:lineRule="exact"/>
        <w:rPr>
          <w:sz w:val="20"/>
          <w:szCs w:val="20"/>
          <w:color w:val="auto"/>
        </w:rPr>
      </w:pPr>
    </w:p>
    <w:p>
      <w:pPr>
        <w:ind w:left="8540"/>
        <w:spacing w:after="0"/>
        <w:tabs>
          <w:tab w:leader="none" w:pos="102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7940" w:val="left"/>
          <w:tab w:leader="none" w:pos="8900" w:val="left"/>
          <w:tab w:leader="none" w:pos="9640" w:val="left"/>
          <w:tab w:leader="none" w:pos="10600" w:val="left"/>
        </w:tabs>
        <w:rPr>
          <w:sz w:val="20"/>
          <w:szCs w:val="20"/>
          <w:color w:val="auto"/>
        </w:rPr>
      </w:pPr>
      <w:r>
        <w:rPr>
          <w:rFonts w:ascii="Arial" w:cs="Arial" w:eastAsia="Arial" w:hAnsi="Arial"/>
          <w:sz w:val="18"/>
          <w:szCs w:val="18"/>
          <w:color w:val="auto"/>
        </w:rPr>
        <w:t>Other receivables - DISH Network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92,680</w:t>
        <w:tab/>
        <w:t>$</w:t>
      </w:r>
      <w:r>
        <w:rPr>
          <w:sz w:val="20"/>
          <w:szCs w:val="20"/>
          <w:color w:val="auto"/>
        </w:rPr>
        <w:tab/>
      </w:r>
      <w:r>
        <w:rPr>
          <w:rFonts w:ascii="Arial" w:cs="Arial" w:eastAsia="Arial" w:hAnsi="Arial"/>
          <w:sz w:val="17"/>
          <w:szCs w:val="17"/>
          <w:color w:val="auto"/>
        </w:rPr>
        <w:t>92,892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41275</wp:posOffset>
            </wp:positionV>
            <wp:extent cx="20916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5">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Tax Sharing Agreement. </w:t>
      </w:r>
      <w:r>
        <w:rPr>
          <w:rFonts w:ascii="Arial" w:cs="Arial" w:eastAsia="Arial" w:hAnsi="Arial"/>
          <w:sz w:val="18"/>
          <w:szCs w:val="18"/>
          <w:color w:val="auto"/>
        </w:rPr>
        <w:t>Effective December 2007, we and DISH Network entered into a tax sharing agreement (the “Tax Sharing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in connection with the Spin-off. This 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Code, because of: (i) a direct or indirect acquisition of any of our stock, stock options or assets; (ii) any action that we take or fail to take or (iii) any action that we take that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The agreement with DISH Network in 2013 requires DISH Network to pay us the federal tax benefit it receives at such time as we would have otherwise been able to realize such tax benefit. We recorded a non-current receivable from DISH Network in Other receivables - DISH Network and a corresponding increase in our </w:t>
      </w:r>
      <w:r>
        <w:rPr>
          <w:rFonts w:ascii="Arial" w:cs="Arial" w:eastAsia="Arial" w:hAnsi="Arial"/>
          <w:sz w:val="18"/>
          <w:szCs w:val="18"/>
          <w:i w:val="1"/>
          <w:iCs w:val="1"/>
          <w:color w:val="auto"/>
        </w:rPr>
        <w:t>Deferred tax liabilities, net</w:t>
      </w:r>
      <w:r>
        <w:rPr>
          <w:rFonts w:ascii="Arial" w:cs="Arial" w:eastAsia="Arial" w:hAnsi="Arial"/>
          <w:sz w:val="18"/>
          <w:szCs w:val="18"/>
          <w:color w:val="auto"/>
        </w:rPr>
        <w:t xml:space="preserve"> to reflect the effects of this agreement in September 2013.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 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 development tax credits generated by us and used by DISH Network. In addition, the Tax Sharing Amendment extends the term of the State Tax Arrangement to the earlier to occur of termination of the Tax Sharing Agreement, a change in control of either us or DISH Network or, for any particular state, if we and DISH Network no longer file a combined tax return for such state.</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and DISH Network file combined income tax returns in certain states from 2008 through 2019. We have earned and recognized tax benefits for certain state income tax credits that we would be unable to fully utilize currently if we had filed separately from DISH Network. We have charged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in prior periods when DISH Network has utilized such tax benefits. We expect to increase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paid-in capital </w:t>
      </w:r>
      <w:r>
        <w:rPr>
          <w:rFonts w:ascii="Arial" w:cs="Arial" w:eastAsia="Arial" w:hAnsi="Arial"/>
          <w:sz w:val="18"/>
          <w:szCs w:val="18"/>
          <w:color w:val="auto"/>
        </w:rPr>
        <w:t>upon receipt of any consideration that DISH Network pays to us in exchange for these tax credits.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2019 and 2018, DISH Network has utilized tax benefits of $2.2 million, tax provisions of $1.6 million and tax benefits of $1.8 million,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In May 2019, we and BSS Corp. entered into the Master Transaction Agreement with DISH and Merger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 with respect to the BSS Transaction. Pursuant to the terms of the Master Transaction Agreement, on September 10, 2019: (i) we transferred the BSS Business to BSS Corp.; (ii) we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0.23523769 shares of DISH Common Stock. Following the consummation of the BSS Transaction, we no longer operate the BSS Business, which was a substantial portion of our ESS segment. The Master Transaction Agreement contained customary representations and warranties by us and DISH Network, including our representations relating to the assets, liabilities and financial condition of the BSS Business, and representations by DISH Network relating to its financial condition and liabilities. We and DISH Network have agreed to indemnify each other against certain losses with</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respect to breaches of certain representations and covenants and certain retained and assumed liabilities, respectively.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BSS Transaction Intellectual Property and Technology License Agreement. </w:t>
      </w:r>
      <w:r>
        <w:rPr>
          <w:rFonts w:ascii="Arial" w:cs="Arial" w:eastAsia="Arial" w:hAnsi="Arial"/>
          <w:sz w:val="18"/>
          <w:szCs w:val="18"/>
          <w:color w:val="auto"/>
        </w:rPr>
        <w:t>Effective September 2019, in connection with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we and DISH Network entered into an intellectual property and technology license agreement (the “BSS IPTLA”) pursuant to which we and DISH Network license to each other certain intellectual property and technology. The BSS IPTLA will continue in perpetuity, unless mutually terminated by the parties. Pursuant to the BSS IPTLA, we granted to DISH Network a license to our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among other things, for the continued use of all intellectual property and technology that is used in our retained businesses but the ownership of which was transferred to DISH Network pursuant to the BSS Transaction.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BSS Transaction Tax Matters Agreement. </w:t>
      </w:r>
      <w:r>
        <w:rPr>
          <w:rFonts w:ascii="Arial" w:cs="Arial" w:eastAsia="Arial" w:hAnsi="Arial"/>
          <w:sz w:val="18"/>
          <w:szCs w:val="18"/>
          <w:color w:val="auto"/>
        </w:rPr>
        <w:t>Effective September 2019, in connection with the BSS Transaction, we, BSS Corp.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 tax matters agreement. This agreement governs certain of our rights, responsibilities and obligations with respect to taxes of the BSS Business transferred pursuant to the BSS Transaction. Generally, we are responsible for all tax returns and tax liabilities for the BSS Business for periods prior to the BSS Transaction and DISH is responsible for all tax returns and tax liabilities for the BSS Business from and after the BSS Transaction. Both we and DISH made certain tax-related representations and are subject to various tax-related covenants after the consummation of the BSS Transaction. Both we and DISH Network have agreed to indemnify each other for certain losses if there is a breach of any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us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 income tax purposes. This tax matters agreement supplements the Tax Sharing Agreement outlined above and the Share Exchange Tax Matters Agreement outlined below, both of which continue in full force and effect.</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BSS Transaction Employee Matters Agreement. </w:t>
      </w:r>
      <w:r>
        <w:rPr>
          <w:rFonts w:ascii="Arial" w:cs="Arial" w:eastAsia="Arial" w:hAnsi="Arial"/>
          <w:sz w:val="18"/>
          <w:szCs w:val="18"/>
          <w:color w:val="auto"/>
        </w:rPr>
        <w:t>Effective September 2019, in connection with the BSS Transaction, we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entered into an employee matters agreement that addressed the transfer 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we are responsible for certain pre-BSS Transaction compensation and benefits for employees who transferred to DISH Network in connection with the BSS Transaction.</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In January 2017, we and certain of our subsidiaries entered into the Share Exchange Agreement with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certain of its subsidiaries pursuant to which, in February 2017, we received all of the shares of the Tracking Stock in exchange for 100% of the equity interests of certain EchoStar subsidiaries that held substantially all of our EchoStar Technologies businesses and certain other assets. Following consummation of the Share Exchange, we no longer operate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Share Exchange Intellectual Property and Technology License Agreement</w:t>
      </w:r>
      <w:r>
        <w:rPr>
          <w:rFonts w:ascii="Arial" w:cs="Arial" w:eastAsia="Arial" w:hAnsi="Arial"/>
          <w:sz w:val="18"/>
          <w:szCs w:val="18"/>
          <w:color w:val="auto"/>
        </w:rPr>
        <w:t>. Effective March 2017, in connection with the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we and DISH Network entered into an intellectual property and 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Share Exchange Tax Matters Agreement</w:t>
      </w:r>
      <w:r>
        <w:rPr>
          <w:rFonts w:ascii="Arial" w:cs="Arial" w:eastAsia="Arial" w:hAnsi="Arial"/>
          <w:sz w:val="18"/>
          <w:szCs w:val="18"/>
          <w:color w:val="auto"/>
        </w:rPr>
        <w:t>. Effective March 2017, in connection with the Share Exchange, we and DISH entered into a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agreement. This agreement 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Share Exchange Employee Matters Agreement</w:t>
      </w:r>
      <w:r>
        <w:rPr>
          <w:rFonts w:ascii="Arial" w:cs="Arial" w:eastAsia="Arial" w:hAnsi="Arial"/>
          <w:sz w:val="18"/>
          <w:szCs w:val="18"/>
          <w:color w:val="auto"/>
        </w:rPr>
        <w:t>. Effective March 2017, in connection with the Share Exchange, we and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an employee matters agreement that addressed the transfer of employees from us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pre-Share Exchange employee related litigation, and compensation and benefits for employees who transferred to DISH Network in connection with the Share Exchange.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RELATED PARTY TRANSACTIONS - OTHER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Hughes Systique Corporation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contract with Hughes Systique Corporation (“Hughes Systique”) for software development services. In addition to our approximately 43% ownership in Hughes Systique, Mr. Pradman Kaul, the President of our subsidiary Hughes Communications, Inc.. and a member of our board of directors, and his brother, who is the Chief Executive Officer and President of Hughes Systique, in the aggregate, own approximately 25%, on an undiluted basis, of Hughes Systique’s outstanding shares as of December 31, 2020.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TerreStar Solutions</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$4.4 million, $12.5 million, and $6.0 million for the years ended December 31, 2020, 2019 and 2018, respectively. As of December 31, 2020 and 2019, we had $0.4 million and $2.7 million trade accounts receivable from TSI.</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IP</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we entered into an agreement with Global-IP Cayman (“Global IP”) providing for the sale of certain equipment and services to Global IP. Mr. William David Wade, a member of our board of directors, served as a member of the board of directors of Global IP and as an executive advisor to the Chief Executive Officer of Global IP from September 2017 until April 2019 and from September 2017 until December 2019, respectively. In August 2018, we and Global IP amended the agreement to: (i) change certain of the equipment and services to be provided to Global IP, (ii) modify certain payment terms, (iii) provide Global IP an option to use one of our test lab facilities and (iv) effectuate the assignment of the agreement from Global IP to one of its wholly-owned subsidiaries. In February 2019, we terminated the agreement as a result of Global IP’s defaults resulting from its failure to make payments to us as required under the terms of the agreement and we reserved our rights and remedies against Global IP under the agreement. We recognized revenue under this agreement of $9.0 million for the year ended December 31, 2018. We have not recognized any revenue since the termination of this agreement. As of December 31, 2020 and 2019, we were owed $7.5 million from Global IP.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Maxar Technologies Inc.</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Jeffrey Tarr, who joined our board of directors in March 2019, served as a consultant and advisor to Maxar Technologies Inc. and its subsidiaries (“Maxar Tech”) through May 2019. We previously entered into agreements with Maxar Tech for the manufacture and certain other services of the EchoStar IX satellite, the EchoStar XVII satellite, the EchoStar XIX satellite, the EchoStar XXI satellite and the EchoStar XXIV satellite and our former EchoStar XI satellite, EchoStar XIV satellite, EchoStar XVI satellite and EchoStar XXIII satellite. Maxar Tech provides us with anomaly support for these satellites once launched pursuant to the terms of the agreements. Maxar Tech also provides a warranty on one of these satellites and may be required to pay us certain amounts should the satellite not operate according to certain performance specifications. Our obligations to pay Maxar Tech under these agreements during the design life of the applicable satellites may be reduced if the applicable satellites do not operate according to certain performance specifications. We incurred aggregate costs payable to Maxar Tech under these agreements of $ 23.9 million and $90.3 million for the years ended December 31, 2020 and 2019, respectively. At both December 31, 2020 and 2019, we had no trade payable to Maxar Tech.</w:t>
      </w:r>
    </w:p>
    <w:p>
      <w:pPr>
        <w:spacing w:after="0" w:line="2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24.</w:t>
      </w:r>
      <w:r>
        <w:rPr>
          <w:sz w:val="20"/>
          <w:szCs w:val="20"/>
          <w:color w:val="auto"/>
        </w:rPr>
        <w:tab/>
      </w:r>
      <w:r>
        <w:rPr>
          <w:rFonts w:ascii="Arial" w:cs="Arial" w:eastAsia="Arial" w:hAnsi="Arial"/>
          <w:sz w:val="17"/>
          <w:szCs w:val="17"/>
          <w:b w:val="1"/>
          <w:bCs w:val="1"/>
          <w:color w:val="auto"/>
        </w:rPr>
        <w:t>SUPPLEMENTAL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research and development costs incurred in connection with customers’ orders: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 - equipment</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Research and development expenses</w:t>
            </w:r>
          </w:p>
        </w:tc>
        <w:tc>
          <w:tcPr>
            <w:tcW w:w="1100" w:type="dxa"/>
            <w:vAlign w:val="bottom"/>
            <w:tcBorders>
              <w:bottom w:val="single" w:sz="8" w:color="auto"/>
            </w:tcBorders>
          </w:tcPr>
          <w:p>
            <w:pPr>
              <w:jc w:val="right"/>
              <w:ind w:right="890"/>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29,448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25,739</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27,570</w:t>
            </w: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5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incurred advertising expense of $65.1 million, $88.2 million and $75.8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54"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The following table reconciles cash and cash equivalents and restricted cash, as presented in the Consolidated Balance Sheets to the total of the same as presented in the Consolidated Statements of Cash Flows: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55"/>
        </w:trPr>
        <w:tc>
          <w:tcPr>
            <w:tcW w:w="57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Cash and cash equivalents, including restricted amounts,</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1,519,431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928,306</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2,431,456</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156"/>
        </w:trPr>
        <w:tc>
          <w:tcPr>
            <w:tcW w:w="5740" w:type="dxa"/>
            <w:vAlign w:val="bottom"/>
          </w:tcPr>
          <w:p>
            <w:pPr>
              <w:ind w:left="220"/>
              <w:spacing w:after="0" w:line="156" w:lineRule="exact"/>
              <w:rPr>
                <w:sz w:val="20"/>
                <w:szCs w:val="20"/>
                <w:color w:val="auto"/>
              </w:rPr>
            </w:pPr>
            <w:r>
              <w:rPr>
                <w:rFonts w:ascii="Arial" w:cs="Arial" w:eastAsia="Arial" w:hAnsi="Arial"/>
                <w:sz w:val="18"/>
                <w:szCs w:val="18"/>
                <w:color w:val="auto"/>
              </w:rPr>
              <w:t>Total cash and cash equivalents, included restricted amounts,</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1,521,889</w:t>
            </w:r>
          </w:p>
        </w:tc>
        <w:tc>
          <w:tcPr>
            <w:tcW w:w="100" w:type="dxa"/>
            <w:vAlign w:val="bottom"/>
          </w:tcPr>
          <w:p>
            <w:pPr>
              <w:spacing w:after="0"/>
              <w:rPr>
                <w:sz w:val="13"/>
                <w:szCs w:val="13"/>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929,495</w:t>
            </w:r>
          </w:p>
        </w:tc>
        <w:tc>
          <w:tcPr>
            <w:tcW w:w="120" w:type="dxa"/>
            <w:vAlign w:val="bottom"/>
          </w:tcPr>
          <w:p>
            <w:pPr>
              <w:spacing w:after="0"/>
              <w:rPr>
                <w:sz w:val="13"/>
                <w:szCs w:val="13"/>
                <w:color w:val="auto"/>
              </w:rPr>
            </w:pPr>
          </w:p>
        </w:tc>
        <w:tc>
          <w:tcPr>
            <w:tcW w:w="580" w:type="dxa"/>
            <w:vAlign w:val="bottom"/>
            <w:vMerge w:val="restart"/>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2,432,249</w:t>
            </w:r>
          </w:p>
        </w:tc>
        <w:tc>
          <w:tcPr>
            <w:tcW w:w="0" w:type="dxa"/>
            <w:vAlign w:val="bottom"/>
          </w:tcPr>
          <w:p>
            <w:pPr>
              <w:spacing w:after="0"/>
              <w:rPr>
                <w:sz w:val="1"/>
                <w:szCs w:val="1"/>
                <w:color w:val="auto"/>
              </w:rPr>
            </w:pPr>
          </w:p>
        </w:tc>
      </w:tr>
      <w:tr>
        <w:trPr>
          <w:trHeight w:val="208"/>
        </w:trPr>
        <w:tc>
          <w:tcPr>
            <w:tcW w:w="5740" w:type="dxa"/>
            <w:vAlign w:val="bottom"/>
          </w:tcPr>
          <w:p>
            <w:pPr>
              <w:ind w:left="220"/>
              <w:spacing w:after="0" w:line="202" w:lineRule="exact"/>
              <w:rPr>
                <w:sz w:val="20"/>
                <w:szCs w:val="20"/>
                <w:color w:val="auto"/>
              </w:rPr>
            </w:pPr>
            <w:r>
              <w:rPr>
                <w:rFonts w:ascii="Arial" w:cs="Arial" w:eastAsia="Arial" w:hAnsi="Arial"/>
                <w:sz w:val="18"/>
                <w:szCs w:val="18"/>
                <w:color w:val="auto"/>
              </w:rPr>
              <w:t>beginning of period</w:t>
            </w:r>
          </w:p>
        </w:tc>
        <w:tc>
          <w:tcPr>
            <w:tcW w:w="40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7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Cash and cash equivalents, including restricted amounts, end of</w:t>
            </w: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1,519,431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928,306</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Restricted cash</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155"/>
        </w:trPr>
        <w:tc>
          <w:tcPr>
            <w:tcW w:w="574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rPr>
              <w:t>Total cash and cash equivalents, included restricted amounts, end</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896,812</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1,521,889</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929,495</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of period</w:t>
            </w: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 Net and Other Non-current Assets, Net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Other current assets, net and Other non-current assets, net</w:t>
      </w:r>
      <w:r>
        <w:rPr>
          <w:rFonts w:ascii="Arial" w:cs="Arial" w:eastAsia="Arial" w:hAnsi="Arial"/>
          <w:sz w:val="18"/>
          <w:szCs w:val="18"/>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9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1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current assets, net: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60" w:type="dxa"/>
            <w:vAlign w:val="bottom"/>
          </w:tcPr>
          <w:p>
            <w:pPr>
              <w:ind w:left="220"/>
              <w:spacing w:after="0"/>
              <w:rPr>
                <w:sz w:val="20"/>
                <w:szCs w:val="20"/>
                <w:color w:val="auto"/>
              </w:rPr>
            </w:pPr>
            <w:r>
              <w:rPr>
                <w:rFonts w:ascii="Arial" w:cs="Arial" w:eastAsia="Arial" w:hAnsi="Arial"/>
                <w:sz w:val="18"/>
                <w:szCs w:val="18"/>
                <w:color w:val="auto"/>
              </w:rPr>
              <w:t>Trade accounts receivable - DISH Network</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5,612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10,683</w:t>
            </w:r>
          </w:p>
        </w:tc>
      </w:tr>
      <w:tr>
        <w:trPr>
          <w:trHeight w:val="230"/>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79,621</w:t>
            </w:r>
          </w:p>
        </w:tc>
      </w:tr>
      <w:tr>
        <w:trPr>
          <w:trHeight w:val="229"/>
        </w:trPr>
        <w:tc>
          <w:tcPr>
            <w:tcW w:w="7960" w:type="dxa"/>
            <w:vAlign w:val="bottom"/>
          </w:tcPr>
          <w:p>
            <w:pPr>
              <w:ind w:left="220"/>
              <w:spacing w:after="0"/>
              <w:rPr>
                <w:sz w:val="20"/>
                <w:szCs w:val="20"/>
                <w:color w:val="auto"/>
              </w:rPr>
            </w:pPr>
            <w:r>
              <w:rPr>
                <w:rFonts w:ascii="Arial" w:cs="Arial" w:eastAsia="Arial" w:hAnsi="Arial"/>
                <w:sz w:val="18"/>
                <w:szCs w:val="18"/>
                <w:color w:val="auto"/>
              </w:rPr>
              <w:t>Prepaids and deposits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55,381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67,014</w:t>
            </w:r>
          </w:p>
        </w:tc>
      </w:tr>
      <w:tr>
        <w:trPr>
          <w:trHeight w:val="230"/>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22,213</w:t>
            </w:r>
          </w:p>
        </w:tc>
      </w:tr>
      <w:tr>
        <w:trPr>
          <w:trHeight w:val="223"/>
        </w:trPr>
        <w:tc>
          <w:tcPr>
            <w:tcW w:w="7960" w:type="dxa"/>
            <w:vAlign w:val="bottom"/>
          </w:tcPr>
          <w:p>
            <w:pPr>
              <w:ind w:left="480"/>
              <w:spacing w:after="0"/>
              <w:rPr>
                <w:sz w:val="20"/>
                <w:szCs w:val="20"/>
                <w:color w:val="auto"/>
              </w:rPr>
            </w:pPr>
            <w:r>
              <w:rPr>
                <w:rFonts w:ascii="Arial" w:cs="Arial" w:eastAsia="Arial" w:hAnsi="Arial"/>
                <w:sz w:val="18"/>
                <w:szCs w:val="18"/>
                <w:color w:val="auto"/>
              </w:rPr>
              <w:t>Total other current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189,821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179,531</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7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Other non-current assets, net:</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 - DISH Network</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92,892</w:t>
            </w:r>
          </w:p>
        </w:tc>
      </w:tr>
      <w:tr>
        <w:trPr>
          <w:trHeight w:val="229"/>
        </w:trPr>
        <w:tc>
          <w:tcPr>
            <w:tcW w:w="7960" w:type="dxa"/>
            <w:vAlign w:val="bottom"/>
          </w:tcPr>
          <w:p>
            <w:pPr>
              <w:ind w:left="220"/>
              <w:spacing w:after="0"/>
              <w:rPr>
                <w:sz w:val="20"/>
                <w:szCs w:val="20"/>
                <w:color w:val="auto"/>
              </w:rPr>
            </w:pPr>
            <w:r>
              <w:rPr>
                <w:rFonts w:ascii="Arial" w:cs="Arial" w:eastAsia="Arial" w:hAnsi="Arial"/>
                <w:sz w:val="18"/>
                <w:szCs w:val="18"/>
                <w:color w:val="auto"/>
              </w:rPr>
              <w:t>Restricted marketable investment securities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8,093</w:t>
            </w:r>
          </w:p>
        </w:tc>
      </w:tr>
      <w:tr>
        <w:trPr>
          <w:trHeight w:val="230"/>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r>
      <w:tr>
        <w:trPr>
          <w:trHeight w:val="230"/>
        </w:trPr>
        <w:tc>
          <w:tcPr>
            <w:tcW w:w="7960" w:type="dxa"/>
            <w:vAlign w:val="bottom"/>
          </w:tcPr>
          <w:p>
            <w:pPr>
              <w:ind w:left="22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7,251</w:t>
            </w:r>
          </w:p>
        </w:tc>
      </w:tr>
      <w:tr>
        <w:trPr>
          <w:trHeight w:val="230"/>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software, net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101,786</w:t>
            </w:r>
          </w:p>
        </w:tc>
      </w:tr>
      <w:tr>
        <w:trPr>
          <w:trHeight w:val="229"/>
        </w:trPr>
        <w:tc>
          <w:tcPr>
            <w:tcW w:w="7960" w:type="dxa"/>
            <w:vAlign w:val="bottom"/>
          </w:tcPr>
          <w:p>
            <w:pPr>
              <w:ind w:left="220"/>
              <w:spacing w:after="0"/>
              <w:rPr>
                <w:sz w:val="20"/>
                <w:szCs w:val="20"/>
                <w:color w:val="auto"/>
              </w:rPr>
            </w:pPr>
            <w:r>
              <w:rPr>
                <w:rFonts w:ascii="Arial" w:cs="Arial" w:eastAsia="Arial" w:hAnsi="Arial"/>
                <w:sz w:val="18"/>
                <w:szCs w:val="18"/>
                <w:color w:val="auto"/>
              </w:rPr>
              <w:t>Contract acquisition costs, net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99,837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96,723</w:t>
            </w:r>
          </w:p>
        </w:tc>
      </w:tr>
      <w:tr>
        <w:trPr>
          <w:trHeight w:val="230"/>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fulfillment costs, net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r>
      <w:tr>
        <w:trPr>
          <w:trHeight w:val="230"/>
        </w:trPr>
        <w:tc>
          <w:tcPr>
            <w:tcW w:w="7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22,628</w:t>
            </w:r>
          </w:p>
        </w:tc>
      </w:tr>
      <w:tr>
        <w:trPr>
          <w:trHeight w:val="248"/>
        </w:trPr>
        <w:tc>
          <w:tcPr>
            <w:tcW w:w="7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non-current assets,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334,841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table presents the activity in our allowance for doubtful accounts, which is included within Other, net in each of Other current assets, net and Other non-current assets, net in the table above: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For the years ended December 31,</w:t>
            </w:r>
          </w:p>
        </w:tc>
      </w:tr>
      <w:tr>
        <w:trPr>
          <w:trHeight w:val="169"/>
        </w:trPr>
        <w:tc>
          <w:tcPr>
            <w:tcW w:w="7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rPr>
              <w:t>Other current</w:t>
            </w:r>
          </w:p>
        </w:tc>
        <w:tc>
          <w:tcPr>
            <w:tcW w:w="160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w w:val="99"/>
              </w:rPr>
              <w:t>Other non-current</w:t>
            </w:r>
          </w:p>
        </w:tc>
      </w:tr>
      <w:tr>
        <w:trPr>
          <w:trHeight w:val="230"/>
        </w:trPr>
        <w:tc>
          <w:tcPr>
            <w:tcW w:w="7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assets, net</w:t>
            </w:r>
          </w:p>
        </w:tc>
        <w:tc>
          <w:tcPr>
            <w:tcW w:w="240" w:type="dxa"/>
            <w:vAlign w:val="bottom"/>
          </w:tcPr>
          <w:p>
            <w:pPr>
              <w:spacing w:after="0"/>
              <w:rPr>
                <w:sz w:val="19"/>
                <w:szCs w:val="19"/>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assets, net</w:t>
            </w: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Credit losses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13,378</w:t>
            </w: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12,869</w:t>
            </w:r>
          </w:p>
        </w:tc>
      </w:tr>
      <w:tr>
        <w:trPr>
          <w:trHeight w:val="21"/>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340" w:hanging="332"/>
        <w:spacing w:after="0" w:line="225" w:lineRule="auto"/>
        <w:tabs>
          <w:tab w:leader="none" w:pos="247" w:val="left"/>
        </w:tabs>
        <w:numPr>
          <w:ilvl w:val="0"/>
          <w:numId w:val="60"/>
        </w:numPr>
        <w:rPr>
          <w:rFonts w:ascii="Arial" w:cs="Arial" w:eastAsia="Arial" w:hAnsi="Arial"/>
          <w:sz w:val="19"/>
          <w:szCs w:val="19"/>
          <w:color w:val="auto"/>
          <w:vertAlign w:val="superscript"/>
        </w:rPr>
      </w:pPr>
      <w:r>
        <w:rPr>
          <w:rFonts w:ascii="Arial" w:cs="Arial" w:eastAsia="Arial" w:hAnsi="Arial"/>
          <w:sz w:val="14"/>
          <w:szCs w:val="14"/>
          <w:color w:val="auto"/>
        </w:rPr>
        <w:t xml:space="preserve">The impact of adopting ASC 326 on January 1, 2020 was a net increase to our allowance for doubtful accounts largely driven by a $13.4 million reclassification from </w:t>
      </w:r>
      <w:r>
        <w:rPr>
          <w:rFonts w:ascii="Arial" w:cs="Arial" w:eastAsia="Arial" w:hAnsi="Arial"/>
          <w:sz w:val="14"/>
          <w:szCs w:val="14"/>
          <w:i w:val="1"/>
          <w:iCs w:val="1"/>
          <w:color w:val="auto"/>
        </w:rPr>
        <w:t>Trade</w:t>
      </w:r>
      <w:r>
        <w:rPr>
          <w:rFonts w:ascii="Arial" w:cs="Arial" w:eastAsia="Arial" w:hAnsi="Arial"/>
          <w:sz w:val="14"/>
          <w:szCs w:val="14"/>
          <w:color w:val="auto"/>
        </w:rPr>
        <w:t xml:space="preserve"> </w:t>
      </w:r>
      <w:r>
        <w:rPr>
          <w:rFonts w:ascii="Arial" w:cs="Arial" w:eastAsia="Arial" w:hAnsi="Arial"/>
          <w:sz w:val="14"/>
          <w:szCs w:val="14"/>
          <w:i w:val="1"/>
          <w:iCs w:val="1"/>
          <w:color w:val="auto"/>
        </w:rPr>
        <w:t>accounts receivables and contracts assets, net</w:t>
      </w:r>
      <w:r>
        <w:rPr>
          <w:rFonts w:ascii="Arial" w:cs="Arial" w:eastAsia="Arial" w:hAnsi="Arial"/>
          <w:sz w:val="14"/>
          <w:szCs w:val="14"/>
          <w:color w:val="auto"/>
        </w:rPr>
        <w:t>.</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40" w:type="dxa"/>
            <w:vAlign w:val="bottom"/>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7940" w:type="dxa"/>
            <w:vAlign w:val="bottom"/>
          </w:tcPr>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Accrued expenses and other current liabilities: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79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Trade accounts payable - DISH Network</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42,622</w:t>
            </w:r>
          </w:p>
        </w:tc>
        <w:tc>
          <w:tcPr>
            <w:tcW w:w="0" w:type="dxa"/>
            <w:vAlign w:val="bottom"/>
          </w:tcPr>
          <w:p>
            <w:pPr>
              <w:spacing w:after="0"/>
              <w:rPr>
                <w:sz w:val="1"/>
                <w:szCs w:val="1"/>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62,299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50,787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Operating lease obligation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14,651</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142,371</w:t>
            </w:r>
          </w:p>
        </w:tc>
        <w:tc>
          <w:tcPr>
            <w:tcW w:w="0" w:type="dxa"/>
            <w:vAlign w:val="bottom"/>
          </w:tcPr>
          <w:p>
            <w:pPr>
              <w:spacing w:after="0"/>
              <w:rPr>
                <w:sz w:val="1"/>
                <w:szCs w:val="1"/>
                <w:color w:val="auto"/>
              </w:rPr>
            </w:pPr>
          </w:p>
        </w:tc>
      </w:tr>
      <w:tr>
        <w:trPr>
          <w:trHeight w:val="223"/>
        </w:trPr>
        <w:tc>
          <w:tcPr>
            <w:tcW w:w="7940" w:type="dxa"/>
            <w:vAlign w:val="bottom"/>
          </w:tcPr>
          <w:p>
            <w:pPr>
              <w:ind w:left="480"/>
              <w:spacing w:after="0"/>
              <w:rPr>
                <w:sz w:val="20"/>
                <w:szCs w:val="20"/>
                <w:color w:val="auto"/>
              </w:rPr>
            </w:pPr>
            <w:r>
              <w:rPr>
                <w:rFonts w:ascii="Arial" w:cs="Arial" w:eastAsia="Arial" w:hAnsi="Arial"/>
                <w:sz w:val="18"/>
                <w:szCs w:val="18"/>
                <w:color w:val="auto"/>
              </w:rPr>
              <w:t>Total accrued expenses and other current liabilities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299,999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270,879</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Inventory</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2"/>
        </w:trPr>
        <w:tc>
          <w:tcPr>
            <w:tcW w:w="7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940" w:type="dxa"/>
            <w:vAlign w:val="bottom"/>
          </w:tcPr>
          <w:p>
            <w:pPr>
              <w:spacing w:after="0"/>
              <w:rPr>
                <w:sz w:val="20"/>
                <w:szCs w:val="20"/>
                <w:color w:val="auto"/>
              </w:rPr>
            </w:pPr>
            <w:r>
              <w:rPr>
                <w:rFonts w:ascii="Arial" w:cs="Arial" w:eastAsia="Arial" w:hAnsi="Arial"/>
                <w:sz w:val="18"/>
                <w:szCs w:val="18"/>
                <w:color w:val="auto"/>
              </w:rPr>
              <w:t>The following table presents the components of inventory:</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9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68,402</w:t>
            </w:r>
          </w:p>
        </w:tc>
        <w:tc>
          <w:tcPr>
            <w:tcW w:w="0" w:type="dxa"/>
            <w:vAlign w:val="bottom"/>
          </w:tcPr>
          <w:p>
            <w:pPr>
              <w:spacing w:after="0"/>
              <w:rPr>
                <w:sz w:val="1"/>
                <w:szCs w:val="1"/>
                <w:color w:val="auto"/>
              </w:rPr>
            </w:pPr>
          </w:p>
        </w:tc>
      </w:tr>
      <w:tr>
        <w:trPr>
          <w:trHeight w:val="223"/>
        </w:trPr>
        <w:tc>
          <w:tcPr>
            <w:tcW w:w="7940" w:type="dxa"/>
            <w:vAlign w:val="bottom"/>
          </w:tcPr>
          <w:p>
            <w:pPr>
              <w:ind w:left="220"/>
              <w:spacing w:after="0"/>
              <w:rPr>
                <w:sz w:val="20"/>
                <w:szCs w:val="20"/>
                <w:color w:val="auto"/>
              </w:rPr>
            </w:pPr>
            <w:r>
              <w:rPr>
                <w:rFonts w:ascii="Arial" w:cs="Arial" w:eastAsia="Arial" w:hAnsi="Arial"/>
                <w:sz w:val="18"/>
                <w:szCs w:val="18"/>
                <w:color w:val="auto"/>
              </w:rPr>
              <w:t>Total inventory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79,621</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42" w:name="page143"/>
    <w:bookmarkEnd w:id="1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spacing w:after="0"/>
              <w:rPr>
                <w:sz w:val="20"/>
                <w:szCs w:val="20"/>
                <w:color w:val="auto"/>
              </w:rPr>
            </w:pPr>
            <w:r>
              <w:rPr>
                <w:rFonts w:ascii="Arial" w:cs="Arial" w:eastAsia="Arial" w:hAnsi="Arial"/>
                <w:sz w:val="18"/>
                <w:szCs w:val="18"/>
                <w:b w:val="1"/>
                <w:bCs w:val="1"/>
                <w:color w:val="auto"/>
              </w:rPr>
              <w:t>Capitalized Software Costs</w:t>
            </w:r>
          </w:p>
        </w:tc>
        <w:tc>
          <w:tcPr>
            <w:tcW w:w="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6420" w:type="dxa"/>
            <w:vAlign w:val="bottom"/>
            <w:gridSpan w:val="2"/>
          </w:tcPr>
          <w:p>
            <w:pPr>
              <w:spacing w:after="0"/>
              <w:rPr>
                <w:sz w:val="20"/>
                <w:szCs w:val="20"/>
                <w:color w:val="auto"/>
              </w:rPr>
            </w:pPr>
            <w:r>
              <w:rPr>
                <w:rFonts w:ascii="Arial" w:cs="Arial" w:eastAsia="Arial" w:hAnsi="Arial"/>
                <w:sz w:val="18"/>
                <w:szCs w:val="18"/>
                <w:color w:val="auto"/>
              </w:rPr>
              <w:t>The following tables present the activity related to our capitalized software cost:</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5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 of externally marketed software</w:t>
            </w:r>
          </w:p>
        </w:tc>
        <w:tc>
          <w:tcPr>
            <w:tcW w:w="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116,661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101,786</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3"/>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20" w:type="dxa"/>
            <w:vAlign w:val="bottom"/>
            <w:gridSpan w:val="2"/>
          </w:tcPr>
          <w:p>
            <w:pPr>
              <w:ind w:left="20"/>
              <w:spacing w:after="0" w:line="203" w:lineRule="exact"/>
              <w:rPr>
                <w:sz w:val="20"/>
                <w:szCs w:val="20"/>
                <w:color w:val="auto"/>
              </w:rPr>
            </w:pPr>
            <w:r>
              <w:rPr>
                <w:rFonts w:ascii="Arial" w:cs="Arial" w:eastAsia="Arial" w:hAnsi="Arial"/>
                <w:sz w:val="18"/>
                <w:szCs w:val="18"/>
                <w:color w:val="auto"/>
                <w:w w:val="99"/>
              </w:rPr>
              <w:t>Externally marketed software under development and not yet placed into service</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72,047</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38,766</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7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9"/>
          </w:tcPr>
          <w:p>
            <w:pPr>
              <w:jc w:val="center"/>
              <w:ind w:left="4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56"/>
        </w:trPr>
        <w:tc>
          <w:tcPr>
            <w:tcW w:w="57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Capitalized costs related to development of externally marketed</w:t>
            </w:r>
          </w:p>
        </w:tc>
        <w:tc>
          <w:tcPr>
            <w:tcW w:w="68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38,655</w:t>
            </w:r>
          </w:p>
        </w:tc>
        <w:tc>
          <w:tcPr>
            <w:tcW w:w="100" w:type="dxa"/>
            <w:vAlign w:val="bottom"/>
            <w:vMerge w:val="restart"/>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rPr>
              <w:t>29,310</w:t>
            </w:r>
          </w:p>
        </w:tc>
        <w:tc>
          <w:tcPr>
            <w:tcW w:w="120" w:type="dxa"/>
            <w:vAlign w:val="bottom"/>
            <w:shd w:val="clear" w:color="auto" w:fill="CCEEFF"/>
          </w:tcPr>
          <w:p>
            <w:pPr>
              <w:spacing w:after="0"/>
              <w:rPr>
                <w:sz w:val="13"/>
                <w:szCs w:val="13"/>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31,639</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software</w:t>
            </w: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vMerge w:val="continue"/>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Amortization expense relating to externally marketed software</w:t>
            </w:r>
          </w:p>
        </w:tc>
        <w:tc>
          <w:tcPr>
            <w:tcW w:w="680" w:type="dxa"/>
            <w:vAlign w:val="bottom"/>
            <w:tcBorders>
              <w:top w:val="single" w:sz="8" w:color="auto"/>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23,780</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ind w:left="560"/>
              <w:spacing w:after="0" w:line="203" w:lineRule="exact"/>
              <w:rPr>
                <w:sz w:val="20"/>
                <w:szCs w:val="20"/>
                <w:color w:val="auto"/>
              </w:rPr>
            </w:pPr>
            <w:r>
              <w:rPr>
                <w:rFonts w:ascii="Arial" w:cs="Arial" w:eastAsia="Arial" w:hAnsi="Arial"/>
                <w:sz w:val="18"/>
                <w:szCs w:val="18"/>
                <w:color w:val="auto"/>
              </w:rPr>
              <w:t>24,284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22,966</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useful life (in years)</w:t>
            </w:r>
          </w:p>
        </w:tc>
        <w:tc>
          <w:tcPr>
            <w:tcW w:w="6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and Non-cash Investing and Financing Activities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and non-cash investing and financing activities: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Cash paid for interest, net of amounts capitalized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139,280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195,331</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240,596</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paid for income taxes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Employee benefits paid in Class A common stock</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6,654</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7,605</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Increase (decrease) in capital expenditures included in accounts</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payable, net</w:t>
            </w: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Non-cash assets exchanged for BSS Transaction</w:t>
            </w:r>
          </w:p>
        </w:tc>
        <w:tc>
          <w:tcPr>
            <w:tcW w:w="40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532,855</w:t>
            </w:r>
          </w:p>
        </w:tc>
        <w:tc>
          <w:tcPr>
            <w:tcW w:w="12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Non-cash net assets received in exchange for a 20% ownership</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94,918</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in our existing Brazilian subsidiary</w:t>
            </w:r>
          </w:p>
        </w:tc>
        <w:tc>
          <w:tcPr>
            <w:tcW w:w="400" w:type="dxa"/>
            <w:vAlign w:val="bottom"/>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240"/>
          </w:cols>
          <w:pgMar w:left="320" w:top="115"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ECHOSTAR CORPORATION AND SUBSIDIARIES</w:t>
            </w:r>
          </w:p>
        </w:tc>
      </w:tr>
      <w:tr>
        <w:trPr>
          <w:trHeight w:val="459"/>
        </w:trPr>
        <w:tc>
          <w:tcPr>
            <w:tcW w:w="4220" w:type="dxa"/>
            <w:vAlign w:val="bottom"/>
          </w:tcPr>
          <w:p>
            <w:pPr>
              <w:spacing w:after="0"/>
              <w:rPr>
                <w:sz w:val="24"/>
                <w:szCs w:val="24"/>
                <w:color w:val="auto"/>
              </w:rPr>
            </w:pPr>
          </w:p>
        </w:tc>
        <w:tc>
          <w:tcPr>
            <w:tcW w:w="6980" w:type="dxa"/>
            <w:vAlign w:val="bottom"/>
            <w:gridSpan w:val="3"/>
          </w:tcPr>
          <w:p>
            <w:pPr>
              <w:jc w:val="center"/>
              <w:ind w:right="4110"/>
              <w:spacing w:after="0"/>
              <w:rPr>
                <w:sz w:val="20"/>
                <w:szCs w:val="20"/>
                <w:color w:val="auto"/>
              </w:rPr>
            </w:pPr>
            <w:r>
              <w:rPr>
                <w:rFonts w:ascii="Arial" w:cs="Arial" w:eastAsia="Arial" w:hAnsi="Arial"/>
                <w:sz w:val="18"/>
                <w:szCs w:val="18"/>
                <w:b w:val="1"/>
                <w:bCs w:val="1"/>
                <w:color w:val="auto"/>
                <w:w w:val="99"/>
              </w:rPr>
              <w:t>LIST OF SUBSIDIARIES</w:t>
            </w:r>
          </w:p>
        </w:tc>
      </w:tr>
      <w:tr>
        <w:trPr>
          <w:trHeight w:val="459"/>
        </w:trPr>
        <w:tc>
          <w:tcPr>
            <w:tcW w:w="4220" w:type="dxa"/>
            <w:vAlign w:val="bottom"/>
          </w:tcPr>
          <w:p>
            <w:pPr>
              <w:spacing w:after="0"/>
              <w:rPr>
                <w:sz w:val="24"/>
                <w:szCs w:val="24"/>
                <w:color w:val="auto"/>
              </w:rPr>
            </w:pPr>
          </w:p>
        </w:tc>
        <w:tc>
          <w:tcPr>
            <w:tcW w:w="6980" w:type="dxa"/>
            <w:vAlign w:val="bottom"/>
            <w:gridSpan w:val="3"/>
          </w:tcPr>
          <w:p>
            <w:pPr>
              <w:jc w:val="center"/>
              <w:ind w:right="4130"/>
              <w:spacing w:after="0"/>
              <w:rPr>
                <w:sz w:val="20"/>
                <w:szCs w:val="20"/>
                <w:color w:val="auto"/>
              </w:rPr>
            </w:pPr>
            <w:r>
              <w:rPr>
                <w:rFonts w:ascii="Arial" w:cs="Arial" w:eastAsia="Arial" w:hAnsi="Arial"/>
                <w:sz w:val="18"/>
                <w:szCs w:val="18"/>
                <w:b w:val="1"/>
                <w:bCs w:val="1"/>
                <w:color w:val="auto"/>
                <w:w w:val="99"/>
              </w:rPr>
              <w:t>As of December 31, 2020</w:t>
            </w:r>
          </w:p>
        </w:tc>
      </w:tr>
      <w:tr>
        <w:trPr>
          <w:trHeight w:val="555"/>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Legal Entity</w:t>
            </w:r>
          </w:p>
        </w:tc>
        <w:tc>
          <w:tcPr>
            <w:tcW w:w="12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State or Country of Incorporation</w:t>
            </w:r>
          </w:p>
        </w:tc>
      </w:tr>
      <w:tr>
        <w:trPr>
          <w:trHeight w:val="214"/>
        </w:trPr>
        <w:tc>
          <w:tcPr>
            <w:tcW w:w="4220" w:type="dxa"/>
            <w:vAlign w:val="bottom"/>
          </w:tcPr>
          <w:p>
            <w:pPr>
              <w:ind w:left="20"/>
              <w:spacing w:after="0"/>
              <w:rPr>
                <w:sz w:val="20"/>
                <w:szCs w:val="20"/>
                <w:color w:val="auto"/>
              </w:rPr>
            </w:pPr>
            <w:r>
              <w:rPr>
                <w:rFonts w:ascii="Arial" w:cs="Arial" w:eastAsia="Arial" w:hAnsi="Arial"/>
                <w:sz w:val="18"/>
                <w:szCs w:val="18"/>
                <w:color w:val="auto"/>
              </w:rPr>
              <w:t>Hughes Satellite Systems Corporation</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rPr>
              <w:t>Colorado</w:t>
            </w: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Hughes Communications, Inc.</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Hughes Network Systems, LLC</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Hughes Network Systems Canada ULC</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Hughes Network Systems GmbH</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EchoStar Corporation</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9"/>
              </w:rPr>
              <w:t>Nevada</w:t>
            </w: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EchoStar XXIV L.L.C.</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rPr>
              <w:t>Colorado</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EchoStar Orbital L.L.C.</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rPr>
              <w:t>Colorado</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EchoStar Technologies International Corporation</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rPr>
              <w:t>Colorado</w:t>
            </w: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EchoStar UK Holdings Ltd</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Sawatch Limited</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EchoStar Mobile Limited</w:t>
            </w: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8"/>
              </w:rPr>
              <w:t>Ireland</w:t>
            </w:r>
          </w:p>
        </w:tc>
      </w:tr>
    </w:tbl>
    <w:p>
      <w:pPr>
        <w:sectPr>
          <w:pgSz w:w="11900" w:h="16838" w:orient="portrait"/>
          <w:cols w:equalWidth="0" w:num="1">
            <w:col w:w="11220"/>
          </w:cols>
          <w:pgMar w:left="340" w:top="884"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EchoStar Corporation:</w:t>
      </w: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consent to the incorporation by reference in the following registration statements of EchoStar Corporation (the Company) of our report dated February 23, 2021, with respect to the consolidated balance sheets of EchoStar Corporation and subsidiaries as of December 31, 2020 and 2019, and the related consolidated statements of operations and comprehensive income (loss), changes in stockholders’ equity, and cash flows for each of the years in the three-year period ended December 31, 2020, and the related notes, and the effectiveness of internal control over financial reporting as of December 31, 2020, which report appears in the December 31, 2020 annual report on Form 10-K of EchoStar Corporation. Our audit report refers to the Company's adoption of Accounting Standards Update No. 2016-02, </w:t>
      </w:r>
      <w:r>
        <w:rPr>
          <w:rFonts w:ascii="Arial" w:cs="Arial" w:eastAsia="Arial" w:hAnsi="Arial"/>
          <w:sz w:val="18"/>
          <w:szCs w:val="18"/>
          <w:i w:val="1"/>
          <w:iCs w:val="1"/>
          <w:color w:val="auto"/>
        </w:rPr>
        <w:t>Leases</w:t>
      </w:r>
      <w:r>
        <w:rPr>
          <w:rFonts w:ascii="Arial" w:cs="Arial" w:eastAsia="Arial" w:hAnsi="Arial"/>
          <w:sz w:val="18"/>
          <w:szCs w:val="18"/>
          <w:color w:val="auto"/>
        </w:rPr>
        <w:t>, in 2019.</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80" w:type="dxa"/>
            <w:vAlign w:val="bottom"/>
            <w:gridSpan w:val="2"/>
          </w:tcPr>
          <w:p>
            <w:pPr>
              <w:ind w:left="20"/>
              <w:spacing w:after="0"/>
              <w:rPr>
                <w:sz w:val="20"/>
                <w:szCs w:val="20"/>
                <w:color w:val="auto"/>
              </w:rPr>
            </w:pPr>
            <w:r>
              <w:rPr>
                <w:rFonts w:ascii="Arial" w:cs="Arial" w:eastAsia="Arial" w:hAnsi="Arial"/>
                <w:sz w:val="14"/>
                <w:szCs w:val="14"/>
                <w:b w:val="1"/>
                <w:bCs w:val="1"/>
                <w:color w:val="auto"/>
              </w:rPr>
              <w:t>Form</w:t>
            </w:r>
          </w:p>
        </w:tc>
        <w:tc>
          <w:tcPr>
            <w:tcW w:w="3800" w:type="dxa"/>
            <w:vAlign w:val="bottom"/>
            <w:gridSpan w:val="2"/>
          </w:tcPr>
          <w:p>
            <w:pPr>
              <w:ind w:left="760"/>
              <w:spacing w:after="0"/>
              <w:rPr>
                <w:sz w:val="20"/>
                <w:szCs w:val="20"/>
                <w:color w:val="auto"/>
              </w:rPr>
            </w:pPr>
            <w:r>
              <w:rPr>
                <w:rFonts w:ascii="Arial" w:cs="Arial" w:eastAsia="Arial" w:hAnsi="Arial"/>
                <w:sz w:val="14"/>
                <w:szCs w:val="14"/>
                <w:b w:val="1"/>
                <w:bCs w:val="1"/>
                <w:color w:val="auto"/>
              </w:rPr>
              <w:t>Registration Statement No.</w:t>
            </w:r>
          </w:p>
        </w:tc>
        <w:tc>
          <w:tcPr>
            <w:tcW w:w="5340" w:type="dxa"/>
            <w:vAlign w:val="bottom"/>
          </w:tcPr>
          <w:p>
            <w:pPr>
              <w:ind w:left="228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16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S-8</w:t>
            </w:r>
          </w:p>
        </w:tc>
        <w:tc>
          <w:tcPr>
            <w:tcW w:w="440" w:type="dxa"/>
            <w:vAlign w:val="bottom"/>
          </w:tcPr>
          <w:p>
            <w:pPr>
              <w:spacing w:after="0"/>
              <w:rPr>
                <w:sz w:val="14"/>
                <w:szCs w:val="14"/>
                <w:color w:val="auto"/>
              </w:rPr>
            </w:pPr>
          </w:p>
        </w:tc>
        <w:tc>
          <w:tcPr>
            <w:tcW w:w="3360" w:type="dxa"/>
            <w:vAlign w:val="bottom"/>
            <w:tcBorders>
              <w:top w:val="single" w:sz="8" w:color="auto"/>
            </w:tcBorders>
          </w:tcPr>
          <w:p>
            <w:pPr>
              <w:jc w:val="right"/>
              <w:ind w:right="2294"/>
              <w:spacing w:after="0" w:line="169" w:lineRule="exact"/>
              <w:rPr>
                <w:sz w:val="20"/>
                <w:szCs w:val="20"/>
                <w:color w:val="auto"/>
              </w:rPr>
            </w:pPr>
            <w:r>
              <w:rPr>
                <w:rFonts w:ascii="Arial" w:cs="Arial" w:eastAsia="Arial" w:hAnsi="Arial"/>
                <w:sz w:val="18"/>
                <w:szCs w:val="18"/>
                <w:color w:val="auto"/>
                <w:w w:val="99"/>
              </w:rPr>
              <w:t>333-218658</w:t>
            </w:r>
          </w:p>
        </w:tc>
        <w:tc>
          <w:tcPr>
            <w:tcW w:w="440" w:type="dxa"/>
            <w:vAlign w:val="bottom"/>
          </w:tcPr>
          <w:p>
            <w:pPr>
              <w:spacing w:after="0"/>
              <w:rPr>
                <w:sz w:val="14"/>
                <w:szCs w:val="14"/>
                <w:color w:val="auto"/>
              </w:rPr>
            </w:pPr>
          </w:p>
        </w:tc>
        <w:tc>
          <w:tcPr>
            <w:tcW w:w="53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Additional shares for Amended and Restated EchoStar</w:t>
            </w:r>
          </w:p>
        </w:tc>
      </w:tr>
      <w:tr>
        <w:trPr>
          <w:trHeight w:val="220"/>
        </w:trPr>
        <w:tc>
          <w:tcPr>
            <w:tcW w:w="1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Corporation 2017 Employee Stock Purchase Plan</w:t>
            </w:r>
          </w:p>
        </w:tc>
      </w:tr>
      <w:tr>
        <w:trPr>
          <w:trHeight w:val="229"/>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S-8</w:t>
            </w:r>
          </w:p>
        </w:tc>
        <w:tc>
          <w:tcPr>
            <w:tcW w:w="3360" w:type="dxa"/>
            <w:vAlign w:val="bottom"/>
          </w:tcPr>
          <w:p>
            <w:pPr>
              <w:jc w:val="right"/>
              <w:ind w:right="2294"/>
              <w:spacing w:after="0"/>
              <w:rPr>
                <w:sz w:val="20"/>
                <w:szCs w:val="20"/>
                <w:color w:val="auto"/>
              </w:rPr>
            </w:pPr>
            <w:r>
              <w:rPr>
                <w:rFonts w:ascii="Arial" w:cs="Arial" w:eastAsia="Arial" w:hAnsi="Arial"/>
                <w:sz w:val="18"/>
                <w:szCs w:val="18"/>
                <w:color w:val="auto"/>
                <w:w w:val="99"/>
              </w:rPr>
              <w:t>333-218657</w:t>
            </w:r>
          </w:p>
        </w:tc>
        <w:tc>
          <w:tcPr>
            <w:tcW w:w="44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EchoStar Corporation 2017 Stock Incentive Plan</w:t>
            </w:r>
          </w:p>
        </w:tc>
      </w:tr>
      <w:tr>
        <w:trPr>
          <w:trHeight w:val="185"/>
        </w:trPr>
        <w:tc>
          <w:tcPr>
            <w:tcW w:w="1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340" w:type="dxa"/>
            <w:vAlign w:val="bottom"/>
          </w:tcPr>
          <w:p>
            <w:pPr>
              <w:ind w:left="20"/>
              <w:spacing w:after="0" w:line="185" w:lineRule="exact"/>
              <w:rPr>
                <w:sz w:val="20"/>
                <w:szCs w:val="20"/>
                <w:color w:val="auto"/>
              </w:rPr>
            </w:pPr>
            <w:r>
              <w:rPr>
                <w:rFonts w:ascii="Arial" w:cs="Arial" w:eastAsia="Arial" w:hAnsi="Arial"/>
                <w:sz w:val="18"/>
                <w:szCs w:val="18"/>
                <w:color w:val="auto"/>
              </w:rPr>
              <w:t>EchoStar Corporation 2017 Non-Employee Director Stock</w:t>
            </w:r>
          </w:p>
        </w:tc>
      </w:tr>
      <w:tr>
        <w:trPr>
          <w:trHeight w:val="220"/>
        </w:trPr>
        <w:tc>
          <w:tcPr>
            <w:tcW w:w="1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Incentive Plan</w:t>
            </w:r>
          </w:p>
        </w:tc>
      </w:tr>
      <w:tr>
        <w:trPr>
          <w:trHeight w:val="185"/>
        </w:trPr>
        <w:tc>
          <w:tcPr>
            <w:tcW w:w="208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S-8</w:t>
            </w:r>
          </w:p>
        </w:tc>
        <w:tc>
          <w:tcPr>
            <w:tcW w:w="3360" w:type="dxa"/>
            <w:vAlign w:val="bottom"/>
          </w:tcPr>
          <w:p>
            <w:pPr>
              <w:jc w:val="right"/>
              <w:ind w:right="2294"/>
              <w:spacing w:after="0" w:line="185" w:lineRule="exact"/>
              <w:rPr>
                <w:sz w:val="20"/>
                <w:szCs w:val="20"/>
                <w:color w:val="auto"/>
              </w:rPr>
            </w:pPr>
            <w:r>
              <w:rPr>
                <w:rFonts w:ascii="Arial" w:cs="Arial" w:eastAsia="Arial" w:hAnsi="Arial"/>
                <w:sz w:val="18"/>
                <w:szCs w:val="18"/>
                <w:color w:val="auto"/>
                <w:w w:val="99"/>
              </w:rPr>
              <w:t>333-162339</w:t>
            </w:r>
          </w:p>
        </w:tc>
        <w:tc>
          <w:tcPr>
            <w:tcW w:w="440" w:type="dxa"/>
            <w:vAlign w:val="bottom"/>
          </w:tcPr>
          <w:p>
            <w:pPr>
              <w:spacing w:after="0"/>
              <w:rPr>
                <w:sz w:val="16"/>
                <w:szCs w:val="16"/>
                <w:color w:val="auto"/>
              </w:rPr>
            </w:pPr>
          </w:p>
        </w:tc>
        <w:tc>
          <w:tcPr>
            <w:tcW w:w="5340" w:type="dxa"/>
            <w:vAlign w:val="bottom"/>
          </w:tcPr>
          <w:p>
            <w:pPr>
              <w:ind w:left="20"/>
              <w:spacing w:after="0" w:line="185" w:lineRule="exact"/>
              <w:rPr>
                <w:sz w:val="20"/>
                <w:szCs w:val="20"/>
                <w:color w:val="auto"/>
              </w:rPr>
            </w:pPr>
            <w:r>
              <w:rPr>
                <w:rFonts w:ascii="Arial" w:cs="Arial" w:eastAsia="Arial" w:hAnsi="Arial"/>
                <w:sz w:val="18"/>
                <w:szCs w:val="18"/>
                <w:color w:val="auto"/>
              </w:rPr>
              <w:t>Additional shares for EchoStar Corporation 2008 Employee Stock</w:t>
            </w:r>
          </w:p>
        </w:tc>
      </w:tr>
      <w:tr>
        <w:trPr>
          <w:trHeight w:val="220"/>
        </w:trPr>
        <w:tc>
          <w:tcPr>
            <w:tcW w:w="1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Purchase Plan</w:t>
            </w:r>
          </w:p>
        </w:tc>
      </w:tr>
      <w:tr>
        <w:trPr>
          <w:trHeight w:val="185"/>
        </w:trPr>
        <w:tc>
          <w:tcPr>
            <w:tcW w:w="208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S-8</w:t>
            </w:r>
          </w:p>
        </w:tc>
        <w:tc>
          <w:tcPr>
            <w:tcW w:w="3360" w:type="dxa"/>
            <w:vAlign w:val="bottom"/>
          </w:tcPr>
          <w:p>
            <w:pPr>
              <w:jc w:val="right"/>
              <w:ind w:right="2294"/>
              <w:spacing w:after="0" w:line="185" w:lineRule="exact"/>
              <w:rPr>
                <w:sz w:val="20"/>
                <w:szCs w:val="20"/>
                <w:color w:val="auto"/>
              </w:rPr>
            </w:pPr>
            <w:r>
              <w:rPr>
                <w:rFonts w:ascii="Arial" w:cs="Arial" w:eastAsia="Arial" w:hAnsi="Arial"/>
                <w:sz w:val="18"/>
                <w:szCs w:val="18"/>
                <w:color w:val="auto"/>
                <w:w w:val="99"/>
              </w:rPr>
              <w:t>333-148416</w:t>
            </w:r>
          </w:p>
        </w:tc>
        <w:tc>
          <w:tcPr>
            <w:tcW w:w="440" w:type="dxa"/>
            <w:vAlign w:val="bottom"/>
          </w:tcPr>
          <w:p>
            <w:pPr>
              <w:spacing w:after="0"/>
              <w:rPr>
                <w:sz w:val="16"/>
                <w:szCs w:val="16"/>
                <w:color w:val="auto"/>
              </w:rPr>
            </w:pPr>
          </w:p>
        </w:tc>
        <w:tc>
          <w:tcPr>
            <w:tcW w:w="5340" w:type="dxa"/>
            <w:vAlign w:val="bottom"/>
          </w:tcPr>
          <w:p>
            <w:pPr>
              <w:ind w:left="20"/>
              <w:spacing w:after="0" w:line="185" w:lineRule="exact"/>
              <w:rPr>
                <w:sz w:val="20"/>
                <w:szCs w:val="20"/>
                <w:color w:val="auto"/>
              </w:rPr>
            </w:pPr>
            <w:r>
              <w:rPr>
                <w:rFonts w:ascii="Arial" w:cs="Arial" w:eastAsia="Arial" w:hAnsi="Arial"/>
                <w:sz w:val="18"/>
                <w:szCs w:val="18"/>
                <w:color w:val="auto"/>
              </w:rPr>
              <w:t>EchoStar Corporation (f/k/a EchoStar Holding Corporation) 2008</w:t>
            </w:r>
          </w:p>
        </w:tc>
      </w:tr>
      <w:tr>
        <w:trPr>
          <w:trHeight w:val="242"/>
        </w:trPr>
        <w:tc>
          <w:tcPr>
            <w:tcW w:w="1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Stock Incentive Plan</w:t>
            </w:r>
          </w:p>
        </w:tc>
      </w:tr>
    </w:tbl>
    <w:p>
      <w:pPr>
        <w:ind w:left="5900"/>
        <w:spacing w:after="0" w:line="203" w:lineRule="auto"/>
        <w:rPr>
          <w:sz w:val="20"/>
          <w:szCs w:val="20"/>
          <w:color w:val="auto"/>
        </w:rPr>
      </w:pPr>
      <w:r>
        <w:rPr>
          <w:rFonts w:ascii="Arial" w:cs="Arial" w:eastAsia="Arial" w:hAnsi="Arial"/>
          <w:sz w:val="18"/>
          <w:szCs w:val="18"/>
          <w:color w:val="auto"/>
        </w:rPr>
        <w:t>EchoStar Corporation (f/k/a EchoStar Holding Corporation) 2008</w:t>
      </w:r>
    </w:p>
    <w:p>
      <w:pPr>
        <w:ind w:left="5900"/>
        <w:spacing w:after="0"/>
        <w:rPr>
          <w:sz w:val="20"/>
          <w:szCs w:val="20"/>
          <w:color w:val="auto"/>
        </w:rPr>
      </w:pPr>
      <w:r>
        <w:rPr>
          <w:rFonts w:ascii="Arial" w:cs="Arial" w:eastAsia="Arial" w:hAnsi="Arial"/>
          <w:sz w:val="18"/>
          <w:szCs w:val="18"/>
          <w:color w:val="auto"/>
        </w:rPr>
        <w:t>Employee Stock Purchase Plan</w:t>
      </w:r>
    </w:p>
    <w:p>
      <w:pPr>
        <w:ind w:left="5900"/>
        <w:spacing w:after="0" w:line="229" w:lineRule="auto"/>
        <w:rPr>
          <w:sz w:val="20"/>
          <w:szCs w:val="20"/>
          <w:color w:val="auto"/>
        </w:rPr>
      </w:pPr>
      <w:r>
        <w:rPr>
          <w:rFonts w:ascii="Arial" w:cs="Arial" w:eastAsia="Arial" w:hAnsi="Arial"/>
          <w:sz w:val="18"/>
          <w:szCs w:val="18"/>
          <w:color w:val="auto"/>
        </w:rPr>
        <w:t>EchoStar Corporation (f/k/a EchoStar Holding Corporation) 2008</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Nonemployee Director Stock Option Plan</w:t>
      </w:r>
    </w:p>
    <w:p>
      <w:pPr>
        <w:ind w:left="5900"/>
        <w:spacing w:after="0" w:line="229" w:lineRule="auto"/>
        <w:rPr>
          <w:sz w:val="20"/>
          <w:szCs w:val="20"/>
          <w:color w:val="auto"/>
        </w:rPr>
      </w:pPr>
      <w:r>
        <w:rPr>
          <w:rFonts w:ascii="Arial" w:cs="Arial" w:eastAsia="Arial" w:hAnsi="Arial"/>
          <w:sz w:val="18"/>
          <w:szCs w:val="18"/>
          <w:color w:val="auto"/>
        </w:rPr>
        <w:t>EchoStar Corporation (f/k/a EchoStar Holding Corporation) 2008</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Class B CEO Stock Option Plans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Denver, Colorado</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23, 2021</w:t>
      </w:r>
    </w:p>
    <w:p>
      <w:pPr>
        <w:sectPr>
          <w:pgSz w:w="11900" w:h="16838" w:orient="portrait"/>
          <w:cols w:equalWidth="0" w:num="1">
            <w:col w:w="11240"/>
          </w:cols>
          <w:pgMar w:left="320" w:top="884"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Dean A. Manson, individually, as the true and lawful attorney-in-fact and agent of the undersigned, with full power of substitution and resubstitution, for and in the name, place and stead of the undersigned, in any and all capacities, to sign the Annual Report on Form 10-K of EchoStar Corporation, a Nevada corporation formed in October 2007, for the year ended December 31, 2020, and any and all amendments thereto and to file the same, with all exhibits thereto and other documents in connection therewith, with the United States Securities and Exchange Commission, and hereby grants to each such attorney-in-fact and agent full power and authority to do and perform each and every act and thing requisite and necessary to be done in connection therewith, as fully as to all intents and purposes as the undersigned might or could do in person, hereby ratifying and confirming all that such attorney-in-fact and agent, or his substitute, may lawfully do or cause to be done by virtue hereof.</w:t>
      </w:r>
    </w:p>
    <w:p>
      <w:pPr>
        <w:spacing w:after="0" w:line="181"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Pursuant to the requirements of the Securities Exchange Act of 1934, this Power of Attorney has been signed by the following persons in the capacities and on the date indicated.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6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Signature</w:t>
            </w:r>
          </w:p>
        </w:tc>
        <w:tc>
          <w:tcPr>
            <w:tcW w:w="400" w:type="dxa"/>
            <w:vAlign w:val="bottom"/>
          </w:tcPr>
          <w:p>
            <w:pPr>
              <w:spacing w:after="0"/>
              <w:rPr>
                <w:sz w:val="16"/>
                <w:szCs w:val="16"/>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400" w:type="dxa"/>
            <w:vAlign w:val="bottom"/>
          </w:tcPr>
          <w:p>
            <w:pPr>
              <w:spacing w:after="0"/>
              <w:rPr>
                <w:sz w:val="16"/>
                <w:szCs w:val="16"/>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53"/>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W. Ergen</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23, 2021</w:t>
            </w:r>
          </w:p>
        </w:tc>
      </w:tr>
      <w:tr>
        <w:trPr>
          <w:trHeight w:val="236"/>
        </w:trPr>
        <w:tc>
          <w:tcPr>
            <w:tcW w:w="3460" w:type="dxa"/>
            <w:vAlign w:val="bottom"/>
          </w:tcPr>
          <w:p>
            <w:pPr>
              <w:ind w:left="20"/>
              <w:spacing w:after="0"/>
              <w:rPr>
                <w:sz w:val="20"/>
                <w:szCs w:val="20"/>
                <w:color w:val="auto"/>
              </w:rPr>
            </w:pPr>
            <w:r>
              <w:rPr>
                <w:rFonts w:ascii="Arial" w:cs="Arial" w:eastAsia="Arial" w:hAnsi="Arial"/>
                <w:sz w:val="18"/>
                <w:szCs w:val="18"/>
                <w:color w:val="auto"/>
              </w:rPr>
              <w:t>Charles W. Ergen</w:t>
            </w:r>
          </w:p>
        </w:tc>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44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Stanton Dodge</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23, 2021</w:t>
            </w:r>
          </w:p>
        </w:tc>
      </w:tr>
      <w:tr>
        <w:trPr>
          <w:trHeight w:val="236"/>
        </w:trPr>
        <w:tc>
          <w:tcPr>
            <w:tcW w:w="3460" w:type="dxa"/>
            <w:vAlign w:val="bottom"/>
          </w:tcPr>
          <w:p>
            <w:pPr>
              <w:ind w:left="20"/>
              <w:spacing w:after="0"/>
              <w:rPr>
                <w:sz w:val="20"/>
                <w:szCs w:val="20"/>
                <w:color w:val="auto"/>
              </w:rPr>
            </w:pPr>
            <w:r>
              <w:rPr>
                <w:rFonts w:ascii="Arial" w:cs="Arial" w:eastAsia="Arial" w:hAnsi="Arial"/>
                <w:sz w:val="18"/>
                <w:szCs w:val="18"/>
                <w:color w:val="auto"/>
              </w:rPr>
              <w:t>R. Stanton Dodge</w:t>
            </w:r>
          </w:p>
        </w:tc>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44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M. Federico</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23, 2021</w:t>
            </w:r>
          </w:p>
        </w:tc>
      </w:tr>
      <w:tr>
        <w:trPr>
          <w:trHeight w:val="236"/>
        </w:trPr>
        <w:tc>
          <w:tcPr>
            <w:tcW w:w="3460" w:type="dxa"/>
            <w:vAlign w:val="bottom"/>
          </w:tcPr>
          <w:p>
            <w:pPr>
              <w:ind w:left="20"/>
              <w:spacing w:after="0"/>
              <w:rPr>
                <w:sz w:val="20"/>
                <w:szCs w:val="20"/>
                <w:color w:val="auto"/>
              </w:rPr>
            </w:pPr>
            <w:r>
              <w:rPr>
                <w:rFonts w:ascii="Arial" w:cs="Arial" w:eastAsia="Arial" w:hAnsi="Arial"/>
                <w:sz w:val="18"/>
                <w:szCs w:val="18"/>
                <w:color w:val="auto"/>
              </w:rPr>
              <w:t>Anthony M. Federico</w:t>
            </w:r>
          </w:p>
        </w:tc>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44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Pradman P. Kaul</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23, 2021</w:t>
            </w:r>
          </w:p>
        </w:tc>
      </w:tr>
      <w:tr>
        <w:trPr>
          <w:trHeight w:val="236"/>
        </w:trPr>
        <w:tc>
          <w:tcPr>
            <w:tcW w:w="3460" w:type="dxa"/>
            <w:vAlign w:val="bottom"/>
          </w:tcPr>
          <w:p>
            <w:pPr>
              <w:ind w:left="20"/>
              <w:spacing w:after="0"/>
              <w:rPr>
                <w:sz w:val="20"/>
                <w:szCs w:val="20"/>
                <w:color w:val="auto"/>
              </w:rPr>
            </w:pPr>
            <w:r>
              <w:rPr>
                <w:rFonts w:ascii="Arial" w:cs="Arial" w:eastAsia="Arial" w:hAnsi="Arial"/>
                <w:sz w:val="18"/>
                <w:szCs w:val="18"/>
                <w:color w:val="auto"/>
              </w:rPr>
              <w:t>Pradman P. Kaul</w:t>
            </w:r>
          </w:p>
        </w:tc>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44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R. Tarr</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23, 2021</w:t>
            </w:r>
          </w:p>
        </w:tc>
      </w:tr>
      <w:tr>
        <w:trPr>
          <w:trHeight w:val="236"/>
        </w:trPr>
        <w:tc>
          <w:tcPr>
            <w:tcW w:w="3460" w:type="dxa"/>
            <w:vAlign w:val="bottom"/>
          </w:tcPr>
          <w:p>
            <w:pPr>
              <w:ind w:left="20"/>
              <w:spacing w:after="0"/>
              <w:rPr>
                <w:sz w:val="20"/>
                <w:szCs w:val="20"/>
                <w:color w:val="auto"/>
              </w:rPr>
            </w:pPr>
            <w:r>
              <w:rPr>
                <w:rFonts w:ascii="Arial" w:cs="Arial" w:eastAsia="Arial" w:hAnsi="Arial"/>
                <w:sz w:val="18"/>
                <w:szCs w:val="18"/>
                <w:color w:val="auto"/>
              </w:rPr>
              <w:t>Jeffrey R. Tarr</w:t>
            </w:r>
          </w:p>
        </w:tc>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44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 Michael Schroeder</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23, 2021</w:t>
            </w:r>
          </w:p>
        </w:tc>
      </w:tr>
      <w:tr>
        <w:trPr>
          <w:trHeight w:val="236"/>
        </w:trPr>
        <w:tc>
          <w:tcPr>
            <w:tcW w:w="3460" w:type="dxa"/>
            <w:vAlign w:val="bottom"/>
          </w:tcPr>
          <w:p>
            <w:pPr>
              <w:ind w:left="20"/>
              <w:spacing w:after="0"/>
              <w:rPr>
                <w:sz w:val="20"/>
                <w:szCs w:val="20"/>
                <w:color w:val="auto"/>
              </w:rPr>
            </w:pPr>
            <w:r>
              <w:rPr>
                <w:rFonts w:ascii="Arial" w:cs="Arial" w:eastAsia="Arial" w:hAnsi="Arial"/>
                <w:sz w:val="18"/>
                <w:szCs w:val="18"/>
                <w:color w:val="auto"/>
              </w:rPr>
              <w:t>C. Michael Schroeder</w:t>
            </w:r>
          </w:p>
        </w:tc>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473"/>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David Wade</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23, 2021</w:t>
            </w:r>
          </w:p>
        </w:tc>
      </w:tr>
      <w:tr>
        <w:trPr>
          <w:trHeight w:val="236"/>
        </w:trPr>
        <w:tc>
          <w:tcPr>
            <w:tcW w:w="3460" w:type="dxa"/>
            <w:vAlign w:val="bottom"/>
          </w:tcPr>
          <w:p>
            <w:pPr>
              <w:ind w:left="20"/>
              <w:spacing w:after="0"/>
              <w:rPr>
                <w:sz w:val="20"/>
                <w:szCs w:val="20"/>
                <w:color w:val="auto"/>
              </w:rPr>
            </w:pPr>
            <w:r>
              <w:rPr>
                <w:rFonts w:ascii="Arial" w:cs="Arial" w:eastAsia="Arial" w:hAnsi="Arial"/>
                <w:sz w:val="18"/>
                <w:szCs w:val="18"/>
                <w:color w:val="auto"/>
              </w:rPr>
              <w:t>William David Wade</w:t>
            </w:r>
          </w:p>
        </w:tc>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00" w:type="dxa"/>
            <w:vAlign w:val="bottom"/>
          </w:tcPr>
          <w:p>
            <w:pPr>
              <w:spacing w:after="0"/>
              <w:rPr>
                <w:sz w:val="20"/>
                <w:szCs w:val="20"/>
                <w:color w:val="auto"/>
              </w:rPr>
            </w:pPr>
          </w:p>
        </w:tc>
      </w:tr>
    </w:tbl>
    <w:p>
      <w:pPr>
        <w:sectPr>
          <w:pgSz w:w="11900" w:h="16838" w:orient="portrait"/>
          <w:cols w:equalWidth="0" w:num="1">
            <w:col w:w="11240"/>
          </w:cols>
          <w:pgMar w:left="320" w:top="884"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the Annual Report on Form 10-K of EchoStar Corporation;</w:t>
      </w:r>
    </w:p>
    <w:p>
      <w:pPr>
        <w:spacing w:after="0" w:line="225" w:lineRule="exact"/>
        <w:rPr>
          <w:rFonts w:ascii="Arial" w:cs="Arial" w:eastAsia="Arial" w:hAnsi="Arial"/>
          <w:sz w:val="18"/>
          <w:szCs w:val="18"/>
          <w:color w:val="auto"/>
        </w:rPr>
      </w:pPr>
    </w:p>
    <w:p>
      <w:pPr>
        <w:jc w:val="both"/>
        <w:ind w:right="40" w:firstLine="8"/>
        <w:spacing w:after="0" w:line="271" w:lineRule="auto"/>
        <w:tabs>
          <w:tab w:leader="none" w:pos="3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right="420" w:firstLine="8"/>
        <w:spacing w:after="0" w:line="292" w:lineRule="auto"/>
        <w:tabs>
          <w:tab w:leader="none" w:pos="3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ind w:right="40" w:firstLine="8"/>
        <w:spacing w:after="0" w:line="271" w:lineRule="auto"/>
        <w:tabs>
          <w:tab w:leader="none" w:pos="3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ind w:left="660" w:right="60" w:hanging="328"/>
        <w:spacing w:after="0" w:line="271" w:lineRule="auto"/>
        <w:tabs>
          <w:tab w:leader="none" w:pos="696"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660" w:right="100" w:hanging="328"/>
        <w:spacing w:after="0" w:line="271" w:lineRule="auto"/>
        <w:tabs>
          <w:tab w:leader="none" w:pos="696"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660" w:right="60" w:hanging="328"/>
        <w:spacing w:after="0" w:line="271" w:lineRule="auto"/>
        <w:tabs>
          <w:tab w:leader="none" w:pos="686"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660" w:right="360" w:hanging="328"/>
        <w:spacing w:after="0" w:line="271" w:lineRule="auto"/>
        <w:tabs>
          <w:tab w:leader="none" w:pos="696"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right="440" w:firstLine="8"/>
        <w:spacing w:after="0" w:line="271" w:lineRule="auto"/>
        <w:tabs>
          <w:tab w:leader="none" w:pos="3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660" w:right="240" w:hanging="328"/>
        <w:spacing w:after="0" w:line="292" w:lineRule="auto"/>
        <w:tabs>
          <w:tab w:leader="none" w:pos="68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660" w:right="460" w:hanging="328"/>
        <w:spacing w:after="0" w:line="292" w:lineRule="auto"/>
        <w:tabs>
          <w:tab w:leader="none" w:pos="68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2021</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Michael T.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42176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3">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President and Director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84"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60" w:hanging="352"/>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the Annual Report on Form 10-K of EchoStar Corporation;</w:t>
      </w:r>
    </w:p>
    <w:p>
      <w:pPr>
        <w:spacing w:after="0" w:line="225" w:lineRule="exact"/>
        <w:rPr>
          <w:rFonts w:ascii="Arial" w:cs="Arial" w:eastAsia="Arial" w:hAnsi="Arial"/>
          <w:sz w:val="18"/>
          <w:szCs w:val="18"/>
          <w:color w:val="auto"/>
        </w:rPr>
      </w:pPr>
    </w:p>
    <w:p>
      <w:pPr>
        <w:jc w:val="both"/>
        <w:ind w:right="40" w:firstLine="8"/>
        <w:spacing w:after="0" w:line="271" w:lineRule="auto"/>
        <w:tabs>
          <w:tab w:leader="none" w:pos="3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right="420" w:firstLine="8"/>
        <w:spacing w:after="0" w:line="292" w:lineRule="auto"/>
        <w:tabs>
          <w:tab w:leader="none" w:pos="3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ind w:right="40" w:firstLine="8"/>
        <w:spacing w:after="0" w:line="271" w:lineRule="auto"/>
        <w:tabs>
          <w:tab w:leader="none" w:pos="3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ind w:left="660" w:right="60" w:hanging="328"/>
        <w:spacing w:after="0" w:line="271" w:lineRule="auto"/>
        <w:tabs>
          <w:tab w:leader="none" w:pos="696"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660" w:right="100" w:hanging="328"/>
        <w:spacing w:after="0" w:line="271" w:lineRule="auto"/>
        <w:tabs>
          <w:tab w:leader="none" w:pos="696"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660" w:right="60" w:hanging="328"/>
        <w:spacing w:after="0" w:line="271" w:lineRule="auto"/>
        <w:tabs>
          <w:tab w:leader="none" w:pos="686"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660" w:right="360" w:hanging="328"/>
        <w:spacing w:after="0" w:line="271" w:lineRule="auto"/>
        <w:tabs>
          <w:tab w:leader="none" w:pos="696"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right="440" w:firstLine="8"/>
        <w:spacing w:after="0" w:line="271" w:lineRule="auto"/>
        <w:tabs>
          <w:tab w:leader="none" w:pos="3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660" w:right="240" w:hanging="328"/>
        <w:spacing w:after="0" w:line="292" w:lineRule="auto"/>
        <w:tabs>
          <w:tab w:leader="none" w:pos="68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660" w:right="460" w:hanging="328"/>
        <w:spacing w:after="0" w:line="292" w:lineRule="auto"/>
        <w:tabs>
          <w:tab w:leader="none" w:pos="68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2021</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42176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4">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Chief Financial Officer,</w:t>
      </w:r>
    </w:p>
    <w:p>
      <w:pPr>
        <w:ind w:left="20"/>
        <w:spacing w:after="0"/>
        <w:rPr>
          <w:sz w:val="20"/>
          <w:szCs w:val="20"/>
          <w:color w:val="auto"/>
        </w:rPr>
      </w:pPr>
      <w:r>
        <w:rPr>
          <w:rFonts w:ascii="Arial" w:cs="Arial" w:eastAsia="Arial" w:hAnsi="Arial"/>
          <w:sz w:val="18"/>
          <w:szCs w:val="18"/>
          <w:color w:val="auto"/>
        </w:rPr>
        <w:t>Chief Operating Officer and Treasurer</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884"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for the year ended December 31, 2020 on Form 10-K (the “Annual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section 906 of the Sarbanes-Oxley Act of 2002, that to the best of our knowledge:</w:t>
      </w:r>
    </w:p>
    <w:p>
      <w:pPr>
        <w:spacing w:after="0" w:line="169" w:lineRule="exact"/>
        <w:rPr>
          <w:sz w:val="20"/>
          <w:szCs w:val="20"/>
          <w:color w:val="auto"/>
        </w:rPr>
      </w:pPr>
    </w:p>
    <w:p>
      <w:pPr>
        <w:ind w:left="660" w:right="160" w:hanging="328"/>
        <w:spacing w:after="0" w:line="292" w:lineRule="auto"/>
        <w:tabs>
          <w:tab w:leader="none" w:pos="69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Annual Report fully complies with the requirements of Section 13(a) or Section 15(d), as applicable, of the Securities Exchange Act of 1934; and</w:t>
      </w:r>
    </w:p>
    <w:p>
      <w:pPr>
        <w:spacing w:after="0" w:line="144" w:lineRule="exact"/>
        <w:rPr>
          <w:rFonts w:ascii="Arial" w:cs="Arial" w:eastAsia="Arial" w:hAnsi="Arial"/>
          <w:sz w:val="18"/>
          <w:szCs w:val="18"/>
          <w:color w:val="auto"/>
        </w:rPr>
      </w:pPr>
    </w:p>
    <w:p>
      <w:pPr>
        <w:ind w:left="660" w:right="740" w:hanging="328"/>
        <w:spacing w:after="0" w:line="292" w:lineRule="auto"/>
        <w:tabs>
          <w:tab w:leader="none" w:pos="73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this Annual Report fairly presents, in all material respects, the financial condition and results of operations of the Company.</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2021</w:t>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Michael T. Dugan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3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Michael T. Dugan</w:t>
            </w:r>
          </w:p>
        </w:tc>
      </w:tr>
      <w:tr>
        <w:trPr>
          <w:trHeight w:val="232"/>
        </w:trPr>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5340" w:type="dxa"/>
            <w:vAlign w:val="bottom"/>
          </w:tcPr>
          <w:p>
            <w:pPr>
              <w:ind w:left="300"/>
              <w:spacing w:after="0"/>
              <w:rPr>
                <w:sz w:val="20"/>
                <w:szCs w:val="20"/>
                <w:color w:val="auto"/>
              </w:rPr>
            </w:pPr>
            <w:r>
              <w:rPr>
                <w:rFonts w:ascii="Arial" w:cs="Arial" w:eastAsia="Arial" w:hAnsi="Arial"/>
                <w:sz w:val="18"/>
                <w:szCs w:val="18"/>
                <w:color w:val="auto"/>
              </w:rPr>
              <w:t>Chief Executive Officer, President and Director</w:t>
            </w:r>
          </w:p>
        </w:tc>
      </w:tr>
      <w:tr>
        <w:trPr>
          <w:trHeight w:val="241"/>
        </w:trPr>
        <w:tc>
          <w:tcPr>
            <w:tcW w:w="840" w:type="dxa"/>
            <w:vAlign w:val="bottom"/>
          </w:tcPr>
          <w:p>
            <w:pPr>
              <w:spacing w:after="0"/>
              <w:rPr>
                <w:sz w:val="20"/>
                <w:szCs w:val="20"/>
                <w:color w:val="auto"/>
              </w:rPr>
            </w:pPr>
          </w:p>
        </w:tc>
        <w:tc>
          <w:tcPr>
            <w:tcW w:w="5340" w:type="dxa"/>
            <w:vAlign w:val="bottom"/>
          </w:tcPr>
          <w:p>
            <w:pPr>
              <w:ind w:left="300"/>
              <w:spacing w:after="0"/>
              <w:rPr>
                <w:sz w:val="20"/>
                <w:szCs w:val="20"/>
                <w:color w:val="auto"/>
              </w:rPr>
            </w:pPr>
            <w:r>
              <w:rPr>
                <w:rFonts w:ascii="Arial" w:cs="Arial" w:eastAsia="Arial" w:hAnsi="Arial"/>
                <w:sz w:val="18"/>
                <w:szCs w:val="18"/>
                <w:i w:val="1"/>
                <w:iCs w:val="1"/>
                <w:color w:val="auto"/>
              </w:rPr>
              <w:t>(Principal Executive Officer)</w:t>
            </w:r>
          </w:p>
        </w:tc>
      </w:tr>
      <w:tr>
        <w:trPr>
          <w:trHeight w:val="873"/>
        </w:trPr>
        <w:tc>
          <w:tcPr>
            <w:tcW w:w="6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/s/ David J. Rayner</w:t>
            </w:r>
          </w:p>
        </w:tc>
      </w:tr>
      <w:tr>
        <w:trPr>
          <w:trHeight w:val="214"/>
        </w:trPr>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5340" w:type="dxa"/>
            <w:vAlign w:val="bottom"/>
          </w:tcPr>
          <w:p>
            <w:pPr>
              <w:ind w:left="300"/>
              <w:spacing w:after="0"/>
              <w:rPr>
                <w:sz w:val="20"/>
                <w:szCs w:val="20"/>
                <w:color w:val="auto"/>
              </w:rPr>
            </w:pPr>
            <w:r>
              <w:rPr>
                <w:rFonts w:ascii="Arial" w:cs="Arial" w:eastAsia="Arial" w:hAnsi="Arial"/>
                <w:sz w:val="18"/>
                <w:szCs w:val="18"/>
                <w:color w:val="auto"/>
              </w:rPr>
              <w:t>David J. Rayner</w:t>
            </w:r>
          </w:p>
        </w:tc>
      </w:tr>
      <w:tr>
        <w:trPr>
          <w:trHeight w:val="230"/>
        </w:trPr>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5340" w:type="dxa"/>
            <w:vAlign w:val="bottom"/>
          </w:tcPr>
          <w:p>
            <w:pPr>
              <w:ind w:left="300"/>
              <w:spacing w:after="0"/>
              <w:rPr>
                <w:sz w:val="20"/>
                <w:szCs w:val="20"/>
                <w:color w:val="auto"/>
              </w:rPr>
            </w:pPr>
            <w:r>
              <w:rPr>
                <w:rFonts w:ascii="Arial" w:cs="Arial" w:eastAsia="Arial" w:hAnsi="Arial"/>
                <w:sz w:val="18"/>
                <w:szCs w:val="18"/>
                <w:color w:val="auto"/>
              </w:rPr>
              <w:t>Executive Vice President, Chief Financial Officer,</w:t>
            </w:r>
          </w:p>
        </w:tc>
      </w:tr>
      <w:tr>
        <w:trPr>
          <w:trHeight w:val="231"/>
        </w:trPr>
        <w:tc>
          <w:tcPr>
            <w:tcW w:w="840" w:type="dxa"/>
            <w:vAlign w:val="bottom"/>
          </w:tcPr>
          <w:p>
            <w:pPr>
              <w:spacing w:after="0"/>
              <w:rPr>
                <w:sz w:val="20"/>
                <w:szCs w:val="20"/>
                <w:color w:val="auto"/>
              </w:rPr>
            </w:pPr>
          </w:p>
        </w:tc>
        <w:tc>
          <w:tcPr>
            <w:tcW w:w="5340" w:type="dxa"/>
            <w:vAlign w:val="bottom"/>
          </w:tcPr>
          <w:p>
            <w:pPr>
              <w:ind w:left="300"/>
              <w:spacing w:after="0"/>
              <w:rPr>
                <w:sz w:val="20"/>
                <w:szCs w:val="20"/>
                <w:color w:val="auto"/>
              </w:rPr>
            </w:pPr>
            <w:r>
              <w:rPr>
                <w:rFonts w:ascii="Arial" w:cs="Arial" w:eastAsia="Arial" w:hAnsi="Arial"/>
                <w:sz w:val="18"/>
                <w:szCs w:val="18"/>
                <w:color w:val="auto"/>
              </w:rPr>
              <w:t>Chief Operating Officer and Treasurer</w:t>
            </w:r>
          </w:p>
        </w:tc>
      </w:tr>
      <w:tr>
        <w:trPr>
          <w:trHeight w:val="241"/>
        </w:trPr>
        <w:tc>
          <w:tcPr>
            <w:tcW w:w="840" w:type="dxa"/>
            <w:vAlign w:val="bottom"/>
          </w:tcPr>
          <w:p>
            <w:pPr>
              <w:spacing w:after="0"/>
              <w:rPr>
                <w:sz w:val="20"/>
                <w:szCs w:val="20"/>
                <w:color w:val="auto"/>
              </w:rPr>
            </w:pPr>
          </w:p>
        </w:tc>
        <w:tc>
          <w:tcPr>
            <w:tcW w:w="5340" w:type="dxa"/>
            <w:vAlign w:val="bottom"/>
          </w:tcPr>
          <w:p>
            <w:pPr>
              <w:ind w:left="30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84"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Annual Report or as a separate disclosure document.</w:t>
      </w:r>
    </w:p>
    <w:p>
      <w:pPr>
        <w:spacing w:after="0" w:line="14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4"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Announces Financial Results for Three and Twelve Months Ended December 31, 2020</w:t>
      </w:r>
    </w:p>
    <w:p>
      <w:pPr>
        <w:spacing w:after="0" w:line="252"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color w:val="auto"/>
        </w:rPr>
        <w:t>Englewood, CO, February 23, 2021—</w:t>
      </w:r>
      <w:r>
        <w:rPr>
          <w:rFonts w:ascii="Arial" w:cs="Arial" w:eastAsia="Arial" w:hAnsi="Arial"/>
          <w:sz w:val="18"/>
          <w:szCs w:val="18"/>
          <w:color w:val="auto"/>
        </w:rPr>
        <w:t>EchoStar Corporation (NASDAQ: SATS) today announced its financial results for the three and twelve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December 31,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2020 Financial Highlights:</w:t>
      </w:r>
    </w:p>
    <w:p>
      <w:pPr>
        <w:spacing w:after="0" w:line="254"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Consolidated revenues of $489.3 million.</w:t>
      </w:r>
    </w:p>
    <w:p>
      <w:pPr>
        <w:spacing w:after="0" w:line="13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Net loss from continuing operations of $2.6 million, consolidated net income attributable to EchoStar common stock of $0.1 million, and diluted earnings per share of $0.01.</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Consolidated Adjusted EBITDA of $166.7 million (see discussion and the reconciliation of GAAP to this non-GAAP measure below).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 Months Ended December 31, 2020 Financial Highlights:</w:t>
      </w:r>
    </w:p>
    <w:p>
      <w:pPr>
        <w:spacing w:after="0" w:line="254"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Consolidated revenues of $1,887.9 million.</w:t>
      </w:r>
    </w:p>
    <w:p>
      <w:pPr>
        <w:spacing w:after="0" w:line="13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Net loss from continuing operations of $51.9 million, consolidated net loss attributable to EchoStar common stock of $40.2 million, and diluted loss per share of $(0.41).</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Consolidated Adjusted EBITDA of $642.9 million (see discussion and the reconciliation of GAAP to this non-GAAP measure below).</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“2020 will go down in the history books as one of the most challenging on record, but it demonstrated the value of our service to businesses and families and brought out the very best of the EchoStar team,” commented Michael Dugan, CEO and President of EchoStar. “Thanks to their efforts and accomplishments in every market sector, we delivered solid financial results and grew revenue, net income, and Adjusted EBITDA over 2019. We remain excited about our position in the industry and our ability to grow as the demand for connectivity continues to increase.”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2020 - Additional Information:</w:t>
      </w:r>
    </w:p>
    <w:p>
      <w:pPr>
        <w:spacing w:after="0" w:line="254" w:lineRule="exact"/>
        <w:rPr>
          <w:sz w:val="20"/>
          <w:szCs w:val="20"/>
          <w:color w:val="auto"/>
        </w:rPr>
      </w:pPr>
    </w:p>
    <w:p>
      <w:pPr>
        <w:ind w:left="660" w:hanging="328"/>
        <w:spacing w:after="0" w:line="292"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Consolidated revenue was down $9.7 million year over year primarily driven by lower equipment sales as well as an estimated negative foreign exchange impact of $10.3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Adjusted EBITDA increased 7.0% or $10.8 million year over year.</w:t>
      </w:r>
    </w:p>
    <w:p>
      <w:pPr>
        <w:spacing w:after="0" w:line="130" w:lineRule="exact"/>
        <w:rPr>
          <w:rFonts w:ascii="Arial" w:cs="Arial" w:eastAsia="Arial" w:hAnsi="Arial"/>
          <w:sz w:val="18"/>
          <w:szCs w:val="18"/>
          <w:color w:val="auto"/>
        </w:rPr>
      </w:pPr>
    </w:p>
    <w:p>
      <w:pPr>
        <w:ind w:left="1300" w:hanging="320"/>
        <w:spacing w:after="0" w:line="292" w:lineRule="auto"/>
        <w:tabs>
          <w:tab w:leader="none" w:pos="1296" w:val="left"/>
        </w:tabs>
        <w:numPr>
          <w:ilvl w:val="1"/>
          <w:numId w:val="66"/>
        </w:numPr>
        <w:rPr>
          <w:rFonts w:ascii="Arial" w:cs="Arial" w:eastAsia="Arial" w:hAnsi="Arial"/>
          <w:sz w:val="18"/>
          <w:szCs w:val="18"/>
          <w:color w:val="auto"/>
        </w:rPr>
      </w:pPr>
      <w:r>
        <w:rPr>
          <w:rFonts w:ascii="Arial" w:cs="Arial" w:eastAsia="Arial" w:hAnsi="Arial"/>
          <w:sz w:val="18"/>
          <w:szCs w:val="18"/>
          <w:color w:val="auto"/>
        </w:rPr>
        <w:t>Hughes segment Adjusted EBITDA increased $11.7 million year over year. The increase was driven primarily by the higher margin associated with the growth in our consumer broadband service and lower sales and marketing spend.</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ESS segment Adjusted EBITDA was flat year over year.</w:t>
      </w:r>
    </w:p>
    <w:p>
      <w:pPr>
        <w:spacing w:after="0" w:line="144" w:lineRule="exact"/>
        <w:rPr>
          <w:rFonts w:ascii="Arial" w:cs="Arial" w:eastAsia="Arial" w:hAnsi="Arial"/>
          <w:sz w:val="18"/>
          <w:szCs w:val="18"/>
          <w:color w:val="auto"/>
        </w:rPr>
      </w:pPr>
    </w:p>
    <w:p>
      <w:pPr>
        <w:ind w:left="1300" w:hanging="320"/>
        <w:spacing w:after="0" w:line="292" w:lineRule="auto"/>
        <w:tabs>
          <w:tab w:leader="none" w:pos="1296"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Corporate and Other segment Adjusted EBITDA decreased by $0.9 million year over year. The decrease was primarily due to higher spend on corporate development projects.</w:t>
      </w:r>
    </w:p>
    <w:p>
      <w:pPr>
        <w:spacing w:after="0" w:line="49" w:lineRule="exact"/>
        <w:rPr>
          <w:rFonts w:ascii="Arial" w:cs="Arial" w:eastAsia="Arial" w:hAnsi="Arial"/>
          <w:sz w:val="18"/>
          <w:szCs w:val="18"/>
          <w:color w:val="auto"/>
        </w:rPr>
      </w:pPr>
    </w:p>
    <w:p>
      <w:pPr>
        <w:jc w:val="both"/>
        <w:ind w:left="660" w:hanging="328"/>
        <w:spacing w:after="0" w:line="260"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Net loss from continuing operations was $2.6 million, an improvement of $53.7 million from last year. The change was primarily due to higher operating income of $6.5 million, lower net interest expense of $47.5 million driven primarily by $58.5 million of interest expense accrued in the fourth quarter of 2019 related to our license fee dispute with the government of India, improvement in foreign currency transactions, net, of $5.7 million, and higher gains on investments, net, of $5.6 million. This was partially offset by higher income tax provision, net, of $9.9 million.</w:t>
      </w:r>
    </w:p>
    <w:p>
      <w:pPr>
        <w:spacing w:after="0" w:line="8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Total Hughes broadband subscribers are approximately 1,564,000 as of December 31, 2020. Subscribers in the US decreased by 27,000 to approximately 1,189,000. In Latin America, subscribers increased by 11,000 to approximately 375,000.</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an updated schedule from Maxar, the Jupiter 3 satellite is expected to launch in the second half of 2022. In December 2020, we contracted for the launch of the satellite.</w:t>
      </w:r>
    </w:p>
    <w:p>
      <w:pPr>
        <w:spacing w:after="0" w:line="200" w:lineRule="exact"/>
        <w:rPr>
          <w:sz w:val="20"/>
          <w:szCs w:val="20"/>
          <w:color w:val="auto"/>
        </w:rPr>
      </w:pPr>
    </w:p>
    <w:p>
      <w:pPr>
        <w:spacing w:after="0" w:line="3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2" w:right="339" w:bottom="1440" w:gutter="0" w:footer="0" w:header="0"/>
        </w:sectPr>
      </w:pPr>
    </w:p>
    <w:bookmarkStart w:id="150" w:name="page151"/>
    <w:bookmarkEnd w:id="150"/>
    <w:p>
      <w:pPr>
        <w:ind w:left="660" w:hanging="328"/>
        <w:spacing w:after="0" w:line="292"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the three months ended December 31, 2020, approximately 69% of Hughes segment revenue was attributable to our consumer customers with approximately 31% attributable to our enterprise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were $2.5 billion as of December 31, 2020.</w:t>
      </w:r>
    </w:p>
    <w:p>
      <w:pPr>
        <w:spacing w:after="0" w:line="252"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December 2020, we purchased 1,708,907 shares of our Class A common stock in the open market. From January 1, 2021 through February 11, 2021, we purchased 2,851,841 shares of our Class A common stock in the open market.</w:t>
      </w:r>
    </w:p>
    <w:p>
      <w:pPr>
        <w:spacing w:after="0" w:line="200" w:lineRule="exact"/>
        <w:rPr>
          <w:sz w:val="20"/>
          <w:szCs w:val="20"/>
          <w:color w:val="auto"/>
        </w:rPr>
      </w:pPr>
    </w:p>
    <w:p>
      <w:pPr>
        <w:spacing w:after="0" w:line="21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Set forth below is a table highlighting certain of EchoStar’s segment results for the three and twelve months ended December 31, 2020 and 2019 (amounts in thousands) from continuing operations (all US GAAP amounts reference results from continuing operations):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4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three months ended</w:t>
            </w:r>
          </w:p>
        </w:tc>
        <w:tc>
          <w:tcPr>
            <w:tcW w:w="220" w:type="dxa"/>
            <w:vAlign w:val="bottom"/>
          </w:tcPr>
          <w:p>
            <w:pPr>
              <w:spacing w:after="0"/>
              <w:rPr>
                <w:sz w:val="17"/>
                <w:szCs w:val="17"/>
                <w:color w:val="auto"/>
              </w:rPr>
            </w:pPr>
          </w:p>
        </w:tc>
        <w:tc>
          <w:tcPr>
            <w:tcW w:w="29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For the twelve months ended</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491"/>
        </w:trPr>
        <w:tc>
          <w:tcPr>
            <w:tcW w:w="46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660" w:type="dxa"/>
            <w:vAlign w:val="bottom"/>
          </w:tcPr>
          <w:p>
            <w:pPr>
              <w:ind w:left="200"/>
              <w:spacing w:after="0"/>
              <w:rPr>
                <w:sz w:val="20"/>
                <w:szCs w:val="20"/>
                <w:color w:val="auto"/>
              </w:rPr>
            </w:pPr>
            <w:r>
              <w:rPr>
                <w:rFonts w:ascii="Arial" w:cs="Arial" w:eastAsia="Arial" w:hAnsi="Arial"/>
                <w:sz w:val="18"/>
                <w:szCs w:val="18"/>
                <w:color w:val="auto"/>
              </w:rPr>
              <w:t>Hughes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482,418</w:t>
            </w:r>
          </w:p>
        </w:tc>
        <w:tc>
          <w:tcPr>
            <w:tcW w:w="12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491,823</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1,860,834</w:t>
            </w:r>
          </w:p>
        </w:tc>
        <w:tc>
          <w:tcPr>
            <w:tcW w:w="12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1,852,742</w:t>
            </w:r>
          </w:p>
        </w:tc>
        <w:tc>
          <w:tcPr>
            <w:tcW w:w="0" w:type="dxa"/>
            <w:vAlign w:val="bottom"/>
          </w:tcPr>
          <w:p>
            <w:pPr>
              <w:spacing w:after="0"/>
              <w:rPr>
                <w:sz w:val="1"/>
                <w:szCs w:val="1"/>
                <w:color w:val="auto"/>
              </w:rPr>
            </w:pPr>
          </w:p>
        </w:tc>
      </w:tr>
      <w:tr>
        <w:trPr>
          <w:trHeight w:val="270"/>
        </w:trPr>
        <w:tc>
          <w:tcPr>
            <w:tcW w:w="466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4,165</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17,398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16,257</w:t>
            </w:r>
          </w:p>
        </w:tc>
        <w:tc>
          <w:tcPr>
            <w:tcW w:w="0" w:type="dxa"/>
            <w:vAlign w:val="bottom"/>
          </w:tcPr>
          <w:p>
            <w:pPr>
              <w:spacing w:after="0"/>
              <w:rPr>
                <w:sz w:val="1"/>
                <w:szCs w:val="1"/>
                <w:color w:val="auto"/>
              </w:rPr>
            </w:pPr>
          </w:p>
        </w:tc>
      </w:tr>
      <w:tr>
        <w:trPr>
          <w:trHeight w:val="279"/>
        </w:trPr>
        <w:tc>
          <w:tcPr>
            <w:tcW w:w="4660" w:type="dxa"/>
            <w:vAlign w:val="bottom"/>
          </w:tcPr>
          <w:p>
            <w:pPr>
              <w:ind w:left="200"/>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9,675</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17,082</w:t>
            </w:r>
          </w:p>
        </w:tc>
        <w:tc>
          <w:tcPr>
            <w:tcW w:w="0" w:type="dxa"/>
            <w:vAlign w:val="bottom"/>
          </w:tcPr>
          <w:p>
            <w:pPr>
              <w:spacing w:after="0"/>
              <w:rPr>
                <w:sz w:val="1"/>
                <w:szCs w:val="1"/>
                <w:color w:val="auto"/>
              </w:rPr>
            </w:pPr>
          </w:p>
        </w:tc>
      </w:tr>
      <w:tr>
        <w:trPr>
          <w:trHeight w:val="223"/>
        </w:trPr>
        <w:tc>
          <w:tcPr>
            <w:tcW w:w="466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489,273</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499,006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1,887,907</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1,886,081</w:t>
            </w:r>
          </w:p>
        </w:tc>
        <w:tc>
          <w:tcPr>
            <w:tcW w:w="0" w:type="dxa"/>
            <w:vAlign w:val="bottom"/>
          </w:tcPr>
          <w:p>
            <w:pPr>
              <w:spacing w:after="0"/>
              <w:rPr>
                <w:sz w:val="1"/>
                <w:szCs w:val="1"/>
                <w:color w:val="auto"/>
              </w:rPr>
            </w:pPr>
          </w:p>
        </w:tc>
      </w:tr>
      <w:tr>
        <w:trPr>
          <w:trHeight w:val="21"/>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4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660" w:type="dxa"/>
            <w:vAlign w:val="bottom"/>
          </w:tcPr>
          <w:p>
            <w:pPr>
              <w:ind w:left="200"/>
              <w:spacing w:after="0"/>
              <w:rPr>
                <w:sz w:val="20"/>
                <w:szCs w:val="20"/>
                <w:color w:val="auto"/>
              </w:rPr>
            </w:pPr>
            <w:r>
              <w:rPr>
                <w:rFonts w:ascii="Arial" w:cs="Arial" w:eastAsia="Arial" w:hAnsi="Arial"/>
                <w:sz w:val="18"/>
                <w:szCs w:val="18"/>
                <w:color w:val="auto"/>
              </w:rPr>
              <w:t>Hughes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188,389</w:t>
            </w:r>
          </w:p>
        </w:tc>
        <w:tc>
          <w:tcPr>
            <w:tcW w:w="12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176,738</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723,343</w:t>
            </w:r>
          </w:p>
        </w:tc>
        <w:tc>
          <w:tcPr>
            <w:tcW w:w="12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666,890</w:t>
            </w:r>
          </w:p>
        </w:tc>
        <w:tc>
          <w:tcPr>
            <w:tcW w:w="0" w:type="dxa"/>
            <w:vAlign w:val="bottom"/>
          </w:tcPr>
          <w:p>
            <w:pPr>
              <w:spacing w:after="0"/>
              <w:rPr>
                <w:sz w:val="1"/>
                <w:szCs w:val="1"/>
                <w:color w:val="auto"/>
              </w:rPr>
            </w:pPr>
          </w:p>
        </w:tc>
      </w:tr>
      <w:tr>
        <w:trPr>
          <w:trHeight w:val="270"/>
        </w:trPr>
        <w:tc>
          <w:tcPr>
            <w:tcW w:w="466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7,873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43"/>
        </w:trPr>
        <w:tc>
          <w:tcPr>
            <w:tcW w:w="4660" w:type="dxa"/>
            <w:vAlign w:val="bottom"/>
          </w:tcPr>
          <w:p>
            <w:pPr>
              <w:ind w:left="200"/>
              <w:spacing w:after="0"/>
              <w:rPr>
                <w:sz w:val="20"/>
                <w:szCs w:val="20"/>
                <w:color w:val="auto"/>
              </w:rPr>
            </w:pPr>
            <w:r>
              <w:rPr>
                <w:rFonts w:ascii="Arial" w:cs="Arial" w:eastAsia="Arial" w:hAnsi="Arial"/>
                <w:sz w:val="18"/>
                <w:szCs w:val="18"/>
                <w:color w:val="auto"/>
              </w:rPr>
              <w:t>Corporate &amp; Other:</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660" w:type="dxa"/>
            <w:vAlign w:val="bottom"/>
          </w:tcPr>
          <w:p>
            <w:pPr>
              <w:ind w:left="460"/>
              <w:spacing w:after="0"/>
              <w:rPr>
                <w:sz w:val="20"/>
                <w:szCs w:val="20"/>
                <w:color w:val="auto"/>
              </w:rPr>
            </w:pPr>
            <w:r>
              <w:rPr>
                <w:rFonts w:ascii="Arial" w:cs="Arial" w:eastAsia="Arial" w:hAnsi="Arial"/>
                <w:sz w:val="18"/>
                <w:szCs w:val="18"/>
                <w:color w:val="auto"/>
              </w:rPr>
              <w:t>Corporate overhead, operating and other</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(23,920)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(23,090)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(87,867)</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(81,859)</w:t>
            </w:r>
          </w:p>
        </w:tc>
        <w:tc>
          <w:tcPr>
            <w:tcW w:w="0" w:type="dxa"/>
            <w:vAlign w:val="bottom"/>
          </w:tcPr>
          <w:p>
            <w:pPr>
              <w:spacing w:after="0"/>
              <w:rPr>
                <w:sz w:val="1"/>
                <w:szCs w:val="1"/>
                <w:color w:val="auto"/>
              </w:rPr>
            </w:pPr>
          </w:p>
        </w:tc>
      </w:tr>
      <w:tr>
        <w:trPr>
          <w:trHeight w:val="185"/>
        </w:trPr>
        <w:tc>
          <w:tcPr>
            <w:tcW w:w="4660" w:type="dxa"/>
            <w:vAlign w:val="bottom"/>
          </w:tcPr>
          <w:p>
            <w:pPr>
              <w:ind w:left="460"/>
              <w:spacing w:after="0" w:line="185" w:lineRule="exact"/>
              <w:rPr>
                <w:sz w:val="20"/>
                <w:szCs w:val="20"/>
                <w:color w:val="auto"/>
              </w:rPr>
            </w:pPr>
            <w:r>
              <w:rPr>
                <w:rFonts w:ascii="Arial" w:cs="Arial" w:eastAsia="Arial" w:hAnsi="Arial"/>
                <w:sz w:val="18"/>
                <w:szCs w:val="18"/>
                <w:color w:val="auto"/>
              </w:rPr>
              <w:t>Equity in earnings (losses) of unconsolidated</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460"/>
              <w:spacing w:after="0"/>
              <w:rPr>
                <w:sz w:val="20"/>
                <w:szCs w:val="20"/>
                <w:color w:val="auto"/>
              </w:rPr>
            </w:pPr>
            <w:r>
              <w:rPr>
                <w:rFonts w:ascii="Arial" w:cs="Arial" w:eastAsia="Arial" w:hAnsi="Arial"/>
                <w:sz w:val="18"/>
                <w:szCs w:val="18"/>
                <w:color w:val="auto"/>
              </w:rPr>
              <w:t>affiliates, net</w:t>
            </w: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(9,257)</w:t>
            </w:r>
          </w:p>
        </w:tc>
        <w:tc>
          <w:tcPr>
            <w:tcW w:w="0" w:type="dxa"/>
            <w:vAlign w:val="bottom"/>
          </w:tcPr>
          <w:p>
            <w:pPr>
              <w:spacing w:after="0"/>
              <w:rPr>
                <w:sz w:val="1"/>
                <w:szCs w:val="1"/>
                <w:color w:val="auto"/>
              </w:rPr>
            </w:pPr>
          </w:p>
        </w:tc>
      </w:tr>
      <w:tr>
        <w:trPr>
          <w:trHeight w:val="250"/>
        </w:trPr>
        <w:tc>
          <w:tcPr>
            <w:tcW w:w="4660" w:type="dxa"/>
            <w:vAlign w:val="bottom"/>
          </w:tcPr>
          <w:p>
            <w:pPr>
              <w:ind w:left="660"/>
              <w:spacing w:after="0"/>
              <w:rPr>
                <w:sz w:val="20"/>
                <w:szCs w:val="20"/>
                <w:color w:val="auto"/>
              </w:rPr>
            </w:pPr>
            <w:r>
              <w:rPr>
                <w:rFonts w:ascii="Arial" w:cs="Arial" w:eastAsia="Arial" w:hAnsi="Arial"/>
                <w:sz w:val="18"/>
                <w:szCs w:val="18"/>
                <w:color w:val="auto"/>
              </w:rPr>
              <w:t>Total Corporate &amp; Other</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(23,694)</w:t>
            </w:r>
          </w:p>
        </w:tc>
        <w:tc>
          <w:tcPr>
            <w:tcW w:w="1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(22,840)</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(88,301)</w:t>
            </w: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(91,116)</w:t>
            </w:r>
          </w:p>
        </w:tc>
        <w:tc>
          <w:tcPr>
            <w:tcW w:w="0" w:type="dxa"/>
            <w:vAlign w:val="bottom"/>
          </w:tcPr>
          <w:p>
            <w:pPr>
              <w:spacing w:after="0"/>
              <w:rPr>
                <w:sz w:val="1"/>
                <w:szCs w:val="1"/>
                <w:color w:val="auto"/>
              </w:rPr>
            </w:pPr>
          </w:p>
        </w:tc>
      </w:tr>
      <w:tr>
        <w:trPr>
          <w:trHeight w:val="223"/>
        </w:trPr>
        <w:tc>
          <w:tcPr>
            <w:tcW w:w="4660" w:type="dxa"/>
            <w:vAlign w:val="bottom"/>
          </w:tcPr>
          <w:p>
            <w:pPr>
              <w:ind w:left="860"/>
              <w:spacing w:after="0"/>
              <w:rPr>
                <w:sz w:val="20"/>
                <w:szCs w:val="20"/>
                <w:color w:val="auto"/>
              </w:rPr>
            </w:pPr>
            <w:r>
              <w:rPr>
                <w:rFonts w:ascii="Arial" w:cs="Arial" w:eastAsia="Arial" w:hAnsi="Arial"/>
                <w:sz w:val="18"/>
                <w:szCs w:val="18"/>
                <w:color w:val="auto"/>
              </w:rPr>
              <w:t>Total Adjusted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166,721</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155,886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642,915</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582,768</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Expenditures for property and equipment</w:t>
            </w: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4660" w:type="dxa"/>
            <w:vAlign w:val="bottom"/>
            <w:vMerge w:val="continue"/>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113,757</w:t>
            </w:r>
          </w:p>
        </w:tc>
        <w:tc>
          <w:tcPr>
            <w:tcW w:w="12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103,723</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408,798</w:t>
            </w:r>
          </w:p>
        </w:tc>
        <w:tc>
          <w:tcPr>
            <w:tcW w:w="12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418,074</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27"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Reconciliation of GAAP to Non-GAAP Measurement (amounts in thousands):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4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7"/>
                <w:szCs w:val="17"/>
                <w:color w:val="auto"/>
              </w:rPr>
            </w:pPr>
          </w:p>
        </w:tc>
        <w:tc>
          <w:tcPr>
            <w:tcW w:w="29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For the twelve months ended</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470"/>
        </w:trPr>
        <w:tc>
          <w:tcPr>
            <w:tcW w:w="468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(2,597)</w:t>
            </w:r>
          </w:p>
        </w:tc>
        <w:tc>
          <w:tcPr>
            <w:tcW w:w="12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(63,094)</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(51,904)</w:t>
            </w:r>
          </w:p>
        </w:tc>
        <w:tc>
          <w:tcPr>
            <w:tcW w:w="12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(74,252)</w:t>
            </w:r>
          </w:p>
        </w:tc>
        <w:tc>
          <w:tcPr>
            <w:tcW w:w="0" w:type="dxa"/>
            <w:vAlign w:val="bottom"/>
          </w:tcPr>
          <w:p>
            <w:pPr>
              <w:spacing w:after="0"/>
              <w:rPr>
                <w:sz w:val="1"/>
                <w:szCs w:val="1"/>
                <w:color w:val="auto"/>
              </w:rPr>
            </w:pPr>
          </w:p>
        </w:tc>
      </w:tr>
      <w:tr>
        <w:trPr>
          <w:trHeight w:val="230"/>
        </w:trPr>
        <w:tc>
          <w:tcPr>
            <w:tcW w:w="468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(6,275)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(39,982)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(82,352)</w:t>
            </w:r>
          </w:p>
        </w:tc>
        <w:tc>
          <w:tcPr>
            <w:tcW w:w="0" w:type="dxa"/>
            <w:vAlign w:val="bottom"/>
          </w:tcPr>
          <w:p>
            <w:pPr>
              <w:spacing w:after="0"/>
              <w:rPr>
                <w:sz w:val="1"/>
                <w:szCs w:val="1"/>
                <w:color w:val="auto"/>
              </w:rPr>
            </w:pPr>
          </w:p>
        </w:tc>
      </w:tr>
      <w:tr>
        <w:trPr>
          <w:trHeight w:val="229"/>
        </w:trPr>
        <w:tc>
          <w:tcPr>
            <w:tcW w:w="4680" w:type="dxa"/>
            <w:vAlign w:val="bottom"/>
          </w:tcPr>
          <w:p>
            <w:pPr>
              <w:ind w:left="200"/>
              <w:spacing w:after="0"/>
              <w:rPr>
                <w:sz w:val="20"/>
                <w:szCs w:val="20"/>
                <w:color w:val="auto"/>
              </w:rPr>
            </w:pPr>
            <w:r>
              <w:rPr>
                <w:rFonts w:ascii="Arial" w:cs="Arial" w:eastAsia="Arial" w:hAnsi="Arial"/>
                <w:sz w:val="18"/>
                <w:szCs w:val="18"/>
                <w:color w:val="auto"/>
              </w:rPr>
              <w:t>Interest expense, net of amounts capitalized</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35,469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94,203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147,927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251,016</w:t>
            </w:r>
          </w:p>
        </w:tc>
        <w:tc>
          <w:tcPr>
            <w:tcW w:w="0" w:type="dxa"/>
            <w:vAlign w:val="bottom"/>
          </w:tcPr>
          <w:p>
            <w:pPr>
              <w:spacing w:after="0"/>
              <w:rPr>
                <w:sz w:val="1"/>
                <w:szCs w:val="1"/>
                <w:color w:val="auto"/>
              </w:rPr>
            </w:pPr>
          </w:p>
        </w:tc>
      </w:tr>
      <w:tr>
        <w:trPr>
          <w:trHeight w:val="230"/>
        </w:trPr>
        <w:tc>
          <w:tcPr>
            <w:tcW w:w="4680" w:type="dxa"/>
            <w:vAlign w:val="bottom"/>
          </w:tcPr>
          <w:p>
            <w:pPr>
              <w:ind w:left="200"/>
              <w:spacing w:after="0"/>
              <w:rPr>
                <w:sz w:val="20"/>
                <w:szCs w:val="20"/>
                <w:color w:val="auto"/>
              </w:rPr>
            </w:pPr>
            <w:r>
              <w:rPr>
                <w:rFonts w:ascii="Arial" w:cs="Arial" w:eastAsia="Arial" w:hAnsi="Arial"/>
                <w:sz w:val="18"/>
                <w:szCs w:val="18"/>
                <w:color w:val="auto"/>
              </w:rPr>
              <w:t>Income tax provision (benefit),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17,760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24,069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20,488</w:t>
            </w:r>
          </w:p>
        </w:tc>
        <w:tc>
          <w:tcPr>
            <w:tcW w:w="0" w:type="dxa"/>
            <w:vAlign w:val="bottom"/>
          </w:tcPr>
          <w:p>
            <w:pPr>
              <w:spacing w:after="0"/>
              <w:rPr>
                <w:sz w:val="1"/>
                <w:szCs w:val="1"/>
                <w:color w:val="auto"/>
              </w:rPr>
            </w:pPr>
          </w:p>
        </w:tc>
      </w:tr>
      <w:tr>
        <w:trPr>
          <w:trHeight w:val="229"/>
        </w:trPr>
        <w:tc>
          <w:tcPr>
            <w:tcW w:w="46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132,934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129,146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525,011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490,765</w:t>
            </w:r>
          </w:p>
        </w:tc>
        <w:tc>
          <w:tcPr>
            <w:tcW w:w="0" w:type="dxa"/>
            <w:vAlign w:val="bottom"/>
          </w:tcPr>
          <w:p>
            <w:pPr>
              <w:spacing w:after="0"/>
              <w:rPr>
                <w:sz w:val="1"/>
                <w:szCs w:val="1"/>
                <w:color w:val="auto"/>
              </w:rPr>
            </w:pP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Net (income) loss from discontinued operations</w:t>
            </w:r>
          </w:p>
        </w:tc>
        <w:tc>
          <w:tcPr>
            <w:tcW w:w="2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(39,401)</w:t>
            </w:r>
          </w:p>
        </w:tc>
        <w:tc>
          <w:tcPr>
            <w:tcW w:w="0" w:type="dxa"/>
            <w:vAlign w:val="bottom"/>
          </w:tcPr>
          <w:p>
            <w:pPr>
              <w:spacing w:after="0"/>
              <w:rPr>
                <w:sz w:val="1"/>
                <w:szCs w:val="1"/>
                <w:color w:val="auto"/>
              </w:rPr>
            </w:pPr>
          </w:p>
        </w:tc>
      </w:tr>
      <w:tr>
        <w:trPr>
          <w:trHeight w:val="185"/>
        </w:trPr>
        <w:tc>
          <w:tcPr>
            <w:tcW w:w="4680" w:type="dxa"/>
            <w:vAlign w:val="bottom"/>
          </w:tcPr>
          <w:p>
            <w:pPr>
              <w:ind w:left="260"/>
              <w:spacing w:after="0" w:line="185" w:lineRule="exact"/>
              <w:rPr>
                <w:sz w:val="20"/>
                <w:szCs w:val="20"/>
                <w:color w:val="auto"/>
              </w:rPr>
            </w:pPr>
            <w:r>
              <w:rPr>
                <w:rFonts w:ascii="Arial" w:cs="Arial" w:eastAsia="Arial" w:hAnsi="Arial"/>
                <w:sz w:val="18"/>
                <w:szCs w:val="18"/>
                <w:color w:val="auto"/>
              </w:rPr>
              <w:t>Net (income) loss attributable to non-controlling</w:t>
            </w:r>
          </w:p>
        </w:tc>
        <w:tc>
          <w:tcPr>
            <w:tcW w:w="24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2,714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9,976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11,754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11,335</w:t>
            </w:r>
          </w:p>
        </w:tc>
        <w:tc>
          <w:tcPr>
            <w:tcW w:w="0" w:type="dxa"/>
            <w:vAlign w:val="bottom"/>
          </w:tcPr>
          <w:p>
            <w:pPr>
              <w:spacing w:after="0"/>
              <w:rPr>
                <w:sz w:val="1"/>
                <w:szCs w:val="1"/>
                <w:color w:val="auto"/>
              </w:rPr>
            </w:pPr>
          </w:p>
        </w:tc>
      </w:tr>
      <w:tr>
        <w:trPr>
          <w:trHeight w:val="229"/>
        </w:trPr>
        <w:tc>
          <w:tcPr>
            <w:tcW w:w="4680" w:type="dxa"/>
            <w:vAlign w:val="bottom"/>
          </w:tcPr>
          <w:p>
            <w:pPr>
              <w:ind w:left="42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80" w:type="dxa"/>
            <w:vAlign w:val="bottom"/>
          </w:tcPr>
          <w:p>
            <w:pPr>
              <w:ind w:left="440"/>
              <w:spacing w:after="0"/>
              <w:rPr>
                <w:sz w:val="20"/>
                <w:szCs w:val="20"/>
                <w:color w:val="auto"/>
              </w:rPr>
            </w:pPr>
            <w:r>
              <w:rPr>
                <w:rFonts w:ascii="Arial" w:cs="Arial" w:eastAsia="Arial" w:hAnsi="Arial"/>
                <w:sz w:val="18"/>
                <w:szCs w:val="18"/>
                <w:color w:val="auto"/>
              </w:rPr>
              <w:t>EBITDA</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180,005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167,399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616,875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577,599</w:t>
            </w:r>
          </w:p>
        </w:tc>
        <w:tc>
          <w:tcPr>
            <w:tcW w:w="0" w:type="dxa"/>
            <w:vAlign w:val="bottom"/>
          </w:tcPr>
          <w:p>
            <w:pPr>
              <w:spacing w:after="0"/>
              <w:rPr>
                <w:sz w:val="1"/>
                <w:szCs w:val="1"/>
                <w:color w:val="auto"/>
              </w:rPr>
            </w:pPr>
          </w:p>
        </w:tc>
      </w:tr>
      <w:tr>
        <w:trPr>
          <w:trHeight w:val="270"/>
        </w:trPr>
        <w:tc>
          <w:tcPr>
            <w:tcW w:w="4680" w:type="dxa"/>
            <w:vAlign w:val="bottom"/>
          </w:tcPr>
          <w:p>
            <w:pPr>
              <w:ind w:left="440"/>
              <w:spacing w:after="0"/>
              <w:rPr>
                <w:sz w:val="20"/>
                <w:szCs w:val="20"/>
                <w:color w:val="auto"/>
              </w:rPr>
            </w:pPr>
            <w:r>
              <w:rPr>
                <w:rFonts w:ascii="Arial" w:cs="Arial" w:eastAsia="Arial" w:hAnsi="Arial"/>
                <w:sz w:val="18"/>
                <w:szCs w:val="18"/>
                <w:color w:val="auto"/>
              </w:rPr>
              <w:t>(Gains) losses on investments, net</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(6,458)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31,306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(28,912)</w:t>
            </w:r>
          </w:p>
        </w:tc>
        <w:tc>
          <w:tcPr>
            <w:tcW w:w="0" w:type="dxa"/>
            <w:vAlign w:val="bottom"/>
          </w:tcPr>
          <w:p>
            <w:pPr>
              <w:spacing w:after="0"/>
              <w:rPr>
                <w:sz w:val="1"/>
                <w:szCs w:val="1"/>
                <w:color w:val="auto"/>
              </w:rPr>
            </w:pPr>
          </w:p>
        </w:tc>
      </w:tr>
      <w:tr>
        <w:trPr>
          <w:trHeight w:val="230"/>
        </w:trPr>
        <w:tc>
          <w:tcPr>
            <w:tcW w:w="4680" w:type="dxa"/>
            <w:vAlign w:val="bottom"/>
          </w:tcPr>
          <w:p>
            <w:pPr>
              <w:ind w:left="440"/>
              <w:spacing w:after="0"/>
              <w:rPr>
                <w:sz w:val="20"/>
                <w:szCs w:val="20"/>
                <w:color w:val="auto"/>
              </w:rPr>
            </w:pPr>
            <w:r>
              <w:rPr>
                <w:rFonts w:ascii="Arial" w:cs="Arial" w:eastAsia="Arial" w:hAnsi="Arial"/>
                <w:sz w:val="18"/>
                <w:szCs w:val="18"/>
                <w:color w:val="auto"/>
              </w:rPr>
              <w:t>Impairment of long-lived assets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80" w:type="dxa"/>
            <w:vAlign w:val="bottom"/>
          </w:tcPr>
          <w:p>
            <w:pPr>
              <w:ind w:left="440"/>
              <w:spacing w:after="0"/>
              <w:rPr>
                <w:sz w:val="20"/>
                <w:szCs w:val="20"/>
                <w:color w:val="auto"/>
              </w:rPr>
            </w:pPr>
            <w:r>
              <w:rPr>
                <w:rFonts w:ascii="Arial" w:cs="Arial" w:eastAsia="Arial" w:hAnsi="Arial"/>
                <w:sz w:val="18"/>
                <w:szCs w:val="18"/>
                <w:color w:val="auto"/>
              </w:rPr>
              <w:t>Litigation expense</w:t>
            </w:r>
          </w:p>
        </w:tc>
        <w:tc>
          <w:tcPr>
            <w:tcW w:w="24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25,701</w:t>
            </w:r>
          </w:p>
        </w:tc>
        <w:tc>
          <w:tcPr>
            <w:tcW w:w="0" w:type="dxa"/>
            <w:vAlign w:val="bottom"/>
          </w:tcPr>
          <w:p>
            <w:pPr>
              <w:spacing w:after="0"/>
              <w:rPr>
                <w:sz w:val="1"/>
                <w:szCs w:val="1"/>
                <w:color w:val="auto"/>
              </w:rPr>
            </w:pPr>
          </w:p>
        </w:tc>
      </w:tr>
      <w:tr>
        <w:trPr>
          <w:trHeight w:val="185"/>
        </w:trPr>
        <w:tc>
          <w:tcPr>
            <w:tcW w:w="4680" w:type="dxa"/>
            <w:vAlign w:val="bottom"/>
          </w:tcPr>
          <w:p>
            <w:pPr>
              <w:ind w:left="440"/>
              <w:spacing w:after="0" w:line="185" w:lineRule="exact"/>
              <w:rPr>
                <w:sz w:val="20"/>
                <w:szCs w:val="20"/>
                <w:color w:val="auto"/>
              </w:rPr>
            </w:pPr>
            <w:r>
              <w:rPr>
                <w:rFonts w:ascii="Arial" w:cs="Arial" w:eastAsia="Arial" w:hAnsi="Arial"/>
                <w:sz w:val="18"/>
                <w:szCs w:val="18"/>
                <w:color w:val="auto"/>
              </w:rPr>
              <w:t>License fee dispute - India, net of non-controlling</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680" w:type="dxa"/>
            <w:vAlign w:val="bottom"/>
          </w:tcPr>
          <w:p>
            <w:pPr>
              <w:ind w:left="44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79"/>
        </w:trPr>
        <w:tc>
          <w:tcPr>
            <w:tcW w:w="4680" w:type="dxa"/>
            <w:vAlign w:val="bottom"/>
          </w:tcPr>
          <w:p>
            <w:pPr>
              <w:ind w:left="440"/>
              <w:spacing w:after="0"/>
              <w:rPr>
                <w:sz w:val="20"/>
                <w:szCs w:val="20"/>
                <w:color w:val="auto"/>
              </w:rPr>
            </w:pPr>
            <w:r>
              <w:rPr>
                <w:rFonts w:ascii="Arial" w:cs="Arial" w:eastAsia="Arial" w:hAnsi="Arial"/>
                <w:sz w:val="18"/>
                <w:szCs w:val="18"/>
                <w:color w:val="auto"/>
              </w:rPr>
              <w:t>Foreign currency transaction (gains) losses, net</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(8,618)</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(6,015)</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11,590</w:t>
            </w:r>
          </w:p>
        </w:tc>
        <w:tc>
          <w:tcPr>
            <w:tcW w:w="0" w:type="dxa"/>
            <w:vAlign w:val="bottom"/>
          </w:tcPr>
          <w:p>
            <w:pPr>
              <w:spacing w:after="0"/>
              <w:rPr>
                <w:sz w:val="1"/>
                <w:szCs w:val="1"/>
                <w:color w:val="auto"/>
              </w:rPr>
            </w:pPr>
          </w:p>
        </w:tc>
      </w:tr>
      <w:tr>
        <w:trPr>
          <w:trHeight w:val="223"/>
        </w:trPr>
        <w:tc>
          <w:tcPr>
            <w:tcW w:w="4680" w:type="dxa"/>
            <w:vAlign w:val="bottom"/>
          </w:tcPr>
          <w:p>
            <w:pPr>
              <w:ind w:left="64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166,721</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155,886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642,915</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582,768</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on Use of Non-GAAP Financial Measures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EBITDA is defined as “Net income (loss)” excluding “Interest income, net,” Interest expense, net of amounts capitalized,” “Income tax benefit (provision), net,” “Depreciation and amortization,” “Net income (loss) from discontinued operations,” and “Net income (loss) attributable to non-controlling interests.”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defined as EBITDA excluding “Gains and losses on investments, net,” “Foreign currency transaction gains (losses), net,” and other non-recurring or non-operational items. 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 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consolidated financial statements of EchoStar for the periods ended December 31, 2020 and 2019 are attached to this press release. Detailed financial data and other information are available in EchoStar’s Annual Report on Form 10-K for the period ended December 31, 2020 filed today with the Securities and Exchange Commission.</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EchoStar will host a conference call and webcast to discuss its earnings on Tuesday, February 23, 2021 at 11:00 a.m. Eastern Time. The call-in numbers are (877) 815-1625 (toll-free) and (716) 247-5178 (international), Conference ID 9174397. The webcast will be available on EchoStar’s investor relations website at www.echostar.com.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684"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About EchoStar Corporation</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US Private Securities Litigation Reform Act of 1995</w:t>
      </w:r>
    </w:p>
    <w:p>
      <w:pPr>
        <w:spacing w:after="0" w:line="25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“estimate,” “expect,” “intend,” “project,” “plans,” and similar expressions and the use of future dates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management believes that the expectations reflected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2020 as filed with the Securities and Exchange Commission and in the other documents EchoStar files with the Securities and Exchange Commission from time to time.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40"/>
          </w:cols>
          <w:pgMar w:left="320" w:top="682" w:right="339" w:bottom="1440" w:gutter="0" w:footer="0" w:header="0"/>
        </w:sectPr>
      </w:pP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3380"/>
        <w:spacing w:after="0"/>
        <w:rPr>
          <w:sz w:val="20"/>
          <w:szCs w:val="20"/>
          <w:color w:val="auto"/>
        </w:rPr>
      </w:pPr>
      <w:r>
        <w:rPr>
          <w:rFonts w:ascii="Arial" w:cs="Arial" w:eastAsia="Arial" w:hAnsi="Arial"/>
          <w:sz w:val="17"/>
          <w:szCs w:val="17"/>
          <w:b w:val="1"/>
          <w:bCs w:val="1"/>
          <w:color w:val="auto"/>
        </w:rPr>
        <w:t>EchoStar Media Relations</w:t>
      </w:r>
    </w:p>
    <w:p>
      <w:pPr>
        <w:spacing w:after="0" w:line="94" w:lineRule="exact"/>
        <w:rPr>
          <w:sz w:val="20"/>
          <w:szCs w:val="20"/>
          <w:color w:val="auto"/>
        </w:rPr>
      </w:pPr>
    </w:p>
    <w:p>
      <w:pPr>
        <w:sectPr>
          <w:pgSz w:w="11900" w:h="16838" w:orient="portrait"/>
          <w:cols w:equalWidth="0" w:num="2">
            <w:col w:w="4940" w:space="720"/>
            <w:col w:w="5580"/>
          </w:cols>
          <w:pgMar w:left="320" w:top="682" w:right="3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Terry Brown</w:t>
      </w:r>
    </w:p>
    <w:p>
      <w:pPr>
        <w:ind w:left="60"/>
        <w:spacing w:after="0" w:line="203" w:lineRule="auto"/>
        <w:rPr>
          <w:sz w:val="20"/>
          <w:szCs w:val="20"/>
          <w:color w:val="auto"/>
        </w:rPr>
      </w:pPr>
      <w:r>
        <w:rPr>
          <w:rFonts w:ascii="Arial" w:cs="Arial" w:eastAsia="Arial" w:hAnsi="Arial"/>
          <w:sz w:val="18"/>
          <w:szCs w:val="18"/>
          <w:color w:val="auto"/>
        </w:rPr>
        <w:t>Phone: +1 303-728-5179</w:t>
      </w:r>
    </w:p>
    <w:p>
      <w:pPr>
        <w:ind w:left="60"/>
        <w:spacing w:after="0"/>
        <w:rPr>
          <w:sz w:val="20"/>
          <w:szCs w:val="20"/>
          <w:color w:val="auto"/>
        </w:rPr>
      </w:pPr>
      <w:r>
        <w:rPr>
          <w:rFonts w:ascii="Arial" w:cs="Arial" w:eastAsia="Arial" w:hAnsi="Arial"/>
          <w:sz w:val="17"/>
          <w:szCs w:val="17"/>
          <w:color w:val="auto"/>
        </w:rPr>
        <w:t>Email: terry.brown@echostar.com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Sharyn Nerenberg</w:t>
      </w:r>
    </w:p>
    <w:p>
      <w:pPr>
        <w:spacing w:after="0" w:line="203" w:lineRule="auto"/>
        <w:rPr>
          <w:sz w:val="20"/>
          <w:szCs w:val="20"/>
          <w:color w:val="auto"/>
        </w:rPr>
      </w:pPr>
      <w:r>
        <w:rPr>
          <w:rFonts w:ascii="Arial" w:cs="Arial" w:eastAsia="Arial" w:hAnsi="Arial"/>
          <w:sz w:val="18"/>
          <w:szCs w:val="18"/>
          <w:color w:val="auto"/>
        </w:rPr>
        <w:t>Phone: +1 301-428-7124</w:t>
      </w:r>
    </w:p>
    <w:p>
      <w:pPr>
        <w:spacing w:after="0"/>
        <w:rPr>
          <w:sz w:val="20"/>
          <w:szCs w:val="20"/>
          <w:color w:val="auto"/>
        </w:rPr>
      </w:pPr>
      <w:r>
        <w:rPr>
          <w:rFonts w:ascii="Arial" w:cs="Arial" w:eastAsia="Arial" w:hAnsi="Arial"/>
          <w:sz w:val="17"/>
          <w:szCs w:val="17"/>
          <w:color w:val="auto"/>
        </w:rPr>
        <w:t>Email: sharyn.nerenberg@echostar.com</w:t>
      </w:r>
    </w:p>
    <w:p>
      <w:pPr>
        <w:spacing w:after="0" w:line="200" w:lineRule="exact"/>
        <w:rPr>
          <w:sz w:val="20"/>
          <w:szCs w:val="20"/>
          <w:color w:val="auto"/>
        </w:rPr>
      </w:pPr>
    </w:p>
    <w:p>
      <w:pPr>
        <w:sectPr>
          <w:pgSz w:w="11900" w:h="16838" w:orient="portrait"/>
          <w:cols w:equalWidth="0" w:num="2">
            <w:col w:w="4940" w:space="720"/>
            <w:col w:w="5580"/>
          </w:cols>
          <w:pgMar w:left="320" w:top="682" w:right="33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682" w:right="339" w:bottom="1440" w:gutter="0" w:footer="0" w:header="0"/>
          <w:type w:val="continuous"/>
        </w:sectPr>
      </w:pPr>
    </w:p>
    <w:bookmarkStart w:id="153" w:name="page154"/>
    <w:bookmarkEnd w:id="153"/>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9"/>
        </w:trPr>
        <w:tc>
          <w:tcPr>
            <w:tcW w:w="8200" w:type="dxa"/>
            <w:vAlign w:val="bottom"/>
            <w:vMerge w:val="restart"/>
          </w:tcPr>
          <w:p>
            <w:pPr>
              <w:ind w:left="378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82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0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896,005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1,519,431</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Marketable investment securities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1,638,271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940,623</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Trade accounts receivable and contract assets,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183,989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196,629</w:t>
            </w:r>
          </w:p>
        </w:tc>
        <w:tc>
          <w:tcPr>
            <w:tcW w:w="0" w:type="dxa"/>
            <w:vAlign w:val="bottom"/>
          </w:tcPr>
          <w:p>
            <w:pPr>
              <w:spacing w:after="0"/>
              <w:rPr>
                <w:sz w:val="1"/>
                <w:szCs w:val="1"/>
                <w:color w:val="auto"/>
              </w:rPr>
            </w:pPr>
          </w:p>
        </w:tc>
      </w:tr>
      <w:tr>
        <w:trPr>
          <w:trHeight w:val="219"/>
        </w:trPr>
        <w:tc>
          <w:tcPr>
            <w:tcW w:w="8200" w:type="dxa"/>
            <w:vAlign w:val="bottom"/>
          </w:tcPr>
          <w:p>
            <w:pPr>
              <w:ind w:left="200"/>
              <w:spacing w:after="0"/>
              <w:rPr>
                <w:sz w:val="20"/>
                <w:szCs w:val="20"/>
                <w:color w:val="auto"/>
              </w:rPr>
            </w:pPr>
            <w:r>
              <w:rPr>
                <w:rFonts w:ascii="Arial" w:cs="Arial" w:eastAsia="Arial" w:hAnsi="Arial"/>
                <w:sz w:val="16"/>
                <w:szCs w:val="16"/>
                <w:color w:val="auto"/>
              </w:rPr>
              <w:t>Other current assets,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189,821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179,531</w:t>
            </w:r>
          </w:p>
        </w:tc>
        <w:tc>
          <w:tcPr>
            <w:tcW w:w="0" w:type="dxa"/>
            <w:vAlign w:val="bottom"/>
          </w:tcPr>
          <w:p>
            <w:pPr>
              <w:spacing w:after="0"/>
              <w:rPr>
                <w:sz w:val="1"/>
                <w:szCs w:val="1"/>
                <w:color w:val="auto"/>
              </w:rPr>
            </w:pPr>
          </w:p>
        </w:tc>
      </w:tr>
      <w:tr>
        <w:trPr>
          <w:trHeight w:val="205"/>
        </w:trPr>
        <w:tc>
          <w:tcPr>
            <w:tcW w:w="82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2,908,086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2,836,214</w:t>
            </w:r>
          </w:p>
        </w:tc>
        <w:tc>
          <w:tcPr>
            <w:tcW w:w="0" w:type="dxa"/>
            <w:vAlign w:val="bottom"/>
          </w:tcPr>
          <w:p>
            <w:pPr>
              <w:spacing w:after="0"/>
              <w:rPr>
                <w:sz w:val="1"/>
                <w:szCs w:val="1"/>
                <w:color w:val="auto"/>
              </w:rPr>
            </w:pPr>
          </w:p>
        </w:tc>
      </w:tr>
      <w:tr>
        <w:trPr>
          <w:trHeight w:val="218"/>
        </w:trPr>
        <w:tc>
          <w:tcPr>
            <w:tcW w:w="820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2,390,313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2,528,738</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128,303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114,042</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511,597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506,953</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Regulatory authorizations,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478,762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478,598</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Other intangible assets,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18,433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29,507</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Other investments,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284,937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325,405</w:t>
            </w:r>
          </w:p>
        </w:tc>
        <w:tc>
          <w:tcPr>
            <w:tcW w:w="0" w:type="dxa"/>
            <w:vAlign w:val="bottom"/>
          </w:tcPr>
          <w:p>
            <w:pPr>
              <w:spacing w:after="0"/>
              <w:rPr>
                <w:sz w:val="1"/>
                <w:szCs w:val="1"/>
                <w:color w:val="auto"/>
              </w:rPr>
            </w:pPr>
          </w:p>
        </w:tc>
      </w:tr>
      <w:tr>
        <w:trPr>
          <w:trHeight w:val="219"/>
        </w:trPr>
        <w:tc>
          <w:tcPr>
            <w:tcW w:w="8200" w:type="dxa"/>
            <w:vAlign w:val="bottom"/>
          </w:tcPr>
          <w:p>
            <w:pPr>
              <w:ind w:left="200"/>
              <w:spacing w:after="0"/>
              <w:rPr>
                <w:sz w:val="20"/>
                <w:szCs w:val="20"/>
                <w:color w:val="auto"/>
              </w:rPr>
            </w:pPr>
            <w:r>
              <w:rPr>
                <w:rFonts w:ascii="Arial" w:cs="Arial" w:eastAsia="Arial" w:hAnsi="Arial"/>
                <w:sz w:val="16"/>
                <w:szCs w:val="16"/>
                <w:color w:val="auto"/>
              </w:rPr>
              <w:t>Other non-current assets,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352,921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334,841</w:t>
            </w:r>
          </w:p>
        </w:tc>
        <w:tc>
          <w:tcPr>
            <w:tcW w:w="0" w:type="dxa"/>
            <w:vAlign w:val="bottom"/>
          </w:tcPr>
          <w:p>
            <w:pPr>
              <w:spacing w:after="0"/>
              <w:rPr>
                <w:sz w:val="1"/>
                <w:szCs w:val="1"/>
                <w:color w:val="auto"/>
              </w:rPr>
            </w:pPr>
          </w:p>
        </w:tc>
      </w:tr>
      <w:tr>
        <w:trPr>
          <w:trHeight w:val="212"/>
        </w:trPr>
        <w:tc>
          <w:tcPr>
            <w:tcW w:w="8200" w:type="dxa"/>
            <w:vAlign w:val="bottom"/>
          </w:tcPr>
          <w:p>
            <w:pPr>
              <w:ind w:left="460"/>
              <w:spacing w:after="0"/>
              <w:rPr>
                <w:sz w:val="20"/>
                <w:szCs w:val="20"/>
                <w:color w:val="auto"/>
              </w:rPr>
            </w:pPr>
            <w:r>
              <w:rPr>
                <w:rFonts w:ascii="Arial" w:cs="Arial" w:eastAsia="Arial" w:hAnsi="Arial"/>
                <w:sz w:val="16"/>
                <w:szCs w:val="16"/>
                <w:color w:val="auto"/>
              </w:rPr>
              <w:t>Total non-current assets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4,165,266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4,318,084</w:t>
            </w:r>
          </w:p>
        </w:tc>
        <w:tc>
          <w:tcPr>
            <w:tcW w:w="0" w:type="dxa"/>
            <w:vAlign w:val="bottom"/>
          </w:tcPr>
          <w:p>
            <w:pPr>
              <w:spacing w:after="0"/>
              <w:rPr>
                <w:sz w:val="1"/>
                <w:szCs w:val="1"/>
                <w:color w:val="auto"/>
              </w:rPr>
            </w:pPr>
          </w:p>
        </w:tc>
      </w:tr>
      <w:tr>
        <w:trPr>
          <w:trHeight w:val="209"/>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assets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7,073,352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7,154,298</w:t>
            </w:r>
          </w:p>
        </w:tc>
        <w:tc>
          <w:tcPr>
            <w:tcW w:w="0" w:type="dxa"/>
            <w:vAlign w:val="bottom"/>
          </w:tcPr>
          <w:p>
            <w:pPr>
              <w:spacing w:after="0"/>
              <w:rPr>
                <w:sz w:val="1"/>
                <w:szCs w:val="1"/>
                <w:color w:val="auto"/>
              </w:rPr>
            </w:pPr>
          </w:p>
        </w:tc>
      </w:tr>
      <w:tr>
        <w:trPr>
          <w:trHeight w:val="21"/>
        </w:trPr>
        <w:tc>
          <w:tcPr>
            <w:tcW w:w="8200" w:type="dxa"/>
            <w:vAlign w:val="bottom"/>
            <w:vMerge w:val="restart"/>
          </w:tcPr>
          <w:p>
            <w:pPr>
              <w:ind w:left="268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20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Trade accounts payable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122,366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124,080</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Current portion of long-term debt,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898,237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Contract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104,569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101,060</w:t>
            </w:r>
          </w:p>
        </w:tc>
        <w:tc>
          <w:tcPr>
            <w:tcW w:w="0" w:type="dxa"/>
            <w:vAlign w:val="bottom"/>
          </w:tcPr>
          <w:p>
            <w:pPr>
              <w:spacing w:after="0"/>
              <w:rPr>
                <w:sz w:val="1"/>
                <w:szCs w:val="1"/>
                <w:color w:val="auto"/>
              </w:rPr>
            </w:pPr>
          </w:p>
        </w:tc>
      </w:tr>
      <w:tr>
        <w:trPr>
          <w:trHeight w:val="219"/>
        </w:trPr>
        <w:tc>
          <w:tcPr>
            <w:tcW w:w="820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299,999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270,879</w:t>
            </w:r>
          </w:p>
        </w:tc>
        <w:tc>
          <w:tcPr>
            <w:tcW w:w="0" w:type="dxa"/>
            <w:vAlign w:val="bottom"/>
          </w:tcPr>
          <w:p>
            <w:pPr>
              <w:spacing w:after="0"/>
              <w:rPr>
                <w:sz w:val="1"/>
                <w:szCs w:val="1"/>
                <w:color w:val="auto"/>
              </w:rPr>
            </w:pPr>
          </w:p>
        </w:tc>
      </w:tr>
      <w:tr>
        <w:trPr>
          <w:trHeight w:val="205"/>
        </w:trPr>
        <w:tc>
          <w:tcPr>
            <w:tcW w:w="82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1,425,171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496,019</w:t>
            </w:r>
          </w:p>
        </w:tc>
        <w:tc>
          <w:tcPr>
            <w:tcW w:w="0" w:type="dxa"/>
            <w:vAlign w:val="bottom"/>
          </w:tcPr>
          <w:p>
            <w:pPr>
              <w:spacing w:after="0"/>
              <w:rPr>
                <w:sz w:val="1"/>
                <w:szCs w:val="1"/>
                <w:color w:val="auto"/>
              </w:rPr>
            </w:pPr>
          </w:p>
        </w:tc>
      </w:tr>
      <w:tr>
        <w:trPr>
          <w:trHeight w:val="218"/>
        </w:trPr>
        <w:tc>
          <w:tcPr>
            <w:tcW w:w="820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Long-term debt,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1,495,256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2,389,168</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Deferred tax liabilities,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359,896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351,692</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114,886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96,941</w:t>
            </w:r>
          </w:p>
        </w:tc>
        <w:tc>
          <w:tcPr>
            <w:tcW w:w="0" w:type="dxa"/>
            <w:vAlign w:val="bottom"/>
          </w:tcPr>
          <w:p>
            <w:pPr>
              <w:spacing w:after="0"/>
              <w:rPr>
                <w:sz w:val="1"/>
                <w:szCs w:val="1"/>
                <w:color w:val="auto"/>
              </w:rPr>
            </w:pPr>
          </w:p>
        </w:tc>
      </w:tr>
      <w:tr>
        <w:trPr>
          <w:trHeight w:val="219"/>
        </w:trPr>
        <w:tc>
          <w:tcPr>
            <w:tcW w:w="8200" w:type="dxa"/>
            <w:vAlign w:val="bottom"/>
          </w:tcPr>
          <w:p>
            <w:pPr>
              <w:ind w:left="200"/>
              <w:spacing w:after="0"/>
              <w:rPr>
                <w:sz w:val="20"/>
                <w:szCs w:val="20"/>
                <w:color w:val="auto"/>
              </w:rPr>
            </w:pPr>
            <w:r>
              <w:rPr>
                <w:rFonts w:ascii="Arial" w:cs="Arial" w:eastAsia="Arial" w:hAnsi="Arial"/>
                <w:sz w:val="16"/>
                <w:szCs w:val="16"/>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70,893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74,925</w:t>
            </w:r>
          </w:p>
        </w:tc>
        <w:tc>
          <w:tcPr>
            <w:tcW w:w="0" w:type="dxa"/>
            <w:vAlign w:val="bottom"/>
          </w:tcPr>
          <w:p>
            <w:pPr>
              <w:spacing w:after="0"/>
              <w:rPr>
                <w:sz w:val="1"/>
                <w:szCs w:val="1"/>
                <w:color w:val="auto"/>
              </w:rPr>
            </w:pPr>
          </w:p>
        </w:tc>
      </w:tr>
      <w:tr>
        <w:trPr>
          <w:trHeight w:val="211"/>
        </w:trPr>
        <w:tc>
          <w:tcPr>
            <w:tcW w:w="8200" w:type="dxa"/>
            <w:vAlign w:val="bottom"/>
          </w:tcPr>
          <w:p>
            <w:pPr>
              <w:ind w:left="460"/>
              <w:spacing w:after="0"/>
              <w:rPr>
                <w:sz w:val="20"/>
                <w:szCs w:val="20"/>
                <w:color w:val="auto"/>
              </w:rPr>
            </w:pPr>
            <w:r>
              <w:rPr>
                <w:rFonts w:ascii="Arial" w:cs="Arial" w:eastAsia="Arial" w:hAnsi="Arial"/>
                <w:sz w:val="16"/>
                <w:szCs w:val="16"/>
                <w:color w:val="auto"/>
              </w:rPr>
              <w:t>Total non-current liabilities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2,040,931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2,912,726</w:t>
            </w:r>
          </w:p>
        </w:tc>
        <w:tc>
          <w:tcPr>
            <w:tcW w:w="0" w:type="dxa"/>
            <w:vAlign w:val="bottom"/>
          </w:tcPr>
          <w:p>
            <w:pPr>
              <w:spacing w:after="0"/>
              <w:rPr>
                <w:sz w:val="1"/>
                <w:szCs w:val="1"/>
                <w:color w:val="auto"/>
              </w:rPr>
            </w:pPr>
          </w:p>
        </w:tc>
      </w:tr>
      <w:tr>
        <w:trPr>
          <w:trHeight w:val="212"/>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3,466,102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3,408,745</w:t>
            </w: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40" w:top="682"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18"/>
        </w:trPr>
        <w:tc>
          <w:tcPr>
            <w:tcW w:w="820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8200" w:type="dxa"/>
            <w:vAlign w:val="bottom"/>
          </w:tcPr>
          <w:p>
            <w:pPr>
              <w:ind w:left="380"/>
              <w:spacing w:after="0" w:line="167" w:lineRule="exact"/>
              <w:rPr>
                <w:sz w:val="20"/>
                <w:szCs w:val="20"/>
                <w:color w:val="auto"/>
              </w:rPr>
            </w:pPr>
            <w:r>
              <w:rPr>
                <w:rFonts w:ascii="Arial" w:cs="Arial" w:eastAsia="Arial" w:hAnsi="Arial"/>
                <w:sz w:val="16"/>
                <w:szCs w:val="16"/>
                <w:color w:val="auto"/>
              </w:rPr>
              <w:t>Preferred stock, $0.001 par value, 20,000,000 shares authorized, none issued and outstanding at both</w:t>
            </w:r>
          </w:p>
        </w:tc>
        <w:tc>
          <w:tcPr>
            <w:tcW w:w="380" w:type="dxa"/>
            <w:vAlign w:val="bottom"/>
          </w:tcPr>
          <w:p>
            <w:pPr>
              <w:spacing w:after="0"/>
              <w:rPr>
                <w:sz w:val="14"/>
                <w:szCs w:val="14"/>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200" w:type="dxa"/>
            <w:vAlign w:val="bottom"/>
          </w:tcPr>
          <w:p>
            <w:pPr>
              <w:ind w:left="380"/>
              <w:spacing w:after="0"/>
              <w:rPr>
                <w:sz w:val="20"/>
                <w:szCs w:val="20"/>
                <w:color w:val="auto"/>
              </w:rPr>
            </w:pPr>
            <w:r>
              <w:rPr>
                <w:rFonts w:ascii="Arial" w:cs="Arial" w:eastAsia="Arial" w:hAnsi="Arial"/>
                <w:sz w:val="16"/>
                <w:szCs w:val="16"/>
                <w:color w:val="auto"/>
              </w:rPr>
              <w:t>December 31, 2020 and 2019</w:t>
            </w:r>
          </w:p>
        </w:tc>
        <w:tc>
          <w:tcPr>
            <w:tcW w:w="3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00" w:type="dxa"/>
            <w:vAlign w:val="bottom"/>
          </w:tcPr>
          <w:p>
            <w:pPr>
              <w:ind w:left="200"/>
              <w:spacing w:after="0"/>
              <w:rPr>
                <w:sz w:val="20"/>
                <w:szCs w:val="20"/>
                <w:color w:val="auto"/>
              </w:rPr>
            </w:pPr>
            <w:r>
              <w:rPr>
                <w:rFonts w:ascii="Arial" w:cs="Arial" w:eastAsia="Arial" w:hAnsi="Arial"/>
                <w:sz w:val="16"/>
                <w:szCs w:val="16"/>
                <w:b w:val="1"/>
                <w:bCs w:val="1"/>
                <w:color w:val="auto"/>
              </w:rPr>
              <w:t>Common stock, $0.001 par value, 4,000,000,000 shares authorized:</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8200" w:type="dxa"/>
            <w:vAlign w:val="bottom"/>
          </w:tcPr>
          <w:p>
            <w:pPr>
              <w:ind w:left="460"/>
              <w:spacing w:after="0" w:line="167" w:lineRule="exact"/>
              <w:rPr>
                <w:sz w:val="20"/>
                <w:szCs w:val="20"/>
                <w:color w:val="auto"/>
              </w:rPr>
            </w:pPr>
            <w:r>
              <w:rPr>
                <w:rFonts w:ascii="Arial" w:cs="Arial" w:eastAsia="Arial" w:hAnsi="Arial"/>
                <w:sz w:val="16"/>
                <w:szCs w:val="16"/>
                <w:color w:val="auto"/>
              </w:rPr>
              <w:t>Class A common stock, 0.001 par value, 1,600,000,000 shares authorized, 57,254,201 shares issued and</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0" w:type="dxa"/>
            <w:vAlign w:val="bottom"/>
          </w:tcPr>
          <w:p>
            <w:pPr>
              <w:ind w:left="460"/>
              <w:spacing w:after="0" w:line="162" w:lineRule="exact"/>
              <w:rPr>
                <w:sz w:val="20"/>
                <w:szCs w:val="20"/>
                <w:color w:val="auto"/>
              </w:rPr>
            </w:pPr>
            <w:r>
              <w:rPr>
                <w:rFonts w:ascii="Arial" w:cs="Arial" w:eastAsia="Arial" w:hAnsi="Arial"/>
                <w:sz w:val="16"/>
                <w:szCs w:val="16"/>
                <w:color w:val="auto"/>
              </w:rPr>
              <w:t>48,863,374 shares outstanding at December 31, 2020 and 56,592,251 shares issued and 50,107,330</w:t>
            </w:r>
          </w:p>
        </w:tc>
        <w:tc>
          <w:tcPr>
            <w:tcW w:w="3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1"/>
        </w:trPr>
        <w:tc>
          <w:tcPr>
            <w:tcW w:w="8200" w:type="dxa"/>
            <w:vAlign w:val="bottom"/>
          </w:tcPr>
          <w:p>
            <w:pPr>
              <w:ind w:left="460"/>
              <w:spacing w:after="0"/>
              <w:rPr>
                <w:sz w:val="20"/>
                <w:szCs w:val="20"/>
                <w:color w:val="auto"/>
              </w:rPr>
            </w:pPr>
            <w:r>
              <w:rPr>
                <w:rFonts w:ascii="Arial" w:cs="Arial" w:eastAsia="Arial" w:hAnsi="Arial"/>
                <w:sz w:val="16"/>
                <w:szCs w:val="16"/>
                <w:color w:val="auto"/>
              </w:rPr>
              <w:t>shares outstanding at December 31, 2019</w:t>
            </w:r>
          </w:p>
        </w:tc>
        <w:tc>
          <w:tcPr>
            <w:tcW w:w="3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8200" w:type="dxa"/>
            <w:vAlign w:val="bottom"/>
          </w:tcPr>
          <w:p>
            <w:pPr>
              <w:ind w:left="460"/>
              <w:spacing w:after="0" w:line="167" w:lineRule="exact"/>
              <w:rPr>
                <w:sz w:val="20"/>
                <w:szCs w:val="20"/>
                <w:color w:val="auto"/>
              </w:rPr>
            </w:pPr>
            <w:r>
              <w:rPr>
                <w:rFonts w:ascii="Arial" w:cs="Arial" w:eastAsia="Arial" w:hAnsi="Arial"/>
                <w:sz w:val="16"/>
                <w:szCs w:val="16"/>
                <w:color w:val="auto"/>
              </w:rPr>
              <w:t>Class B convertible common stock, $0.001 par value, 800,000,000 shares authorized, 47,687,039 shares</w:t>
            </w:r>
          </w:p>
        </w:tc>
        <w:tc>
          <w:tcPr>
            <w:tcW w:w="3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1"/>
        </w:trPr>
        <w:tc>
          <w:tcPr>
            <w:tcW w:w="8200" w:type="dxa"/>
            <w:vAlign w:val="bottom"/>
          </w:tcPr>
          <w:p>
            <w:pPr>
              <w:ind w:left="460"/>
              <w:spacing w:after="0"/>
              <w:rPr>
                <w:sz w:val="20"/>
                <w:szCs w:val="20"/>
                <w:color w:val="auto"/>
              </w:rPr>
            </w:pPr>
            <w:r>
              <w:rPr>
                <w:rFonts w:ascii="Arial" w:cs="Arial" w:eastAsia="Arial" w:hAnsi="Arial"/>
                <w:sz w:val="16"/>
                <w:szCs w:val="16"/>
                <w:color w:val="auto"/>
              </w:rPr>
              <w:t>issued and outstanding at both December 31, 2020 and 2019</w:t>
            </w:r>
          </w:p>
        </w:tc>
        <w:tc>
          <w:tcPr>
            <w:tcW w:w="3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8200" w:type="dxa"/>
            <w:vAlign w:val="bottom"/>
          </w:tcPr>
          <w:p>
            <w:pPr>
              <w:ind w:left="460"/>
              <w:spacing w:after="0" w:line="167" w:lineRule="exact"/>
              <w:rPr>
                <w:sz w:val="20"/>
                <w:szCs w:val="20"/>
                <w:color w:val="auto"/>
              </w:rPr>
            </w:pPr>
            <w:r>
              <w:rPr>
                <w:rFonts w:ascii="Arial" w:cs="Arial" w:eastAsia="Arial" w:hAnsi="Arial"/>
                <w:sz w:val="16"/>
                <w:szCs w:val="16"/>
                <w:color w:val="auto"/>
              </w:rPr>
              <w:t>Class C convertible common stock, $0.001 par value, 800,000,000 shares authorized, none issued and</w:t>
            </w:r>
          </w:p>
        </w:tc>
        <w:tc>
          <w:tcPr>
            <w:tcW w:w="380" w:type="dxa"/>
            <w:vAlign w:val="bottom"/>
          </w:tcPr>
          <w:p>
            <w:pPr>
              <w:spacing w:after="0"/>
              <w:rPr>
                <w:sz w:val="14"/>
                <w:szCs w:val="14"/>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200" w:type="dxa"/>
            <w:vAlign w:val="bottom"/>
          </w:tcPr>
          <w:p>
            <w:pPr>
              <w:ind w:left="460"/>
              <w:spacing w:after="0"/>
              <w:rPr>
                <w:sz w:val="20"/>
                <w:szCs w:val="20"/>
                <w:color w:val="auto"/>
              </w:rPr>
            </w:pPr>
            <w:r>
              <w:rPr>
                <w:rFonts w:ascii="Arial" w:cs="Arial" w:eastAsia="Arial" w:hAnsi="Arial"/>
                <w:sz w:val="16"/>
                <w:szCs w:val="16"/>
                <w:color w:val="auto"/>
              </w:rPr>
              <w:t>outstanding at both December 31, 2020 and 2019</w:t>
            </w:r>
          </w:p>
        </w:tc>
        <w:tc>
          <w:tcPr>
            <w:tcW w:w="3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8200" w:type="dxa"/>
            <w:vAlign w:val="bottom"/>
          </w:tcPr>
          <w:p>
            <w:pPr>
              <w:ind w:left="460"/>
              <w:spacing w:after="0" w:line="167" w:lineRule="exact"/>
              <w:rPr>
                <w:sz w:val="20"/>
                <w:szCs w:val="20"/>
                <w:color w:val="auto"/>
              </w:rPr>
            </w:pPr>
            <w:r>
              <w:rPr>
                <w:rFonts w:ascii="Arial" w:cs="Arial" w:eastAsia="Arial" w:hAnsi="Arial"/>
                <w:sz w:val="16"/>
                <w:szCs w:val="16"/>
                <w:color w:val="auto"/>
              </w:rPr>
              <w:t>Class D common stock, $0.001 par value, 800,000,000 shares authorized, none issued and outstanding at</w:t>
            </w:r>
          </w:p>
        </w:tc>
        <w:tc>
          <w:tcPr>
            <w:tcW w:w="380" w:type="dxa"/>
            <w:vAlign w:val="bottom"/>
          </w:tcPr>
          <w:p>
            <w:pPr>
              <w:spacing w:after="0"/>
              <w:rPr>
                <w:sz w:val="14"/>
                <w:szCs w:val="14"/>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200" w:type="dxa"/>
            <w:vAlign w:val="bottom"/>
          </w:tcPr>
          <w:p>
            <w:pPr>
              <w:ind w:left="460"/>
              <w:spacing w:after="0"/>
              <w:rPr>
                <w:sz w:val="20"/>
                <w:szCs w:val="20"/>
                <w:color w:val="auto"/>
              </w:rPr>
            </w:pPr>
            <w:r>
              <w:rPr>
                <w:rFonts w:ascii="Arial" w:cs="Arial" w:eastAsia="Arial" w:hAnsi="Arial"/>
                <w:sz w:val="16"/>
                <w:szCs w:val="16"/>
                <w:color w:val="auto"/>
              </w:rPr>
              <w:t>both December 31, 2020 and 2019</w:t>
            </w:r>
          </w:p>
        </w:tc>
        <w:tc>
          <w:tcPr>
            <w:tcW w:w="3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3,321,426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3,290,483</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(187,876)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(122,138)</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Accumulated earnings (losses)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583,591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632,809</w:t>
            </w:r>
          </w:p>
        </w:tc>
        <w:tc>
          <w:tcPr>
            <w:tcW w:w="0" w:type="dxa"/>
            <w:vAlign w:val="bottom"/>
          </w:tcPr>
          <w:p>
            <w:pPr>
              <w:spacing w:after="0"/>
              <w:rPr>
                <w:sz w:val="1"/>
                <w:szCs w:val="1"/>
                <w:color w:val="auto"/>
              </w:rPr>
            </w:pPr>
          </w:p>
        </w:tc>
      </w:tr>
      <w:tr>
        <w:trPr>
          <w:trHeight w:val="219"/>
        </w:trPr>
        <w:tc>
          <w:tcPr>
            <w:tcW w:w="8200" w:type="dxa"/>
            <w:vAlign w:val="bottom"/>
          </w:tcPr>
          <w:p>
            <w:pPr>
              <w:ind w:left="200"/>
              <w:spacing w:after="0"/>
              <w:rPr>
                <w:sz w:val="20"/>
                <w:szCs w:val="20"/>
                <w:color w:val="auto"/>
              </w:rPr>
            </w:pPr>
            <w:r>
              <w:rPr>
                <w:rFonts w:ascii="Arial" w:cs="Arial" w:eastAsia="Arial" w:hAnsi="Arial"/>
                <w:sz w:val="16"/>
                <w:szCs w:val="16"/>
                <w:color w:val="auto"/>
              </w:rPr>
              <w:t>Treasury stock, at cost</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(174,912)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(131,454)</w:t>
            </w:r>
          </w:p>
        </w:tc>
        <w:tc>
          <w:tcPr>
            <w:tcW w:w="0" w:type="dxa"/>
            <w:vAlign w:val="bottom"/>
          </w:tcPr>
          <w:p>
            <w:pPr>
              <w:spacing w:after="0"/>
              <w:rPr>
                <w:sz w:val="1"/>
                <w:szCs w:val="1"/>
                <w:color w:val="auto"/>
              </w:rPr>
            </w:pPr>
          </w:p>
        </w:tc>
      </w:tr>
      <w:tr>
        <w:trPr>
          <w:trHeight w:val="207"/>
        </w:trPr>
        <w:tc>
          <w:tcPr>
            <w:tcW w:w="8200" w:type="dxa"/>
            <w:vAlign w:val="bottom"/>
          </w:tcPr>
          <w:p>
            <w:pPr>
              <w:ind w:left="460"/>
              <w:spacing w:after="0"/>
              <w:rPr>
                <w:sz w:val="20"/>
                <w:szCs w:val="20"/>
                <w:color w:val="auto"/>
              </w:rPr>
            </w:pPr>
            <w:r>
              <w:rPr>
                <w:rFonts w:ascii="Arial" w:cs="Arial" w:eastAsia="Arial" w:hAnsi="Arial"/>
                <w:sz w:val="16"/>
                <w:szCs w:val="16"/>
                <w:color w:val="auto"/>
              </w:rPr>
              <w:t>Total EchoStar Corporation stockholders' equity</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3,542,334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3,669,805</w:t>
            </w:r>
          </w:p>
        </w:tc>
        <w:tc>
          <w:tcPr>
            <w:tcW w:w="0" w:type="dxa"/>
            <w:vAlign w:val="bottom"/>
          </w:tcPr>
          <w:p>
            <w:pPr>
              <w:spacing w:after="0"/>
              <w:rPr>
                <w:sz w:val="1"/>
                <w:szCs w:val="1"/>
                <w:color w:val="auto"/>
              </w:rPr>
            </w:pPr>
          </w:p>
        </w:tc>
      </w:tr>
      <w:tr>
        <w:trPr>
          <w:trHeight w:val="219"/>
        </w:trPr>
        <w:tc>
          <w:tcPr>
            <w:tcW w:w="820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64,916</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75,748</w:t>
            </w:r>
          </w:p>
        </w:tc>
        <w:tc>
          <w:tcPr>
            <w:tcW w:w="0" w:type="dxa"/>
            <w:vAlign w:val="bottom"/>
          </w:tcPr>
          <w:p>
            <w:pPr>
              <w:spacing w:after="0"/>
              <w:rPr>
                <w:sz w:val="1"/>
                <w:szCs w:val="1"/>
                <w:color w:val="auto"/>
              </w:rPr>
            </w:pPr>
          </w:p>
        </w:tc>
      </w:tr>
      <w:tr>
        <w:trPr>
          <w:trHeight w:val="212"/>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stockholders' equity</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3,607,250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3,745,553</w:t>
            </w:r>
          </w:p>
        </w:tc>
        <w:tc>
          <w:tcPr>
            <w:tcW w:w="0" w:type="dxa"/>
            <w:vAlign w:val="bottom"/>
          </w:tcPr>
          <w:p>
            <w:pPr>
              <w:spacing w:after="0"/>
              <w:rPr>
                <w:sz w:val="1"/>
                <w:szCs w:val="1"/>
                <w:color w:val="auto"/>
              </w:rPr>
            </w:pPr>
          </w:p>
        </w:tc>
      </w:tr>
      <w:tr>
        <w:trPr>
          <w:trHeight w:val="209"/>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 and stockholders' equity</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7,073,352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7,154,298</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40" w:top="727" w:right="339" w:bottom="1440" w:gutter="0" w:footer="0" w:header="0"/>
        </w:sectPr>
      </w:pPr>
    </w:p>
    <w:bookmarkStart w:id="155" w:name="page156"/>
    <w:bookmarkEnd w:id="155"/>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461"/>
        </w:trPr>
        <w:tc>
          <w:tcPr>
            <w:tcW w:w="680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Services and other 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1,682,304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1,619,271</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1,557,228</w:t>
            </w:r>
          </w:p>
        </w:tc>
        <w:tc>
          <w:tcPr>
            <w:tcW w:w="0" w:type="dxa"/>
            <w:vAlign w:val="bottom"/>
          </w:tcPr>
          <w:p>
            <w:pPr>
              <w:spacing w:after="0"/>
              <w:rPr>
                <w:sz w:val="1"/>
                <w:szCs w:val="1"/>
                <w:color w:val="auto"/>
              </w:rPr>
            </w:pPr>
          </w:p>
        </w:tc>
      </w:tr>
      <w:tr>
        <w:trPr>
          <w:trHeight w:val="219"/>
        </w:trPr>
        <w:tc>
          <w:tcPr>
            <w:tcW w:w="6800" w:type="dxa"/>
            <w:vAlign w:val="bottom"/>
          </w:tcPr>
          <w:p>
            <w:pPr>
              <w:ind w:left="200"/>
              <w:spacing w:after="0"/>
              <w:rPr>
                <w:sz w:val="20"/>
                <w:szCs w:val="20"/>
                <w:color w:val="auto"/>
              </w:rPr>
            </w:pPr>
            <w:r>
              <w:rPr>
                <w:rFonts w:ascii="Arial" w:cs="Arial" w:eastAsia="Arial" w:hAnsi="Arial"/>
                <w:sz w:val="16"/>
                <w:szCs w:val="16"/>
                <w:color w:val="auto"/>
              </w:rPr>
              <w:t>Equipment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205,603</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266,810</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205,410</w:t>
            </w:r>
          </w:p>
        </w:tc>
        <w:tc>
          <w:tcPr>
            <w:tcW w:w="0" w:type="dxa"/>
            <w:vAlign w:val="bottom"/>
          </w:tcPr>
          <w:p>
            <w:pPr>
              <w:spacing w:after="0"/>
              <w:rPr>
                <w:sz w:val="1"/>
                <w:szCs w:val="1"/>
                <w:color w:val="auto"/>
              </w:rPr>
            </w:pPr>
          </w:p>
        </w:tc>
      </w:tr>
      <w:tr>
        <w:trPr>
          <w:trHeight w:val="212"/>
        </w:trPr>
        <w:tc>
          <w:tcPr>
            <w:tcW w:w="6800" w:type="dxa"/>
            <w:vAlign w:val="bottom"/>
          </w:tcPr>
          <w:p>
            <w:pPr>
              <w:ind w:left="44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1,887,907</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1,886,081</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1,762,638</w:t>
            </w:r>
          </w:p>
        </w:tc>
        <w:tc>
          <w:tcPr>
            <w:tcW w:w="0" w:type="dxa"/>
            <w:vAlign w:val="bottom"/>
          </w:tcPr>
          <w:p>
            <w:pPr>
              <w:spacing w:after="0"/>
              <w:rPr>
                <w:sz w:val="1"/>
                <w:szCs w:val="1"/>
                <w:color w:val="auto"/>
              </w:rPr>
            </w:pPr>
          </w:p>
        </w:tc>
      </w:tr>
      <w:tr>
        <w:trPr>
          <w:trHeight w:val="205"/>
        </w:trPr>
        <w:tc>
          <w:tcPr>
            <w:tcW w:w="680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Cost of sales - services and other (exclusive of depreciation and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577,943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561,353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563,907</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Cost of sales - equipment (exclusive of depreciation and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166,435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226,002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176,600</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474,912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509,145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436,088</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Research and development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29,448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25,739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27,570</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525,011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490,765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457,116</w:t>
            </w:r>
          </w:p>
        </w:tc>
        <w:tc>
          <w:tcPr>
            <w:tcW w:w="0" w:type="dxa"/>
            <w:vAlign w:val="bottom"/>
          </w:tcPr>
          <w:p>
            <w:pPr>
              <w:spacing w:after="0"/>
              <w:rPr>
                <w:sz w:val="1"/>
                <w:szCs w:val="1"/>
                <w:color w:val="auto"/>
              </w:rPr>
            </w:pPr>
          </w:p>
        </w:tc>
      </w:tr>
      <w:tr>
        <w:trPr>
          <w:trHeight w:val="219"/>
        </w:trPr>
        <w:tc>
          <w:tcPr>
            <w:tcW w:w="6800" w:type="dxa"/>
            <w:vAlign w:val="bottom"/>
          </w:tcPr>
          <w:p>
            <w:pPr>
              <w:ind w:left="200"/>
              <w:spacing w:after="0"/>
              <w:rPr>
                <w:sz w:val="20"/>
                <w:szCs w:val="20"/>
                <w:color w:val="auto"/>
              </w:rPr>
            </w:pPr>
            <w:r>
              <w:rPr>
                <w:rFonts w:ascii="Arial" w:cs="Arial" w:eastAsia="Arial" w:hAnsi="Arial"/>
                <w:sz w:val="16"/>
                <w:szCs w:val="16"/>
                <w:color w:val="auto"/>
              </w:rPr>
              <w:t>Impairment of long-lived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65,220</w:t>
            </w:r>
          </w:p>
        </w:tc>
        <w:tc>
          <w:tcPr>
            <w:tcW w:w="0" w:type="dxa"/>
            <w:vAlign w:val="bottom"/>
          </w:tcPr>
          <w:p>
            <w:pPr>
              <w:spacing w:after="0"/>
              <w:rPr>
                <w:sz w:val="1"/>
                <w:szCs w:val="1"/>
                <w:color w:val="auto"/>
              </w:rPr>
            </w:pPr>
          </w:p>
        </w:tc>
      </w:tr>
      <w:tr>
        <w:trPr>
          <w:trHeight w:val="212"/>
        </w:trPr>
        <w:tc>
          <w:tcPr>
            <w:tcW w:w="6800" w:type="dxa"/>
            <w:vAlign w:val="bottom"/>
          </w:tcPr>
          <w:p>
            <w:pPr>
              <w:ind w:left="440"/>
              <w:spacing w:after="0"/>
              <w:rPr>
                <w:sz w:val="20"/>
                <w:szCs w:val="20"/>
                <w:color w:val="auto"/>
              </w:rPr>
            </w:pPr>
            <w:r>
              <w:rPr>
                <w:rFonts w:ascii="Arial" w:cs="Arial" w:eastAsia="Arial" w:hAnsi="Arial"/>
                <w:sz w:val="16"/>
                <w:szCs w:val="16"/>
                <w:color w:val="auto"/>
              </w:rPr>
              <w:t>Total costs and expenses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1,775,434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1,813,004</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1,726,501</w:t>
            </w: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6"/>
                <w:szCs w:val="16"/>
                <w:color w:val="auto"/>
              </w:rPr>
              <w:t>Operating income (loss)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112,473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73,077</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36,137</w:t>
            </w:r>
          </w:p>
        </w:tc>
        <w:tc>
          <w:tcPr>
            <w:tcW w:w="0" w:type="dxa"/>
            <w:vAlign w:val="bottom"/>
          </w:tcPr>
          <w:p>
            <w:pPr>
              <w:spacing w:after="0"/>
              <w:rPr>
                <w:sz w:val="1"/>
                <w:szCs w:val="1"/>
                <w:color w:val="auto"/>
              </w:rPr>
            </w:pPr>
          </w:p>
        </w:tc>
      </w:tr>
      <w:tr>
        <w:trPr>
          <w:trHeight w:val="205"/>
        </w:trPr>
        <w:tc>
          <w:tcPr>
            <w:tcW w:w="680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Interest income,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39,982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82,352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80,275</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Interest expense, net of amounts capitalized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(147,927)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(251,016)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(219,288)</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Gains (losses) on investments,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(31,306)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28,912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(12,622)</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Equity in earnings (losses) of unconsolidated affiliates,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(14,734)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(5,954)</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6"/>
                <w:szCs w:val="16"/>
                <w:color w:val="auto"/>
              </w:rPr>
              <w:t>Foreign currency transaction gains (losses),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(11,590)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(15,583)</w:t>
            </w:r>
          </w:p>
        </w:tc>
        <w:tc>
          <w:tcPr>
            <w:tcW w:w="0" w:type="dxa"/>
            <w:vAlign w:val="bottom"/>
          </w:tcPr>
          <w:p>
            <w:pPr>
              <w:spacing w:after="0"/>
              <w:rPr>
                <w:sz w:val="1"/>
                <w:szCs w:val="1"/>
                <w:color w:val="auto"/>
              </w:rPr>
            </w:pPr>
          </w:p>
        </w:tc>
      </w:tr>
      <w:tr>
        <w:trPr>
          <w:trHeight w:val="219"/>
        </w:trPr>
        <w:tc>
          <w:tcPr>
            <w:tcW w:w="680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11,249</w:t>
            </w:r>
          </w:p>
        </w:tc>
        <w:tc>
          <w:tcPr>
            <w:tcW w:w="0" w:type="dxa"/>
            <w:vAlign w:val="bottom"/>
          </w:tcPr>
          <w:p>
            <w:pPr>
              <w:spacing w:after="0"/>
              <w:rPr>
                <w:sz w:val="1"/>
                <w:szCs w:val="1"/>
                <w:color w:val="auto"/>
              </w:rPr>
            </w:pPr>
          </w:p>
        </w:tc>
      </w:tr>
      <w:tr>
        <w:trPr>
          <w:trHeight w:val="212"/>
        </w:trPr>
        <w:tc>
          <w:tcPr>
            <w:tcW w:w="6800" w:type="dxa"/>
            <w:vAlign w:val="bottom"/>
          </w:tcPr>
          <w:p>
            <w:pPr>
              <w:ind w:left="440"/>
              <w:spacing w:after="0"/>
              <w:rPr>
                <w:sz w:val="20"/>
                <w:szCs w:val="20"/>
                <w:color w:val="auto"/>
              </w:rPr>
            </w:pPr>
            <w:r>
              <w:rPr>
                <w:rFonts w:ascii="Arial" w:cs="Arial" w:eastAsia="Arial" w:hAnsi="Arial"/>
                <w:sz w:val="16"/>
                <w:szCs w:val="16"/>
                <w:color w:val="auto"/>
              </w:rPr>
              <w:t>Total other income (expense), net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(140,308)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(166,242)</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(161,923)</w:t>
            </w:r>
          </w:p>
        </w:tc>
        <w:tc>
          <w:tcPr>
            <w:tcW w:w="0" w:type="dxa"/>
            <w:vAlign w:val="bottom"/>
          </w:tcPr>
          <w:p>
            <w:pPr>
              <w:spacing w:after="0"/>
              <w:rPr>
                <w:sz w:val="1"/>
                <w:szCs w:val="1"/>
                <w:color w:val="auto"/>
              </w:rPr>
            </w:pPr>
          </w:p>
        </w:tc>
      </w:tr>
      <w:tr>
        <w:trPr>
          <w:trHeight w:val="205"/>
        </w:trPr>
        <w:tc>
          <w:tcPr>
            <w:tcW w:w="6800" w:type="dxa"/>
            <w:vAlign w:val="bottom"/>
          </w:tcPr>
          <w:p>
            <w:pPr>
              <w:spacing w:after="0"/>
              <w:rPr>
                <w:sz w:val="20"/>
                <w:szCs w:val="20"/>
                <w:color w:val="auto"/>
              </w:rPr>
            </w:pPr>
            <w:r>
              <w:rPr>
                <w:rFonts w:ascii="Arial" w:cs="Arial" w:eastAsia="Arial" w:hAnsi="Arial"/>
                <w:sz w:val="16"/>
                <w:szCs w:val="16"/>
                <w:color w:val="auto"/>
              </w:rPr>
              <w:t>Income (loss) from continuing operations before income taxes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(27,835)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(93,165)</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(125,786)</w:t>
            </w:r>
          </w:p>
        </w:tc>
        <w:tc>
          <w:tcPr>
            <w:tcW w:w="0" w:type="dxa"/>
            <w:vAlign w:val="bottom"/>
          </w:tcPr>
          <w:p>
            <w:pPr>
              <w:spacing w:after="0"/>
              <w:rPr>
                <w:sz w:val="1"/>
                <w:szCs w:val="1"/>
                <w:color w:val="auto"/>
              </w:rPr>
            </w:pPr>
          </w:p>
        </w:tc>
      </w:tr>
      <w:tr>
        <w:trPr>
          <w:trHeight w:val="219"/>
        </w:trPr>
        <w:tc>
          <w:tcPr>
            <w:tcW w:w="6800" w:type="dxa"/>
            <w:vAlign w:val="bottom"/>
          </w:tcPr>
          <w:p>
            <w:pPr>
              <w:ind w:left="200"/>
              <w:spacing w:after="0"/>
              <w:rPr>
                <w:sz w:val="20"/>
                <w:szCs w:val="20"/>
                <w:color w:val="auto"/>
              </w:rPr>
            </w:pPr>
            <w:r>
              <w:rPr>
                <w:rFonts w:ascii="Arial" w:cs="Arial" w:eastAsia="Arial" w:hAnsi="Arial"/>
                <w:sz w:val="16"/>
                <w:szCs w:val="16"/>
                <w:color w:val="auto"/>
              </w:rPr>
              <w:t>Income tax benefit (provision),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(24,069)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(20,488)</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(6,576)</w:t>
            </w:r>
          </w:p>
        </w:tc>
        <w:tc>
          <w:tcPr>
            <w:tcW w:w="0" w:type="dxa"/>
            <w:vAlign w:val="bottom"/>
          </w:tcPr>
          <w:p>
            <w:pPr>
              <w:spacing w:after="0"/>
              <w:rPr>
                <w:sz w:val="1"/>
                <w:szCs w:val="1"/>
                <w:color w:val="auto"/>
              </w:rPr>
            </w:pPr>
          </w:p>
        </w:tc>
      </w:tr>
      <w:tr>
        <w:trPr>
          <w:trHeight w:val="207"/>
        </w:trPr>
        <w:tc>
          <w:tcPr>
            <w:tcW w:w="6800" w:type="dxa"/>
            <w:vAlign w:val="bottom"/>
          </w:tcPr>
          <w:p>
            <w:pPr>
              <w:spacing w:after="0"/>
              <w:rPr>
                <w:sz w:val="20"/>
                <w:szCs w:val="20"/>
                <w:color w:val="auto"/>
              </w:rPr>
            </w:pPr>
            <w:r>
              <w:rPr>
                <w:rFonts w:ascii="Arial" w:cs="Arial" w:eastAsia="Arial" w:hAnsi="Arial"/>
                <w:sz w:val="16"/>
                <w:szCs w:val="16"/>
                <w:color w:val="auto"/>
              </w:rPr>
              <w:t>Net income (loss) from continuing operations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(51,904)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(113,653)</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(132,362)</w:t>
            </w:r>
          </w:p>
        </w:tc>
        <w:tc>
          <w:tcPr>
            <w:tcW w:w="0" w:type="dxa"/>
            <w:vAlign w:val="bottom"/>
          </w:tcPr>
          <w:p>
            <w:pPr>
              <w:spacing w:after="0"/>
              <w:rPr>
                <w:sz w:val="1"/>
                <w:szCs w:val="1"/>
                <w:color w:val="auto"/>
              </w:rPr>
            </w:pPr>
          </w:p>
        </w:tc>
      </w:tr>
      <w:tr>
        <w:trPr>
          <w:trHeight w:val="219"/>
        </w:trPr>
        <w:tc>
          <w:tcPr>
            <w:tcW w:w="6800" w:type="dxa"/>
            <w:vAlign w:val="bottom"/>
          </w:tcPr>
          <w:p>
            <w:pPr>
              <w:ind w:left="200"/>
              <w:spacing w:after="0"/>
              <w:rPr>
                <w:sz w:val="20"/>
                <w:szCs w:val="20"/>
                <w:color w:val="auto"/>
              </w:rPr>
            </w:pPr>
            <w:r>
              <w:rPr>
                <w:rFonts w:ascii="Arial" w:cs="Arial" w:eastAsia="Arial" w:hAnsi="Arial"/>
                <w:sz w:val="16"/>
                <w:szCs w:val="16"/>
                <w:color w:val="auto"/>
              </w:rPr>
              <w:t>Net income (loss) from discontinued operations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39,401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93,729</w:t>
            </w:r>
          </w:p>
        </w:tc>
        <w:tc>
          <w:tcPr>
            <w:tcW w:w="0" w:type="dxa"/>
            <w:vAlign w:val="bottom"/>
          </w:tcPr>
          <w:p>
            <w:pPr>
              <w:spacing w:after="0"/>
              <w:rPr>
                <w:sz w:val="1"/>
                <w:szCs w:val="1"/>
                <w:color w:val="auto"/>
              </w:rPr>
            </w:pPr>
          </w:p>
        </w:tc>
      </w:tr>
      <w:tr>
        <w:trPr>
          <w:trHeight w:val="207"/>
        </w:trPr>
        <w:tc>
          <w:tcPr>
            <w:tcW w:w="6800" w:type="dxa"/>
            <w:vAlign w:val="bottom"/>
          </w:tcPr>
          <w:p>
            <w:pPr>
              <w:spacing w:after="0"/>
              <w:rPr>
                <w:sz w:val="20"/>
                <w:szCs w:val="20"/>
                <w:color w:val="auto"/>
              </w:rPr>
            </w:pPr>
            <w:r>
              <w:rPr>
                <w:rFonts w:ascii="Arial" w:cs="Arial" w:eastAsia="Arial" w:hAnsi="Arial"/>
                <w:sz w:val="16"/>
                <w:szCs w:val="16"/>
                <w:color w:val="auto"/>
              </w:rPr>
              <w:t>Net income (loss)</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(51,904)</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(74,252)</w:t>
            </w: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(38,633)</w:t>
            </w:r>
          </w:p>
        </w:tc>
        <w:tc>
          <w:tcPr>
            <w:tcW w:w="0" w:type="dxa"/>
            <w:vAlign w:val="bottom"/>
          </w:tcPr>
          <w:p>
            <w:pPr>
              <w:spacing w:after="0"/>
              <w:rPr>
                <w:sz w:val="1"/>
                <w:szCs w:val="1"/>
                <w:color w:val="auto"/>
              </w:rPr>
            </w:pPr>
          </w:p>
        </w:tc>
      </w:tr>
      <w:tr>
        <w:trPr>
          <w:trHeight w:val="219"/>
        </w:trPr>
        <w:tc>
          <w:tcPr>
            <w:tcW w:w="6800" w:type="dxa"/>
            <w:vAlign w:val="bottom"/>
          </w:tcPr>
          <w:p>
            <w:pPr>
              <w:ind w:left="200"/>
              <w:spacing w:after="0"/>
              <w:rPr>
                <w:sz w:val="20"/>
                <w:szCs w:val="20"/>
                <w:color w:val="auto"/>
              </w:rPr>
            </w:pPr>
            <w:r>
              <w:rPr>
                <w:rFonts w:ascii="Arial" w:cs="Arial" w:eastAsia="Arial" w:hAnsi="Arial"/>
                <w:sz w:val="16"/>
                <w:szCs w:val="16"/>
                <w:color w:val="auto"/>
              </w:rPr>
              <w:t>Less: Net loss (income) attributable to non-controlling interests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11,335</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w:t>
            </w:r>
          </w:p>
        </w:tc>
        <w:tc>
          <w:tcPr>
            <w:tcW w:w="0" w:type="dxa"/>
            <w:vAlign w:val="bottom"/>
          </w:tcPr>
          <w:p>
            <w:pPr>
              <w:spacing w:after="0"/>
              <w:rPr>
                <w:sz w:val="1"/>
                <w:szCs w:val="1"/>
                <w:color w:val="auto"/>
              </w:rPr>
            </w:pPr>
          </w:p>
        </w:tc>
      </w:tr>
      <w:tr>
        <w:trPr>
          <w:trHeight w:val="212"/>
        </w:trPr>
        <w:tc>
          <w:tcPr>
            <w:tcW w:w="6800" w:type="dxa"/>
            <w:vAlign w:val="bottom"/>
          </w:tcPr>
          <w:p>
            <w:pPr>
              <w:spacing w:after="0"/>
              <w:rPr>
                <w:sz w:val="20"/>
                <w:szCs w:val="20"/>
                <w:color w:val="auto"/>
              </w:rPr>
            </w:pPr>
            <w:r>
              <w:rPr>
                <w:rFonts w:ascii="Arial" w:cs="Arial" w:eastAsia="Arial" w:hAnsi="Arial"/>
                <w:sz w:val="16"/>
                <w:szCs w:val="16"/>
                <w:color w:val="auto"/>
              </w:rPr>
              <w:t>Net income (loss) attributable to EchoStar Corporation common stock</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(40,150)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(62,917)</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(40,475)</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6"/>
                <w:szCs w:val="16"/>
                <w:b w:val="1"/>
                <w:bCs w:val="1"/>
                <w:color w:val="auto"/>
              </w:rPr>
              <w:t>Earnings (losses) per share - Class A and B common stock:</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6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800" w:type="dxa"/>
            <w:vAlign w:val="bottom"/>
          </w:tcPr>
          <w:p>
            <w:pPr>
              <w:ind w:left="200"/>
              <w:spacing w:after="0"/>
              <w:rPr>
                <w:sz w:val="20"/>
                <w:szCs w:val="20"/>
                <w:color w:val="auto"/>
              </w:rPr>
            </w:pPr>
            <w:r>
              <w:rPr>
                <w:rFonts w:ascii="Arial" w:cs="Arial" w:eastAsia="Arial" w:hAnsi="Arial"/>
                <w:sz w:val="16"/>
                <w:szCs w:val="16"/>
                <w:color w:val="auto"/>
              </w:rPr>
              <w:t>Basic and diluted earnings (losses) from continuing operations per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3"/>
        </w:trPr>
        <w:tc>
          <w:tcPr>
            <w:tcW w:w="6800" w:type="dxa"/>
            <w:vAlign w:val="bottom"/>
            <w:vMerge w:val="restart"/>
          </w:tcPr>
          <w:p>
            <w:pPr>
              <w:ind w:left="200"/>
              <w:spacing w:after="0"/>
              <w:rPr>
                <w:sz w:val="20"/>
                <w:szCs w:val="20"/>
                <w:color w:val="auto"/>
              </w:rPr>
            </w:pPr>
            <w:r>
              <w:rPr>
                <w:rFonts w:ascii="Arial" w:cs="Arial" w:eastAsia="Arial" w:hAnsi="Arial"/>
                <w:sz w:val="16"/>
                <w:szCs w:val="16"/>
                <w:color w:val="auto"/>
              </w:rPr>
              <w:t>Total basic and diluted earnings (losses) per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60" w:top="682" w:right="359" w:bottom="1440" w:gutter="0" w:footer="0" w:header="0"/>
        </w:sectPr>
      </w:pPr>
    </w:p>
    <w:bookmarkStart w:id="156" w:name="page157"/>
    <w:bookmarkEnd w:id="156"/>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3"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6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403"/>
        </w:trPr>
        <w:tc>
          <w:tcPr>
            <w:tcW w:w="68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680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(51,904)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(74,252)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(38,633)</w:t>
            </w:r>
          </w:p>
        </w:tc>
      </w:tr>
      <w:tr>
        <w:trPr>
          <w:trHeight w:val="187"/>
        </w:trPr>
        <w:tc>
          <w:tcPr>
            <w:tcW w:w="6800" w:type="dxa"/>
            <w:vAlign w:val="bottom"/>
          </w:tcPr>
          <w:p>
            <w:pPr>
              <w:ind w:left="200"/>
              <w:spacing w:after="0" w:line="187" w:lineRule="exact"/>
              <w:rPr>
                <w:sz w:val="20"/>
                <w:szCs w:val="20"/>
                <w:color w:val="auto"/>
              </w:rPr>
            </w:pPr>
            <w:r>
              <w:rPr>
                <w:rFonts w:ascii="Arial" w:cs="Arial" w:eastAsia="Arial" w:hAnsi="Arial"/>
                <w:sz w:val="18"/>
                <w:szCs w:val="18"/>
                <w:b w:val="1"/>
                <w:bCs w:val="1"/>
                <w:color w:val="auto"/>
              </w:rPr>
              <w:t>Adjustments to reconcile net income (loss) to net cash flows from</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0"/>
        </w:trPr>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8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525,011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588,200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598,178</w:t>
            </w:r>
          </w:p>
        </w:tc>
      </w:tr>
      <w:tr>
        <w:trPr>
          <w:trHeight w:val="229"/>
        </w:trPr>
        <w:tc>
          <w:tcPr>
            <w:tcW w:w="6800" w:type="dxa"/>
            <w:vAlign w:val="bottom"/>
          </w:tcPr>
          <w:p>
            <w:pPr>
              <w:ind w:left="440"/>
              <w:spacing w:after="0"/>
              <w:rPr>
                <w:sz w:val="20"/>
                <w:szCs w:val="20"/>
                <w:color w:val="auto"/>
              </w:rPr>
            </w:pPr>
            <w:r>
              <w:rPr>
                <w:rFonts w:ascii="Arial" w:cs="Arial" w:eastAsia="Arial" w:hAnsi="Arial"/>
                <w:sz w:val="18"/>
                <w:szCs w:val="18"/>
                <w:color w:val="auto"/>
              </w:rPr>
              <w:t>Impairment of long-lived assets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65,220</w:t>
            </w:r>
          </w:p>
        </w:tc>
      </w:tr>
      <w:tr>
        <w:trPr>
          <w:trHeight w:val="230"/>
        </w:trPr>
        <w:tc>
          <w:tcPr>
            <w:tcW w:w="6800" w:type="dxa"/>
            <w:vAlign w:val="bottom"/>
          </w:tcPr>
          <w:p>
            <w:pPr>
              <w:ind w:left="440"/>
              <w:spacing w:after="0"/>
              <w:rPr>
                <w:sz w:val="20"/>
                <w:szCs w:val="20"/>
                <w:color w:val="auto"/>
              </w:rPr>
            </w:pPr>
            <w:r>
              <w:rPr>
                <w:rFonts w:ascii="Arial" w:cs="Arial" w:eastAsia="Arial" w:hAnsi="Arial"/>
                <w:sz w:val="18"/>
                <w:szCs w:val="18"/>
                <w:color w:val="auto"/>
              </w:rPr>
              <w:t>Losses (gains) on investments,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12,109</w:t>
            </w:r>
          </w:p>
        </w:tc>
      </w:tr>
      <w:tr>
        <w:trPr>
          <w:trHeight w:val="229"/>
        </w:trPr>
        <w:tc>
          <w:tcPr>
            <w:tcW w:w="6800" w:type="dxa"/>
            <w:vAlign w:val="bottom"/>
          </w:tcPr>
          <w:p>
            <w:pPr>
              <w:ind w:left="440"/>
              <w:spacing w:after="0"/>
              <w:rPr>
                <w:sz w:val="20"/>
                <w:szCs w:val="20"/>
                <w:color w:val="auto"/>
              </w:rPr>
            </w:pPr>
            <w:r>
              <w:rPr>
                <w:rFonts w:ascii="Arial" w:cs="Arial" w:eastAsia="Arial" w:hAnsi="Arial"/>
                <w:sz w:val="18"/>
                <w:szCs w:val="18"/>
                <w:color w:val="auto"/>
              </w:rPr>
              <w:t>Equity in losses (earnings) of unconsolidated affiliates,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6,037</w:t>
            </w:r>
          </w:p>
        </w:tc>
      </w:tr>
      <w:tr>
        <w:trPr>
          <w:trHeight w:val="230"/>
        </w:trPr>
        <w:tc>
          <w:tcPr>
            <w:tcW w:w="6800" w:type="dxa"/>
            <w:vAlign w:val="bottom"/>
          </w:tcPr>
          <w:p>
            <w:pPr>
              <w:ind w:left="440"/>
              <w:spacing w:after="0"/>
              <w:rPr>
                <w:sz w:val="20"/>
                <w:szCs w:val="20"/>
                <w:color w:val="auto"/>
              </w:rPr>
            </w:pPr>
            <w:r>
              <w:rPr>
                <w:rFonts w:ascii="Arial" w:cs="Arial" w:eastAsia="Arial" w:hAnsi="Arial"/>
                <w:sz w:val="18"/>
                <w:szCs w:val="18"/>
                <w:color w:val="auto"/>
              </w:rPr>
              <w:t>Foreign currency transaction losses (gains),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15,583</w:t>
            </w:r>
          </w:p>
        </w:tc>
      </w:tr>
      <w:tr>
        <w:trPr>
          <w:trHeight w:val="229"/>
        </w:trPr>
        <w:tc>
          <w:tcPr>
            <w:tcW w:w="6800" w:type="dxa"/>
            <w:vAlign w:val="bottom"/>
          </w:tcPr>
          <w:p>
            <w:pPr>
              <w:ind w:left="440"/>
              <w:spacing w:after="0"/>
              <w:rPr>
                <w:sz w:val="20"/>
                <w:szCs w:val="20"/>
                <w:color w:val="auto"/>
              </w:rPr>
            </w:pPr>
            <w:r>
              <w:rPr>
                <w:rFonts w:ascii="Arial" w:cs="Arial" w:eastAsia="Arial" w:hAnsi="Arial"/>
                <w:sz w:val="18"/>
                <w:szCs w:val="18"/>
                <w:color w:val="auto"/>
              </w:rPr>
              <w:t>Deferred tax provision (benefit),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26,327</w:t>
            </w:r>
          </w:p>
        </w:tc>
      </w:tr>
      <w:tr>
        <w:trPr>
          <w:trHeight w:val="229"/>
        </w:trPr>
        <w:tc>
          <w:tcPr>
            <w:tcW w:w="68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9,990</w:t>
            </w:r>
          </w:p>
        </w:tc>
      </w:tr>
      <w:tr>
        <w:trPr>
          <w:trHeight w:val="230"/>
        </w:trPr>
        <w:tc>
          <w:tcPr>
            <w:tcW w:w="6800" w:type="dxa"/>
            <w:vAlign w:val="bottom"/>
          </w:tcPr>
          <w:p>
            <w:pPr>
              <w:ind w:left="44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7,923</w:t>
            </w:r>
          </w:p>
        </w:tc>
      </w:tr>
      <w:tr>
        <w:trPr>
          <w:trHeight w:val="229"/>
        </w:trPr>
        <w:tc>
          <w:tcPr>
            <w:tcW w:w="6800" w:type="dxa"/>
            <w:vAlign w:val="bottom"/>
          </w:tcPr>
          <w:p>
            <w:pPr>
              <w:ind w:left="440"/>
              <w:spacing w:after="0"/>
              <w:rPr>
                <w:sz w:val="20"/>
                <w:szCs w:val="20"/>
                <w:color w:val="auto"/>
              </w:rPr>
            </w:pPr>
            <w:r>
              <w:rPr>
                <w:rFonts w:ascii="Arial" w:cs="Arial" w:eastAsia="Arial" w:hAnsi="Arial"/>
                <w:sz w:val="18"/>
                <w:szCs w:val="18"/>
                <w:color w:val="auto"/>
              </w:rPr>
              <w:t>Dividends received from unconsolidated affiliates</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680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(3,489)</w:t>
            </w:r>
          </w:p>
        </w:tc>
      </w:tr>
      <w:tr>
        <w:trPr>
          <w:trHeight w:val="230"/>
        </w:trPr>
        <w:tc>
          <w:tcPr>
            <w:tcW w:w="6800" w:type="dxa"/>
            <w:vAlign w:val="bottom"/>
          </w:tcPr>
          <w:p>
            <w:pPr>
              <w:ind w:left="440"/>
              <w:spacing w:after="0"/>
              <w:rPr>
                <w:sz w:val="20"/>
                <w:szCs w:val="20"/>
                <w:color w:val="auto"/>
              </w:rPr>
            </w:pPr>
            <w:r>
              <w:rPr>
                <w:rFonts w:ascii="Arial" w:cs="Arial" w:eastAsia="Arial" w:hAnsi="Arial"/>
                <w:sz w:val="18"/>
                <w:szCs w:val="18"/>
                <w:color w:val="auto"/>
              </w:rPr>
              <w:t>Changes in assets and current liabilities,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800" w:type="dxa"/>
            <w:vAlign w:val="bottom"/>
          </w:tcPr>
          <w:p>
            <w:pPr>
              <w:ind w:left="640"/>
              <w:spacing w:after="0"/>
              <w:rPr>
                <w:sz w:val="20"/>
                <w:szCs w:val="20"/>
                <w:color w:val="auto"/>
              </w:rPr>
            </w:pPr>
            <w:r>
              <w:rPr>
                <w:rFonts w:ascii="Arial" w:cs="Arial" w:eastAsia="Arial" w:hAnsi="Arial"/>
                <w:sz w:val="18"/>
                <w:szCs w:val="18"/>
                <w:color w:val="auto"/>
              </w:rPr>
              <w:t>Trade accounts receivable and contract assets,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(17,842)</w:t>
            </w:r>
          </w:p>
        </w:tc>
      </w:tr>
      <w:tr>
        <w:trPr>
          <w:trHeight w:val="230"/>
        </w:trPr>
        <w:tc>
          <w:tcPr>
            <w:tcW w:w="6800" w:type="dxa"/>
            <w:vAlign w:val="bottom"/>
          </w:tcPr>
          <w:p>
            <w:pPr>
              <w:ind w:left="640"/>
              <w:spacing w:after="0"/>
              <w:rPr>
                <w:sz w:val="20"/>
                <w:szCs w:val="20"/>
                <w:color w:val="auto"/>
              </w:rPr>
            </w:pPr>
            <w:r>
              <w:rPr>
                <w:rFonts w:ascii="Arial" w:cs="Arial" w:eastAsia="Arial" w:hAnsi="Arial"/>
                <w:sz w:val="18"/>
                <w:szCs w:val="18"/>
                <w:color w:val="auto"/>
              </w:rPr>
              <w:t>Other current assets,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18,577</w:t>
            </w:r>
          </w:p>
        </w:tc>
      </w:tr>
      <w:tr>
        <w:trPr>
          <w:trHeight w:val="229"/>
        </w:trPr>
        <w:tc>
          <w:tcPr>
            <w:tcW w:w="6800" w:type="dxa"/>
            <w:vAlign w:val="bottom"/>
          </w:tcPr>
          <w:p>
            <w:pPr>
              <w:ind w:left="640"/>
              <w:spacing w:after="0"/>
              <w:rPr>
                <w:sz w:val="20"/>
                <w:szCs w:val="20"/>
                <w:color w:val="auto"/>
              </w:rPr>
            </w:pPr>
            <w:r>
              <w:rPr>
                <w:rFonts w:ascii="Arial" w:cs="Arial" w:eastAsia="Arial" w:hAnsi="Arial"/>
                <w:sz w:val="18"/>
                <w:szCs w:val="18"/>
                <w:color w:val="auto"/>
              </w:rPr>
              <w:t>Trade accounts payable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9,562</w:t>
            </w:r>
          </w:p>
        </w:tc>
      </w:tr>
      <w:tr>
        <w:trPr>
          <w:trHeight w:val="229"/>
        </w:trPr>
        <w:tc>
          <w:tcPr>
            <w:tcW w:w="6800" w:type="dxa"/>
            <w:vAlign w:val="bottom"/>
          </w:tcPr>
          <w:p>
            <w:pPr>
              <w:ind w:left="640"/>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7,867</w:t>
            </w:r>
          </w:p>
        </w:tc>
      </w:tr>
      <w:tr>
        <w:trPr>
          <w:trHeight w:val="229"/>
        </w:trPr>
        <w:tc>
          <w:tcPr>
            <w:tcW w:w="6800" w:type="dxa"/>
            <w:vAlign w:val="bottom"/>
          </w:tcPr>
          <w:p>
            <w:pPr>
              <w:ind w:left="6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12,183</w:t>
            </w:r>
          </w:p>
        </w:tc>
      </w:tr>
      <w:tr>
        <w:trPr>
          <w:trHeight w:val="239"/>
        </w:trPr>
        <w:tc>
          <w:tcPr>
            <w:tcW w:w="6800" w:type="dxa"/>
            <w:vAlign w:val="bottom"/>
          </w:tcPr>
          <w:p>
            <w:pPr>
              <w:ind w:left="440"/>
              <w:spacing w:after="0"/>
              <w:rPr>
                <w:sz w:val="20"/>
                <w:szCs w:val="20"/>
                <w:color w:val="auto"/>
              </w:rPr>
            </w:pPr>
            <w:r>
              <w:rPr>
                <w:rFonts w:ascii="Arial" w:cs="Arial" w:eastAsia="Arial" w:hAnsi="Arial"/>
                <w:sz w:val="18"/>
                <w:szCs w:val="18"/>
                <w:color w:val="auto"/>
              </w:rPr>
              <w:t>Non-current assets and non-current liabilities, net</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13,166</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w:t>
            </w:r>
          </w:p>
        </w:tc>
      </w:tr>
      <w:tr>
        <w:trPr>
          <w:trHeight w:val="223"/>
        </w:trPr>
        <w:tc>
          <w:tcPr>
            <w:tcW w:w="6800" w:type="dxa"/>
            <w:vAlign w:val="bottom"/>
          </w:tcPr>
          <w:p>
            <w:pPr>
              <w:ind w:left="640"/>
              <w:spacing w:after="0"/>
              <w:rPr>
                <w:sz w:val="20"/>
                <w:szCs w:val="20"/>
                <w:color w:val="auto"/>
              </w:rPr>
            </w:pPr>
            <w:r>
              <w:rPr>
                <w:rFonts w:ascii="Arial" w:cs="Arial" w:eastAsia="Arial" w:hAnsi="Arial"/>
                <w:sz w:val="18"/>
                <w:szCs w:val="18"/>
                <w:b w:val="1"/>
                <w:bCs w:val="1"/>
                <w:color w:val="auto"/>
              </w:rPr>
              <w:t>Net cash flows from operating activities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534,388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656,322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734,522</w:t>
            </w:r>
          </w:p>
        </w:tc>
      </w:tr>
      <w:tr>
        <w:trPr>
          <w:trHeight w:val="214"/>
        </w:trPr>
        <w:tc>
          <w:tcPr>
            <w:tcW w:w="6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Purchases of marketable investment securities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(2,799,838)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(993,369)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(2,973,254)</w:t>
            </w: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Sales and maturities of marketable investment securities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2,110,336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2,391,220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1,498,463</w:t>
            </w: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Expenditures for property and equipment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(408,798)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(418,584)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(555,141)</w:t>
            </w: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Expenditures for externally marketed software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(31,639)</w:t>
            </w: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Purchase of other investments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(93,687)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Investments in unconsolidated affiliates</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(115,991)</w:t>
            </w: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Purchases of regulatory authorizations</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Refunds and other receipts related to property and equipment</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77,524</w:t>
            </w: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Dividend received from unconsolidated affiliate</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6800" w:type="dxa"/>
            <w:vAlign w:val="bottom"/>
          </w:tcPr>
          <w:p>
            <w:pPr>
              <w:ind w:left="200"/>
              <w:spacing w:after="0"/>
              <w:rPr>
                <w:sz w:val="20"/>
                <w:szCs w:val="20"/>
                <w:color w:val="auto"/>
              </w:rPr>
            </w:pPr>
            <w:r>
              <w:rPr>
                <w:rFonts w:ascii="Arial" w:cs="Arial" w:eastAsia="Arial" w:hAnsi="Arial"/>
                <w:sz w:val="18"/>
                <w:szCs w:val="18"/>
                <w:color w:val="auto"/>
              </w:rPr>
              <w:t>Sale of investment in unconsolidated affiliates</w:t>
            </w:r>
          </w:p>
        </w:tc>
        <w:tc>
          <w:tcPr>
            <w:tcW w:w="2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1,558</w:t>
            </w:r>
          </w:p>
        </w:tc>
      </w:tr>
      <w:tr>
        <w:trPr>
          <w:trHeight w:val="223"/>
        </w:trPr>
        <w:tc>
          <w:tcPr>
            <w:tcW w:w="6800" w:type="dxa"/>
            <w:vAlign w:val="bottom"/>
          </w:tcPr>
          <w:p>
            <w:pPr>
              <w:ind w:left="640"/>
              <w:spacing w:after="0"/>
              <w:rPr>
                <w:sz w:val="20"/>
                <w:szCs w:val="20"/>
                <w:color w:val="auto"/>
              </w:rPr>
            </w:pPr>
            <w:r>
              <w:rPr>
                <w:rFonts w:ascii="Arial" w:cs="Arial" w:eastAsia="Arial" w:hAnsi="Arial"/>
                <w:sz w:val="18"/>
                <w:szCs w:val="18"/>
                <w:b w:val="1"/>
                <w:bCs w:val="1"/>
                <w:color w:val="auto"/>
              </w:rPr>
              <w:t>Net cash flows from investing activities</w:t>
            </w: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(1,142,455)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821,958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(2,098,480)</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80"/>
          </w:cols>
          <w:pgMar w:left="360" w:top="682" w:right="35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32"/>
        </w:trPr>
        <w:tc>
          <w:tcPr>
            <w:tcW w:w="68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Repurchase and maturity of the 2019 Senior Secured Notes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(920,923)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(70,173)</w:t>
            </w:r>
          </w:p>
        </w:tc>
        <w:tc>
          <w:tcPr>
            <w:tcW w:w="0" w:type="dxa"/>
            <w:vAlign w:val="bottom"/>
          </w:tcPr>
          <w:p>
            <w:pPr>
              <w:spacing w:after="0"/>
              <w:rPr>
                <w:sz w:val="1"/>
                <w:szCs w:val="1"/>
                <w:color w:val="auto"/>
              </w:rPr>
            </w:pP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Repayment of other long-term debt and finance lease obligations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(41,019)</w:t>
            </w:r>
          </w:p>
        </w:tc>
        <w:tc>
          <w:tcPr>
            <w:tcW w:w="0" w:type="dxa"/>
            <w:vAlign w:val="bottom"/>
          </w:tcPr>
          <w:p>
            <w:pPr>
              <w:spacing w:after="0"/>
              <w:rPr>
                <w:sz w:val="1"/>
                <w:szCs w:val="1"/>
                <w:color w:val="auto"/>
              </w:rPr>
            </w:pP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Payment of in-orbit incentive obligations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Net proceeds from Class A common stock options exercised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67,337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185"/>
        </w:trPr>
        <w:tc>
          <w:tcPr>
            <w:tcW w:w="6800" w:type="dxa"/>
            <w:vAlign w:val="bottom"/>
          </w:tcPr>
          <w:p>
            <w:pPr>
              <w:ind w:left="200"/>
              <w:spacing w:after="0" w:line="185" w:lineRule="exact"/>
              <w:rPr>
                <w:sz w:val="20"/>
                <w:szCs w:val="20"/>
                <w:color w:val="auto"/>
              </w:rPr>
            </w:pPr>
            <w:r>
              <w:rPr>
                <w:rFonts w:ascii="Arial" w:cs="Arial" w:eastAsia="Arial" w:hAnsi="Arial"/>
                <w:sz w:val="18"/>
                <w:szCs w:val="18"/>
                <w:color w:val="auto"/>
              </w:rPr>
              <w:t>Net proceeds from Class A common stock issued under the Employee Stock</w:t>
            </w:r>
          </w:p>
        </w:tc>
        <w:tc>
          <w:tcPr>
            <w:tcW w:w="3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10,109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9,779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9,368</w:t>
            </w:r>
          </w:p>
        </w:tc>
        <w:tc>
          <w:tcPr>
            <w:tcW w:w="0" w:type="dxa"/>
            <w:vAlign w:val="bottom"/>
          </w:tcPr>
          <w:p>
            <w:pPr>
              <w:spacing w:after="0"/>
              <w:rPr>
                <w:sz w:val="1"/>
                <w:szCs w:val="1"/>
                <w:color w:val="auto"/>
              </w:rPr>
            </w:pPr>
          </w:p>
        </w:tc>
      </w:tr>
      <w:tr>
        <w:trPr>
          <w:trHeight w:val="220"/>
        </w:trPr>
        <w:tc>
          <w:tcPr>
            <w:tcW w:w="6800" w:type="dxa"/>
            <w:vAlign w:val="bottom"/>
          </w:tcPr>
          <w:p>
            <w:pPr>
              <w:ind w:left="200"/>
              <w:spacing w:after="0"/>
              <w:rPr>
                <w:sz w:val="20"/>
                <w:szCs w:val="20"/>
                <w:color w:val="auto"/>
              </w:rPr>
            </w:pPr>
            <w:r>
              <w:rPr>
                <w:rFonts w:ascii="Arial" w:cs="Arial" w:eastAsia="Arial" w:hAnsi="Arial"/>
                <w:sz w:val="18"/>
                <w:szCs w:val="18"/>
                <w:color w:val="auto"/>
              </w:rPr>
              <w:t>Purchase Plan</w:t>
            </w: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Treasury share purchase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(43,458)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(33,292)</w:t>
            </w:r>
          </w:p>
        </w:tc>
        <w:tc>
          <w:tcPr>
            <w:tcW w:w="0" w:type="dxa"/>
            <w:vAlign w:val="bottom"/>
          </w:tcPr>
          <w:p>
            <w:pPr>
              <w:spacing w:after="0"/>
              <w:rPr>
                <w:sz w:val="1"/>
                <w:szCs w:val="1"/>
                <w:color w:val="auto"/>
              </w:rPr>
            </w:pP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Contribution by non-controlling interest holder</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Purchase of non-controlling interest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68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3"/>
        </w:trPr>
        <w:tc>
          <w:tcPr>
            <w:tcW w:w="6800" w:type="dxa"/>
            <w:vAlign w:val="bottom"/>
          </w:tcPr>
          <w:p>
            <w:pPr>
              <w:ind w:left="640"/>
              <w:spacing w:after="0"/>
              <w:rPr>
                <w:sz w:val="20"/>
                <w:szCs w:val="20"/>
                <w:color w:val="auto"/>
              </w:rPr>
            </w:pPr>
            <w:r>
              <w:rPr>
                <w:rFonts w:ascii="Arial" w:cs="Arial" w:eastAsia="Arial" w:hAnsi="Arial"/>
                <w:sz w:val="18"/>
                <w:szCs w:val="18"/>
                <w:b w:val="1"/>
                <w:bCs w:val="1"/>
                <w:color w:val="auto"/>
              </w:rPr>
              <w:t>Net cash flows from financing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(885,311)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(136,563)</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4"/>
        </w:trPr>
        <w:tc>
          <w:tcPr>
            <w:tcW w:w="68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(625,077)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592,394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(1,502,754)</w:t>
            </w:r>
          </w:p>
        </w:tc>
        <w:tc>
          <w:tcPr>
            <w:tcW w:w="0" w:type="dxa"/>
            <w:vAlign w:val="bottom"/>
          </w:tcPr>
          <w:p>
            <w:pPr>
              <w:spacing w:after="0"/>
              <w:rPr>
                <w:sz w:val="1"/>
                <w:szCs w:val="1"/>
                <w:color w:val="auto"/>
              </w:rPr>
            </w:pPr>
          </w:p>
        </w:tc>
      </w:tr>
      <w:tr>
        <w:trPr>
          <w:trHeight w:val="239"/>
        </w:trPr>
        <w:tc>
          <w:tcPr>
            <w:tcW w:w="6800" w:type="dxa"/>
            <w:vAlign w:val="bottom"/>
          </w:tcPr>
          <w:p>
            <w:pPr>
              <w:spacing w:after="0"/>
              <w:rPr>
                <w:sz w:val="20"/>
                <w:szCs w:val="20"/>
                <w:color w:val="auto"/>
              </w:rPr>
            </w:pPr>
            <w:r>
              <w:rPr>
                <w:rFonts w:ascii="Arial" w:cs="Arial" w:eastAsia="Arial" w:hAnsi="Arial"/>
                <w:sz w:val="18"/>
                <w:szCs w:val="18"/>
                <w:color w:val="auto"/>
              </w:rPr>
              <w:t>Cash and cash equivalents, including restricted amounts, beginning of period</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1,521,889</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929,495</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2,432,249</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Cash and cash equivalents, including restricted amounts,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896,812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1,521,889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929,495</w:t>
            </w:r>
          </w:p>
        </w:tc>
        <w:tc>
          <w:tcPr>
            <w:tcW w:w="0" w:type="dxa"/>
            <w:vAlign w:val="bottom"/>
          </w:tcPr>
          <w:p>
            <w:pPr>
              <w:spacing w:after="0"/>
              <w:rPr>
                <w:sz w:val="1"/>
                <w:szCs w:val="1"/>
                <w:color w:val="auto"/>
              </w:rPr>
            </w:pPr>
          </w:p>
        </w:tc>
      </w:tr>
      <w:tr>
        <w:trPr>
          <w:trHeight w:val="21"/>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1180"/>
      </w:cols>
      <w:pgMar w:left="360" w:top="8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1)"/>
      <w:numFmt w:val="decimal"/>
      <w:start w:val="303"/>
    </w:lvl>
  </w:abstractNum>
  <w:abstractNum w:abstractNumId="17">
    <w:nsid w:val="6A2342EC"/>
    <w:multiLevelType w:val="hybridMultilevel"/>
    <w:lvl w:ilvl="0">
      <w:lvlJc w:val="left"/>
      <w:lvlText w:val="(%1)"/>
      <w:numFmt w:val="decimal"/>
      <w:start w:val="1"/>
    </w:lvl>
  </w:abstractNum>
  <w:abstractNum w:abstractNumId="18">
    <w:nsid w:val="2A487CB0"/>
    <w:multiLevelType w:val="hybridMultilevel"/>
    <w:lvl w:ilvl="0">
      <w:lvlJc w:val="left"/>
      <w:lvlText w:val="(%1)"/>
      <w:numFmt w:val="decimal"/>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1)"/>
      <w:numFmt w:val="decimal"/>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1)"/>
      <w:numFmt w:val="lowerRoman"/>
      <w:start w:val="2"/>
    </w:lvl>
  </w:abstractNum>
  <w:abstractNum w:abstractNumId="30">
    <w:nsid w:val="684A481A"/>
    <w:multiLevelType w:val="hybridMultilevel"/>
    <w:lvl w:ilvl="0">
      <w:lvlJc w:val="left"/>
      <w:lvlText w:val="(%1)"/>
      <w:numFmt w:val="lowerRoman"/>
      <w:start w:val="2"/>
    </w:lvl>
  </w:abstractNum>
  <w:abstractNum w:abstractNumId="31">
    <w:nsid w:val="579478FE"/>
    <w:multiLevelType w:val="hybridMultilevel"/>
    <w:lvl w:ilvl="0">
      <w:lvlJc w:val="left"/>
      <w:lvlText w:val="(%1)"/>
      <w:numFmt w:val="lowerLetter"/>
      <w:start w:val="3"/>
    </w:lvl>
  </w:abstractNum>
  <w:abstractNum w:abstractNumId="32">
    <w:nsid w:val="749ABB43"/>
    <w:multiLevelType w:val="hybridMultilevel"/>
    <w:lvl w:ilvl="0">
      <w:lvlJc w:val="left"/>
      <w:lvlText w:val="(%1)"/>
      <w:numFmt w:val="lowerRoman"/>
      <w:start w:val="1"/>
    </w:lvl>
  </w:abstractNum>
  <w:abstractNum w:abstractNumId="33">
    <w:nsid w:val="3DC240FB"/>
    <w:multiLevelType w:val="hybridMultilevel"/>
    <w:lvl w:ilvl="0">
      <w:lvlJc w:val="left"/>
      <w:lvlText w:val="(%1)"/>
      <w:numFmt w:val="upperLetter"/>
      <w:start w:val="8"/>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endash "/>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1."/>
      <w:numFmt w:val="decimal"/>
      <w:start w:val="1"/>
    </w:lvl>
    <w:lvl w:ilvl="1">
      <w:lvlJc w:val="left"/>
      <w:lvlText w:val="%2)"/>
      <w:numFmt w:val="lowerLetter"/>
      <w:start w:val="1"/>
    </w:lvl>
  </w:abstractNum>
  <w:abstractNum w:abstractNumId="61">
    <w:nsid w:val="5FF87E05"/>
    <w:multiLevelType w:val="hybridMultilevel"/>
    <w:lvl w:ilvl="0">
      <w:lvlJc w:val="left"/>
      <w:lvlText w:val="%1."/>
      <w:numFmt w:val="decimal"/>
      <w:start w:val="1"/>
    </w:lvl>
    <w:lvl w:ilvl="1">
      <w:lvlJc w:val="left"/>
      <w:lvlText w:val="%2)"/>
      <w:numFmt w:val="lowerLetter"/>
      <w:start w:val="1"/>
    </w:lvl>
  </w:abstractNum>
  <w:abstractNum w:abstractNumId="62">
    <w:nsid w:val="2F305DEF"/>
    <w:multiLevelType w:val="hybridMultilevel"/>
    <w:lvl w:ilvl="0">
      <w:lvlJc w:val="left"/>
      <w:lvlText w:val="(%1)"/>
      <w:numFmt w:val="lowerRoman"/>
      <w:start w:val="1"/>
    </w:lvl>
  </w:abstractNum>
  <w:abstractNum w:abstractNumId="63">
    <w:nsid w:val="25A70BF7"/>
    <w:multiLevelType w:val="hybridMultilevel"/>
    <w:lvl w:ilvl="0">
      <w:lvlJc w:val="left"/>
      <w:lvlText w:val="•"/>
      <w:numFmt w:val="bullet"/>
      <w:start w:val="1"/>
    </w:lvl>
  </w:abstractNum>
  <w:abstractNum w:abstractNumId="64">
    <w:nsid w:val="1DBABF00"/>
    <w:multiLevelType w:val="hybridMultilevel"/>
    <w:lvl w:ilvl="0">
      <w:lvlJc w:val="left"/>
      <w:lvlText w:val="•"/>
      <w:numFmt w:val="bullet"/>
      <w:start w:val="1"/>
    </w:lvl>
  </w:abstractNum>
  <w:abstractNum w:abstractNumId="65">
    <w:nsid w:val="4AD084E9"/>
    <w:multiLevelType w:val="hybridMultilevel"/>
    <w:lvl w:ilvl="0">
      <w:lvlJc w:val="left"/>
      <w:lvlText w:val="•"/>
      <w:numFmt w:val="bullet"/>
      <w:start w:val="1"/>
    </w:lvl>
    <w:lvl w:ilvl="1">
      <w:lvlJc w:val="left"/>
      <w:lvlText w:val="◦"/>
      <w:numFmt w:val="bullet"/>
      <w:start w:val="1"/>
    </w:lvl>
  </w:abstractNum>
  <w:abstractNum w:abstractNumId="66">
    <w:nsid w:val="1F48EA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9" Type="http://schemas.openxmlformats.org/officeDocument/2006/relationships/image" Target="media/image64.png"/><Relationship Id="rId90" Type="http://schemas.openxmlformats.org/officeDocument/2006/relationships/image" Target="media/image65.png"/><Relationship Id="rId100" Type="http://schemas.openxmlformats.org/officeDocument/2006/relationships/image" Target="media/image66.png"/><Relationship Id="rId114" Type="http://schemas.openxmlformats.org/officeDocument/2006/relationships/image" Target="media/image67.png"/><Relationship Id="rId127" Type="http://schemas.openxmlformats.org/officeDocument/2006/relationships/image" Target="media/image68.png"/><Relationship Id="rId136" Type="http://schemas.openxmlformats.org/officeDocument/2006/relationships/image" Target="media/image69.png"/><Relationship Id="rId137" Type="http://schemas.openxmlformats.org/officeDocument/2006/relationships/image" Target="media/image70.png"/><Relationship Id="rId138" Type="http://schemas.openxmlformats.org/officeDocument/2006/relationships/image" Target="media/image71.png"/><Relationship Id="rId139" Type="http://schemas.openxmlformats.org/officeDocument/2006/relationships/image" Target="media/image72.png"/><Relationship Id="rId140" Type="http://schemas.openxmlformats.org/officeDocument/2006/relationships/image" Target="media/image73.png"/><Relationship Id="rId141" Type="http://schemas.openxmlformats.org/officeDocument/2006/relationships/image" Target="media/image74.png"/><Relationship Id="rId142" Type="http://schemas.openxmlformats.org/officeDocument/2006/relationships/image" Target="media/image75.png"/><Relationship Id="rId143" Type="http://schemas.openxmlformats.org/officeDocument/2006/relationships/image" Target="media/image76.png"/><Relationship Id="rId144" Type="http://schemas.openxmlformats.org/officeDocument/2006/relationships/image" Target="media/image77.png"/><Relationship Id="rId145" Type="http://schemas.openxmlformats.org/officeDocument/2006/relationships/image" Target="media/image78.png"/><Relationship Id="rId146" Type="http://schemas.openxmlformats.org/officeDocument/2006/relationships/image" Target="media/image79.png"/><Relationship Id="rId147" Type="http://schemas.openxmlformats.org/officeDocument/2006/relationships/image" Target="media/image80.png"/><Relationship Id="rId148" Type="http://schemas.openxmlformats.org/officeDocument/2006/relationships/image" Target="media/image81.png"/><Relationship Id="rId149" Type="http://schemas.openxmlformats.org/officeDocument/2006/relationships/image" Target="media/image82.png"/><Relationship Id="rId150" Type="http://schemas.openxmlformats.org/officeDocument/2006/relationships/image" Target="media/image83.png"/><Relationship Id="rId151" Type="http://schemas.openxmlformats.org/officeDocument/2006/relationships/image" Target="media/image84.png"/><Relationship Id="rId152" Type="http://schemas.openxmlformats.org/officeDocument/2006/relationships/image" Target="media/image85.png"/><Relationship Id="rId153" Type="http://schemas.openxmlformats.org/officeDocument/2006/relationships/image" Target="media/image86.png"/><Relationship Id="rId154" Type="http://schemas.openxmlformats.org/officeDocument/2006/relationships/image" Target="media/image87.png"/><Relationship Id="rId155" Type="http://schemas.openxmlformats.org/officeDocument/2006/relationships/image" Target="media/image88.png"/><Relationship Id="rId156" Type="http://schemas.openxmlformats.org/officeDocument/2006/relationships/image" Target="media/image89.png"/><Relationship Id="rId157" Type="http://schemas.openxmlformats.org/officeDocument/2006/relationships/image" Target="media/image90.png"/><Relationship Id="rId158" Type="http://schemas.openxmlformats.org/officeDocument/2006/relationships/image" Target="media/image91.png"/><Relationship Id="rId159" Type="http://schemas.openxmlformats.org/officeDocument/2006/relationships/image" Target="media/image92.png"/><Relationship Id="rId160" Type="http://schemas.openxmlformats.org/officeDocument/2006/relationships/image" Target="media/image93.png"/><Relationship Id="rId161" Type="http://schemas.openxmlformats.org/officeDocument/2006/relationships/image" Target="media/image94.png"/><Relationship Id="rId162" Type="http://schemas.openxmlformats.org/officeDocument/2006/relationships/image" Target="media/image95.png"/><Relationship Id="rId163" Type="http://schemas.openxmlformats.org/officeDocument/2006/relationships/image" Target="media/image96.png"/><Relationship Id="rId164" Type="http://schemas.openxmlformats.org/officeDocument/2006/relationships/image" Target="media/image97.png"/><Relationship Id="rId165" Type="http://schemas.openxmlformats.org/officeDocument/2006/relationships/image" Target="media/image98.png"/><Relationship Id="rId166" Type="http://schemas.openxmlformats.org/officeDocument/2006/relationships/image" Target="media/image99.png"/><Relationship Id="rId167" Type="http://schemas.openxmlformats.org/officeDocument/2006/relationships/image" Target="media/image100.png"/><Relationship Id="rId168" Type="http://schemas.openxmlformats.org/officeDocument/2006/relationships/image" Target="media/image101.png"/><Relationship Id="rId169" Type="http://schemas.openxmlformats.org/officeDocument/2006/relationships/image" Target="media/image102.png"/><Relationship Id="rId170" Type="http://schemas.openxmlformats.org/officeDocument/2006/relationships/image" Target="media/image103.png"/><Relationship Id="rId171" Type="http://schemas.openxmlformats.org/officeDocument/2006/relationships/image" Target="media/image104.png"/><Relationship Id="rId172" Type="http://schemas.openxmlformats.org/officeDocument/2006/relationships/image" Target="media/image105.png"/><Relationship Id="rId173" Type="http://schemas.openxmlformats.org/officeDocument/2006/relationships/image" Target="media/image106.png"/><Relationship Id="rId174" Type="http://schemas.openxmlformats.org/officeDocument/2006/relationships/image" Target="media/image107.png"/><Relationship Id="rId175" Type="http://schemas.openxmlformats.org/officeDocument/2006/relationships/image" Target="media/image108.png"/><Relationship Id="rId176" Type="http://schemas.openxmlformats.org/officeDocument/2006/relationships/image" Target="media/image109.png"/><Relationship Id="rId177" Type="http://schemas.openxmlformats.org/officeDocument/2006/relationships/image" Target="media/image110.png"/><Relationship Id="rId178" Type="http://schemas.openxmlformats.org/officeDocument/2006/relationships/image" Target="media/image111.png"/><Relationship Id="rId179" Type="http://schemas.openxmlformats.org/officeDocument/2006/relationships/image" Target="media/image112.png"/><Relationship Id="rId180" Type="http://schemas.openxmlformats.org/officeDocument/2006/relationships/image" Target="media/image113.png"/><Relationship Id="rId181" Type="http://schemas.openxmlformats.org/officeDocument/2006/relationships/image" Target="media/image114.png"/><Relationship Id="rId182" Type="http://schemas.openxmlformats.org/officeDocument/2006/relationships/image" Target="media/image115.png"/><Relationship Id="rId183" Type="http://schemas.openxmlformats.org/officeDocument/2006/relationships/image" Target="media/image116.png"/><Relationship Id="rId184" Type="http://schemas.openxmlformats.org/officeDocument/2006/relationships/image" Target="media/image117.png"/><Relationship Id="rId185" Type="http://schemas.openxmlformats.org/officeDocument/2006/relationships/image" Target="media/image118.png"/><Relationship Id="rId186" Type="http://schemas.openxmlformats.org/officeDocument/2006/relationships/image" Target="media/image119.png"/><Relationship Id="rId187" Type="http://schemas.openxmlformats.org/officeDocument/2006/relationships/image" Target="media/image120.png"/><Relationship Id="rId188" Type="http://schemas.openxmlformats.org/officeDocument/2006/relationships/image" Target="media/image121.png"/><Relationship Id="rId189" Type="http://schemas.openxmlformats.org/officeDocument/2006/relationships/image" Target="media/image122.png"/><Relationship Id="rId190" Type="http://schemas.openxmlformats.org/officeDocument/2006/relationships/image" Target="media/image123.png"/><Relationship Id="rId191" Type="http://schemas.openxmlformats.org/officeDocument/2006/relationships/image" Target="media/image124.png"/><Relationship Id="rId192" Type="http://schemas.openxmlformats.org/officeDocument/2006/relationships/image" Target="media/image125.png"/><Relationship Id="rId193" Type="http://schemas.openxmlformats.org/officeDocument/2006/relationships/image" Target="media/image126.png"/><Relationship Id="rId194" Type="http://schemas.openxmlformats.org/officeDocument/2006/relationships/image" Target="media/image127.png"/><Relationship Id="rId195" Type="http://schemas.openxmlformats.org/officeDocument/2006/relationships/image" Target="media/image128.png"/><Relationship Id="rId196" Type="http://schemas.openxmlformats.org/officeDocument/2006/relationships/image" Target="media/image129.png"/><Relationship Id="rId197" Type="http://schemas.openxmlformats.org/officeDocument/2006/relationships/image" Target="media/image130.png"/><Relationship Id="rId198" Type="http://schemas.openxmlformats.org/officeDocument/2006/relationships/image" Target="media/image131.png"/><Relationship Id="rId199" Type="http://schemas.openxmlformats.org/officeDocument/2006/relationships/image" Target="media/image132.png"/><Relationship Id="rId200" Type="http://schemas.openxmlformats.org/officeDocument/2006/relationships/image" Target="media/image133.png"/><Relationship Id="rId201" Type="http://schemas.openxmlformats.org/officeDocument/2006/relationships/image" Target="media/image134.png"/><Relationship Id="rId202" Type="http://schemas.openxmlformats.org/officeDocument/2006/relationships/image" Target="media/image135.png"/><Relationship Id="rId203" Type="http://schemas.openxmlformats.org/officeDocument/2006/relationships/image" Target="media/image136.png"/><Relationship Id="rId204" Type="http://schemas.openxmlformats.org/officeDocument/2006/relationships/image" Target="media/image137.png"/><Relationship Id="rId205" Type="http://schemas.openxmlformats.org/officeDocument/2006/relationships/image" Target="media/image138.png"/><Relationship Id="rId206" Type="http://schemas.openxmlformats.org/officeDocument/2006/relationships/image" Target="media/image139.png"/><Relationship Id="rId207" Type="http://schemas.openxmlformats.org/officeDocument/2006/relationships/image" Target="media/image140.png"/><Relationship Id="rId208" Type="http://schemas.openxmlformats.org/officeDocument/2006/relationships/image" Target="media/image141.png"/><Relationship Id="rId209" Type="http://schemas.openxmlformats.org/officeDocument/2006/relationships/image" Target="media/image142.png"/><Relationship Id="rId210" Type="http://schemas.openxmlformats.org/officeDocument/2006/relationships/image" Target="media/image143.png"/><Relationship Id="rId211" Type="http://schemas.openxmlformats.org/officeDocument/2006/relationships/image" Target="media/image144.png"/><Relationship Id="rId212" Type="http://schemas.openxmlformats.org/officeDocument/2006/relationships/image" Target="media/image145.png"/><Relationship Id="rId213" Type="http://schemas.openxmlformats.org/officeDocument/2006/relationships/image" Target="media/image146.png"/><Relationship Id="rId214" Type="http://schemas.openxmlformats.org/officeDocument/2006/relationships/image" Target="media/image147.png"/><Relationship Id="rId215" Type="http://schemas.openxmlformats.org/officeDocument/2006/relationships/image" Target="media/image148.png"/><Relationship Id="rId216" Type="http://schemas.openxmlformats.org/officeDocument/2006/relationships/image" Target="media/image149.png"/><Relationship Id="rId217" Type="http://schemas.openxmlformats.org/officeDocument/2006/relationships/image" Target="media/image150.png"/><Relationship Id="rId218" Type="http://schemas.openxmlformats.org/officeDocument/2006/relationships/image" Target="media/image151.png"/><Relationship Id="rId219" Type="http://schemas.openxmlformats.org/officeDocument/2006/relationships/image" Target="media/image152.png"/><Relationship Id="rId220" Type="http://schemas.openxmlformats.org/officeDocument/2006/relationships/image" Target="media/image153.png"/><Relationship Id="rId221" Type="http://schemas.openxmlformats.org/officeDocument/2006/relationships/image" Target="media/image154.png"/><Relationship Id="rId222" Type="http://schemas.openxmlformats.org/officeDocument/2006/relationships/image" Target="media/image155.png"/><Relationship Id="rId223" Type="http://schemas.openxmlformats.org/officeDocument/2006/relationships/image" Target="media/image156.png"/><Relationship Id="rId224" Type="http://schemas.openxmlformats.org/officeDocument/2006/relationships/image" Target="media/image157.png"/><Relationship Id="rId225" Type="http://schemas.openxmlformats.org/officeDocument/2006/relationships/image" Target="media/image158.png"/><Relationship Id="rId226" Type="http://schemas.openxmlformats.org/officeDocument/2006/relationships/image" Target="media/image159.png"/><Relationship Id="rId227" Type="http://schemas.openxmlformats.org/officeDocument/2006/relationships/image" Target="media/image160.png"/><Relationship Id="rId228" Type="http://schemas.openxmlformats.org/officeDocument/2006/relationships/image" Target="media/image161.png"/><Relationship Id="rId229" Type="http://schemas.openxmlformats.org/officeDocument/2006/relationships/image" Target="media/image162.png"/><Relationship Id="rId230" Type="http://schemas.openxmlformats.org/officeDocument/2006/relationships/image" Target="media/image163.png"/><Relationship Id="rId231" Type="http://schemas.openxmlformats.org/officeDocument/2006/relationships/image" Target="media/image164.png"/><Relationship Id="rId232" Type="http://schemas.openxmlformats.org/officeDocument/2006/relationships/image" Target="media/image165.png"/><Relationship Id="rId233" Type="http://schemas.openxmlformats.org/officeDocument/2006/relationships/image" Target="media/image166.png"/><Relationship Id="rId234" Type="http://schemas.openxmlformats.org/officeDocument/2006/relationships/image" Target="media/image167.png"/><Relationship Id="rId71" Type="http://schemas.openxmlformats.org/officeDocument/2006/relationships/hyperlink" Target="http://www.sec.gov/Archives/edgar/data/1415404/000103570407000816/d50150a1exv2w1.htm" TargetMode="External"/><Relationship Id="rId72" Type="http://schemas.openxmlformats.org/officeDocument/2006/relationships/hyperlink" Target="http://www.sec.gov/Archives/edgar/data/1345840/000119312511036322/dex21.htm" TargetMode="External"/><Relationship Id="rId73" Type="http://schemas.openxmlformats.org/officeDocument/2006/relationships/hyperlink" Target="http://www.sec.gov/Archives/edgar/data/1415404/000141540419000033/sats063019ex-21.htm" TargetMode="External"/><Relationship Id="rId74" Type="http://schemas.openxmlformats.org/officeDocument/2006/relationships/hyperlink" Target="http://www.sec.gov/Archives/edgar/data/1415404/000103570407000816/d50150a1exv3w1.htm" TargetMode="External"/><Relationship Id="rId75" Type="http://schemas.openxmlformats.org/officeDocument/2006/relationships/hyperlink" Target="http://www.sec.gov/Archives/edgar/data/1415404/000103570408000039/d53368exv3w1.htm" TargetMode="External"/><Relationship Id="rId76" Type="http://schemas.openxmlformats.org/officeDocument/2006/relationships/hyperlink" Target="http://www.sec.gov/Archives/edgar/data/1415404/000141540416000008/exhibit31echostarcorpora.htm" TargetMode="External"/><Relationship Id="rId77" Type="http://schemas.openxmlformats.org/officeDocument/2006/relationships/hyperlink" Target="http://www.sec.gov/Archives/edgar/data/1415404/000141540417000016/ex31certofwithdrawal.htm" TargetMode="External"/><Relationship Id="rId78" Type="http://schemas.openxmlformats.org/officeDocument/2006/relationships/hyperlink" Target="http://www.sec.gov/Archives/edgar/data/1415404/000103570407000816/d50150a1exv3w2.htm" TargetMode="External"/><Relationship Id="rId80" Type="http://schemas.openxmlformats.org/officeDocument/2006/relationships/hyperlink" Target="http://www.sec.gov/Archives/edgar/data/1415404/000103570407000816/d50150a1exv4w1.htm" TargetMode="External"/><Relationship Id="rId81" Type="http://schemas.openxmlformats.org/officeDocument/2006/relationships/hyperlink" Target="http://www.sec.gov/Archives/edgar/data/1415404/000110465911032702/a11-13614_1ex4d2.htm" TargetMode="External"/><Relationship Id="rId82" Type="http://schemas.openxmlformats.org/officeDocument/2006/relationships/hyperlink" Target="http://www.sec.gov/Archives/edgar/data/1415404/000110465911033872/a11-14479_1ex4d3.htm" TargetMode="External"/><Relationship Id="rId83" Type="http://schemas.openxmlformats.org/officeDocument/2006/relationships/hyperlink" Target="http://www.sec.gov/Archives/edgar/data/1415404/000110465911032702/a11-13614_1ex4d3.htm" TargetMode="External"/><Relationship Id="rId84" Type="http://schemas.openxmlformats.org/officeDocument/2006/relationships/hyperlink" Target="http://www.sec.gov/Archives/edgar/data/1415404/000110465911033872/a11-14479_1ex4d1.htm" TargetMode="External"/><Relationship Id="rId85" Type="http://schemas.openxmlformats.org/officeDocument/2006/relationships/hyperlink" Target="http://www.sec.gov/Archives/edgar/data/1415404/000110465914036637/a14-8954_1ex4d2.htm" TargetMode="External"/><Relationship Id="rId86" Type="http://schemas.openxmlformats.org/officeDocument/2006/relationships/hyperlink" Target="http://www.sec.gov/Archives/edgar/data/1415404/000110465916134602/a16-15573_1ex4d1.htm" TargetMode="External"/><Relationship Id="rId87" Type="http://schemas.openxmlformats.org/officeDocument/2006/relationships/hyperlink" Target="http://www.sec.gov/Archives/edgar/data/1415404/000110465916134602/a16-15573_1ex4d2.htm" TargetMode="External"/><Relationship Id="rId88" Type="http://schemas.openxmlformats.org/officeDocument/2006/relationships/hyperlink" Target="http://www.sec.gov/Archives/edgar/data/1415404/000110465916134602/a16-15573_1ex4d3.htm" TargetMode="External"/><Relationship Id="rId89" Type="http://schemas.openxmlformats.org/officeDocument/2006/relationships/hyperlink" Target="http://www.sec.gov/Archives/edgar/data/1415404/000110465916134602/a16-15573_1ex4d4.htm" TargetMode="External"/><Relationship Id="rId91" Type="http://schemas.openxmlformats.org/officeDocument/2006/relationships/hyperlink" Target="http://www.sec.gov/Archives/edgar/data/1345840/000153375817000023/hssc_2017exchexhibit4d19.htm" TargetMode="External"/><Relationship Id="rId92" Type="http://schemas.openxmlformats.org/officeDocument/2006/relationships/hyperlink" Target="http://www.sec.gov/Archives/edgar/data/1345840/000153375817000023/hssc_2017exchexhibitx4d20.htm" TargetMode="External"/><Relationship Id="rId93" Type="http://schemas.openxmlformats.org/officeDocument/2006/relationships/hyperlink" Target="http://www.sec.gov/Archives/edgar/data/1345840/000153375817000023/hssc_exchangex2017x-xexhib.htm" TargetMode="External"/><Relationship Id="rId94" Type="http://schemas.openxmlformats.org/officeDocument/2006/relationships/hyperlink" Target="http://www.sec.gov/Archives/edgar/data/1415404/000141540418000005/exhibit424-xjoinderagr.htm" TargetMode="External"/><Relationship Id="rId95" Type="http://schemas.openxmlformats.org/officeDocument/2006/relationships/hyperlink" Target="http://www.sec.gov/Archives/edgar/data/1415404/000141540418000005/exhibit425-xhsscxsecon.htm" TargetMode="External"/><Relationship Id="rId96" Type="http://schemas.openxmlformats.org/officeDocument/2006/relationships/hyperlink" Target="http://www.sec.gov/Archives/edgar/data/1415404/000141540418000005/exhibit426-xhsscxsecon.htm" TargetMode="External"/><Relationship Id="rId97" Type="http://schemas.openxmlformats.org/officeDocument/2006/relationships/hyperlink" Target="http://www.sec.gov/Archives/edgar/data/1415404/000141540418000005/exhibit428-xhsscxfourt.htm" TargetMode="External"/><Relationship Id="rId98" Type="http://schemas.openxmlformats.org/officeDocument/2006/relationships/hyperlink" Target="http://www.sec.gov/Archives/edgar/data/1415404/000141540419000033/ex41-joinderagreement.htm" TargetMode="External"/><Relationship Id="rId99" Type="http://schemas.openxmlformats.org/officeDocument/2006/relationships/hyperlink" Target="http://www.sec.gov/Archives/edgar/data/1415404/000141540419000033/ex42-thirdsupplemental.htm" TargetMode="External"/><Relationship Id="rId101" Type="http://schemas.openxmlformats.org/officeDocument/2006/relationships/hyperlink" Target="http://www.sec.gov/Archives/edgar/data/1415404/000141540419000033/ex43-thirdsupplemental.htm" TargetMode="External"/><Relationship Id="rId102" Type="http://schemas.openxmlformats.org/officeDocument/2006/relationships/hyperlink" Target="http://www.sec.gov/Archives/edgar/data/1415404/000141540419000033/ex44-fifthsupplemental.htm" TargetMode="External"/><Relationship Id="rId103" Type="http://schemas.openxmlformats.org/officeDocument/2006/relationships/hyperlink" Target="https://www.sec.gov/Archives/edgar/data/1415404/000141540420000005/ex425descriptionofourc.htm" TargetMode="External"/><Relationship Id="rId104" Type="http://schemas.openxmlformats.org/officeDocument/2006/relationships/hyperlink" Target="http://www.sec.gov/Archives/edgar/data/1415404/000103570407000816/d50150a1exv10w2.htm" TargetMode="External"/><Relationship Id="rId105" Type="http://schemas.openxmlformats.org/officeDocument/2006/relationships/hyperlink" Target="http://www.sec.gov/Archives/edgar/data/1415404/000103570407000816/d50150a1exv10w25.htm" TargetMode="External"/><Relationship Id="rId106" Type="http://schemas.openxmlformats.org/officeDocument/2006/relationships/hyperlink" Target="http://www.sec.gov/Archives/edgar/data/1415404/000110465914067061/a14-20006_2def14a.htm#Appendix1_041118" TargetMode="External"/><Relationship Id="rId107" Type="http://schemas.openxmlformats.org/officeDocument/2006/relationships/hyperlink" Target="http://www.sec.gov/Archives/edgar/data/1415404/000103570409000020/d67044ddef14a.htm#018" TargetMode="External"/><Relationship Id="rId108" Type="http://schemas.openxmlformats.org/officeDocument/2006/relationships/hyperlink" Target="http://www.sec.gov/Archives/edgar/data/1415404/000104746909009775/a2195329zex-10_4.htm" TargetMode="External"/><Relationship Id="rId109" Type="http://schemas.openxmlformats.org/officeDocument/2006/relationships/hyperlink" Target="http://www.sec.gov/Archives/edgar/data/1345840/000119312505236811/dex103.htm" TargetMode="External"/><Relationship Id="rId110" Type="http://schemas.openxmlformats.org/officeDocument/2006/relationships/hyperlink" Target="http://www.sec.gov/Archives/edgar/data/1345840/000119312511057893/dex1029.htm" TargetMode="External"/><Relationship Id="rId111" Type="http://schemas.openxmlformats.org/officeDocument/2006/relationships/hyperlink" Target="http://www.sec.gov/Archives/edgar/data/1415404/000141540416000003/exhibit10_1pradman8-k.htm" TargetMode="External"/><Relationship Id="rId112" Type="http://schemas.openxmlformats.org/officeDocument/2006/relationships/hyperlink" Target="http://www.sec.gov/Archives/edgar/data/1415404/000110465915076360/a15-17922_1ex10d1.htm" TargetMode="External"/><Relationship Id="rId113" Type="http://schemas.openxmlformats.org/officeDocument/2006/relationships/hyperlink" Target="http://www.sec.gov/Archives/edgar/data/1415404/000110465916099355/a15-23459_3ex10d39.htm" TargetMode="External"/><Relationship Id="rId115" Type="http://schemas.openxmlformats.org/officeDocument/2006/relationships/hyperlink" Target="http://www.sec.gov/Archives/edgar/data/1415404/000110465916099355/a15-23459_3ex10d40.htm" TargetMode="External"/><Relationship Id="rId116" Type="http://schemas.openxmlformats.org/officeDocument/2006/relationships/hyperlink" Target="http://www.sec.gov/Archives/edgar/data/1415404/000110465916099355/a15-23459_3ex10d41.htm" TargetMode="External"/><Relationship Id="rId117" Type="http://schemas.openxmlformats.org/officeDocument/2006/relationships/hyperlink" Target="http://www.sec.gov/Archives/edgar/data/1415404/000110465916099355/a15-23459_3ex10d42.htm" TargetMode="External"/><Relationship Id="rId118" Type="http://schemas.openxmlformats.org/officeDocument/2006/relationships/hyperlink" Target="http://www.sec.gov/Archives/edgar/data/1415404/000110465916099355/a15-23459_3ex10d43.htm" TargetMode="External"/><Relationship Id="rId119" Type="http://schemas.openxmlformats.org/officeDocument/2006/relationships/hyperlink" Target="http://www.sec.gov/Archives/edgar/data/1415404/000110465916099355/a15-23459_3ex10d44.htm" TargetMode="External"/><Relationship Id="rId120" Type="http://schemas.openxmlformats.org/officeDocument/2006/relationships/hyperlink" Target="http://www.sec.gov/Archives/edgar/data/1415404/000110465916099355/a15-23459_3ex10d45.htm" TargetMode="External"/><Relationship Id="rId121" Type="http://schemas.openxmlformats.org/officeDocument/2006/relationships/hyperlink" Target="http://www.sec.gov/Archives/edgar/data/1415404/000141540416000008/executiveofficerbonuscompe.htm" TargetMode="External"/><Relationship Id="rId122" Type="http://schemas.openxmlformats.org/officeDocument/2006/relationships/hyperlink" Target="http://www.sec.gov/Archives/edgar/data/1415404/000141540417000029/shareexchangeagreementreda.htm" TargetMode="External"/><Relationship Id="rId123" Type="http://schemas.openxmlformats.org/officeDocument/2006/relationships/hyperlink" Target="http://www.sec.gov/Archives/edgar/data/1415404/000141540417000022/sats2017proxystatement.htm" TargetMode="External"/><Relationship Id="rId124" Type="http://schemas.openxmlformats.org/officeDocument/2006/relationships/hyperlink" Target="http://www.sec.gov/Archives/edgar/data/1415404/000141540417000045/a101echostarnon-qualifiedp.htm" TargetMode="External"/><Relationship Id="rId125" Type="http://schemas.openxmlformats.org/officeDocument/2006/relationships/hyperlink" Target="http://www.sec.gov/Archives/edgar/data/1415404/000141540417000045/ex102-formofstockoptionagr.htm" TargetMode="External"/><Relationship Id="rId126" Type="http://schemas.openxmlformats.org/officeDocument/2006/relationships/hyperlink" Target="http://www.sec.gov/Archives/edgar/data/1415404/000141540417000045/ex103-formofstockoptionagr.htm" TargetMode="External"/><Relationship Id="rId128" Type="http://schemas.openxmlformats.org/officeDocument/2006/relationships/hyperlink" Target="http://www.sec.gov/Archives/edgar/data/1415404/000141540417000045/ex104formofnon-employeedir.htm" TargetMode="External"/><Relationship Id="rId129" Type="http://schemas.openxmlformats.org/officeDocument/2006/relationships/hyperlink" Target="http://www.sec.gov/Archives/edgar/data/1415404/000141540417000045/ex105formofrsuagreementfor.htm" TargetMode="External"/><Relationship Id="rId130" Type="http://schemas.openxmlformats.org/officeDocument/2006/relationships/hyperlink" Target="http://www.sec.gov/Archives/edgar/data/1415404/000141540418000034/ex-101htaxsharingagree.htm" TargetMode="External"/><Relationship Id="rId131" Type="http://schemas.openxmlformats.org/officeDocument/2006/relationships/hyperlink" Target="http://www.sec.gov/Archives/edgar/data/1415404/000141540419000003/ex1035amendmenttonon-q.htm" TargetMode="External"/><Relationship Id="rId132" Type="http://schemas.openxmlformats.org/officeDocument/2006/relationships/hyperlink" Target="http://www.sec.gov/Archives/edgar/data/1415404/000141540419000033/sats063019ex-101.htm" TargetMode="External"/><Relationship Id="rId133" Type="http://schemas.openxmlformats.org/officeDocument/2006/relationships/hyperlink" Target="https://www.sec.gov/Archives/edgar/data/1415404/000141540420000005/ex123120191030echostar.htm" TargetMode="External"/><Relationship Id="rId134" Type="http://schemas.openxmlformats.org/officeDocument/2006/relationships/hyperlink" Target="https://www.sec.gov/Archives/edgar/data/1415404/000141540420000033/ex-101xadoptionagreeme.htm" TargetMode="External"/><Relationship Id="rId135" Type="http://schemas.openxmlformats.org/officeDocument/2006/relationships/hyperlink" Target="https://www.sec.gov/Archives/edgar/data/1415404/000141540420000033/ex-102xamdt1tosslxech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2021-02-23T05:29:16Z</dcterms:created>
  <dcterms:modified xsi:type="dcterms:W3CDTF">2021-02-23T05:29:16Z</dcterms:modified>
</cp:coreProperties>
</file>