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805815</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53340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0"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(Mark One)</w:t>
      </w:r>
    </w:p>
    <w:p>
      <w:pPr>
        <w:spacing w:after="0" w:line="111" w:lineRule="exact"/>
        <w:rPr>
          <w:sz w:val="24"/>
          <w:szCs w:val="24"/>
          <w:color w:val="auto"/>
        </w:rPr>
      </w:pPr>
    </w:p>
    <w:p>
      <w:pPr>
        <w:ind w:left="2340" w:right="619" w:hanging="2290"/>
        <w:spacing w:after="0" w:line="417" w:lineRule="auto"/>
        <w:tabs>
          <w:tab w:leader="none" w:pos="23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w:t>
      </w:r>
      <w:r>
        <w:rPr>
          <w:rFonts w:ascii="Arial" w:cs="Arial" w:eastAsia="Arial" w:hAnsi="Arial"/>
          <w:sz w:val="16"/>
          <w:szCs w:val="16"/>
          <w:color w:val="auto"/>
        </w:rPr>
        <w:t>4</w:t>
      </w:r>
      <w:r>
        <w:rPr>
          <w:rFonts w:ascii="Arial" w:cs="Arial" w:eastAsia="Arial" w:hAnsi="Arial"/>
          <w:sz w:val="16"/>
          <w:szCs w:val="16"/>
          <w:b w:val="1"/>
          <w:bCs w:val="1"/>
          <w:color w:val="auto"/>
        </w:rPr>
        <w:t>.</w:t>
      </w:r>
    </w:p>
    <w:p>
      <w:pPr>
        <w:jc w:val="center"/>
        <w:spacing w:after="0"/>
        <w:rPr>
          <w:sz w:val="20"/>
          <w:szCs w:val="20"/>
          <w:color w:val="auto"/>
        </w:rPr>
      </w:pPr>
      <w:r>
        <w:rPr>
          <w:rFonts w:ascii="Arial" w:cs="Arial" w:eastAsia="Arial" w:hAnsi="Arial"/>
          <w:sz w:val="14"/>
          <w:szCs w:val="14"/>
          <w:b w:val="1"/>
          <w:bCs w:val="1"/>
          <w:color w:val="auto"/>
        </w:rPr>
        <w:t>OR</w:t>
      </w:r>
    </w:p>
    <w:p>
      <w:pPr>
        <w:ind w:left="280" w:hanging="230"/>
        <w:spacing w:after="0" w:line="180" w:lineRule="auto"/>
        <w:tabs>
          <w:tab w:leader="none" w:pos="28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312" w:lineRule="exact"/>
        <w:rPr>
          <w:sz w:val="24"/>
          <w:szCs w:val="24"/>
          <w:color w:val="auto"/>
        </w:rPr>
      </w:pPr>
    </w:p>
    <w:p>
      <w:pPr>
        <w:ind w:left="1580"/>
        <w:spacing w:after="0"/>
        <w:tabs>
          <w:tab w:leader="none" w:pos="5780" w:val="left"/>
          <w:tab w:leader="none" w:pos="7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001-39144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DISH Network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019"/>
          </w:cols>
          <w:pgMar w:left="1440" w:top="661" w:right="1440" w:bottom="1440" w:gutter="0" w:footer="0" w:header="0"/>
        </w:sectPr>
      </w:pPr>
    </w:p>
    <w:p>
      <w:pPr>
        <w:spacing w:after="0" w:line="122"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Nevada</w:t>
      </w:r>
    </w:p>
    <w:p>
      <w:pPr>
        <w:spacing w:after="0" w:line="15" w:lineRule="exact"/>
        <w:rPr>
          <w:sz w:val="24"/>
          <w:szCs w:val="24"/>
          <w:color w:val="auto"/>
        </w:rPr>
      </w:pPr>
    </w:p>
    <w:p>
      <w:pPr>
        <w:jc w:val="center"/>
        <w:ind w:right="5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179"/>
        <w:spacing w:after="0"/>
        <w:rPr>
          <w:sz w:val="20"/>
          <w:szCs w:val="20"/>
          <w:color w:val="auto"/>
        </w:rPr>
      </w:pPr>
      <w:r>
        <w:rPr>
          <w:rFonts w:ascii="Arial" w:cs="Arial" w:eastAsia="Arial" w:hAnsi="Arial"/>
          <w:sz w:val="14"/>
          <w:szCs w:val="14"/>
          <w:b w:val="1"/>
          <w:bCs w:val="1"/>
          <w:color w:val="auto"/>
        </w:rPr>
        <w:t>88-0336997</w:t>
      </w:r>
    </w:p>
    <w:p>
      <w:pPr>
        <w:spacing w:after="0" w:line="15" w:lineRule="exact"/>
        <w:rPr>
          <w:sz w:val="24"/>
          <w:szCs w:val="24"/>
          <w:color w:val="auto"/>
        </w:rPr>
      </w:pPr>
    </w:p>
    <w:p>
      <w:pPr>
        <w:jc w:val="center"/>
        <w:ind w:right="1179"/>
        <w:spacing w:after="0"/>
        <w:rPr>
          <w:sz w:val="20"/>
          <w:szCs w:val="20"/>
          <w:color w:val="auto"/>
        </w:rPr>
      </w:pPr>
      <w:r>
        <w:rPr>
          <w:rFonts w:ascii="Arial" w:cs="Arial" w:eastAsia="Arial" w:hAnsi="Arial"/>
          <w:sz w:val="13"/>
          <w:szCs w:val="13"/>
          <w:color w:val="auto"/>
        </w:rPr>
        <w:t>(I.R.S. Employer Identification No.)</w:t>
      </w:r>
    </w:p>
    <w:p>
      <w:pPr>
        <w:spacing w:after="0" w:line="161" w:lineRule="exact"/>
        <w:rPr>
          <w:sz w:val="24"/>
          <w:szCs w:val="24"/>
          <w:color w:val="auto"/>
        </w:rPr>
      </w:pPr>
    </w:p>
    <w:p>
      <w:pPr>
        <w:sectPr>
          <w:pgSz w:w="11900" w:h="16838" w:orient="portrait"/>
          <w:cols w:equalWidth="0" w:num="2">
            <w:col w:w="4980" w:space="720"/>
            <w:col w:w="3319"/>
          </w:cols>
          <w:pgMar w:left="1440" w:top="661" w:right="1440" w:bottom="1440" w:gutter="0" w:footer="0" w:header="0"/>
          <w:type w:val="continuous"/>
        </w:sectPr>
      </w:pPr>
    </w:p>
    <w:p>
      <w:pPr>
        <w:jc w:val="center"/>
        <w:ind w:right="1260"/>
        <w:spacing w:after="0"/>
        <w:rPr>
          <w:sz w:val="20"/>
          <w:szCs w:val="20"/>
          <w:color w:val="auto"/>
        </w:rPr>
      </w:pPr>
      <w:r>
        <w:rPr>
          <w:rFonts w:ascii="Arial" w:cs="Arial" w:eastAsia="Arial" w:hAnsi="Arial"/>
          <w:sz w:val="14"/>
          <w:szCs w:val="14"/>
          <w:b w:val="1"/>
          <w:bCs w:val="1"/>
          <w:color w:val="auto"/>
        </w:rPr>
        <w:t>9601 South Meridian Boulevard</w:t>
      </w:r>
    </w:p>
    <w:p>
      <w:pPr>
        <w:spacing w:after="0" w:line="15"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Englewood, Colorado</w:t>
      </w:r>
    </w:p>
    <w:p>
      <w:pPr>
        <w:spacing w:after="0" w:line="1" w:lineRule="exact"/>
        <w:rPr>
          <w:sz w:val="24"/>
          <w:szCs w:val="24"/>
          <w:color w:val="auto"/>
        </w:rPr>
      </w:pPr>
    </w:p>
    <w:p>
      <w:pPr>
        <w:jc w:val="center"/>
        <w:ind w:right="12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939"/>
        <w:spacing w:after="0"/>
        <w:rPr>
          <w:sz w:val="20"/>
          <w:szCs w:val="20"/>
          <w:color w:val="auto"/>
        </w:rPr>
      </w:pPr>
      <w:r>
        <w:rPr>
          <w:rFonts w:ascii="Arial" w:cs="Arial" w:eastAsia="Arial" w:hAnsi="Arial"/>
          <w:sz w:val="14"/>
          <w:szCs w:val="14"/>
          <w:b w:val="1"/>
          <w:bCs w:val="1"/>
          <w:color w:val="auto"/>
        </w:rPr>
        <w:t>80112</w:t>
      </w:r>
    </w:p>
    <w:p>
      <w:pPr>
        <w:spacing w:after="0" w:line="15" w:lineRule="exact"/>
        <w:rPr>
          <w:sz w:val="24"/>
          <w:szCs w:val="24"/>
          <w:color w:val="auto"/>
        </w:rPr>
      </w:pPr>
    </w:p>
    <w:p>
      <w:pPr>
        <w:jc w:val="center"/>
        <w:ind w:right="1939"/>
        <w:spacing w:after="0"/>
        <w:rPr>
          <w:sz w:val="20"/>
          <w:szCs w:val="20"/>
          <w:color w:val="auto"/>
        </w:rPr>
      </w:pPr>
      <w:r>
        <w:rPr>
          <w:rFonts w:ascii="Arial" w:cs="Arial" w:eastAsia="Arial" w:hAnsi="Arial"/>
          <w:sz w:val="13"/>
          <w:szCs w:val="13"/>
          <w:color w:val="auto"/>
        </w:rPr>
        <w:t>(Zip code)</w:t>
      </w:r>
    </w:p>
    <w:p>
      <w:pPr>
        <w:spacing w:after="0" w:line="120" w:lineRule="exact"/>
        <w:rPr>
          <w:sz w:val="24"/>
          <w:szCs w:val="24"/>
          <w:color w:val="auto"/>
        </w:rPr>
      </w:pPr>
    </w:p>
    <w:p>
      <w:pPr>
        <w:sectPr>
          <w:pgSz w:w="11900" w:h="16838" w:orient="portrait"/>
          <w:cols w:equalWidth="0" w:num="2">
            <w:col w:w="5740" w:space="720"/>
            <w:col w:w="2559"/>
          </w:cols>
          <w:pgMar w:left="1440" w:top="661"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(303) 723-1000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ectPr>
          <w:pgSz w:w="11900" w:h="16838" w:orient="portrait"/>
          <w:cols w:equalWidth="0" w:num="1">
            <w:col w:w="9019"/>
          </w:cols>
          <w:pgMar w:left="1440" w:top="661" w:right="1440" w:bottom="1440" w:gutter="0" w:footer="0" w:header="0"/>
          <w:type w:val="continuous"/>
        </w:sectPr>
      </w:pPr>
    </w:p>
    <w:p>
      <w:pPr>
        <w:spacing w:after="0" w:line="120" w:lineRule="exact"/>
        <w:rPr>
          <w:sz w:val="24"/>
          <w:szCs w:val="24"/>
          <w:color w:val="auto"/>
        </w:rPr>
      </w:pPr>
    </w:p>
    <w:p>
      <w:pPr>
        <w:ind w:left="240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123" w:lineRule="exact"/>
        <w:rPr>
          <w:sz w:val="24"/>
          <w:szCs w:val="24"/>
          <w:color w:val="auto"/>
        </w:rPr>
      </w:pPr>
    </w:p>
    <w:p>
      <w:pPr>
        <w:sectPr>
          <w:pgSz w:w="11900" w:h="16838" w:orient="portrait"/>
          <w:cols w:equalWidth="0" w:num="2">
            <w:col w:w="5940" w:space="340"/>
            <w:col w:w="2739"/>
          </w:cols>
          <w:pgMar w:left="1440" w:top="661" w:right="1440" w:bottom="1440" w:gutter="0" w:footer="0" w:header="0"/>
          <w:type w:val="continuous"/>
        </w:sectPr>
      </w:pPr>
    </w:p>
    <w:p>
      <w:pPr>
        <w:jc w:val="both"/>
        <w:ind w:left="60" w:right="59"/>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 under Section 13 or 15(d) of the Securities Exchange Act of 1934.)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7" w:lineRule="exact"/>
        <w:rPr>
          <w:sz w:val="24"/>
          <w:szCs w:val="24"/>
          <w:color w:val="auto"/>
        </w:rPr>
      </w:pPr>
    </w:p>
    <w:p>
      <w:pPr>
        <w:jc w:val="both"/>
        <w:ind w:left="60" w:right="5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8" w:lineRule="exact"/>
        <w:rPr>
          <w:sz w:val="24"/>
          <w:szCs w:val="24"/>
          <w:color w:val="auto"/>
        </w:rPr>
      </w:pPr>
    </w:p>
    <w:p>
      <w:pPr>
        <w:jc w:val="both"/>
        <w:ind w:left="60" w:right="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60" w:lineRule="exact"/>
        <w:rPr>
          <w:sz w:val="24"/>
          <w:szCs w:val="24"/>
          <w:color w:val="auto"/>
        </w:rPr>
      </w:pPr>
    </w:p>
    <w:p>
      <w:pPr>
        <w:ind w:left="1460"/>
        <w:spacing w:after="0" w:line="188" w:lineRule="exact"/>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2">
            <w:col w:w="5460" w:space="720"/>
            <w:col w:w="2839"/>
          </w:cols>
          <w:pgMar w:left="1440" w:top="661" w:right="1440" w:bottom="1440" w:gutter="0" w:footer="0" w:header="0"/>
          <w:type w:val="continuous"/>
        </w:sectPr>
      </w:pPr>
    </w:p>
    <w:p>
      <w:pPr>
        <w:ind w:left="1500"/>
        <w:spacing w:after="0" w:line="188" w:lineRule="exact"/>
        <w:rPr>
          <w:sz w:val="20"/>
          <w:szCs w:val="20"/>
          <w:color w:val="auto"/>
        </w:rPr>
      </w:pP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2">
            <w:col w:w="5120" w:space="720"/>
            <w:col w:w="3179"/>
          </w:cols>
          <w:pgMar w:left="1440" w:top="661" w:right="1440" w:bottom="1440" w:gutter="0" w:footer="0" w:header="0"/>
          <w:type w:val="continuous"/>
        </w:sectPr>
      </w:pPr>
    </w:p>
    <w:p>
      <w:pPr>
        <w:ind w:left="5860"/>
        <w:spacing w:after="0" w:line="188" w:lineRule="exact"/>
        <w:rPr>
          <w:sz w:val="20"/>
          <w:szCs w:val="20"/>
          <w:color w:val="auto"/>
        </w:rPr>
      </w:pP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9019"/>
          </w:cols>
          <w:pgMar w:left="1440" w:top="661" w:right="1440" w:bottom="1440" w:gutter="0" w:footer="0" w:header="0"/>
          <w:type w:val="continuous"/>
        </w:sectPr>
      </w:pPr>
    </w:p>
    <w:p>
      <w:pPr>
        <w:spacing w:after="0" w:line="141" w:lineRule="exact"/>
        <w:rPr>
          <w:sz w:val="24"/>
          <w:szCs w:val="24"/>
          <w:color w:val="auto"/>
        </w:rPr>
      </w:pPr>
    </w:p>
    <w:p>
      <w:pPr>
        <w:ind w:left="60" w:right="7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ind w:left="60" w:right="899"/>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As of May 8, 2024, the registrant’s outstanding common stock consisted of 1,000 shares of common stock, $0 par value per share.</w:t>
      </w:r>
    </w:p>
    <w:p>
      <w:pPr>
        <w:spacing w:after="0" w:line="93" w:lineRule="exact"/>
        <w:rPr>
          <w:sz w:val="24"/>
          <w:szCs w:val="24"/>
          <w:color w:val="auto"/>
        </w:rPr>
      </w:pPr>
    </w:p>
    <w:p>
      <w:pPr>
        <w:ind w:left="60" w:right="79"/>
        <w:spacing w:after="0" w:line="285" w:lineRule="auto"/>
        <w:rPr>
          <w:sz w:val="20"/>
          <w:szCs w:val="20"/>
          <w:color w:val="auto"/>
        </w:rPr>
      </w:pPr>
      <w:r>
        <w:rPr>
          <w:rFonts w:ascii="Arial" w:cs="Arial" w:eastAsia="Arial" w:hAnsi="Arial"/>
          <w:sz w:val="14"/>
          <w:szCs w:val="14"/>
          <w:color w:val="auto"/>
        </w:rPr>
        <w:t>The registrant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474345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54610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0" w:type="dxa"/>
            <w:vAlign w:val="bottom"/>
            <w:gridSpan w:val="10"/>
          </w:tcPr>
          <w:p>
            <w:pPr>
              <w:jc w:val="center"/>
              <w:ind w:right="2180"/>
              <w:spacing w:after="0"/>
              <w:rPr>
                <w:sz w:val="20"/>
                <w:szCs w:val="20"/>
                <w:color w:val="auto"/>
              </w:rPr>
            </w:pPr>
            <w:r>
              <w:rPr>
                <w:rFonts w:ascii="Arial" w:cs="Arial" w:eastAsia="Arial" w:hAnsi="Arial"/>
                <w:sz w:val="18"/>
                <w:szCs w:val="18"/>
                <w:b w:val="1"/>
                <w:bCs w:val="1"/>
                <w:color w:val="auto"/>
                <w:w w:val="97"/>
              </w:rPr>
              <w:t>TABLE OF CONTENTS</w:t>
            </w:r>
          </w:p>
        </w:tc>
        <w:tc>
          <w:tcPr>
            <w:tcW w:w="840" w:type="dxa"/>
            <w:vAlign w:val="bottom"/>
          </w:tcPr>
          <w:p>
            <w:pPr>
              <w:spacing w:after="0"/>
              <w:rPr>
                <w:sz w:val="21"/>
                <w:szCs w:val="21"/>
                <w:color w:val="auto"/>
              </w:rPr>
            </w:pPr>
          </w:p>
        </w:tc>
      </w:tr>
      <w:tr>
        <w:trPr>
          <w:trHeight w:val="3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7"/>
              </w:rPr>
              <w:t>PART I — FINANCIAL INFORMATION</w:t>
            </w:r>
          </w:p>
        </w:tc>
        <w:tc>
          <w:tcPr>
            <w:tcW w:w="20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7"/>
              </w:rPr>
              <w:t>Disclosure Regarding Forward-Looking Statements</w:t>
            </w:r>
          </w:p>
        </w:tc>
        <w:tc>
          <w:tcPr>
            <w:tcW w:w="32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240" w:type="dxa"/>
            <w:vAlign w:val="bottom"/>
            <w:gridSpan w:val="18"/>
          </w:tcPr>
          <w:p>
            <w:pPr>
              <w:spacing w:after="0"/>
              <w:rPr>
                <w:sz w:val="20"/>
                <w:szCs w:val="20"/>
                <w:color w:val="auto"/>
              </w:rPr>
            </w:pPr>
            <w:r>
              <w:rPr>
                <w:rFonts w:ascii="Arial" w:cs="Arial" w:eastAsia="Arial" w:hAnsi="Arial"/>
                <w:sz w:val="18"/>
                <w:szCs w:val="18"/>
                <w:color w:val="0000EE"/>
              </w:rPr>
              <w:t>Financial Statements</w:t>
            </w:r>
          </w:p>
        </w:tc>
        <w:tc>
          <w:tcPr>
            <w:tcW w:w="8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Balance Sheets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7"/>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Statements of Cash Flows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Notes to Condensed Consolidated Financial Statements</w:t>
            </w:r>
          </w:p>
        </w:tc>
        <w:tc>
          <w:tcPr>
            <w:tcW w:w="28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240" w:type="dxa"/>
            <w:vAlign w:val="bottom"/>
            <w:gridSpan w:val="18"/>
          </w:tcPr>
          <w:p>
            <w:pPr>
              <w:spacing w:after="0"/>
              <w:rPr>
                <w:sz w:val="20"/>
                <w:szCs w:val="20"/>
                <w:color w:val="auto"/>
              </w:rPr>
            </w:pPr>
            <w:r>
              <w:rPr>
                <w:rFonts w:ascii="Arial" w:cs="Arial" w:eastAsia="Arial" w:hAnsi="Arial"/>
                <w:sz w:val="18"/>
                <w:szCs w:val="18"/>
                <w:color w:val="0000EE"/>
              </w:rPr>
              <w:t>Management’s Narrative Analysis of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0"/>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240" w:type="dxa"/>
            <w:vAlign w:val="bottom"/>
            <w:gridSpan w:val="18"/>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0"/>
        </w:trPr>
        <w:tc>
          <w:tcPr>
            <w:tcW w:w="80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240" w:type="dxa"/>
            <w:vAlign w:val="bottom"/>
            <w:gridSpan w:val="18"/>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85"/>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w w:val="97"/>
              </w:rPr>
              <w:t>PART II — OTHER INFORMATION</w:t>
            </w:r>
          </w:p>
        </w:tc>
        <w:tc>
          <w:tcPr>
            <w:tcW w:w="22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240" w:type="dxa"/>
            <w:vAlign w:val="bottom"/>
            <w:gridSpan w:val="18"/>
          </w:tcPr>
          <w:p>
            <w:pPr>
              <w:spacing w:after="0"/>
              <w:rPr>
                <w:sz w:val="20"/>
                <w:szCs w:val="20"/>
                <w:color w:val="auto"/>
              </w:rPr>
            </w:pPr>
            <w:r>
              <w:rPr>
                <w:rFonts w:ascii="Arial" w:cs="Arial" w:eastAsia="Arial" w:hAnsi="Arial"/>
                <w:sz w:val="18"/>
                <w:szCs w:val="18"/>
                <w:color w:val="0000EE"/>
              </w:rPr>
              <w:t>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78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240" w:type="dxa"/>
            <w:vAlign w:val="bottom"/>
            <w:gridSpan w:val="18"/>
          </w:tcPr>
          <w:p>
            <w:pPr>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6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9"/>
        </w:trPr>
        <w:tc>
          <w:tcPr>
            <w:tcW w:w="6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240" w:type="dxa"/>
            <w:vAlign w:val="bottom"/>
            <w:gridSpan w:val="18"/>
          </w:tcPr>
          <w:p>
            <w:pPr>
              <w:spacing w:after="0"/>
              <w:rPr>
                <w:sz w:val="20"/>
                <w:szCs w:val="20"/>
                <w:color w:val="auto"/>
              </w:rPr>
            </w:pPr>
            <w:r>
              <w:rPr>
                <w:rFonts w:ascii="Arial" w:cs="Arial" w:eastAsia="Arial" w:hAnsi="Arial"/>
                <w:sz w:val="18"/>
                <w:szCs w:val="18"/>
                <w:color w:val="auto"/>
              </w:rPr>
              <w:t>Defaults Upon Senior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240" w:type="dxa"/>
            <w:vAlign w:val="bottom"/>
            <w:gridSpan w:val="18"/>
          </w:tcPr>
          <w:p>
            <w:pPr>
              <w:spacing w:after="0"/>
              <w:rPr>
                <w:sz w:val="20"/>
                <w:szCs w:val="20"/>
                <w:color w:val="auto"/>
              </w:rPr>
            </w:pPr>
            <w:r>
              <w:rPr>
                <w:rFonts w:ascii="Arial" w:cs="Arial" w:eastAsia="Arial" w:hAnsi="Arial"/>
                <w:sz w:val="18"/>
                <w:szCs w:val="18"/>
                <w:color w:val="auto"/>
              </w:rPr>
              <w:t>Mine Safety Disclosures</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724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60"/>
        </w:trPr>
        <w:tc>
          <w:tcPr>
            <w:tcW w:w="80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240" w:type="dxa"/>
            <w:vAlign w:val="bottom"/>
            <w:gridSpan w:val="18"/>
          </w:tcPr>
          <w:p>
            <w:pPr>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Signatures</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right="59" w:hanging="10"/>
        <w:spacing w:after="0" w:line="271" w:lineRule="auto"/>
        <w:tabs>
          <w:tab w:leader="none" w:pos="70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item has been omitted pursuant to the reduced disclosure format as set forth in General Instructions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9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Unless otherwise required by the context, in this report, the words “DISH Network,” “DISH,” the “Company,” “we,” “our” and “us” refer to DISH Network Corporation and its subsidiaries, “EchoStar” refers to EchoStar Corporation, our parent company, and its subsidiaries, including us, and “DISH DBS” and “DDBS” refers to DISH DBS Corporation, our wholly-owned, indirect subsidiary and its subsidiaries.</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Integration</w:t>
      </w:r>
    </w:p>
    <w:p>
      <w:pPr>
        <w:spacing w:after="0" w:line="198" w:lineRule="exact"/>
        <w:rPr>
          <w:sz w:val="20"/>
          <w:szCs w:val="20"/>
          <w:color w:val="auto"/>
        </w:rPr>
      </w:pPr>
    </w:p>
    <w:p>
      <w:pPr>
        <w:ind w:left="720" w:right="3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Although we expect that the Merger will result in synergies and other benefits, those synergies and benefits may not be realized in the amounts anticipated, or may not be realized within the expected timeframe, or at all, and risks associated with the foregoing may also result from any extended delay in the Integration.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198" w:lineRule="exact"/>
        <w:rPr>
          <w:sz w:val="20"/>
          <w:szCs w:val="20"/>
          <w:color w:val="auto"/>
        </w:rPr>
      </w:pPr>
    </w:p>
    <w:p>
      <w:pPr>
        <w:ind w:left="720" w:right="119" w:hanging="319"/>
        <w:spacing w:after="0" w:line="239"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2"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ind w:left="720" w:right="279" w:hanging="319"/>
        <w:spacing w:after="0" w:line="248" w:lineRule="auto"/>
        <w:tabs>
          <w:tab w:leader="none" w:pos="7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ind w:left="720" w:right="29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2" w:lineRule="exact"/>
        <w:rPr>
          <w:rFonts w:ascii="Times New Roman" w:cs="Times New Roman" w:eastAsia="Times New Roman" w:hAnsi="Times New Roman"/>
          <w:sz w:val="18"/>
          <w:szCs w:val="18"/>
          <w:color w:val="auto"/>
        </w:rPr>
      </w:pPr>
    </w:p>
    <w:p>
      <w:pPr>
        <w:ind w:left="720" w:right="33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rely on to provide wireless services to our customers, and they may seek to limit, reduce or terminate our network access to the extent that it becomes competitively advantageous to do so.</w:t>
      </w:r>
    </w:p>
    <w:p>
      <w:pPr>
        <w:spacing w:after="0" w:line="1" w:lineRule="exact"/>
        <w:rPr>
          <w:rFonts w:ascii="Times New Roman" w:cs="Times New Roman" w:eastAsia="Times New Roman" w:hAnsi="Times New Roman"/>
          <w:sz w:val="18"/>
          <w:szCs w:val="18"/>
          <w:color w:val="auto"/>
        </w:rPr>
      </w:pPr>
    </w:p>
    <w:p>
      <w:pPr>
        <w:ind w:left="720" w:right="439" w:hanging="319"/>
        <w:spacing w:after="0" w:line="242" w:lineRule="auto"/>
        <w:tabs>
          <w:tab w:leader="none" w:pos="72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198" w:lineRule="exact"/>
        <w:rPr>
          <w:sz w:val="20"/>
          <w:szCs w:val="20"/>
          <w:color w:val="auto"/>
        </w:rPr>
      </w:pPr>
    </w:p>
    <w:p>
      <w:pPr>
        <w:ind w:left="720" w:right="339" w:hanging="319"/>
        <w:spacing w:after="0" w:line="259" w:lineRule="auto"/>
        <w:tabs>
          <w:tab w:leader="none" w:pos="7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Any deterioration in our operational performance, subscriber activations and churn rate and subscriber satisfaction could adversely affect our business, financial condition and results of operations.</w:t>
      </w:r>
    </w:p>
    <w:p>
      <w:pPr>
        <w:ind w:left="720" w:right="23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15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720" w:right="23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 w:lineRule="exact"/>
        <w:rPr>
          <w:rFonts w:ascii="Times New Roman" w:cs="Times New Roman" w:eastAsia="Times New Roman" w:hAnsi="Times New Roman"/>
          <w:sz w:val="18"/>
          <w:szCs w:val="18"/>
          <w:color w:val="auto"/>
        </w:rPr>
      </w:pPr>
    </w:p>
    <w:p>
      <w:pPr>
        <w:ind w:left="720" w:right="499" w:hanging="319"/>
        <w:spacing w:after="0" w:line="249"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198" w:lineRule="exact"/>
        <w:rPr>
          <w:sz w:val="20"/>
          <w:szCs w:val="20"/>
          <w:color w:val="auto"/>
        </w:rPr>
      </w:pPr>
    </w:p>
    <w:p>
      <w:pPr>
        <w:ind w:left="720" w:right="219" w:hanging="319"/>
        <w:spacing w:after="0" w:line="241"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599" w:hanging="319"/>
        <w:spacing w:after="0" w:line="249"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198" w:lineRule="exact"/>
        <w:rPr>
          <w:sz w:val="20"/>
          <w:szCs w:val="20"/>
          <w:color w:val="auto"/>
        </w:rPr>
      </w:pPr>
    </w:p>
    <w:p>
      <w:pPr>
        <w:ind w:left="720" w:right="159" w:hanging="319"/>
        <w:spacing w:after="0" w:line="24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 w:lineRule="exact"/>
        <w:rPr>
          <w:rFonts w:ascii="Times New Roman" w:cs="Times New Roman" w:eastAsia="Times New Roman" w:hAnsi="Times New Roman"/>
          <w:sz w:val="18"/>
          <w:szCs w:val="18"/>
          <w:color w:val="auto"/>
        </w:rPr>
      </w:pPr>
    </w:p>
    <w:p>
      <w:pPr>
        <w:ind w:left="720" w:right="239" w:hanging="319"/>
        <w:spacing w:after="0" w:line="23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become, party to various lawsuits which, if adversely decided, could have a significant adverse impact on our business, particularly lawsuits regarding intellectual property.</w:t>
      </w:r>
    </w:p>
    <w:p>
      <w:pPr>
        <w:jc w:val="both"/>
        <w:ind w:left="720" w:right="359" w:hanging="319"/>
        <w:spacing w:after="0" w:line="242"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198" w:lineRule="exact"/>
        <w:rPr>
          <w:sz w:val="20"/>
          <w:szCs w:val="20"/>
          <w:color w:val="auto"/>
        </w:rPr>
      </w:pPr>
    </w:p>
    <w:p>
      <w:pPr>
        <w:ind w:left="720" w:right="279" w:hanging="319"/>
        <w:spacing w:after="0" w:line="239"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2" w:lineRule="exact"/>
        <w:rPr>
          <w:rFonts w:ascii="Times New Roman" w:cs="Times New Roman" w:eastAsia="Times New Roman" w:hAnsi="Times New Roman"/>
          <w:sz w:val="18"/>
          <w:szCs w:val="18"/>
          <w:color w:val="auto"/>
        </w:rPr>
      </w:pPr>
    </w:p>
    <w:p>
      <w:pPr>
        <w:ind w:left="720" w:right="579" w:hanging="319"/>
        <w:spacing w:after="0" w:line="249"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98" w:lineRule="exact"/>
        <w:rPr>
          <w:sz w:val="20"/>
          <w:szCs w:val="20"/>
          <w:color w:val="auto"/>
        </w:rPr>
      </w:pPr>
    </w:p>
    <w:p>
      <w:pPr>
        <w:ind w:left="720" w:right="459" w:hanging="319"/>
        <w:spacing w:after="0" w:line="300" w:lineRule="auto"/>
        <w:tabs>
          <w:tab w:leader="none" w:pos="7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720" w:right="179" w:hanging="319"/>
        <w:spacing w:after="0" w:line="255" w:lineRule="auto"/>
        <w:tabs>
          <w:tab w:leader="none" w:pos="7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 w:lineRule="exact"/>
        <w:rPr>
          <w:rFonts w:ascii="Times New Roman" w:cs="Times New Roman" w:eastAsia="Times New Roman" w:hAnsi="Times New Roman"/>
          <w:sz w:val="17"/>
          <w:szCs w:val="17"/>
          <w:color w:val="auto"/>
        </w:rPr>
      </w:pPr>
    </w:p>
    <w:p>
      <w:pPr>
        <w:ind w:left="720" w:right="319" w:hanging="319"/>
        <w:spacing w:after="0" w:line="234"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we may be unable to realize a return on these assets.</w:t>
      </w:r>
    </w:p>
    <w:p>
      <w:pPr>
        <w:ind w:left="720" w:right="899" w:hanging="319"/>
        <w:spacing w:after="0" w:line="234"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additional capital, which may not be available on favorable terms, to fund current obligations, to continue investing in our business and to finance acquisitions and other strategic transactions.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parent, EchoStar, is controlled by one principal stockholder, who is also our Chairman.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198" w:lineRule="exact"/>
        <w:rPr>
          <w:sz w:val="20"/>
          <w:szCs w:val="20"/>
          <w:color w:val="auto"/>
        </w:rPr>
      </w:pPr>
    </w:p>
    <w:p>
      <w:pPr>
        <w:ind w:left="720" w:right="9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4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of our most recent Annual Report on Form 10-K (the “10-K”) filed with the SEC, those discussed in “Management’s Narrative Analysis of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jc w:val="center"/>
        <w:ind w:right="-19"/>
        <w:spacing w:after="0" w:line="232" w:lineRule="auto"/>
        <w:rPr>
          <w:sz w:val="20"/>
          <w:szCs w:val="20"/>
          <w:color w:val="auto"/>
        </w:rPr>
      </w:pPr>
      <w:r>
        <w:rPr>
          <w:rFonts w:ascii="Arial" w:cs="Arial" w:eastAsia="Arial" w:hAnsi="Arial"/>
          <w:sz w:val="17"/>
          <w:szCs w:val="17"/>
          <w:color w:val="auto"/>
        </w:rPr>
        <w:t>(Dollars in thousands, except share amounts)</w:t>
      </w:r>
    </w:p>
    <w:p>
      <w:pPr>
        <w:jc w:val="center"/>
        <w:ind w:right="-19"/>
        <w:spacing w:after="0"/>
        <w:rPr>
          <w:sz w:val="20"/>
          <w:szCs w:val="20"/>
          <w:color w:val="auto"/>
        </w:rPr>
      </w:pPr>
      <w:r>
        <w:rPr>
          <w:rFonts w:ascii="Arial" w:cs="Arial" w:eastAsia="Arial" w:hAnsi="Arial"/>
          <w:sz w:val="17"/>
          <w:szCs w:val="17"/>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373,641</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Marketable investment securities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8,122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2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Trade accounts receivable, net of allowance for credit losses of $62,102 and $53,991,</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respectively (Note 12)</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1,045,022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890,333</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Inventory</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463,421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497,058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Prepaids and other assets</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603,950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572,199</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2,308</w:t>
            </w:r>
          </w:p>
        </w:tc>
        <w:tc>
          <w:tcPr>
            <w:tcW w:w="5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4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2,394,620</w:t>
            </w: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2,343,661</w:t>
            </w: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Noncurrent Assets:</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Restricted cash, cash equivalents and marketable investment securities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110,303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108,879</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and equipment, net</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7,265,893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7,401,947</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Regulatory authorizations, net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30,282,338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38,114,249</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investments, net</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131,834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168,825</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Operating lease assets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2,965,490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2,934,862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assets, net</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172,726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181,118</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Intangible assets, net</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114,839</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159,490</w:t>
            </w:r>
          </w:p>
        </w:tc>
        <w:tc>
          <w:tcPr>
            <w:tcW w:w="5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noncurrent assets</w:t>
            </w:r>
          </w:p>
        </w:tc>
        <w:tc>
          <w:tcPr>
            <w:tcW w:w="4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41,043,423</w:t>
            </w: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49,069,370</w:t>
            </w: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40" w:type="dxa"/>
            <w:vAlign w:val="bottom"/>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4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43,438,043</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51,413,031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0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Current Liabilities:</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Trade accounts payable</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491,859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673,291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revenue and other</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611,312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638,471</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Accrued programming</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1,485,798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1,427,762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interest</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392,602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258,603</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Intercompany Loan 2026 Tranche - Interest payable in cash (Note 8)</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43,054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accrued expenses and liabilities</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1,582,761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1,552,610</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Current portion of long-term debt and finance lease obligations (Note 8)</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2,084,090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3,041,429</w:t>
            </w:r>
          </w:p>
        </w:tc>
        <w:tc>
          <w:tcPr>
            <w:tcW w:w="5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liabilities</w:t>
            </w:r>
          </w:p>
        </w:tc>
        <w:tc>
          <w:tcPr>
            <w:tcW w:w="4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6,691,476</w:t>
            </w: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7,592,166</w:t>
            </w: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Long-Term Obligations, Net of Current Portion:</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Long-term debt and finance lease obligations, net of current portion (Note 8)</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18,160,172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18,178,288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Intercompany Loan 2026 Tranche (Note 8)</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4,696,836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Deferred tax liabilities, net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8,373,097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4,557,262</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 liabilities</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3,033,390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2,992,863</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Long-term deferred revenue and other long-term liabilities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867,728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861,896</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Intercompany Loan 2026 Tranche - Interest payable in kind (Note 8)</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46,968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040" w:type="dxa"/>
            <w:vAlign w:val="bottom"/>
            <w:gridSpan w:val="2"/>
          </w:tcPr>
          <w:p>
            <w:pPr>
              <w:spacing w:after="0" w:line="155" w:lineRule="exact"/>
              <w:rPr>
                <w:sz w:val="20"/>
                <w:szCs w:val="20"/>
                <w:color w:val="auto"/>
              </w:rPr>
            </w:pPr>
            <w:r>
              <w:rPr>
                <w:rFonts w:ascii="Arial" w:cs="Arial" w:eastAsia="Arial" w:hAnsi="Arial"/>
                <w:sz w:val="14"/>
                <w:szCs w:val="14"/>
                <w:color w:val="auto"/>
              </w:rPr>
              <w:t>Total long-term obligations, net of current portion</w:t>
            </w:r>
          </w:p>
        </w:tc>
        <w:tc>
          <w:tcPr>
            <w:tcW w:w="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35,178,191</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26,590,309</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41,869,667</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34,182,475</w:t>
            </w:r>
          </w:p>
        </w:tc>
        <w:tc>
          <w:tcPr>
            <w:tcW w:w="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9)</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interests (Note 2)</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438,382</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 (Deficit):</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20" w:type="dxa"/>
            <w:vAlign w:val="bottom"/>
          </w:tcPr>
          <w:p>
            <w:pPr>
              <w:ind w:left="100"/>
              <w:spacing w:after="0" w:line="153" w:lineRule="exact"/>
              <w:rPr>
                <w:sz w:val="20"/>
                <w:szCs w:val="20"/>
                <w:color w:val="auto"/>
              </w:rPr>
            </w:pPr>
            <w:r>
              <w:rPr>
                <w:rFonts w:ascii="Arial" w:cs="Arial" w:eastAsia="Arial" w:hAnsi="Arial"/>
                <w:sz w:val="14"/>
                <w:szCs w:val="14"/>
                <w:color w:val="auto"/>
              </w:rPr>
              <w:t>Common stock, $0 par value, 1,000 shares authorized, 1,000 shares issued and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outstanding</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1,267,147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4,916,120</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100"/>
              <w:spacing w:after="0"/>
              <w:rPr>
                <w:sz w:val="20"/>
                <w:szCs w:val="20"/>
                <w:color w:val="auto"/>
              </w:rPr>
            </w:pPr>
            <w:r>
              <w:rPr>
                <w:rFonts w:ascii="Arial" w:cs="Arial" w:eastAsia="Arial" w:hAnsi="Arial"/>
                <w:sz w:val="14"/>
                <w:szCs w:val="14"/>
                <w:color w:val="auto"/>
              </w:rPr>
              <w:t>Accumulated other comprehensive income (loss)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(2,279)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(2,676)</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earnings (deficit)</w:t>
            </w:r>
          </w:p>
        </w:tc>
        <w:tc>
          <w:tcPr>
            <w:tcW w:w="4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(140,479)</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11,876,627</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40" w:type="dxa"/>
            <w:vAlign w:val="bottom"/>
            <w:gridSpan w:val="2"/>
          </w:tcPr>
          <w:p>
            <w:pPr>
              <w:spacing w:after="0" w:line="155" w:lineRule="exact"/>
              <w:rPr>
                <w:sz w:val="20"/>
                <w:szCs w:val="20"/>
                <w:color w:val="auto"/>
              </w:rPr>
            </w:pPr>
            <w:r>
              <w:rPr>
                <w:rFonts w:ascii="Arial" w:cs="Arial" w:eastAsia="Arial" w:hAnsi="Arial"/>
                <w:sz w:val="14"/>
                <w:szCs w:val="14"/>
                <w:color w:val="auto"/>
              </w:rPr>
              <w:t>Total DISH Network stockholder's equity (deficit)</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1,124,389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16,790,071</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tcBorders>
              <w:top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Noncontrolling interests</w:t>
            </w: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443,987</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2,103</w:t>
            </w:r>
          </w:p>
        </w:tc>
        <w:tc>
          <w:tcPr>
            <w:tcW w:w="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4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1,568,376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16,792,174</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43,438,043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51,413,031</w:t>
            </w: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41" w:lineRule="auto"/>
        <w:rPr>
          <w:sz w:val="20"/>
          <w:szCs w:val="20"/>
          <w:color w:val="auto"/>
        </w:rPr>
      </w:pPr>
      <w:r>
        <w:rPr>
          <w:rFonts w:ascii="Arial" w:cs="Arial" w:eastAsia="Arial" w:hAnsi="Arial"/>
          <w:sz w:val="17"/>
          <w:szCs w:val="17"/>
          <w:b w:val="1"/>
          <w:bCs w:val="1"/>
          <w:color w:val="auto"/>
        </w:rPr>
        <w:t xml:space="preserve">DISH NETWORK CORPORATION CONDENSED CONSOLIDATED STATEMENTS OF OPERATIONS AND COMPREHENSIVE INCOME (LOSS) </w:t>
      </w:r>
      <w:r>
        <w:rPr>
          <w:rFonts w:ascii="Arial" w:cs="Arial" w:eastAsia="Arial" w:hAnsi="Arial"/>
          <w:sz w:val="17"/>
          <w:szCs w:val="17"/>
          <w:color w:val="auto"/>
        </w:rPr>
        <w:t>(Dollars in thousands, except per share amounts) (Unaudited)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1048"/>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Service revenue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3,505,432</w:t>
            </w:r>
          </w:p>
        </w:tc>
        <w:tc>
          <w:tcPr>
            <w:tcW w:w="3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3,811,588</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Equipment sales and other revenue</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134,457</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145,394</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3,639,889</w:t>
            </w: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3,956,982</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Costs and Expenses (exclusive of depreciation and amortization):</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Cost of services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2,427,503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2,331,115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Cost of sales - equipment and other</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306,534</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469,895</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512,799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586,852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367,074</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245,697</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3,613,910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3,633,559</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income (loss)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25,979</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323,423</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12,653</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40,533</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Interest expense, net of amounts capitalized</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(170,635)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(7,772)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Other, net (Note 4)</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127,342</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(30,521)</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Total other income (expense)</w:t>
            </w:r>
          </w:p>
        </w:tc>
        <w:tc>
          <w:tcPr>
            <w:tcW w:w="3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(30,640)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2,240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(4,661)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325,663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 net</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(5,570)</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(82,425)</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w:t>
            </w:r>
          </w:p>
        </w:tc>
        <w:tc>
          <w:tcPr>
            <w:tcW w:w="3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(10,231)</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243,238</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Net income (loss) attributable to noncontrolling interests, net of tax</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20,533</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 attributable to DISH Network</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(13,879)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222,705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9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b w:val="1"/>
                <w:bCs w:val="1"/>
                <w:color w:val="auto"/>
              </w:rPr>
              <w:t>Comprehensive Income (Loss):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(10,231)</w:t>
            </w:r>
          </w:p>
        </w:tc>
        <w:tc>
          <w:tcPr>
            <w:tcW w:w="3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243,238</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Other comprehensive income (loss):</w:t>
            </w: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100"/>
              <w:spacing w:after="0"/>
              <w:rPr>
                <w:sz w:val="20"/>
                <w:szCs w:val="20"/>
                <w:color w:val="auto"/>
              </w:rPr>
            </w:pPr>
            <w:r>
              <w:rPr>
                <w:rFonts w:ascii="Arial" w:cs="Arial" w:eastAsia="Arial" w:hAnsi="Arial"/>
                <w:sz w:val="14"/>
                <w:szCs w:val="14"/>
                <w:color w:val="auto"/>
              </w:rPr>
              <w:t>Unrealized holding gains (losses) on available-for-sale debt securities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0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Recognition of previously unrealized (gains) losses on available-for-sale securities included</w:t>
            </w: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 net income (loss)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100"/>
              <w:spacing w:after="0"/>
              <w:rPr>
                <w:sz w:val="20"/>
                <w:szCs w:val="20"/>
                <w:color w:val="auto"/>
              </w:rPr>
            </w:pPr>
            <w:r>
              <w:rPr>
                <w:rFonts w:ascii="Arial" w:cs="Arial" w:eastAsia="Arial" w:hAnsi="Arial"/>
                <w:sz w:val="14"/>
                <w:szCs w:val="14"/>
                <w:color w:val="auto"/>
              </w:rPr>
              <w:t>Deferred income tax (expense) benefit, net</w:t>
            </w:r>
          </w:p>
        </w:tc>
        <w:tc>
          <w:tcPr>
            <w:tcW w:w="34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i w:val="1"/>
                <w:iCs w:val="1"/>
                <w:color w:val="auto"/>
              </w:rPr>
              <w:t>Total other comprehensive income (loss), net of tax</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w:t>
            </w:r>
          </w:p>
        </w:tc>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w:t>
            </w:r>
          </w:p>
        </w:tc>
        <w:tc>
          <w:tcPr>
            <w:tcW w:w="3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3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(10,214)</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243,719</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Comprehensive income (loss) attributable to noncontrolling interests, net of tax</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20,533</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 attributable to DISH Network</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(13,862)</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223,186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STOCKHOLDER’S EQUITY (DEFICIT)</w:t>
      </w:r>
    </w:p>
    <w:p>
      <w:pPr>
        <w:jc w:val="center"/>
        <w:ind w:right="-19"/>
        <w:spacing w:after="0" w:line="232" w:lineRule="auto"/>
        <w:rPr>
          <w:sz w:val="20"/>
          <w:szCs w:val="20"/>
          <w:color w:val="auto"/>
        </w:rPr>
      </w:pPr>
      <w:r>
        <w:rPr>
          <w:rFonts w:ascii="Arial" w:cs="Arial" w:eastAsia="Arial" w:hAnsi="Arial"/>
          <w:sz w:val="17"/>
          <w:szCs w:val="17"/>
          <w:color w:val="auto"/>
        </w:rPr>
        <w:t>(In thousands)</w:t>
      </w:r>
    </w:p>
    <w:p>
      <w:pPr>
        <w:jc w:val="center"/>
        <w:ind w:right="-19"/>
        <w:spacing w:after="0"/>
        <w:rPr>
          <w:sz w:val="20"/>
          <w:szCs w:val="20"/>
          <w:color w:val="auto"/>
        </w:rPr>
      </w:pPr>
      <w:r>
        <w:rPr>
          <w:rFonts w:ascii="Arial" w:cs="Arial" w:eastAsia="Arial" w:hAnsi="Arial"/>
          <w:sz w:val="17"/>
          <w:szCs w:val="17"/>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Class A and B</w:t>
            </w:r>
          </w:p>
        </w:tc>
        <w:tc>
          <w:tcPr>
            <w:tcW w:w="8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1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7"/>
              </w:rPr>
              <w:t>Noncontrolling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jc w:val="right"/>
              <w:ind w:right="220"/>
              <w:spacing w:after="0" w:line="135"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8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Earnings</w:t>
            </w:r>
          </w:p>
        </w:tc>
        <w:tc>
          <w:tcPr>
            <w:tcW w:w="11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5"/>
          </w:tcPr>
          <w:p>
            <w:pPr>
              <w:jc w:val="center"/>
              <w:ind w:left="37"/>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(Deficit)</w:t>
            </w:r>
          </w:p>
        </w:tc>
        <w:tc>
          <w:tcPr>
            <w:tcW w:w="160" w:type="dxa"/>
            <w:vAlign w:val="bottom"/>
          </w:tcPr>
          <w:p>
            <w:pPr>
              <w:spacing w:after="0"/>
              <w:rPr>
                <w:sz w:val="13"/>
                <w:szCs w:val="13"/>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5"/>
              </w:rPr>
              <w:t>Interests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2022</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5,311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$ 4,851,392</w:t>
            </w: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ind w:right="337"/>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(3,029)</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$ 13,088,850</w:t>
            </w: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1,757</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$ 17,944,281</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464,359</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color w:val="auto"/>
              </w:rPr>
              <w:t>Issuance of Class A common stock: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awards</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(386)</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(386)</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Employee Stock Purchase Plan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3,249</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3,253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stock-based compensation</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12,037</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12,037</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Net income (loss) attributable to</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tcPr>
          <w:p>
            <w:pPr>
              <w:spacing w:after="0" w:line="117" w:lineRule="exact"/>
              <w:rPr>
                <w:sz w:val="20"/>
                <w:szCs w:val="20"/>
                <w:color w:val="auto"/>
              </w:rPr>
            </w:pPr>
            <w:r>
              <w:rPr>
                <w:rFonts w:ascii="Arial" w:cs="Arial" w:eastAsia="Arial" w:hAnsi="Arial"/>
                <w:sz w:val="13"/>
                <w:szCs w:val="13"/>
                <w:color w:val="auto"/>
              </w:rPr>
              <w:t>Net income (loss) attributable to DISH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Network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222,705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222,705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March 31, 2023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5,315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$ 4,866,292</w:t>
            </w: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ind w:right="337"/>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(2,548)</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$ 13,311,555</w:t>
            </w: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$ 18,182,498</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484,764</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26"/>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vMerge w:val="restart"/>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8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9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840" w:type="dxa"/>
            <w:vAlign w:val="bottom"/>
            <w:gridSpan w:val="4"/>
            <w:vMerge w:val="continue"/>
          </w:tcPr>
          <w:p>
            <w:pPr>
              <w:spacing w:after="0"/>
              <w:rPr>
                <w:sz w:val="11"/>
                <w:szCs w:val="11"/>
                <w:color w:val="auto"/>
              </w:rPr>
            </w:pPr>
          </w:p>
        </w:tc>
        <w:tc>
          <w:tcPr>
            <w:tcW w:w="90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7"/>
              </w:rPr>
              <w:t>Noncontrolling</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37"/>
              <w:spacing w:after="0" w:line="135" w:lineRule="exact"/>
              <w:rPr>
                <w:sz w:val="20"/>
                <w:szCs w:val="20"/>
                <w:color w:val="auto"/>
              </w:rPr>
            </w:pPr>
            <w:r>
              <w:rPr>
                <w:rFonts w:ascii="Arial" w:cs="Arial" w:eastAsia="Arial" w:hAnsi="Arial"/>
                <w:sz w:val="13"/>
                <w:szCs w:val="13"/>
                <w:b w:val="1"/>
                <w:bCs w:val="1"/>
                <w:color w:val="auto"/>
                <w:w w:val="99"/>
              </w:rPr>
              <w:t>Common</w:t>
            </w:r>
          </w:p>
        </w:tc>
        <w:tc>
          <w:tcPr>
            <w:tcW w:w="680" w:type="dxa"/>
            <w:vAlign w:val="bottom"/>
            <w:gridSpan w:val="2"/>
          </w:tcPr>
          <w:p>
            <w:pPr>
              <w:jc w:val="right"/>
              <w:ind w:right="117"/>
              <w:spacing w:after="0" w:line="135"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1"/>
                <w:szCs w:val="11"/>
                <w:color w:val="auto"/>
              </w:rPr>
            </w:pPr>
          </w:p>
        </w:tc>
        <w:tc>
          <w:tcPr>
            <w:tcW w:w="740" w:type="dxa"/>
            <w:vAlign w:val="bottom"/>
            <w:gridSpan w:val="3"/>
          </w:tcPr>
          <w:p>
            <w:pPr>
              <w:jc w:val="right"/>
              <w:ind w:right="97"/>
              <w:spacing w:after="0" w:line="135" w:lineRule="exact"/>
              <w:rPr>
                <w:sz w:val="20"/>
                <w:szCs w:val="20"/>
                <w:color w:val="auto"/>
              </w:rPr>
            </w:pPr>
            <w:r>
              <w:rPr>
                <w:rFonts w:ascii="Arial" w:cs="Arial" w:eastAsia="Arial" w:hAnsi="Arial"/>
                <w:sz w:val="13"/>
                <w:szCs w:val="13"/>
                <w:b w:val="1"/>
                <w:bCs w:val="1"/>
                <w:color w:val="auto"/>
              </w:rPr>
              <w:t>Earnings</w:t>
            </w:r>
          </w:p>
        </w:tc>
        <w:tc>
          <w:tcPr>
            <w:tcW w:w="9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92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rPr>
              <w:t>Stock</w:t>
            </w:r>
          </w:p>
        </w:tc>
        <w:tc>
          <w:tcPr>
            <w:tcW w:w="68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rPr>
              <w:t>Capital</w:t>
            </w: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Interests</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3"/>
                <w:szCs w:val="13"/>
                <w:color w:val="auto"/>
              </w:rPr>
              <w:t>— $</w:t>
            </w:r>
          </w:p>
        </w:tc>
        <w:tc>
          <w:tcPr>
            <w:tcW w:w="6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4,916,120</w:t>
            </w:r>
          </w:p>
        </w:tc>
        <w:tc>
          <w:tcPr>
            <w:tcW w:w="440" w:type="dxa"/>
            <w:vAlign w:val="bottom"/>
            <w:tcBorders>
              <w:bottom w:val="single" w:sz="8" w:color="auto"/>
            </w:tcBorders>
            <w:shd w:val="clear" w:color="auto" w:fill="CCEEFF"/>
          </w:tcPr>
          <w:p>
            <w:pPr>
              <w:jc w:val="right"/>
              <w:ind w:right="258"/>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(2,676)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11,876,627</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gridSpan w:val="4"/>
            <w:shd w:val="clear" w:color="auto" w:fill="CCEEFF"/>
          </w:tcPr>
          <w:p>
            <w:pPr>
              <w:jc w:val="right"/>
              <w:spacing w:after="0" w:line="129" w:lineRule="exact"/>
              <w:rPr>
                <w:sz w:val="20"/>
                <w:szCs w:val="20"/>
                <w:color w:val="auto"/>
              </w:rPr>
            </w:pPr>
            <w:r>
              <w:rPr>
                <w:rFonts w:ascii="Arial" w:cs="Arial" w:eastAsia="Arial" w:hAnsi="Arial"/>
                <w:sz w:val="13"/>
                <w:szCs w:val="13"/>
                <w:color w:val="auto"/>
              </w:rPr>
              <w:t>2,103</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16,792,174</w:t>
            </w:r>
          </w:p>
        </w:tc>
        <w:tc>
          <w:tcPr>
            <w:tcW w:w="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438,382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440"/>
              <w:spacing w:after="0" w:line="129"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6,115</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gridSpan w:val="2"/>
          </w:tcPr>
          <w:p>
            <w:pPr>
              <w:jc w:val="right"/>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6,115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Other comprehensive income (loss) and other</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4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20" w:type="dxa"/>
            <w:vAlign w:val="bottom"/>
            <w:gridSpan w:val="7"/>
          </w:tcPr>
          <w:p>
            <w:pPr>
              <w:spacing w:after="0" w:line="117" w:lineRule="exact"/>
              <w:rPr>
                <w:sz w:val="20"/>
                <w:szCs w:val="20"/>
                <w:color w:val="auto"/>
              </w:rPr>
            </w:pPr>
            <w:r>
              <w:rPr>
                <w:rFonts w:ascii="Arial" w:cs="Arial" w:eastAsia="Arial" w:hAnsi="Arial"/>
                <w:sz w:val="13"/>
                <w:szCs w:val="13"/>
                <w:color w:val="auto"/>
              </w:rPr>
              <w:t>Asset Transfer to EchoStar, net of deferred taxes of</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$3,775,370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99"/>
              </w:rPr>
              <w:t>(3,775,370)</w:t>
            </w:r>
          </w:p>
        </w:tc>
        <w:tc>
          <w:tcPr>
            <w:tcW w:w="4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w w:val="97"/>
              </w:rPr>
              <w:t>(12,003,227)</w:t>
            </w:r>
          </w:p>
        </w:tc>
        <w:tc>
          <w:tcPr>
            <w:tcW w:w="140" w:type="dxa"/>
            <w:vAlign w:val="bottom"/>
          </w:tcPr>
          <w:p>
            <w:pPr>
              <w:spacing w:after="0"/>
              <w:rPr>
                <w:sz w:val="13"/>
                <w:szCs w:val="13"/>
                <w:color w:val="auto"/>
              </w:rPr>
            </w:pPr>
          </w:p>
        </w:tc>
        <w:tc>
          <w:tcPr>
            <w:tcW w:w="760" w:type="dxa"/>
            <w:vAlign w:val="bottom"/>
            <w:gridSpan w:val="4"/>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(15,778,363)</w:t>
            </w:r>
          </w:p>
        </w:tc>
        <w:tc>
          <w:tcPr>
            <w:tcW w:w="1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gridSpan w:val="7"/>
            <w:shd w:val="clear" w:color="auto" w:fill="CCEEFF"/>
          </w:tcPr>
          <w:p>
            <w:pPr>
              <w:spacing w:after="0" w:line="135" w:lineRule="exact"/>
              <w:rPr>
                <w:sz w:val="20"/>
                <w:szCs w:val="20"/>
                <w:color w:val="auto"/>
              </w:rPr>
            </w:pPr>
            <w:r>
              <w:rPr>
                <w:rFonts w:ascii="Arial" w:cs="Arial" w:eastAsia="Arial" w:hAnsi="Arial"/>
                <w:sz w:val="13"/>
                <w:szCs w:val="13"/>
                <w:color w:val="auto"/>
              </w:rPr>
              <w:t>Sale of Assets to EchoStar, net of deferred taxes of $ 3,857</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5,513</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5,513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20" w:type="dxa"/>
            <w:vAlign w:val="bottom"/>
            <w:gridSpan w:val="7"/>
          </w:tcPr>
          <w:p>
            <w:pPr>
              <w:spacing w:after="0" w:line="117" w:lineRule="exact"/>
              <w:rPr>
                <w:sz w:val="20"/>
                <w:szCs w:val="20"/>
                <w:color w:val="auto"/>
              </w:rPr>
            </w:pPr>
            <w:r>
              <w:rPr>
                <w:rFonts w:ascii="Arial" w:cs="Arial" w:eastAsia="Arial" w:hAnsi="Arial"/>
                <w:sz w:val="13"/>
                <w:szCs w:val="13"/>
                <w:color w:val="auto"/>
              </w:rPr>
              <w:t>700 MHz Spectrum Sale to EchoStar, net of deferred taxes</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of $37,681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114,831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114,831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20" w:type="dxa"/>
            <w:vAlign w:val="bottom"/>
            <w:gridSpan w:val="7"/>
            <w:shd w:val="clear" w:color="auto" w:fill="CCEEFF"/>
          </w:tcPr>
          <w:p>
            <w:pPr>
              <w:spacing w:after="0" w:line="117" w:lineRule="exact"/>
              <w:rPr>
                <w:sz w:val="20"/>
                <w:szCs w:val="20"/>
                <w:color w:val="auto"/>
              </w:rPr>
            </w:pPr>
            <w:r>
              <w:rPr>
                <w:rFonts w:ascii="Arial" w:cs="Arial" w:eastAsia="Arial" w:hAnsi="Arial"/>
                <w:sz w:val="13"/>
                <w:szCs w:val="13"/>
                <w:color w:val="auto"/>
              </w:rPr>
              <w:t>Conversion of outstanding redeemable noncontrolling</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6"/>
              </w:rPr>
              <w:t>interest in SNR HoldCo to noncontrolling interest</w:t>
            </w: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gridSpan w:val="7"/>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80" w:type="dxa"/>
            <w:vAlign w:val="bottom"/>
          </w:tcPr>
          <w:p>
            <w:pPr>
              <w:spacing w:after="0"/>
              <w:rPr>
                <w:sz w:val="11"/>
                <w:szCs w:val="11"/>
                <w:color w:val="auto"/>
              </w:rPr>
            </w:pPr>
          </w:p>
        </w:tc>
        <w:tc>
          <w:tcPr>
            <w:tcW w:w="720" w:type="dxa"/>
            <w:vAlign w:val="bottom"/>
          </w:tcPr>
          <w:p>
            <w:pPr>
              <w:ind w:left="4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32</w:t>
            </w:r>
          </w:p>
        </w:tc>
        <w:tc>
          <w:tcPr>
            <w:tcW w:w="10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3,616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(13,879)</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(13,879)</w:t>
            </w: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1"/>
                <w:szCs w:val="11"/>
                <w:color w:val="auto"/>
              </w:rPr>
            </w:pPr>
          </w:p>
        </w:tc>
        <w:tc>
          <w:tcPr>
            <w:tcW w:w="720" w:type="dxa"/>
            <w:vAlign w:val="bottom"/>
          </w:tcPr>
          <w:p>
            <w:pPr>
              <w:ind w:left="440"/>
              <w:spacing w:after="0" w:line="129"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1,267,147</w:t>
            </w:r>
          </w:p>
        </w:tc>
        <w:tc>
          <w:tcPr>
            <w:tcW w:w="440" w:type="dxa"/>
            <w:vAlign w:val="bottom"/>
          </w:tcPr>
          <w:p>
            <w:pPr>
              <w:jc w:val="right"/>
              <w:ind w:right="318"/>
              <w:spacing w:after="0"/>
              <w:rPr>
                <w:sz w:val="20"/>
                <w:szCs w:val="20"/>
                <w:color w:val="auto"/>
              </w:rPr>
            </w:pPr>
            <w:r>
              <w:rPr>
                <w:rFonts w:ascii="Arial" w:cs="Arial" w:eastAsia="Arial" w:hAnsi="Arial"/>
                <w:sz w:val="10"/>
                <w:szCs w:val="10"/>
                <w:color w:val="auto"/>
                <w:w w:val="71"/>
              </w:rPr>
              <w:t>$</w:t>
            </w:r>
          </w:p>
        </w:tc>
        <w:tc>
          <w:tcPr>
            <w:tcW w:w="64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(2,279)$</w:t>
            </w:r>
          </w:p>
        </w:tc>
        <w:tc>
          <w:tcPr>
            <w:tcW w:w="880" w:type="dxa"/>
            <w:vAlign w:val="bottom"/>
            <w:gridSpan w:val="4"/>
          </w:tcPr>
          <w:p>
            <w:pPr>
              <w:jc w:val="right"/>
              <w:ind w:right="17"/>
              <w:spacing w:after="0" w:line="129" w:lineRule="exact"/>
              <w:rPr>
                <w:sz w:val="20"/>
                <w:szCs w:val="20"/>
                <w:color w:val="auto"/>
              </w:rPr>
            </w:pPr>
            <w:r>
              <w:rPr>
                <w:rFonts w:ascii="Arial" w:cs="Arial" w:eastAsia="Arial" w:hAnsi="Arial"/>
                <w:sz w:val="13"/>
                <w:szCs w:val="13"/>
                <w:color w:val="auto"/>
              </w:rPr>
              <w:t>(140,479)$</w:t>
            </w:r>
          </w:p>
        </w:tc>
        <w:tc>
          <w:tcPr>
            <w:tcW w:w="760" w:type="dxa"/>
            <w:vAlign w:val="bottom"/>
            <w:gridSpan w:val="4"/>
          </w:tcPr>
          <w:p>
            <w:pPr>
              <w:jc w:val="right"/>
              <w:spacing w:after="0" w:line="129" w:lineRule="exact"/>
              <w:rPr>
                <w:sz w:val="20"/>
                <w:szCs w:val="20"/>
                <w:color w:val="auto"/>
              </w:rPr>
            </w:pPr>
            <w:r>
              <w:rPr>
                <w:rFonts w:ascii="Arial" w:cs="Arial" w:eastAsia="Arial" w:hAnsi="Arial"/>
                <w:sz w:val="13"/>
                <w:szCs w:val="13"/>
                <w:color w:val="auto"/>
              </w:rPr>
              <w:t>443,987</w:t>
            </w:r>
          </w:p>
        </w:tc>
        <w:tc>
          <w:tcPr>
            <w:tcW w:w="10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1,568,376</w:t>
            </w:r>
          </w:p>
        </w:tc>
        <w:tc>
          <w:tcPr>
            <w:tcW w:w="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ind w:right="-19"/>
        <w:spacing w:after="0" w:line="232" w:lineRule="auto"/>
        <w:rPr>
          <w:sz w:val="20"/>
          <w:szCs w:val="20"/>
          <w:color w:val="auto"/>
        </w:rPr>
      </w:pPr>
      <w:r>
        <w:rPr>
          <w:rFonts w:ascii="Arial" w:cs="Arial" w:eastAsia="Arial" w:hAnsi="Arial"/>
          <w:sz w:val="17"/>
          <w:szCs w:val="17"/>
          <w:color w:val="auto"/>
        </w:rPr>
        <w:t>(In thousands)</w:t>
      </w:r>
    </w:p>
    <w:p>
      <w:pPr>
        <w:jc w:val="center"/>
        <w:ind w:right="-19"/>
        <w:spacing w:after="0"/>
        <w:rPr>
          <w:sz w:val="20"/>
          <w:szCs w:val="20"/>
          <w:color w:val="auto"/>
        </w:rPr>
      </w:pPr>
      <w:r>
        <w:rPr>
          <w:rFonts w:ascii="Arial" w:cs="Arial" w:eastAsia="Arial" w:hAnsi="Arial"/>
          <w:sz w:val="17"/>
          <w:szCs w:val="17"/>
          <w:color w:val="auto"/>
        </w:rPr>
        <w:t>(Unaudited)</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the Three Months Ended</w:t>
            </w:r>
          </w:p>
        </w:tc>
      </w:tr>
      <w:tr>
        <w:trPr>
          <w:trHeight w:val="178"/>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r>
      <w:tr>
        <w:trPr>
          <w:trHeight w:val="182"/>
        </w:trPr>
        <w:tc>
          <w:tcPr>
            <w:tcW w:w="6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(10,231)</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243,238</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(loss) to net cash flows from operating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367,074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245,697</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Realized and unrealized losses (gains) on investments, impairments and other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100"/>
              <w:spacing w:after="0"/>
              <w:rPr>
                <w:sz w:val="20"/>
                <w:szCs w:val="20"/>
                <w:color w:val="auto"/>
              </w:rPr>
            </w:pPr>
            <w:r>
              <w:rPr>
                <w:rFonts w:ascii="Arial" w:cs="Arial" w:eastAsia="Arial" w:hAnsi="Arial"/>
                <w:sz w:val="14"/>
                <w:szCs w:val="14"/>
                <w:color w:val="auto"/>
              </w:rPr>
              <w:t>Realized and unrealized losses (gains) on derivatives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28,961</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Realized losses (gains) on Sale of Assets to EchoStar (Note 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(128,788)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tcPr>
          <w:p>
            <w:pPr>
              <w:ind w:left="100"/>
              <w:spacing w:after="0"/>
              <w:rPr>
                <w:sz w:val="20"/>
                <w:szCs w:val="20"/>
                <w:color w:val="auto"/>
              </w:rPr>
            </w:pPr>
            <w:r>
              <w:rPr>
                <w:rFonts w:ascii="Arial" w:cs="Arial" w:eastAsia="Arial" w:hAnsi="Arial"/>
                <w:sz w:val="14"/>
                <w:szCs w:val="14"/>
                <w:color w:val="auto"/>
              </w:rPr>
              <w:t>Non-cash, stock-based compensation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12,037</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expense (benefit)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70,745</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100"/>
              <w:spacing w:after="0"/>
              <w:rPr>
                <w:sz w:val="20"/>
                <w:szCs w:val="20"/>
                <w:color w:val="auto"/>
              </w:rPr>
            </w:pPr>
            <w:r>
              <w:rPr>
                <w:rFonts w:ascii="Arial" w:cs="Arial" w:eastAsia="Arial" w:hAnsi="Arial"/>
                <w:sz w:val="14"/>
                <w:szCs w:val="14"/>
                <w:color w:val="auto"/>
              </w:rPr>
              <w:t>Changes in allowance for credit losses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long-term deferred revenue and other long-term liabilities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48,293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38,579</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Changes in current assets and current liabilities, net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96,473</w:t>
            </w:r>
          </w:p>
        </w:tc>
        <w:tc>
          <w:tcPr>
            <w:tcW w:w="120" w:type="dxa"/>
            <w:vAlign w:val="bottom"/>
            <w:shd w:val="clear" w:color="auto" w:fill="CCEEFF"/>
          </w:tcPr>
          <w:p>
            <w:pPr>
              <w:spacing w:after="0"/>
              <w:rPr>
                <w:sz w:val="17"/>
                <w:szCs w:val="17"/>
                <w:color w:val="auto"/>
              </w:rPr>
            </w:pPr>
          </w:p>
        </w:tc>
      </w:tr>
      <w:tr>
        <w:trPr>
          <w:trHeight w:val="183"/>
        </w:trPr>
        <w:tc>
          <w:tcPr>
            <w:tcW w:w="6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flows from operating activities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360,686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737,374</w:t>
            </w:r>
          </w:p>
        </w:tc>
        <w:tc>
          <w:tcPr>
            <w:tcW w:w="120" w:type="dxa"/>
            <w:vAlign w:val="bottom"/>
            <w:tcBorders>
              <w:bottom w:val="single" w:sz="8" w:color="CCEEFF"/>
            </w:tcBorders>
          </w:tcPr>
          <w:p>
            <w:pPr>
              <w:spacing w:after="0"/>
              <w:rPr>
                <w:sz w:val="15"/>
                <w:szCs w:val="15"/>
                <w:color w:val="auto"/>
              </w:rPr>
            </w:pPr>
          </w:p>
        </w:tc>
      </w:tr>
      <w:tr>
        <w:trPr>
          <w:trHeight w:val="183"/>
        </w:trPr>
        <w:tc>
          <w:tcPr>
            <w:tcW w:w="6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Purchases of marketable investment securities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(10,730)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(368,091)</w:t>
            </w: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Sales and maturities of marketable investment securities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914,422</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(415,579)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(707,210)</w:t>
            </w: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Capitalized interest related to regulatory authorizations (Note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(93,300)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(199,395)</w:t>
            </w: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Purchases of regulatory authorizations, including deposits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(1,771)</w:t>
            </w: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Sale of Assets to EchoStar (Note 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700 MHz Spectrum Sale to EchoStar (Note 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Other,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(23,352)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7"/>
                <w:szCs w:val="17"/>
                <w:color w:val="auto"/>
              </w:rPr>
            </w:pPr>
          </w:p>
        </w:tc>
      </w:tr>
      <w:tr>
        <w:trPr>
          <w:trHeight w:val="20"/>
        </w:trPr>
        <w:tc>
          <w:tcPr>
            <w:tcW w:w="6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flows from investing activities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(360,978)</w:t>
            </w:r>
          </w:p>
        </w:tc>
      </w:tr>
      <w:tr>
        <w:trPr>
          <w:trHeight w:val="183"/>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Repayment of long-term debt and finance lease obligations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(24,851)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(25,626)</w:t>
            </w: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Redemption and repurchases of senior notes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(951,168)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(1,443,179)</w:t>
            </w: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Proceeds from issuance of senior notes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1,500,000</w:t>
            </w:r>
          </w:p>
        </w:tc>
        <w:tc>
          <w:tcPr>
            <w:tcW w:w="120" w:type="dxa"/>
            <w:vAlign w:val="bottom"/>
          </w:tcPr>
          <w:p>
            <w:pPr>
              <w:spacing w:after="0"/>
              <w:rPr>
                <w:sz w:val="17"/>
                <w:szCs w:val="17"/>
                <w:color w:val="auto"/>
              </w:rPr>
            </w:pPr>
          </w:p>
        </w:tc>
      </w:tr>
      <w:tr>
        <w:trPr>
          <w:trHeight w:val="153"/>
        </w:trPr>
        <w:tc>
          <w:tcPr>
            <w:tcW w:w="67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proceeds from Class A common stock options exercised and stock issued under the Employee Stock</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1"/>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20" w:type="dxa"/>
            <w:vAlign w:val="bottom"/>
            <w:shd w:val="clear" w:color="auto" w:fill="CCEEFF"/>
          </w:tcPr>
          <w:p>
            <w:pPr>
              <w:spacing w:after="0"/>
              <w:rPr>
                <w:sz w:val="14"/>
                <w:szCs w:val="14"/>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Debt issuance costs and debt (discount) premium</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21,635</w:t>
            </w:r>
          </w:p>
        </w:tc>
        <w:tc>
          <w:tcPr>
            <w:tcW w:w="120" w:type="dxa"/>
            <w:vAlign w:val="bottom"/>
          </w:tcPr>
          <w:p>
            <w:pPr>
              <w:spacing w:after="0"/>
              <w:rPr>
                <w:sz w:val="17"/>
                <w:szCs w:val="17"/>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accrued interest in conjunction with the issuance of senior notes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34,760</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4"/>
                <w:szCs w:val="14"/>
                <w:color w:val="auto"/>
              </w:rPr>
              <w:t>Other,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(5,073)</w:t>
            </w:r>
          </w:p>
        </w:tc>
      </w:tr>
      <w:tr>
        <w:trPr>
          <w:trHeight w:val="20"/>
        </w:trPr>
        <w:tc>
          <w:tcPr>
            <w:tcW w:w="6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flows from financing activities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(976,081)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85,384</w:t>
            </w:r>
          </w:p>
        </w:tc>
        <w:tc>
          <w:tcPr>
            <w:tcW w:w="120" w:type="dxa"/>
            <w:vAlign w:val="bottom"/>
            <w:shd w:val="clear" w:color="auto" w:fill="CCEEFF"/>
          </w:tcPr>
          <w:p>
            <w:pPr>
              <w:spacing w:after="0"/>
              <w:rPr>
                <w:sz w:val="15"/>
                <w:szCs w:val="15"/>
                <w:color w:val="auto"/>
              </w:rPr>
            </w:pPr>
          </w:p>
        </w:tc>
      </w:tr>
      <w:tr>
        <w:trPr>
          <w:trHeight w:val="183"/>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cash equivalents, restricted cash and cash equivalents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(94,712)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461,780</w:t>
            </w:r>
          </w:p>
        </w:tc>
        <w:tc>
          <w:tcPr>
            <w:tcW w:w="120" w:type="dxa"/>
            <w:vAlign w:val="bottom"/>
            <w:shd w:val="clear" w:color="auto" w:fill="CCEEFF"/>
          </w:tcPr>
          <w:p>
            <w:pPr>
              <w:spacing w:after="0"/>
              <w:rPr>
                <w:sz w:val="17"/>
                <w:szCs w:val="17"/>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restricted cash and cash equivalents, beginning of period (Note 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462,748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1,847,981</w:t>
            </w:r>
          </w:p>
        </w:tc>
        <w:tc>
          <w:tcPr>
            <w:tcW w:w="120" w:type="dxa"/>
            <w:vAlign w:val="bottom"/>
            <w:tcBorders>
              <w:bottom w:val="single" w:sz="8" w:color="CCEEFF"/>
            </w:tcBorders>
          </w:tcPr>
          <w:p>
            <w:pPr>
              <w:spacing w:after="0"/>
              <w:rPr>
                <w:sz w:val="17"/>
                <w:szCs w:val="17"/>
                <w:color w:val="auto"/>
              </w:rPr>
            </w:pPr>
          </w:p>
        </w:tc>
      </w:tr>
      <w:tr>
        <w:trPr>
          <w:trHeight w:val="169"/>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restricted cash and cash equivalents, end of period (Note 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368,036</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2,309,761</w:t>
            </w:r>
          </w:p>
        </w:tc>
        <w:tc>
          <w:tcPr>
            <w:tcW w:w="120" w:type="dxa"/>
            <w:vAlign w:val="bottom"/>
            <w:shd w:val="clear" w:color="auto" w:fill="CCEEFF"/>
          </w:tcPr>
          <w:p>
            <w:pPr>
              <w:spacing w:after="0"/>
              <w:rPr>
                <w:sz w:val="14"/>
                <w:szCs w:val="14"/>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219" w:hanging="10"/>
        <w:spacing w:after="0" w:line="469" w:lineRule="auto"/>
        <w:tabs>
          <w:tab w:leader="none" w:pos="70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 Principal Business</w:t>
      </w:r>
    </w:p>
    <w:p>
      <w:pPr>
        <w:spacing w:after="0" w:line="1"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DISH Network Corporation is a holding company. Its subsidiaries (which together with DISH Network Corporation are referred to as “DISH Network,” the “Company,” “we,” “us” and/or “our,” unless otherwise required by the context) operate three primary business segments. DISH Network is a wholly-owned subsidiary of EchoStar Corporation (“EchoStar”), a publicly traded company listed on the NASDAQ Global Select Market (“NASDAQ”) under the symbol “SATS.”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and Transfer of Assets to EchoStar</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In accordance with Accounting Standards Codification </w:t>
      </w:r>
      <w:r>
        <w:rPr>
          <w:rFonts w:ascii="Arial" w:cs="Arial" w:eastAsia="Arial" w:hAnsi="Arial"/>
          <w:sz w:val="18"/>
          <w:szCs w:val="18"/>
          <w:i w:val="1"/>
          <w:iCs w:val="1"/>
          <w:color w:val="auto"/>
        </w:rPr>
        <w:t>805-50 Business Combinations – Related Issues,</w:t>
      </w:r>
      <w:r>
        <w:rPr>
          <w:rFonts w:ascii="Arial" w:cs="Arial" w:eastAsia="Arial" w:hAnsi="Arial"/>
          <w:sz w:val="18"/>
          <w:szCs w:val="18"/>
          <w:color w:val="auto"/>
        </w:rPr>
        <w:t xml:space="preserve"> for transactions among entities under common control, generally the assets transferred and/or sold are recorded at the net carrying value of the assets. The difference between the net carrying value and the fair value of the assets transferred and/or sold is recorded in “Additional paid-in capital” or “Accumulated earnings (deficit)” on our Condensed Consolidated Balance Sheets. If an asset transferred and/or sold among entities under common control is determined to be a financial asset, any gain or loss on the sale of the financial asset is recorded in “Other, net” within “Other Income (Expense)” on our Condensed Consolidated Statements of Operations and Comprehensive Income (Loss). All transactions detailed below are transactions among entities under common control.</w:t>
      </w:r>
    </w:p>
    <w:p>
      <w:pPr>
        <w:spacing w:after="0" w:line="170"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i w:val="1"/>
          <w:iCs w:val="1"/>
          <w:color w:val="auto"/>
        </w:rPr>
        <w:t xml:space="preserve">Sale of Assets to EchoStar. </w:t>
      </w:r>
      <w:r>
        <w:rPr>
          <w:rFonts w:ascii="Arial" w:cs="Arial" w:eastAsia="Arial" w:hAnsi="Arial"/>
          <w:sz w:val="18"/>
          <w:szCs w:val="18"/>
          <w:color w:val="auto"/>
        </w:rPr>
        <w:t>On January 10, 2024, we sold certain assets and equity interests to EchoStar,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the sale of a financial asset (the “Sale of Assets to EchoStar”), for fair value of approximately $246 million, of which $160 million was paid in cash and the remaining balance is recorded in “Trade accounts receivable” on our Condensed Consolidated Balance Sheets. The difference between our net carrying value of the assets sold to their fair value was $138 million, of which $6 million, net of deferred tax, was recorded in “Additional paid-in capital” on our Condensed Consolidated Balance Sheets as of March 31, 2024 and a $129 million gain related to the financial asset was recorded in “Other, net” within “Other Income (Expense)” on our Condensed Consolidated Statements of Operations and Comprehensive Income (Loss) for the three months ended March 31, 2024.</w:t>
      </w:r>
    </w:p>
    <w:p>
      <w:pPr>
        <w:spacing w:after="0" w:line="170"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i w:val="1"/>
          <w:iCs w:val="1"/>
          <w:color w:val="222222"/>
        </w:rPr>
        <w:t xml:space="preserve">Asset Transfer to EchoStar. </w:t>
      </w:r>
      <w:r>
        <w:rPr>
          <w:rFonts w:ascii="Arial" w:cs="Arial" w:eastAsia="Arial" w:hAnsi="Arial"/>
          <w:sz w:val="17"/>
          <w:szCs w:val="17"/>
          <w:color w:val="000000"/>
        </w:rPr>
        <w:t>On January 10, 2024, we transferred our wholly-owned subsidiaries that hold certain</w:t>
      </w:r>
      <w:r>
        <w:rPr>
          <w:rFonts w:ascii="Arial" w:cs="Arial" w:eastAsia="Arial" w:hAnsi="Arial"/>
          <w:sz w:val="17"/>
          <w:szCs w:val="17"/>
          <w:i w:val="1"/>
          <w:iCs w:val="1"/>
          <w:color w:val="222222"/>
        </w:rPr>
        <w:t xml:space="preserve"> </w:t>
      </w:r>
      <w:r>
        <w:rPr>
          <w:rFonts w:ascii="Arial" w:cs="Arial" w:eastAsia="Arial" w:hAnsi="Arial"/>
          <w:sz w:val="17"/>
          <w:szCs w:val="17"/>
          <w:color w:val="000000"/>
        </w:rPr>
        <w:t>of our wireless spectrum licenses, including AWS-4, H-Block, CBRS (3550-3650 MHz), C-Band – Cheyenne (3.7-3.98 GHz), 12GHz (MVDDS), LMDS, 24 GHz, 28 GHz, 37GHz, 39GHz and 47GHz to EchoStar Wireless Holding L.L.C., a direct wholly-owned subsidiary of our parent, EchoStar (together with the “Intercompany Loan 2026 Tranche” defined below, the “Asset Transfer to EchoStar”). 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2026 Tranche of $4.7 billion (the “Intercompany Loan 2026 Tranche”) to DBS Intercompany Receivable L.L.C. DBS Intercompany Receivable L.L.C. has subsequently assigned its rights as lender thereunder to EchoStar Intercompany Receivable Company L.L.C., our parent, EchoStar’s direct wholly-owned subsidiary, such that amounts owed in respect of the 2026 Tranche will now be paid by us to EchoStar Intercompany Receivable L.L.C. The transferred amount equals our historical net carrying value of these assets, which was $12.003 billion with the offset recorded as a dividend in “Accumulated earnings (deficit)” on our Condensed Consolidated Balance Sheets as of March 31,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19"/>
        <w:spacing w:after="0" w:line="266" w:lineRule="auto"/>
        <w:rPr>
          <w:sz w:val="20"/>
          <w:szCs w:val="20"/>
          <w:color w:val="auto"/>
        </w:rPr>
      </w:pPr>
      <w:r>
        <w:rPr>
          <w:rFonts w:ascii="Arial" w:cs="Arial" w:eastAsia="Arial" w:hAnsi="Arial"/>
          <w:sz w:val="17"/>
          <w:szCs w:val="17"/>
          <w:i w:val="1"/>
          <w:iCs w:val="1"/>
          <w:color w:val="auto"/>
        </w:rPr>
        <w:t xml:space="preserve">Tax Associated with the </w:t>
      </w:r>
      <w:r>
        <w:rPr>
          <w:rFonts w:ascii="Arial" w:cs="Arial" w:eastAsia="Arial" w:hAnsi="Arial"/>
          <w:sz w:val="17"/>
          <w:szCs w:val="17"/>
          <w:i w:val="1"/>
          <w:iCs w:val="1"/>
          <w:color w:val="222222"/>
        </w:rPr>
        <w:t>Asset Transfer to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months ended March 31, 2024, we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$3.775 billion in “Deferred tax liabilities, net” on our Condensed Consolidated Balance Sheets resulting from the step up in basis due to the difference in the fair value compared to the book value of the </w:t>
      </w:r>
      <w:r>
        <w:rPr>
          <w:rFonts w:ascii="Arial" w:cs="Arial" w:eastAsia="Arial" w:hAnsi="Arial"/>
          <w:sz w:val="17"/>
          <w:szCs w:val="17"/>
          <w:color w:val="222222"/>
        </w:rPr>
        <w:t>Asset Transfer to</w:t>
      </w:r>
      <w:r>
        <w:rPr>
          <w:rFonts w:ascii="Arial" w:cs="Arial" w:eastAsia="Arial" w:hAnsi="Arial"/>
          <w:sz w:val="17"/>
          <w:szCs w:val="17"/>
          <w:color w:val="auto"/>
        </w:rPr>
        <w:t xml:space="preserve"> </w:t>
      </w:r>
      <w:r>
        <w:rPr>
          <w:rFonts w:ascii="Arial" w:cs="Arial" w:eastAsia="Arial" w:hAnsi="Arial"/>
          <w:sz w:val="17"/>
          <w:szCs w:val="17"/>
          <w:color w:val="222222"/>
        </w:rPr>
        <w:t>EchoStar</w:t>
      </w:r>
      <w:r>
        <w:rPr>
          <w:rFonts w:ascii="Arial" w:cs="Arial" w:eastAsia="Arial" w:hAnsi="Arial"/>
          <w:sz w:val="17"/>
          <w:szCs w:val="17"/>
          <w:color w:val="000000"/>
        </w:rPr>
        <w:t>, with the offset recorded in “Additional paid-in capital” on our Condensed Consolidated Balance Sheets.</w:t>
      </w:r>
    </w:p>
    <w:p>
      <w:pPr>
        <w:spacing w:after="0" w:line="146" w:lineRule="exact"/>
        <w:rPr>
          <w:sz w:val="20"/>
          <w:szCs w:val="20"/>
          <w:color w:val="auto"/>
        </w:rPr>
      </w:pPr>
    </w:p>
    <w:p>
      <w:pPr>
        <w:ind w:left="60" w:right="99"/>
        <w:spacing w:after="0"/>
        <w:rPr>
          <w:sz w:val="20"/>
          <w:szCs w:val="20"/>
          <w:color w:val="auto"/>
        </w:rPr>
      </w:pPr>
      <w:r>
        <w:rPr>
          <w:rFonts w:ascii="Arial" w:cs="Arial" w:eastAsia="Arial" w:hAnsi="Arial"/>
          <w:sz w:val="18"/>
          <w:szCs w:val="18"/>
          <w:i w:val="1"/>
          <w:iCs w:val="1"/>
          <w:color w:val="auto"/>
        </w:rPr>
        <w:t xml:space="preserve">700 MHz Spectrum Sale to EchoStar. </w:t>
      </w:r>
      <w:r>
        <w:rPr>
          <w:rFonts w:ascii="Arial" w:cs="Arial" w:eastAsia="Arial" w:hAnsi="Arial"/>
          <w:sz w:val="18"/>
          <w:szCs w:val="18"/>
          <w:color w:val="auto"/>
        </w:rPr>
        <w:t>On March 12, 2024, we sold our wholly-owned subsidiary which holds the</w:t>
      </w:r>
      <w:r>
        <w:rPr>
          <w:rFonts w:ascii="Arial" w:cs="Arial" w:eastAsia="Arial" w:hAnsi="Arial"/>
          <w:sz w:val="18"/>
          <w:szCs w:val="18"/>
          <w:i w:val="1"/>
          <w:iCs w:val="1"/>
          <w:color w:val="auto"/>
        </w:rPr>
        <w:t xml:space="preserve"> </w:t>
      </w:r>
      <w:r>
        <w:rPr>
          <w:rFonts w:ascii="Arial" w:cs="Arial" w:eastAsia="Arial" w:hAnsi="Arial"/>
          <w:sz w:val="18"/>
          <w:szCs w:val="18"/>
          <w:color w:val="auto"/>
        </w:rPr>
        <w:t>700 MHz spectrum to a wholly-owned subsidiary of our parent, EchoStar (the “700 MHz Spectrum Sale to EchoStar”), for fair value of approximately $1.037 billion, of which $889 million was paid in cash and the remaining balance is recorded in “Trade accounts receivable” on our Condensed Consolidated Balance Sheets. The difference between our net carrying value of the assets sold to their fair value of $115 million, net of deferred tax, was recorded in “Additional paid-in capital” on our Condensed Consolidated Balance Sheets as of March 31, 2024. The proceeds were used to pay the remaining balance of $951 million on our 2 3/8% Convertible Note which matured on March 15, 2024.</w:t>
      </w:r>
    </w:p>
    <w:p>
      <w:pPr>
        <w:spacing w:after="0" w:line="167"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 xml:space="preserve">The Sale of Assets to EchoStar, </w:t>
      </w:r>
      <w:r>
        <w:rPr>
          <w:rFonts w:ascii="Arial" w:cs="Arial" w:eastAsia="Arial" w:hAnsi="Arial"/>
          <w:sz w:val="18"/>
          <w:szCs w:val="18"/>
          <w:color w:val="222222"/>
        </w:rPr>
        <w:t>Asset Transfer to EchoStar and</w:t>
      </w:r>
      <w:r>
        <w:rPr>
          <w:rFonts w:ascii="Arial" w:cs="Arial" w:eastAsia="Arial" w:hAnsi="Arial"/>
          <w:sz w:val="18"/>
          <w:szCs w:val="18"/>
          <w:color w:val="auto"/>
        </w:rPr>
        <w:t xml:space="preserve"> 700 MHz Spectrum Sale to EchoStar together are referred to as (the “Sale and Transfer of Assets to EchoStar”).</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EchoStar’s business in a manner that facilitates synergies, cost savings, growth opportunities and achieves other anticipated benefits (the “Integration”).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Capital Requirements</w:t>
      </w:r>
    </w:p>
    <w:p>
      <w:pPr>
        <w:spacing w:after="0" w:line="19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222222"/>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cash and cash equivalents and marketable investment securities totaled $280 million as of March 31, 2024 (“Cash on Hand”). As reflected in the condensed consolidated financial statements as of March 31, 2024, we have $1.983 billion of debt maturing in November 2024, and we are forecasting negative cash flows for the remainder of the calendar year 2024.</w:t>
      </w:r>
    </w:p>
    <w:p>
      <w:pPr>
        <w:spacing w:after="0" w:line="16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222222"/>
        </w:rPr>
        <w:t>Because we do not currently have committed financing to fund our operations for at least twelve months from the issuance of these condensed consolidated financial statements, substantial doubt exists about our and our parent, EchoStar’s, ability to continue as a going concern. We do not currently have the necessary Cash on Hand and/or projected future cash flows to fund fourth quarter operations or the November 2024 debt maturity. To address our capital needs, we are in active discussions with funding sources to raise additional capital. We cannot provide assurances that we will be successful in obtaining such new financing necessary for us to have sufficient liquidity.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222222"/>
        </w:rPr>
        <w:t>Further, if we are not successful in these endeavors, then capital expenditures to meet future FCC build-out requirements and wireless customer growth initiatives will be adversely affected.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222222"/>
        </w:rPr>
        <w:t xml:space="preserve">In addition, </w:t>
      </w:r>
      <w:r>
        <w:rPr>
          <w:rFonts w:ascii="Arial" w:cs="Arial" w:eastAsia="Arial" w:hAnsi="Arial"/>
          <w:sz w:val="18"/>
          <w:szCs w:val="18"/>
          <w:color w:val="000000"/>
        </w:rPr>
        <w:t>our parent, EchoStar, may not be able to provide additional liquidity in the future.</w:t>
      </w:r>
    </w:p>
    <w:p>
      <w:pPr>
        <w:spacing w:after="0" w:line="19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222222"/>
        </w:rPr>
        <w:t>The condensed consolidated financial statements do not include any adjustments to the amount and classification of assets and liabilities that may be necessary should we not continue as a going concern.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currently operate three primary business segments: (1) Pay-TV; (2) Retail Wireless and (3) 5G Network Deployment.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March 31, 2024, we had 8.178 million Pay-TV subscribers in the United States, including 6.258 million DISH TV subscribers and 1.920 million SLING TV subscribers.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Retail Wireless</w:t>
      </w:r>
    </w:p>
    <w:p>
      <w:pPr>
        <w:spacing w:after="0" w:line="19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(“Retail Wireless” services),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device financing arrangements.</w:t>
      </w:r>
    </w:p>
    <w:p>
      <w:pPr>
        <w:spacing w:after="0" w:line="163"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voice over new radio (“VoNR”)</w:t>
      </w:r>
      <w:r>
        <w:rPr>
          <w:rFonts w:ascii="Arial" w:cs="Arial" w:eastAsia="Arial" w:hAnsi="Arial"/>
          <w:sz w:val="18"/>
          <w:szCs w:val="18"/>
          <w:color w:val="auto"/>
        </w:rPr>
        <w:t xml:space="preserve">. We currently provide </w:t>
      </w:r>
      <w:r>
        <w:rPr>
          <w:rFonts w:ascii="Arial" w:cs="Arial" w:eastAsia="Arial" w:hAnsi="Arial"/>
          <w:sz w:val="18"/>
          <w:szCs w:val="18"/>
          <w:color w:val="0A0A0A"/>
        </w:rPr>
        <w:t>5G VoNR reaching approximately 200 million</w:t>
      </w:r>
      <w:r>
        <w:rPr>
          <w:rFonts w:ascii="Arial" w:cs="Arial" w:eastAsia="Arial" w:hAnsi="Arial"/>
          <w:sz w:val="18"/>
          <w:szCs w:val="18"/>
          <w:color w:val="auto"/>
        </w:rPr>
        <w:t xml:space="preserve"> </w:t>
      </w:r>
      <w:r>
        <w:rPr>
          <w:rFonts w:ascii="Arial" w:cs="Arial" w:eastAsia="Arial" w:hAnsi="Arial"/>
          <w:sz w:val="18"/>
          <w:szCs w:val="18"/>
          <w:color w:val="0A0A0A"/>
        </w:rPr>
        <w:t xml:space="preserve">Americans. </w:t>
      </w:r>
      <w:r>
        <w:rPr>
          <w:rFonts w:ascii="Arial" w:cs="Arial" w:eastAsia="Arial" w:hAnsi="Arial"/>
          <w:sz w:val="18"/>
          <w:szCs w:val="18"/>
          <w:color w:val="000000"/>
        </w:rPr>
        <w:t>Within our MVNO operations, today we depend on T-Mobile and AT&amp;T to provide us with network</w:t>
      </w:r>
      <w:r>
        <w:rPr>
          <w:rFonts w:ascii="Arial" w:cs="Arial" w:eastAsia="Arial" w:hAnsi="Arial"/>
          <w:sz w:val="18"/>
          <w:szCs w:val="18"/>
          <w:color w:val="0A0A0A"/>
        </w:rPr>
        <w:t xml:space="preserve"> </w:t>
      </w:r>
      <w:r>
        <w:rPr>
          <w:rFonts w:ascii="Arial" w:cs="Arial" w:eastAsia="Arial" w:hAnsi="Arial"/>
          <w:sz w:val="18"/>
          <w:szCs w:val="18"/>
          <w:color w:val="000000"/>
        </w:rPr>
        <w:t>services under the amended Master Network Services Agreement (“MNSA”) and Network Services Agreement (the “NSA”), respectively. Under the NSA, we expect AT&amp;T will become our primary network services provider. As of March 31, 2024, we had 7.297 million Wireless subscribers.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96"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$6 billion of capitalized interest related to the carrying value of such licenses. See Note 1, Note 2 and Note 9 for further information.</w:t>
      </w:r>
    </w:p>
    <w:p>
      <w:pPr>
        <w:spacing w:after="0" w:line="16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our Wireless spectrum licenses, which may affect the carrying amount of these assets and our future financial condition or results of operations. See Note 9 for further information.</w:t>
      </w:r>
    </w:p>
    <w:p>
      <w:pPr>
        <w:spacing w:after="0" w:line="163"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 xml:space="preserve">Our Wireless spectrum licenses are subject to certain interim and final build-out requirements, as well as certain renewal requirements. We plan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7"/>
          <w:szCs w:val="17"/>
          <w:color w:val="0A0A0A"/>
        </w:rPr>
        <w:t>We now have</w:t>
      </w:r>
      <w:r>
        <w:rPr>
          <w:rFonts w:ascii="Arial" w:cs="Arial" w:eastAsia="Arial" w:hAnsi="Arial"/>
          <w:sz w:val="17"/>
          <w:szCs w:val="17"/>
          <w:color w:val="auto"/>
        </w:rPr>
        <w:t xml:space="preserve"> </w:t>
      </w:r>
      <w:r>
        <w:rPr>
          <w:rFonts w:ascii="Arial" w:cs="Arial" w:eastAsia="Arial" w:hAnsi="Arial"/>
          <w:sz w:val="17"/>
          <w:szCs w:val="17"/>
          <w:color w:val="0A0A0A"/>
        </w:rPr>
        <w:t xml:space="preserve">the largest commercial deployment of 5G VoNR in the world reaching approximately 200 million Americans and </w:t>
      </w:r>
      <w:r>
        <w:rPr>
          <w:rFonts w:ascii="Arial" w:cs="Arial" w:eastAsia="Arial" w:hAnsi="Arial"/>
          <w:sz w:val="17"/>
          <w:szCs w:val="17"/>
          <w:color w:val="000000"/>
        </w:rPr>
        <w:t xml:space="preserve">5G broadband service </w:t>
      </w:r>
      <w:r>
        <w:rPr>
          <w:rFonts w:ascii="Arial" w:cs="Arial" w:eastAsia="Arial" w:hAnsi="Arial"/>
          <w:sz w:val="17"/>
          <w:szCs w:val="17"/>
          <w:color w:val="0A0A0A"/>
        </w:rPr>
        <w:t>reaching approximately 250 million Americans.</w:t>
      </w:r>
    </w:p>
    <w:p>
      <w:pPr>
        <w:spacing w:after="0" w:line="163"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9 for further information.</w:t>
      </w:r>
    </w:p>
    <w:p>
      <w:pPr>
        <w:spacing w:after="0" w:line="145"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 Certain prior period amounts have been reclassified to conform to the current period presentation.</w:t>
      </w:r>
    </w:p>
    <w:p>
      <w:pPr>
        <w:spacing w:after="0" w:line="15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Historically, as we built-out our 5G Network, certain direct costs related to our 5G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including lease expense on communication towers, transport, cloud services and other costs, were presented within “Cost of sales – equipment and other” on our Condensed Consolidated Statements of Operations and Comprehensive Income (Loss) as our 5G Network service had not commenced. As we have commenced utilizing our 5G Network for commercial traffic, such amounts now represent costs of operating our 5G Network and are, beginning on January 1, 2024, presented within the “Cost of services” on our Condensed Consolidated Statements of Operations and Comprehensive Income (Loss). The change has no impact on net income. For the three months ended March 31, 2023, the direct costs related to our 5G Network Deployment included within the “Cost of sales – equipment and other” on our Condensed Consolidated Statements of Operations and Comprehensive Income (Loss) were $183 million.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96" w:lineRule="exact"/>
        <w:rPr>
          <w:sz w:val="20"/>
          <w:szCs w:val="20"/>
          <w:color w:val="auto"/>
        </w:rPr>
      </w:pPr>
    </w:p>
    <w:p>
      <w:pPr>
        <w:ind w:left="60" w:right="219"/>
        <w:spacing w:after="0"/>
        <w:rPr>
          <w:sz w:val="20"/>
          <w:szCs w:val="20"/>
          <w:color w:val="auto"/>
        </w:rPr>
      </w:pPr>
      <w:r>
        <w:rPr>
          <w:rFonts w:ascii="Arial" w:cs="Arial" w:eastAsia="Arial" w:hAnsi="Arial"/>
          <w:sz w:val="18"/>
          <w:szCs w:val="18"/>
          <w:i w:val="1"/>
          <w:iCs w:val="1"/>
          <w:color w:val="auto"/>
        </w:rPr>
        <w:t>Northstar Wireless</w:t>
      </w:r>
      <w:r>
        <w:rPr>
          <w:rFonts w:ascii="Arial" w:cs="Arial" w:eastAsia="Arial" w:hAnsi="Arial"/>
          <w:sz w:val="18"/>
          <w:szCs w:val="18"/>
          <w:color w:val="auto"/>
        </w:rPr>
        <w:t>. Northstar Wireless, L.L.C. (“Northstar Wireless”) is a wholly-owned subsidiary of Northstar</w:t>
      </w:r>
      <w:r>
        <w:rPr>
          <w:rFonts w:ascii="Arial" w:cs="Arial" w:eastAsia="Arial" w:hAnsi="Arial"/>
          <w:sz w:val="18"/>
          <w:szCs w:val="18"/>
          <w:i w:val="1"/>
          <w:iCs w:val="1"/>
          <w:color w:val="auto"/>
        </w:rPr>
        <w:t xml:space="preserve"> </w:t>
      </w:r>
      <w:r>
        <w:rPr>
          <w:rFonts w:ascii="Arial" w:cs="Arial" w:eastAsia="Arial" w:hAnsi="Arial"/>
          <w:sz w:val="18"/>
          <w:szCs w:val="18"/>
          <w:color w:val="auto"/>
        </w:rPr>
        <w:t>Spectrum, LLC (“Northstar Spectrum”), which is an entity wholly-owned by us and, prior to October 12, 2023, by us and Northstar Manager, LLC (“NorthStar Manager”).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spacing w:after="0" w:line="171"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 xml:space="preserve">SNR Wireless. </w:t>
      </w:r>
      <w:r>
        <w:rPr>
          <w:rFonts w:ascii="Arial" w:cs="Arial" w:eastAsia="Arial" w:hAnsi="Arial"/>
          <w:sz w:val="18"/>
          <w:szCs w:val="18"/>
          <w:color w:val="auto"/>
        </w:rPr>
        <w:t>SNR Wireless LicenseCo, LLC (“SNR Wireless”) is a wholly-owned subsidiary of SNR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HoldCo, LLC (“SNR HoldCo”), which is an entity owned by us and our parent’s direct wholly-owned subsidiary, EchoStar SNR Holdco L.L.C. and, prior to February 16, 2024, by us and SNR Wireless Management, LLC (“SNR Management”). On February 16, 2024, the FCC consented to the sale of SNR Management’s ownership interests in SNR HoldCo, which was purchased by EchoStar SNR HoldCo L.L.C. for a total of approximately $442 million. This purchase resulted in the conversion of our outstanding redeemable noncontrolling interest as it relates to SNR HoldCo to noncontrolling interest, which is now held by our parent, EchoStar, as of the purchase date and we continue to consolidate the SNR Entities into our financial statements.</w:t>
      </w:r>
    </w:p>
    <w:p>
      <w:pPr>
        <w:spacing w:after="0" w:line="16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179"/>
        <w:spacing w:after="0" w:line="252" w:lineRule="auto"/>
        <w:rPr>
          <w:sz w:val="20"/>
          <w:szCs w:val="20"/>
          <w:color w:val="auto"/>
        </w:rPr>
      </w:pPr>
      <w:r>
        <w:rPr>
          <w:rFonts w:ascii="Arial" w:cs="Arial" w:eastAsia="Arial" w:hAnsi="Arial"/>
          <w:sz w:val="17"/>
          <w:szCs w:val="17"/>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fair value of options granted under our stock-based compensation plans, fair value of assets and liabilities acquired in business combinations, inputs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programming expenses and subscriber lives.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spacing w:after="0" w:line="14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 As the qualifying assets, including certain bands of wireless spectrum licenses, have been placed into service with the deployment of our 5G Network, we no longer capitalize substantially all interest on those assets. We expect this trend to continue.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359" w:hanging="319"/>
        <w:spacing w:after="0" w:line="239"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720" w:right="239" w:hanging="319"/>
        <w:spacing w:after="0" w:line="252"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57"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 xml:space="preserve">As of March 31, </w:t>
      </w:r>
      <w:r>
        <w:rPr>
          <w:rFonts w:ascii="Arial" w:cs="Arial" w:eastAsia="Arial" w:hAnsi="Arial"/>
          <w:sz w:val="18"/>
          <w:szCs w:val="18"/>
          <w:color w:val="222222"/>
        </w:rPr>
        <w:t>2024</w:t>
      </w:r>
      <w:r>
        <w:rPr>
          <w:rFonts w:ascii="Arial" w:cs="Arial" w:eastAsia="Arial" w:hAnsi="Arial"/>
          <w:sz w:val="18"/>
          <w:szCs w:val="18"/>
          <w:color w:val="auto"/>
        </w:rPr>
        <w:t xml:space="preserve"> and December 31, 2023, the carrying amount for cash and cash equivalents, trade accounts receivable (net of allowance for credit losses) and current liabilities (excluding the “Current portion of long-term debt and finance lease obligations”) was equal to or approximated fair value due to their short-term nature or proximity to current market rates.</w:t>
      </w:r>
    </w:p>
    <w:p>
      <w:pPr>
        <w:spacing w:after="0" w:line="160"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There were no transfers between levels during the three months ended March 31, 2024 and 2023. See Note 4 for the fair value of our marketable investment securities and derivative instruments.</w:t>
      </w:r>
    </w:p>
    <w:p>
      <w:pPr>
        <w:spacing w:after="0" w:line="16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Furthermore, for any sale of a financial asset in a transaction among entities under common control the difference between the net carrying value and the fair value of the assets sold, if any, is recorded as a gain or loss on the sale of the financial asset in “Other, net” within “Other Income (Expense)” on our Condensed Consolidated Statements of Operations and Comprehensive Income (Loss).</w:t>
      </w:r>
    </w:p>
    <w:p>
      <w:pPr>
        <w:spacing w:after="0" w:line="16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8 for the fair value of our long-term debt.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 our Pay-TV and Retail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 xml:space="preserve">We recognize advertising expense when incurred as a component of “Selling, general and administrative expenses” on our Condensed Consolidated Statements of Operations and Comprehensive Income (Loss). Advertising expenses totaled $123 million and $129 million for the three months ended </w:t>
      </w:r>
      <w:r>
        <w:rPr>
          <w:rFonts w:ascii="Arial" w:cs="Arial" w:eastAsia="Arial" w:hAnsi="Arial"/>
          <w:sz w:val="18"/>
          <w:szCs w:val="18"/>
          <w:color w:val="222222"/>
        </w:rPr>
        <w:t>March 31, 2024</w:t>
      </w:r>
      <w:r>
        <w:rPr>
          <w:rFonts w:ascii="Arial" w:cs="Arial" w:eastAsia="Arial" w:hAnsi="Arial"/>
          <w:sz w:val="18"/>
          <w:szCs w:val="18"/>
          <w:color w:val="auto"/>
        </w:rPr>
        <w:t xml:space="preserve"> and 2023, respectively.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319"/>
        <w:spacing w:after="0" w:line="266" w:lineRule="auto"/>
        <w:rPr>
          <w:sz w:val="20"/>
          <w:szCs w:val="20"/>
          <w:color w:val="auto"/>
        </w:rPr>
      </w:pPr>
      <w:r>
        <w:rPr>
          <w:rFonts w:ascii="Arial" w:cs="Arial" w:eastAsia="Arial" w:hAnsi="Arial"/>
          <w:sz w:val="17"/>
          <w:szCs w:val="17"/>
          <w:color w:val="auto"/>
        </w:rPr>
        <w:t xml:space="preserve">Research and development costs, not incurred in connection with customer requirements, are expensed as incurred and are included as a component of “Selling, general and administrative expenses” on our Condensed Consolidated Statements of Operations and Comprehensive Income (Loss). Research and development costs totaled $7 million and $11 million for the three months ended </w:t>
      </w:r>
      <w:r>
        <w:rPr>
          <w:rFonts w:ascii="Arial" w:cs="Arial" w:eastAsia="Arial" w:hAnsi="Arial"/>
          <w:sz w:val="17"/>
          <w:szCs w:val="17"/>
          <w:color w:val="222222"/>
        </w:rPr>
        <w:t>March 31, 2024</w:t>
      </w:r>
      <w:r>
        <w:rPr>
          <w:rFonts w:ascii="Arial" w:cs="Arial" w:eastAsia="Arial" w:hAnsi="Arial"/>
          <w:sz w:val="17"/>
          <w:szCs w:val="17"/>
          <w:color w:val="auto"/>
        </w:rPr>
        <w:t xml:space="preserve"> and 2023, respectively.</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On August 23, 2023, the FASB issued ASU 2023-05,</w:t>
      </w:r>
      <w:r>
        <w:rPr>
          <w:rFonts w:ascii="Arial" w:cs="Arial" w:eastAsia="Arial" w:hAnsi="Arial"/>
          <w:sz w:val="18"/>
          <w:szCs w:val="18"/>
          <w:i w:val="1"/>
          <w:iCs w:val="1"/>
          <w:color w:val="auto"/>
        </w:rPr>
        <w:t xml:space="preserve"> Business Combinations — Joint Venture Formations (Subtopic 805-60) </w:t>
      </w:r>
      <w:r>
        <w:rPr>
          <w:rFonts w:ascii="Arial" w:cs="Arial" w:eastAsia="Arial" w:hAnsi="Arial"/>
          <w:sz w:val="18"/>
          <w:szCs w:val="18"/>
          <w:color w:val="auto"/>
        </w:rPr>
        <w:t>(“ASU 2023-05”), which requires an entity that qualifies as either a joint venture or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are evaluating the impact the adoption of ASU 2023-05 will have on our Condensed Consolidated Financial Statements and related disclosures.</w:t>
      </w:r>
    </w:p>
    <w:p>
      <w:pPr>
        <w:spacing w:after="0" w:line="170" w:lineRule="exact"/>
        <w:rPr>
          <w:sz w:val="20"/>
          <w:szCs w:val="20"/>
          <w:color w:val="auto"/>
        </w:rPr>
      </w:pPr>
    </w:p>
    <w:p>
      <w:pPr>
        <w:ind w:left="60" w:right="219"/>
        <w:spacing w:after="0"/>
        <w:rPr>
          <w:sz w:val="20"/>
          <w:szCs w:val="20"/>
          <w:color w:val="auto"/>
        </w:rPr>
      </w:pPr>
      <w:r>
        <w:rPr>
          <w:rFonts w:ascii="Arial" w:cs="Arial" w:eastAsia="Arial" w:hAnsi="Arial"/>
          <w:sz w:val="18"/>
          <w:szCs w:val="18"/>
          <w:i w:val="1"/>
          <w:iCs w:val="1"/>
          <w:color w:val="auto"/>
        </w:rPr>
        <w:t xml:space="preserve">Segment Reporting. </w:t>
      </w:r>
      <w:r>
        <w:rPr>
          <w:rFonts w:ascii="Arial" w:cs="Arial" w:eastAsia="Arial" w:hAnsi="Arial"/>
          <w:sz w:val="18"/>
          <w:szCs w:val="18"/>
          <w:color w:val="auto"/>
        </w:rPr>
        <w:t>On November 27, 2023, the FASB issued ASU 2023-07</w:t>
      </w:r>
      <w:r>
        <w:rPr>
          <w:rFonts w:ascii="Arial" w:cs="Arial" w:eastAsia="Arial" w:hAnsi="Arial"/>
          <w:sz w:val="18"/>
          <w:szCs w:val="18"/>
          <w:i w:val="1"/>
          <w:iCs w:val="1"/>
          <w:color w:val="auto"/>
        </w:rPr>
        <w:t xml:space="preserve"> Segment Reporting (Topic 280): Improvements to Reporting Segment Disclosures </w:t>
      </w:r>
      <w:r>
        <w:rPr>
          <w:rFonts w:ascii="Arial" w:cs="Arial" w:eastAsia="Arial" w:hAnsi="Arial"/>
          <w:sz w:val="18"/>
          <w:szCs w:val="18"/>
          <w:color w:val="auto"/>
        </w:rPr>
        <w:t>(“ASU 2023-07”), which will enhance financial reporting by</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additional information about a public company’s significant segment expenses and more timely and detailed segment information reporting throughout the fiscal period. This standard will be effective for fiscal years beginning after December 15, 2023, and interim periods within fiscal years beginning after December 15, 2024. Early adoption is permitted. We are evaluating the impact the adoption of ASU 2023-07 will have on our Condensed Consolidated Financial Statements and related disclosures.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On December 14, 2023, the FASB issued ASU 2023-9,</w:t>
      </w:r>
      <w:r>
        <w:rPr>
          <w:rFonts w:ascii="Arial" w:cs="Arial" w:eastAsia="Arial" w:hAnsi="Arial"/>
          <w:sz w:val="18"/>
          <w:szCs w:val="18"/>
          <w:i w:val="1"/>
          <w:iCs w:val="1"/>
          <w:color w:val="auto"/>
        </w:rPr>
        <w:t xml:space="preserve"> Income Taxes (Topic 740)</w:t>
      </w:r>
      <w:r>
        <w:rPr>
          <w:rFonts w:ascii="Arial" w:cs="Arial" w:eastAsia="Arial" w:hAnsi="Arial"/>
          <w:sz w:val="18"/>
          <w:szCs w:val="18"/>
          <w:color w:val="auto"/>
        </w:rPr>
        <w:t>:</w:t>
      </w:r>
      <w:r>
        <w:rPr>
          <w:rFonts w:ascii="Arial" w:cs="Arial" w:eastAsia="Arial" w:hAnsi="Arial"/>
          <w:sz w:val="18"/>
          <w:szCs w:val="18"/>
          <w:i w:val="1"/>
          <w:iCs w:val="1"/>
          <w:color w:val="auto"/>
        </w:rPr>
        <w:t xml:space="preserve"> Improvements to Income Tax Disclosures </w:t>
      </w:r>
      <w:r>
        <w:rPr>
          <w:rFonts w:ascii="Arial" w:cs="Arial" w:eastAsia="Arial" w:hAnsi="Arial"/>
          <w:sz w:val="18"/>
          <w:szCs w:val="18"/>
          <w:color w:val="auto"/>
        </w:rPr>
        <w:t>(“ASU 2023-09”), which will enhance income tax disclosures. ASU 2023-09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Condensed Consolidated Financial Statements and related disclosures.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Data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Statements of Cash Flows</w:t>
      </w:r>
    </w:p>
    <w:p>
      <w:pPr>
        <w:spacing w:after="0" w:line="198" w:lineRule="exact"/>
        <w:rPr>
          <w:sz w:val="20"/>
          <w:szCs w:val="20"/>
          <w:color w:val="auto"/>
        </w:rPr>
      </w:pPr>
    </w:p>
    <w:p>
      <w:pPr>
        <w:ind w:left="60" w:right="1079"/>
        <w:spacing w:after="0" w:line="254"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tbl>
      <w:tblPr>
        <w:tblLayout w:type="fixed"/>
        <w:tblInd w:w="40" w:type="dxa"/>
        <w:tblCellMar>
          <w:top w:w="0" w:type="dxa"/>
          <w:left w:w="0" w:type="dxa"/>
          <w:bottom w:w="0" w:type="dxa"/>
          <w:right w:w="0" w:type="dxa"/>
        </w:tblCellMar>
      </w:tblPr>
      <w:tr>
        <w:trPr>
          <w:trHeight w:val="174"/>
        </w:trPr>
        <w:tc>
          <w:tcPr>
            <w:tcW w:w="6520" w:type="dxa"/>
            <w:vAlign w:val="bottom"/>
          </w:tcPr>
          <w:p>
            <w:pPr>
              <w:spacing w:after="0"/>
              <w:rPr>
                <w:sz w:val="15"/>
                <w:szCs w:val="15"/>
                <w:color w:val="auto"/>
              </w:rPr>
            </w:pPr>
          </w:p>
        </w:tc>
        <w:tc>
          <w:tcPr>
            <w:tcW w:w="2380" w:type="dxa"/>
            <w:vAlign w:val="bottom"/>
            <w:gridSpan w:val="6"/>
          </w:tcPr>
          <w:p>
            <w:pPr>
              <w:jc w:val="center"/>
              <w:ind w:right="40"/>
              <w:spacing w:after="0" w:line="175" w:lineRule="exact"/>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89"/>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center"/>
              <w:ind w:right="59"/>
              <w:spacing w:after="0" w:line="169" w:lineRule="exact"/>
              <w:rPr>
                <w:sz w:val="20"/>
                <w:szCs w:val="20"/>
                <w:color w:val="auto"/>
              </w:rPr>
            </w:pPr>
            <w:r>
              <w:rPr>
                <w:rFonts w:ascii="Arial" w:cs="Arial" w:eastAsia="Arial" w:hAnsi="Arial"/>
                <w:sz w:val="16"/>
                <w:szCs w:val="16"/>
                <w:color w:val="auto"/>
                <w:w w:val="99"/>
              </w:rPr>
              <w:t>(In thousands)</w:t>
            </w:r>
          </w:p>
        </w:tc>
        <w:tc>
          <w:tcPr>
            <w:tcW w:w="40" w:type="dxa"/>
            <w:vAlign w:val="bottom"/>
          </w:tcPr>
          <w:p>
            <w:pPr>
              <w:spacing w:after="0"/>
              <w:rPr>
                <w:sz w:val="14"/>
                <w:szCs w:val="14"/>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179,164</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218,224</w:t>
            </w:r>
          </w:p>
        </w:tc>
        <w:tc>
          <w:tcPr>
            <w:tcW w:w="40" w:type="dxa"/>
            <w:vAlign w:val="bottom"/>
            <w:shd w:val="clear" w:color="auto" w:fill="CCEEFF"/>
          </w:tcPr>
          <w:p>
            <w:pPr>
              <w:spacing w:after="0"/>
              <w:rPr>
                <w:sz w:val="16"/>
                <w:szCs w:val="16"/>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Cash received for interest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4,556</w:t>
            </w:r>
          </w:p>
        </w:tc>
        <w:tc>
          <w:tcPr>
            <w:tcW w:w="4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(42,042)</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40" w:type="dxa"/>
            <w:vAlign w:val="bottom"/>
            <w:shd w:val="clear" w:color="auto" w:fill="CCEEFF"/>
          </w:tcPr>
          <w:p>
            <w:pPr>
              <w:spacing w:after="0"/>
              <w:rPr>
                <w:sz w:val="16"/>
                <w:szCs w:val="16"/>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Capitalized interest (1)</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222,455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325,323</w:t>
            </w:r>
          </w:p>
        </w:tc>
        <w:tc>
          <w:tcPr>
            <w:tcW w:w="4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Vendor financing</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54,774</w:t>
            </w:r>
          </w:p>
        </w:tc>
        <w:tc>
          <w:tcPr>
            <w:tcW w:w="40" w:type="dxa"/>
            <w:vAlign w:val="bottom"/>
            <w:shd w:val="clear" w:color="auto" w:fill="CCEEFF"/>
          </w:tcPr>
          <w:p>
            <w:pPr>
              <w:spacing w:after="0"/>
              <w:rPr>
                <w:sz w:val="16"/>
                <w:szCs w:val="16"/>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Accrued capital expenditures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143,601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488,850</w:t>
            </w:r>
          </w:p>
        </w:tc>
        <w:tc>
          <w:tcPr>
            <w:tcW w:w="4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31,554</w:t>
            </w:r>
          </w:p>
        </w:tc>
        <w:tc>
          <w:tcPr>
            <w:tcW w:w="40" w:type="dxa"/>
            <w:vAlign w:val="bottom"/>
            <w:shd w:val="clear" w:color="auto" w:fill="CCEEFF"/>
          </w:tcPr>
          <w:p>
            <w:pPr>
              <w:spacing w:after="0"/>
              <w:rPr>
                <w:sz w:val="16"/>
                <w:szCs w:val="16"/>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Asset Transfer to EchoStar, net of deferred taxes of $3,775,370 (2)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15,778,363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5"/>
        </w:trPr>
        <w:tc>
          <w:tcPr>
            <w:tcW w:w="65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Conversion of outstanding redeemable noncontrolling interest in SNR HoldCo to</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441,998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1 for further information.</w:t>
      </w:r>
    </w:p>
    <w:p>
      <w:pPr>
        <w:spacing w:after="0" w:line="18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Beginning in 2024, DISH Network and its domestic subsidiaries join with EchoStar in filing U.S. consolidated federal income tax returns and, in some states, combined or consolidated returns. The federal and state income tax provisions or benefits recorded by DISH Network are generally those that would have been recorded if DISH Network and its domestic subsidiaries had filed returns as a consolidated group independent of EchoStar. Cash is due and paid to EchoStar based on amounts that would be payable based on DISH Network consolidated or combined group filings. Amounts are receivable from EchoStar on a basis similar to when they would be receivable from the IRS or other state taxing authorities. During the three months ended March 31, 2024, no payments were made to EchoStar for income taxes.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Exchange Offer</w:t>
      </w:r>
    </w:p>
    <w:p>
      <w:pPr>
        <w:spacing w:after="0" w:line="19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March 4, 2024, EchoStar commenced a tender offer to eligible employees (which excludes EchoStar’s and our co-founders and the non-executive/non-employee members of EchoStar’s Board of Directors) to exchange eligible stock options (which excludes the Ergen 2020 Performance Award) for new options as detailed in its Schedule TO filed March 4, 2024 with the Securities and Exchange Commission (the “Exchange Offer”), to, among other things, further align employee incentives with the current market. The Exchange Offer expired on April 1, 2024 and EchoStar accepted for exchange approximately 7 million stock options. As a result of the Exchange Offer, subsequent to March 31, 2024, the exercise price of approximately 3 million new stock options associated with our employees, affecting approximately 800 eligible employees, was adjusted to $14.04. The total incremental non-cash stock-based compensation expense resulting from the Exchange Offer is $11 million, which will be recognized over the remaining vesting period of the applicable options.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700" w:hanging="650"/>
        <w:spacing w:after="0"/>
        <w:tabs>
          <w:tab w:leader="none" w:pos="7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Investment Securities, Restricted Cash and Cash Equivalents, and Other Investments</w:t>
      </w:r>
    </w:p>
    <w:p>
      <w:pPr>
        <w:spacing w:after="0" w:line="210"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3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jc w:val="right"/>
              <w:ind w:right="939"/>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Marketable investment securities: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Current marketable investment securities: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Strategic - available-for-sale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rPr>
                <w:sz w:val="20"/>
                <w:szCs w:val="20"/>
                <w:color w:val="auto"/>
              </w:rPr>
            </w:pPr>
            <w:r>
              <w:rPr>
                <w:rFonts w:ascii="Arial" w:cs="Arial" w:eastAsia="Arial" w:hAnsi="Arial"/>
                <w:sz w:val="16"/>
                <w:szCs w:val="16"/>
                <w:color w:val="auto"/>
              </w:rPr>
              <w:t>Strategic - trading/equity</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38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442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8,122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Restricted marketable investment securities (1)</w:t>
            </w: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22,082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27,894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b w:val="1"/>
                <w:bCs w:val="1"/>
                <w:color w:val="auto"/>
              </w:rPr>
              <w:t>Restricted cash and cash equivalents (1)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88,663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b w:val="1"/>
                <w:bCs w:val="1"/>
                <w:color w:val="auto"/>
              </w:rPr>
              <w:t>Other investments, net: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 (2)</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Cost method investments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Fair value method investments</w:t>
            </w: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131,834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168,825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60" w:type="dxa"/>
            <w:vAlign w:val="bottom"/>
          </w:tcPr>
          <w:p>
            <w:pPr>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242,579</w:t>
            </w:r>
          </w:p>
        </w:tc>
        <w:tc>
          <w:tcPr>
            <w:tcW w:w="180" w:type="dxa"/>
            <w:vAlign w:val="bottom"/>
          </w:tcPr>
          <w:p>
            <w:pPr>
              <w:spacing w:after="0"/>
              <w:rPr>
                <w:sz w:val="15"/>
                <w:szCs w:val="15"/>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285,826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equivalents, and other investments, net</w:t>
            </w:r>
          </w:p>
        </w:tc>
        <w:tc>
          <w:tcPr>
            <w:tcW w:w="6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379" w:hanging="330"/>
        <w:spacing w:after="0" w:line="241"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“Restricted cash, cash equivalents and marketable investment securities” on our Condensed Consolidated Balance Sheets.</w:t>
      </w:r>
    </w:p>
    <w:p>
      <w:pPr>
        <w:spacing w:after="0" w:line="1" w:lineRule="exact"/>
        <w:rPr>
          <w:rFonts w:ascii="Arial" w:cs="Arial" w:eastAsia="Arial" w:hAnsi="Arial"/>
          <w:sz w:val="18"/>
          <w:szCs w:val="18"/>
          <w:color w:val="auto"/>
        </w:rPr>
      </w:pPr>
    </w:p>
    <w:p>
      <w:pPr>
        <w:ind w:left="380" w:right="599" w:hanging="330"/>
        <w:spacing w:after="0" w:line="250"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change primarily resulted from the Sale and Transfer of Assets to EchoStar. See Note 1 for further information.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w:t>
      </w:r>
    </w:p>
    <w:p>
      <w:pPr>
        <w:spacing w:after="0" w:line="160" w:lineRule="exact"/>
        <w:rPr>
          <w:sz w:val="20"/>
          <w:szCs w:val="20"/>
          <w:color w:val="auto"/>
        </w:rPr>
      </w:pPr>
    </w:p>
    <w:p>
      <w:pPr>
        <w:ind w:left="60" w:right="219" w:hanging="7"/>
        <w:spacing w:after="0" w:line="259" w:lineRule="auto"/>
        <w:rPr>
          <w:sz w:val="20"/>
          <w:szCs w:val="20"/>
          <w:color w:val="auto"/>
        </w:rPr>
      </w:pPr>
      <w:r>
        <w:rPr>
          <w:rFonts w:ascii="Arial" w:cs="Arial" w:eastAsia="Arial" w:hAnsi="Arial"/>
          <w:sz w:val="17"/>
          <w:szCs w:val="17"/>
          <w:color w:val="auto"/>
        </w:rPr>
        <w:t>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Current Marketable Investment Securities </w:t>
      </w:r>
      <w:r>
        <w:rPr>
          <w:rFonts w:ascii="Arial" w:cs="Arial" w:eastAsia="Arial" w:hAnsi="Arial"/>
          <w:sz w:val="18"/>
          <w:szCs w:val="18"/>
          <w:color w:val="auto"/>
        </w:rPr>
        <w:t>–</w:t>
      </w:r>
      <w:r>
        <w:rPr>
          <w:rFonts w:ascii="Arial" w:cs="Arial" w:eastAsia="Arial" w:hAnsi="Arial"/>
          <w:sz w:val="18"/>
          <w:szCs w:val="18"/>
          <w:i w:val="1"/>
          <w:iCs w:val="1"/>
          <w:color w:val="auto"/>
        </w:rPr>
        <w:t xml:space="preserve"> Strategic</w:t>
      </w:r>
    </w:p>
    <w:p>
      <w:pPr>
        <w:spacing w:after="0" w:line="19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March 31, 2024,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w:t>
      </w:r>
    </w:p>
    <w:p>
      <w:pPr>
        <w:spacing w:after="0" w:line="15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7"/>
          <w:szCs w:val="17"/>
          <w:color w:val="auto"/>
        </w:rPr>
        <w:t>As of March 31, 2024 and December 31, 2023, our restricted marketable investment securities, together with our restricted cash and cash equivalents, included amounts required as collateral for our letters of credit and trusts.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6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 entity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spacing w:after="0" w:line="163"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38"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9"/>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Level 2</w:t>
            </w:r>
          </w:p>
        </w:tc>
        <w:tc>
          <w:tcPr>
            <w:tcW w:w="740" w:type="dxa"/>
            <w:vAlign w:val="bottom"/>
            <w:gridSpan w:val="3"/>
          </w:tcPr>
          <w:p>
            <w:pPr>
              <w:ind w:left="180"/>
              <w:spacing w:after="0" w:line="183" w:lineRule="exact"/>
              <w:rPr>
                <w:sz w:val="20"/>
                <w:szCs w:val="20"/>
                <w:color w:val="auto"/>
              </w:rPr>
            </w:pPr>
            <w:r>
              <w:rPr>
                <w:rFonts w:ascii="Arial" w:cs="Arial" w:eastAsia="Arial" w:hAnsi="Arial"/>
                <w:sz w:val="16"/>
                <w:szCs w:val="16"/>
                <w:b w:val="1"/>
                <w:bCs w:val="1"/>
                <w:color w:val="auto"/>
                <w:w w:val="99"/>
              </w:rPr>
              <w:t>Level 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59"/>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w w:val="99"/>
              </w:rPr>
              <w:t>Level 1</w:t>
            </w:r>
          </w:p>
        </w:tc>
        <w:tc>
          <w:tcPr>
            <w:tcW w:w="18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5"/>
                <w:szCs w:val="15"/>
                <w:color w:val="auto"/>
              </w:rPr>
            </w:pPr>
          </w:p>
        </w:tc>
        <w:tc>
          <w:tcPr>
            <w:tcW w:w="5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7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Cash equivalents</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136,678</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107,317</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29,361</w:t>
            </w:r>
          </w:p>
        </w:tc>
        <w:tc>
          <w:tcPr>
            <w:tcW w:w="2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347,976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304,410</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43,566</w:t>
            </w:r>
          </w:p>
        </w:tc>
        <w:tc>
          <w:tcPr>
            <w:tcW w:w="34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(including restricted)</w:t>
            </w:r>
          </w:p>
        </w:tc>
        <w:tc>
          <w:tcPr>
            <w:tcW w:w="22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7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Debt securities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(including restricted):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tcPr>
          <w:p>
            <w:pPr>
              <w:spacing w:after="0" w:line="175" w:lineRule="exact"/>
              <w:rPr>
                <w:sz w:val="20"/>
                <w:szCs w:val="20"/>
                <w:color w:val="auto"/>
              </w:rPr>
            </w:pPr>
            <w:r>
              <w:rPr>
                <w:rFonts w:ascii="Arial" w:cs="Arial" w:eastAsia="Arial" w:hAnsi="Arial"/>
                <w:sz w:val="16"/>
                <w:szCs w:val="16"/>
                <w:color w:val="auto"/>
              </w:rPr>
              <w:t>U.S. Treasury and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gridSpan w:val="2"/>
          </w:tcPr>
          <w:p>
            <w:pPr>
              <w:spacing w:after="0"/>
              <w:rPr>
                <w:sz w:val="20"/>
                <w:szCs w:val="20"/>
                <w:color w:val="auto"/>
              </w:rPr>
            </w:pPr>
            <w:r>
              <w:rPr>
                <w:rFonts w:ascii="Arial" w:cs="Arial" w:eastAsia="Arial" w:hAnsi="Arial"/>
                <w:sz w:val="16"/>
                <w:szCs w:val="16"/>
                <w:color w:val="auto"/>
              </w:rPr>
              <w:t>agency securities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8,013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7,567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7,567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Corporate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7,527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7,527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4,705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4,705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6"/>
                <w:szCs w:val="16"/>
                <w:b w:val="1"/>
                <w:bCs w:val="1"/>
                <w:color w:val="auto"/>
              </w:rPr>
              <w:t>Equity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7,799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7,799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22,082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8,069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13,864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27,894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15,366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12,384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As of March 31, 2024, restricted and non-restricted marketable investment securities included debt securities of $22 million with contractual maturities within one year. Actual maturities may differ from contractual maturities as a result of our ability to sell these securities prior to maturity.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the option to purchase certain of T-Mobile’s 800 MHz spectrum licenses from T-Mobile at a fixed price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the License Purchase Agreement, as defined and detailed in our Annual Report on Form 10-K for</w:t>
      </w:r>
    </w:p>
    <w:p>
      <w:pPr>
        <w:ind w:left="60"/>
        <w:spacing w:after="0"/>
        <w:rPr>
          <w:sz w:val="20"/>
          <w:szCs w:val="20"/>
          <w:color w:val="auto"/>
        </w:rPr>
      </w:pPr>
      <w:r>
        <w:rPr>
          <w:rFonts w:ascii="Arial" w:cs="Arial" w:eastAsia="Arial" w:hAnsi="Arial"/>
          <w:sz w:val="17"/>
          <w:szCs w:val="17"/>
          <w:color w:val="auto"/>
        </w:rPr>
        <w:t>the year ended December 31, 2023. This instrument met the definition of a derivative and was valued based upon,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among other things, our estimate of the underlying asset price, the expected term, volatility, the risk free rate of</w:t>
      </w:r>
    </w:p>
    <w:p>
      <w:pPr>
        <w:ind w:left="60"/>
        <w:spacing w:after="0" w:line="234" w:lineRule="auto"/>
        <w:rPr>
          <w:sz w:val="20"/>
          <w:szCs w:val="20"/>
          <w:color w:val="auto"/>
        </w:rPr>
      </w:pPr>
      <w:r>
        <w:rPr>
          <w:rFonts w:ascii="Arial" w:cs="Arial" w:eastAsia="Arial" w:hAnsi="Arial"/>
          <w:sz w:val="18"/>
          <w:szCs w:val="18"/>
          <w:color w:val="auto"/>
        </w:rPr>
        <w:t>return and the probability of us exercising the option. As of March 31, 2024 and December 31, 2023, the</w:t>
      </w:r>
    </w:p>
    <w:p>
      <w:pPr>
        <w:ind w:left="60"/>
        <w:spacing w:after="0" w:line="235" w:lineRule="auto"/>
        <w:rPr>
          <w:sz w:val="20"/>
          <w:szCs w:val="20"/>
          <w:color w:val="auto"/>
        </w:rPr>
      </w:pPr>
      <w:r>
        <w:rPr>
          <w:rFonts w:ascii="Arial" w:cs="Arial" w:eastAsia="Arial" w:hAnsi="Arial"/>
          <w:sz w:val="18"/>
          <w:szCs w:val="18"/>
          <w:color w:val="auto"/>
        </w:rPr>
        <w:t>derivative’s fair value was zero on our Condensed Consolidated Balance Sheets. All changes in the derivative’s</w:t>
      </w:r>
    </w:p>
    <w:p>
      <w:pPr>
        <w:ind w:left="60"/>
        <w:spacing w:after="0" w:line="235" w:lineRule="auto"/>
        <w:rPr>
          <w:sz w:val="20"/>
          <w:szCs w:val="20"/>
          <w:color w:val="auto"/>
        </w:rPr>
      </w:pPr>
      <w:r>
        <w:rPr>
          <w:rFonts w:ascii="Arial" w:cs="Arial" w:eastAsia="Arial" w:hAnsi="Arial"/>
          <w:sz w:val="18"/>
          <w:szCs w:val="18"/>
          <w:color w:val="auto"/>
        </w:rPr>
        <w:t>fair value were recorded in “Other, net” on our Condensed Consolidated Statements of Operations and</w:t>
      </w:r>
    </w:p>
    <w:p>
      <w:pPr>
        <w:ind w:left="60"/>
        <w:spacing w:after="0"/>
        <w:rPr>
          <w:sz w:val="20"/>
          <w:szCs w:val="20"/>
          <w:color w:val="auto"/>
        </w:rPr>
      </w:pPr>
      <w:r>
        <w:rPr>
          <w:rFonts w:ascii="Arial" w:cs="Arial" w:eastAsia="Arial" w:hAnsi="Arial"/>
          <w:sz w:val="18"/>
          <w:szCs w:val="18"/>
          <w:color w:val="auto"/>
        </w:rPr>
        <w:t>Comprehensive Income (Loss). See the table below.</w:t>
      </w:r>
    </w:p>
    <w:p>
      <w:pPr>
        <w:spacing w:after="0" w:line="180"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222222"/>
        </w:rPr>
        <w:t xml:space="preserve">We did not exercise the option to purchase the 800 MHz spectrum licenses pursuant to the License Purchase Agreement, which expired on its own terms on April 1, 2024. As a result, the Amended Final Judgment, </w:t>
      </w:r>
      <w:r>
        <w:rPr>
          <w:rFonts w:ascii="Arial" w:cs="Arial" w:eastAsia="Arial" w:hAnsi="Arial"/>
          <w:sz w:val="18"/>
          <w:szCs w:val="18"/>
          <w:color w:val="000000"/>
        </w:rPr>
        <w:t>as defined</w:t>
      </w:r>
      <w:r>
        <w:rPr>
          <w:rFonts w:ascii="Arial" w:cs="Arial" w:eastAsia="Arial" w:hAnsi="Arial"/>
          <w:sz w:val="18"/>
          <w:szCs w:val="18"/>
          <w:color w:val="222222"/>
        </w:rPr>
        <w:t xml:space="preserve"> </w:t>
      </w:r>
      <w:r>
        <w:rPr>
          <w:rFonts w:ascii="Arial" w:cs="Arial" w:eastAsia="Arial" w:hAnsi="Arial"/>
          <w:sz w:val="18"/>
          <w:szCs w:val="18"/>
          <w:color w:val="000000"/>
        </w:rPr>
        <w:t xml:space="preserve">and detailed in our Annual Report on Form 10-K for the year ended December 31, 2023, </w:t>
      </w:r>
      <w:r>
        <w:rPr>
          <w:rFonts w:ascii="Arial" w:cs="Arial" w:eastAsia="Arial" w:hAnsi="Arial"/>
          <w:sz w:val="18"/>
          <w:szCs w:val="18"/>
          <w:color w:val="222222"/>
        </w:rPr>
        <w:t>requires T-Mobile to</w:t>
      </w:r>
      <w:r>
        <w:rPr>
          <w:rFonts w:ascii="Arial" w:cs="Arial" w:eastAsia="Arial" w:hAnsi="Arial"/>
          <w:sz w:val="18"/>
          <w:szCs w:val="18"/>
          <w:color w:val="000000"/>
        </w:rPr>
        <w:t xml:space="preserve"> </w:t>
      </w:r>
      <w:r>
        <w:rPr>
          <w:rFonts w:ascii="Arial" w:cs="Arial" w:eastAsia="Arial" w:hAnsi="Arial"/>
          <w:sz w:val="18"/>
          <w:szCs w:val="18"/>
          <w:color w:val="222222"/>
        </w:rPr>
        <w:t>auction the spectrum licenses. We expected to take part in this auction, but T-Mobile has unilaterally barred our participation.</w:t>
      </w:r>
    </w:p>
    <w:p>
      <w:pPr>
        <w:spacing w:after="0" w:line="163" w:lineRule="exact"/>
        <w:rPr>
          <w:sz w:val="20"/>
          <w:szCs w:val="20"/>
          <w:color w:val="auto"/>
        </w:rPr>
      </w:pPr>
    </w:p>
    <w:p>
      <w:pPr>
        <w:ind w:left="60" w:right="699" w:hanging="7"/>
        <w:spacing w:after="0" w:line="271" w:lineRule="auto"/>
        <w:rPr>
          <w:sz w:val="20"/>
          <w:szCs w:val="20"/>
          <w:color w:val="auto"/>
        </w:rPr>
      </w:pPr>
      <w:r>
        <w:rPr>
          <w:rFonts w:ascii="Arial" w:cs="Arial" w:eastAsia="Arial" w:hAnsi="Arial"/>
          <w:sz w:val="18"/>
          <w:szCs w:val="18"/>
          <w:color w:val="auto"/>
        </w:rPr>
        <w:t>We accounted for our option to purchase certain T-Mobile’s 800 MHz spectrum licenses under the License Purchase Agreement as a Level 3 instrument within the fair value hierarchy.</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“Other, net” within “Other Income (Expense)” included on our Condensed Consolidated Statements of Operations and Comprehensive Income (Loss) is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5920" w:type="dxa"/>
            <w:vAlign w:val="bottom"/>
            <w:vMerge w:val="restart"/>
          </w:tcPr>
          <w:p>
            <w:pPr>
              <w:spacing w:after="0"/>
              <w:rPr>
                <w:sz w:val="20"/>
                <w:szCs w:val="20"/>
                <w:color w:val="auto"/>
              </w:rPr>
            </w:pPr>
            <w:r>
              <w:rPr>
                <w:rFonts w:ascii="Arial" w:cs="Arial" w:eastAsia="Arial" w:hAnsi="Arial"/>
                <w:sz w:val="16"/>
                <w:szCs w:val="16"/>
                <w:b w:val="1"/>
                <w:bCs w:val="1"/>
                <w:color w:val="auto"/>
              </w:rPr>
              <w:t>Other, net: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4"/>
          </w:tcPr>
          <w:p>
            <w:pPr>
              <w:jc w:val="right"/>
              <w:ind w:right="519"/>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Marketable and non-marketable investment securities - realized and unrealized</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gains (losses)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52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Arial" w:cs="Arial" w:eastAsia="Arial" w:hAnsi="Arial"/>
                <w:sz w:val="16"/>
                <w:szCs w:val="16"/>
                <w:color w:val="auto"/>
              </w:rPr>
              <w:t>Sale of Assets to EchoStar - realized gains (losses)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128,788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Derivative instruments - net realized and/or unrealized gains (losses)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20"/>
                <w:szCs w:val="20"/>
                <w:color w:val="auto"/>
              </w:rPr>
            </w:pPr>
            <w:r>
              <w:rPr>
                <w:rFonts w:ascii="Arial" w:cs="Arial" w:eastAsia="Arial" w:hAnsi="Arial"/>
                <w:sz w:val="16"/>
                <w:szCs w:val="16"/>
                <w:color w:val="auto"/>
              </w:rPr>
              <w:t>Gains (losses) related to early redemption of debt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(losses) of affiliates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127,342</w:t>
            </w: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(30,521)</w:t>
            </w:r>
          </w:p>
        </w:tc>
        <w:tc>
          <w:tcPr>
            <w:tcW w:w="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354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97"/>
        </w:trPr>
        <w:tc>
          <w:tcPr>
            <w:tcW w:w="3920" w:type="dxa"/>
            <w:vAlign w:val="bottom"/>
            <w:gridSpan w:val="2"/>
          </w:tcPr>
          <w:p>
            <w:pPr>
              <w:spacing w:after="0"/>
              <w:rPr>
                <w:sz w:val="20"/>
                <w:szCs w:val="20"/>
                <w:color w:val="auto"/>
              </w:rPr>
            </w:pPr>
            <w:r>
              <w:rPr>
                <w:rFonts w:ascii="Arial" w:cs="Arial" w:eastAsia="Arial" w:hAnsi="Arial"/>
                <w:sz w:val="18"/>
                <w:szCs w:val="18"/>
                <w:color w:val="auto"/>
              </w:rPr>
              <w:t>Inventory consisted of the following:</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1"/>
        </w:trPr>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As of</w:t>
            </w:r>
          </w:p>
        </w:tc>
        <w:tc>
          <w:tcPr>
            <w:tcW w:w="1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3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r>
      <w:tr>
        <w:trPr>
          <w:trHeight w:val="203"/>
        </w:trPr>
        <w:tc>
          <w:tcPr>
            <w:tcW w:w="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83"/>
        </w:trPr>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80" w:type="dxa"/>
            <w:vAlign w:val="bottom"/>
            <w:gridSpan w:val="4"/>
          </w:tcPr>
          <w:p>
            <w:pPr>
              <w:jc w:val="right"/>
              <w:ind w:right="1299"/>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4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378,614</w:t>
            </w:r>
          </w:p>
        </w:tc>
        <w:tc>
          <w:tcPr>
            <w:tcW w:w="4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407,620</w:t>
            </w:r>
          </w:p>
        </w:tc>
        <w:tc>
          <w:tcPr>
            <w:tcW w:w="60" w:type="dxa"/>
            <w:vAlign w:val="bottom"/>
            <w:shd w:val="clear" w:color="auto" w:fill="CCEEFF"/>
          </w:tcPr>
          <w:p>
            <w:pPr>
              <w:spacing w:after="0"/>
              <w:rPr>
                <w:sz w:val="17"/>
                <w:szCs w:val="17"/>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Work-in-process and service repairs</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32,639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35,464</w:t>
            </w:r>
          </w:p>
        </w:tc>
        <w:tc>
          <w:tcPr>
            <w:tcW w:w="60" w:type="dxa"/>
            <w:vAlign w:val="bottom"/>
          </w:tcPr>
          <w:p>
            <w:pPr>
              <w:spacing w:after="0"/>
              <w:rPr>
                <w:sz w:val="17"/>
                <w:szCs w:val="17"/>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Consignment</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47,723</w:t>
            </w:r>
          </w:p>
        </w:tc>
        <w:tc>
          <w:tcPr>
            <w:tcW w:w="60" w:type="dxa"/>
            <w:vAlign w:val="bottom"/>
            <w:shd w:val="clear" w:color="auto" w:fill="CCEEFF"/>
          </w:tcPr>
          <w:p>
            <w:pPr>
              <w:spacing w:after="0"/>
              <w:rPr>
                <w:sz w:val="17"/>
                <w:szCs w:val="17"/>
                <w:color w:val="auto"/>
              </w:rPr>
            </w:pPr>
          </w:p>
        </w:tc>
      </w:tr>
      <w:tr>
        <w:trPr>
          <w:trHeight w:val="203"/>
        </w:trPr>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Raw materials</w:t>
            </w:r>
          </w:p>
        </w:tc>
        <w:tc>
          <w:tcPr>
            <w:tcW w:w="1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60" w:type="dxa"/>
            <w:vAlign w:val="bottom"/>
            <w:tcBorders>
              <w:bottom w:val="single" w:sz="8" w:color="CCEEFF"/>
            </w:tcBorders>
          </w:tcPr>
          <w:p>
            <w:pPr>
              <w:spacing w:after="0"/>
              <w:rPr>
                <w:sz w:val="17"/>
                <w:szCs w:val="17"/>
                <w:color w:val="auto"/>
              </w:rPr>
            </w:pPr>
          </w:p>
        </w:tc>
      </w:tr>
      <w:tr>
        <w:trPr>
          <w:trHeight w:val="183"/>
        </w:trPr>
        <w:tc>
          <w:tcPr>
            <w:tcW w:w="39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463,421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497,058</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consisted of the following:</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Depreciable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rPr>
              <w:t>Life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31,</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 Years)</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7"/>
                <w:szCs w:val="17"/>
                <w:color w:val="auto"/>
              </w:rPr>
            </w:pPr>
          </w:p>
        </w:tc>
      </w:tr>
      <w:tr>
        <w:trPr>
          <w:trHeight w:val="183"/>
        </w:trPr>
        <w:tc>
          <w:tcPr>
            <w:tcW w:w="5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4"/>
          </w:tcPr>
          <w:p>
            <w:pPr>
              <w:jc w:val="right"/>
              <w:ind w:right="699"/>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5"/>
                <w:szCs w:val="15"/>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1,135,665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1,181,193</w:t>
            </w:r>
          </w:p>
        </w:tc>
        <w:tc>
          <w:tcPr>
            <w:tcW w:w="40" w:type="dxa"/>
            <w:vAlign w:val="bottom"/>
            <w:shd w:val="clear" w:color="auto" w:fill="CCEEFF"/>
          </w:tcPr>
          <w:p>
            <w:pPr>
              <w:spacing w:after="0"/>
              <w:rPr>
                <w:sz w:val="17"/>
                <w:szCs w:val="17"/>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Satellites</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1,718,865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1,718,865</w:t>
            </w:r>
          </w:p>
        </w:tc>
        <w:tc>
          <w:tcPr>
            <w:tcW w:w="40" w:type="dxa"/>
            <w:vAlign w:val="bottom"/>
          </w:tcPr>
          <w:p>
            <w:pPr>
              <w:spacing w:after="0"/>
              <w:rPr>
                <w:sz w:val="17"/>
                <w:szCs w:val="17"/>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Satellites acquired under finance lease agreements</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344,447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344,447</w:t>
            </w:r>
          </w:p>
        </w:tc>
        <w:tc>
          <w:tcPr>
            <w:tcW w:w="40" w:type="dxa"/>
            <w:vAlign w:val="bottom"/>
            <w:shd w:val="clear" w:color="auto" w:fill="CCEEFF"/>
          </w:tcPr>
          <w:p>
            <w:pPr>
              <w:spacing w:after="0"/>
              <w:rPr>
                <w:sz w:val="17"/>
                <w:szCs w:val="17"/>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Furniture, fixtures, equipment and other (1)</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798,939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908,924</w:t>
            </w:r>
          </w:p>
        </w:tc>
        <w:tc>
          <w:tcPr>
            <w:tcW w:w="40" w:type="dxa"/>
            <w:vAlign w:val="bottom"/>
          </w:tcPr>
          <w:p>
            <w:pPr>
              <w:spacing w:after="0"/>
              <w:rPr>
                <w:sz w:val="17"/>
                <w:szCs w:val="17"/>
                <w:color w:val="auto"/>
              </w:rPr>
            </w:pPr>
          </w:p>
        </w:tc>
      </w:tr>
      <w:tr>
        <w:trPr>
          <w:trHeight w:val="20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 equipment (2)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4,475,376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4,263,327</w:t>
            </w:r>
          </w:p>
        </w:tc>
        <w:tc>
          <w:tcPr>
            <w:tcW w:w="40" w:type="dxa"/>
            <w:vAlign w:val="bottom"/>
            <w:shd w:val="clear" w:color="auto" w:fill="CCEEFF"/>
          </w:tcPr>
          <w:p>
            <w:pPr>
              <w:spacing w:after="0"/>
              <w:rPr>
                <w:sz w:val="17"/>
                <w:szCs w:val="17"/>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Software and computer equipment</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2,241,612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2,111,305</w:t>
            </w:r>
          </w:p>
        </w:tc>
        <w:tc>
          <w:tcPr>
            <w:tcW w:w="40" w:type="dxa"/>
            <w:vAlign w:val="bottom"/>
          </w:tcPr>
          <w:p>
            <w:pPr>
              <w:spacing w:after="0"/>
              <w:rPr>
                <w:sz w:val="17"/>
                <w:szCs w:val="17"/>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 (1)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331,010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381,757</w:t>
            </w:r>
          </w:p>
        </w:tc>
        <w:tc>
          <w:tcPr>
            <w:tcW w:w="40" w:type="dxa"/>
            <w:vAlign w:val="bottom"/>
            <w:shd w:val="clear" w:color="auto" w:fill="CCEEFF"/>
          </w:tcPr>
          <w:p>
            <w:pPr>
              <w:spacing w:after="0"/>
              <w:rPr>
                <w:sz w:val="17"/>
                <w:szCs w:val="17"/>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Land (1)</w:t>
            </w:r>
          </w:p>
        </w:tc>
        <w:tc>
          <w:tcPr>
            <w:tcW w:w="28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12,041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17,513</w:t>
            </w:r>
          </w:p>
        </w:tc>
        <w:tc>
          <w:tcPr>
            <w:tcW w:w="40" w:type="dxa"/>
            <w:vAlign w:val="bottom"/>
          </w:tcPr>
          <w:p>
            <w:pPr>
              <w:spacing w:after="0"/>
              <w:rPr>
                <w:sz w:val="17"/>
                <w:szCs w:val="17"/>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(1)</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1,689,133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1,802,000</w:t>
            </w:r>
          </w:p>
        </w:tc>
        <w:tc>
          <w:tcPr>
            <w:tcW w:w="40" w:type="dxa"/>
            <w:vAlign w:val="bottom"/>
            <w:shd w:val="clear" w:color="auto" w:fill="CCEEFF"/>
          </w:tcPr>
          <w:p>
            <w:pPr>
              <w:spacing w:after="0"/>
              <w:rPr>
                <w:sz w:val="17"/>
                <w:szCs w:val="17"/>
                <w:color w:val="auto"/>
              </w:rPr>
            </w:pPr>
          </w:p>
        </w:tc>
      </w:tr>
      <w:tr>
        <w:trPr>
          <w:trHeight w:val="183"/>
        </w:trPr>
        <w:tc>
          <w:tcPr>
            <w:tcW w:w="50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12,747,088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12,729,331</w:t>
            </w:r>
          </w:p>
        </w:tc>
        <w:tc>
          <w:tcPr>
            <w:tcW w:w="40" w:type="dxa"/>
            <w:vAlign w:val="bottom"/>
          </w:tcPr>
          <w:p>
            <w:pPr>
              <w:spacing w:after="0"/>
              <w:rPr>
                <w:sz w:val="15"/>
                <w:szCs w:val="15"/>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(5,481,195)</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(5,327,384)</w:t>
            </w:r>
          </w:p>
        </w:tc>
      </w:tr>
      <w:tr>
        <w:trPr>
          <w:trHeight w:val="183"/>
        </w:trPr>
        <w:tc>
          <w:tcPr>
            <w:tcW w:w="50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7,265,893</w:t>
            </w:r>
          </w:p>
        </w:tc>
        <w:tc>
          <w:tcPr>
            <w:tcW w:w="1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7,401,947</w:t>
            </w:r>
          </w:p>
        </w:tc>
        <w:tc>
          <w:tcPr>
            <w:tcW w:w="40" w:type="dxa"/>
            <w:vAlign w:val="bottom"/>
          </w:tcPr>
          <w:p>
            <w:pPr>
              <w:spacing w:after="0"/>
              <w:rPr>
                <w:sz w:val="15"/>
                <w:szCs w:val="15"/>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799" w:hanging="330"/>
        <w:spacing w:after="0" w:line="24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change primarily relates to the Sale and Transfer of Assets to EchoStar. See Note 1 for further information.</w:t>
      </w: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5G Network Deployment assets acquired under finance lease agreements.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16"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83"/>
        </w:trPr>
        <w:tc>
          <w:tcPr>
            <w:tcW w:w="4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gridSpan w:val="3"/>
          </w:tcPr>
          <w:p>
            <w:pPr>
              <w:jc w:val="right"/>
              <w:ind w:right="44"/>
              <w:spacing w:after="0" w:line="183" w:lineRule="exact"/>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1920" w:type="dxa"/>
            <w:vAlign w:val="bottom"/>
            <w:gridSpan w:val="2"/>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36,866</w:t>
            </w:r>
          </w:p>
        </w:tc>
        <w:tc>
          <w:tcPr>
            <w:tcW w:w="720" w:type="dxa"/>
            <w:vAlign w:val="bottom"/>
            <w:gridSpan w:val="2"/>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46,716</w:t>
            </w:r>
          </w:p>
        </w:tc>
        <w:tc>
          <w:tcPr>
            <w:tcW w:w="6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Satellites</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32,955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36,082</w:t>
            </w:r>
          </w:p>
        </w:tc>
        <w:tc>
          <w:tcPr>
            <w:tcW w:w="60" w:type="dxa"/>
            <w:vAlign w:val="bottom"/>
          </w:tcPr>
          <w:p>
            <w:pPr>
              <w:spacing w:after="0"/>
              <w:rPr>
                <w:sz w:val="17"/>
                <w:szCs w:val="17"/>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Buildings, furniture, fixtures, equipment and other</w:t>
            </w: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11,247</w:t>
            </w:r>
          </w:p>
        </w:tc>
        <w:tc>
          <w:tcPr>
            <w:tcW w:w="6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5G Network Deployment equipment</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166,822</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61,151</w:t>
            </w:r>
          </w:p>
        </w:tc>
        <w:tc>
          <w:tcPr>
            <w:tcW w:w="60" w:type="dxa"/>
            <w:vAlign w:val="bottom"/>
          </w:tcPr>
          <w:p>
            <w:pPr>
              <w:spacing w:after="0"/>
              <w:rPr>
                <w:sz w:val="17"/>
                <w:szCs w:val="17"/>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Software and computer equipment</w:t>
            </w: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80,669</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44,836</w:t>
            </w:r>
          </w:p>
        </w:tc>
        <w:tc>
          <w:tcPr>
            <w:tcW w:w="60" w:type="dxa"/>
            <w:vAlign w:val="bottom"/>
            <w:shd w:val="clear" w:color="auto" w:fill="CCEEFF"/>
          </w:tcPr>
          <w:p>
            <w:pPr>
              <w:spacing w:after="0"/>
              <w:rPr>
                <w:sz w:val="17"/>
                <w:szCs w:val="17"/>
                <w:color w:val="auto"/>
              </w:rPr>
            </w:pPr>
          </w:p>
        </w:tc>
      </w:tr>
      <w:tr>
        <w:trPr>
          <w:trHeight w:val="202"/>
        </w:trPr>
        <w:tc>
          <w:tcPr>
            <w:tcW w:w="4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Intangible assets and other amortization expense</w:t>
            </w:r>
          </w:p>
        </w:tc>
        <w:tc>
          <w:tcPr>
            <w:tcW w:w="9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44,654</w:t>
            </w: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45,665</w:t>
            </w:r>
          </w:p>
        </w:tc>
        <w:tc>
          <w:tcPr>
            <w:tcW w:w="60" w:type="dxa"/>
            <w:vAlign w:val="bottom"/>
            <w:tcBorders>
              <w:bottom w:val="single" w:sz="8" w:color="CCEEFF"/>
            </w:tcBorders>
          </w:tcPr>
          <w:p>
            <w:pPr>
              <w:spacing w:after="0"/>
              <w:rPr>
                <w:sz w:val="17"/>
                <w:szCs w:val="17"/>
                <w:color w:val="auto"/>
              </w:rPr>
            </w:pPr>
          </w:p>
        </w:tc>
      </w:tr>
      <w:tr>
        <w:trPr>
          <w:trHeight w:val="183"/>
        </w:trPr>
        <w:tc>
          <w:tcPr>
            <w:tcW w:w="44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9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367,074</w:t>
            </w: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245,697</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Deployment equipment and software.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Activity relating to our asset retirement obligations was as follows:</w:t>
      </w:r>
    </w:p>
    <w:p>
      <w:pPr>
        <w:spacing w:after="0" w:line="21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7"/>
                <w:szCs w:val="17"/>
                <w:color w:val="auto"/>
              </w:rPr>
            </w:pPr>
          </w:p>
        </w:tc>
      </w:tr>
      <w:tr>
        <w:trPr>
          <w:trHeight w:val="169"/>
        </w:trPr>
        <w:tc>
          <w:tcPr>
            <w:tcW w:w="5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gridSpan w:val="3"/>
          </w:tcPr>
          <w:p>
            <w:pPr>
              <w:jc w:val="right"/>
              <w:ind w:right="84"/>
              <w:spacing w:after="0" w:line="169" w:lineRule="exact"/>
              <w:rPr>
                <w:sz w:val="20"/>
                <w:szCs w:val="20"/>
                <w:color w:val="auto"/>
              </w:rPr>
            </w:pPr>
            <w:r>
              <w:rPr>
                <w:rFonts w:ascii="Arial" w:cs="Arial" w:eastAsia="Arial" w:hAnsi="Arial"/>
                <w:sz w:val="16"/>
                <w:szCs w:val="16"/>
                <w:color w:val="auto"/>
              </w:rPr>
              <w:t>(In thousands)</w:t>
            </w: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183,135</w:t>
            </w: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4,308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31,554</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Revision to estimated cash flows</w:t>
            </w:r>
          </w:p>
        </w:tc>
        <w:tc>
          <w:tcPr>
            <w:tcW w:w="10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3"/>
        </w:trPr>
        <w:tc>
          <w:tcPr>
            <w:tcW w:w="51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106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289,059</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218,795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5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83"/>
        </w:trPr>
        <w:tc>
          <w:tcPr>
            <w:tcW w:w="51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included in Other long-term liabilities</w:t>
            </w:r>
          </w:p>
        </w:tc>
        <w:tc>
          <w:tcPr>
            <w:tcW w:w="106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289,059</w:t>
            </w: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218,795</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corresponding assets, net of accumulated depreciation, related to asset retirement obligations were $216 million and $217 million as of March 31, 2024 and December 31, 2023,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w:t>
      </w:r>
    </w:p>
    <w:p>
      <w:pPr>
        <w:spacing w:after="0" w:line="19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Pay-TV Segment</w:t>
      </w:r>
      <w:r>
        <w:rPr>
          <w:rFonts w:ascii="Arial" w:cs="Arial" w:eastAsia="Arial" w:hAnsi="Arial"/>
          <w:sz w:val="18"/>
          <w:szCs w:val="18"/>
          <w:color w:val="auto"/>
        </w:rPr>
        <w:t>. Our Pay-TV segment currently utilizes nine satellites in geostationary orbit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22,300 miles above the equator, seven of which we own and depreciate over their estimated useful life. We also lease two satellites from third parties: Anik F3, which is accounted for as an operating lease, and Nimiq 5, which is accounted for as a finance lease and is depreciated over its economic life.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2024, our Pay-TV segment satellite fleet in service consisted of the following:</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Degree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Launch</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Orbital</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Date</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Location</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304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0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February 2006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XI</w:t>
            </w: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color w:val="auto"/>
              </w:rPr>
              <w:t>July 2008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March 2010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XV</w:t>
            </w: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color w:val="auto"/>
              </w:rPr>
              <w:t>July 2010</w:t>
            </w:r>
          </w:p>
        </w:tc>
        <w:tc>
          <w:tcPr>
            <w:tcW w:w="1020" w:type="dxa"/>
            <w:vAlign w:val="bottom"/>
          </w:tcPr>
          <w:p>
            <w:pPr>
              <w:jc w:val="center"/>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XVI</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November 2012</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XVIII</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color w:val="auto"/>
              </w:rPr>
              <w:t>June 2016</w:t>
            </w:r>
          </w:p>
        </w:tc>
        <w:tc>
          <w:tcPr>
            <w:tcW w:w="1020" w:type="dxa"/>
            <w:vAlign w:val="bottom"/>
          </w:tcPr>
          <w:p>
            <w:pPr>
              <w:jc w:val="center"/>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March 2017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Under Construction:</w:t>
            </w: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XXV (1)</w:t>
            </w:r>
          </w:p>
        </w:tc>
        <w:tc>
          <w:tcPr>
            <w:tcW w:w="2040" w:type="dxa"/>
            <w:vAlign w:val="bottom"/>
          </w:tcPr>
          <w:p>
            <w:pPr>
              <w:jc w:val="center"/>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Anik F3</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April 2007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118.7</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April 2025</w:t>
            </w: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Nimiq 5</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color w:val="auto"/>
              </w:rPr>
              <w:t>September 2009</w:t>
            </w:r>
          </w:p>
        </w:tc>
        <w:tc>
          <w:tcPr>
            <w:tcW w:w="1020" w:type="dxa"/>
            <w:vAlign w:val="bottom"/>
          </w:tcPr>
          <w:p>
            <w:pPr>
              <w:jc w:val="center"/>
              <w:spacing w:after="0"/>
              <w:rPr>
                <w:sz w:val="20"/>
                <w:szCs w:val="20"/>
                <w:color w:val="auto"/>
              </w:rPr>
            </w:pPr>
            <w:r>
              <w:rPr>
                <w:rFonts w:ascii="Arial" w:cs="Arial" w:eastAsia="Arial" w:hAnsi="Arial"/>
                <w:sz w:val="16"/>
                <w:szCs w:val="16"/>
                <w:color w:val="auto"/>
              </w:rPr>
              <w:t>72.7</w:t>
            </w:r>
          </w:p>
        </w:tc>
        <w:tc>
          <w:tcPr>
            <w:tcW w:w="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September 2024</w:t>
            </w:r>
          </w:p>
        </w:tc>
      </w:tr>
    </w:tbl>
    <w:p>
      <w:pPr>
        <w:spacing w:after="0" w:line="145" w:lineRule="exact"/>
        <w:rPr>
          <w:sz w:val="20"/>
          <w:szCs w:val="20"/>
          <w:color w:val="auto"/>
        </w:rPr>
      </w:pPr>
    </w:p>
    <w:p>
      <w:pPr>
        <w:ind w:left="380" w:right="79"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EchoStar XXV</w:t>
      </w:r>
      <w:r>
        <w:rPr>
          <w:rFonts w:ascii="Arial" w:cs="Arial" w:eastAsia="Arial" w:hAnsi="Arial"/>
          <w:sz w:val="18"/>
          <w:szCs w:val="18"/>
          <w:color w:val="auto"/>
        </w:rPr>
        <w:t>. On March 20, 2023, we entered into a contract with Maxar Space LLC for the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 The EchoStar XXV contract was included in the Sale and Transfer of Assets to EchoStar. See Note 1 for further information. We plan to ultimately use this satellite for our Pay-TV segment.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52"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Our Nimiq 5 satellite is accounted for as finance lease within our Pay-TV segment. Substantially all of our remaining leases are accounted for as operating leases, including our Anik F3 satellite lease.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03"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488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69"/>
        </w:trPr>
        <w:tc>
          <w:tcPr>
            <w:tcW w:w="4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gridSpan w:val="3"/>
          </w:tcPr>
          <w:p>
            <w:pPr>
              <w:jc w:val="right"/>
              <w:ind w:right="44"/>
              <w:spacing w:after="0" w:line="169" w:lineRule="exact"/>
              <w:rPr>
                <w:sz w:val="20"/>
                <w:szCs w:val="20"/>
                <w:color w:val="auto"/>
              </w:rPr>
            </w:pPr>
            <w:r>
              <w:rPr>
                <w:rFonts w:ascii="Arial" w:cs="Arial" w:eastAsia="Arial" w:hAnsi="Arial"/>
                <w:sz w:val="16"/>
                <w:szCs w:val="16"/>
                <w:color w:val="auto"/>
              </w:rPr>
              <w:t>(In thousands)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(1)</w:t>
            </w:r>
          </w:p>
        </w:tc>
        <w:tc>
          <w:tcPr>
            <w:tcW w:w="1180" w:type="dxa"/>
            <w:vAlign w:val="bottom"/>
            <w:shd w:val="clear" w:color="auto" w:fill="CCEEFF"/>
          </w:tcPr>
          <w:p>
            <w:pPr>
              <w:jc w:val="right"/>
              <w:ind w:right="102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160,794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111,433</w:t>
            </w:r>
          </w:p>
        </w:tc>
        <w:tc>
          <w:tcPr>
            <w:tcW w:w="60" w:type="dxa"/>
            <w:vAlign w:val="bottom"/>
            <w:shd w:val="clear" w:color="auto" w:fill="CCEEFF"/>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 (2)</w:t>
            </w:r>
          </w:p>
        </w:tc>
        <w:tc>
          <w:tcPr>
            <w:tcW w:w="1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60" w:type="dxa"/>
            <w:vAlign w:val="bottom"/>
            <w:shd w:val="clear" w:color="auto" w:fill="CCEEFF"/>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980" w:type="dxa"/>
            <w:vAlign w:val="bottom"/>
          </w:tcPr>
          <w:p>
            <w:pPr>
              <w:ind w:left="240"/>
              <w:spacing w:after="0"/>
              <w:rPr>
                <w:sz w:val="20"/>
                <w:szCs w:val="20"/>
                <w:color w:val="auto"/>
              </w:rPr>
            </w:pPr>
            <w:r>
              <w:rPr>
                <w:rFonts w:ascii="Arial" w:cs="Arial" w:eastAsia="Arial" w:hAnsi="Arial"/>
                <w:sz w:val="16"/>
                <w:szCs w:val="16"/>
                <w:color w:val="auto"/>
              </w:rPr>
              <w:t>Amortization of right-of-use assets</w:t>
            </w:r>
          </w:p>
        </w:tc>
        <w:tc>
          <w:tcPr>
            <w:tcW w:w="1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13,945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27,056</w:t>
            </w:r>
          </w:p>
        </w:tc>
        <w:tc>
          <w:tcPr>
            <w:tcW w:w="60" w:type="dxa"/>
            <w:vAlign w:val="bottom"/>
          </w:tcPr>
          <w:p>
            <w:pPr>
              <w:spacing w:after="0"/>
              <w:rPr>
                <w:sz w:val="16"/>
                <w:szCs w:val="16"/>
                <w:color w:val="auto"/>
              </w:rPr>
            </w:pPr>
          </w:p>
        </w:tc>
      </w:tr>
      <w:tr>
        <w:trPr>
          <w:trHeight w:val="189"/>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on lease liabilities</w:t>
            </w:r>
          </w:p>
        </w:tc>
        <w:tc>
          <w:tcPr>
            <w:tcW w:w="1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60" w:type="dxa"/>
            <w:vAlign w:val="bottom"/>
            <w:shd w:val="clear" w:color="auto" w:fill="CCEEFF"/>
          </w:tcPr>
          <w:p>
            <w:pPr>
              <w:spacing w:after="0"/>
              <w:rPr>
                <w:sz w:val="16"/>
                <w:szCs w:val="16"/>
                <w:color w:val="auto"/>
              </w:rPr>
            </w:pPr>
          </w:p>
        </w:tc>
      </w:tr>
      <w:tr>
        <w:trPr>
          <w:trHeight w:val="183"/>
        </w:trPr>
        <w:tc>
          <w:tcPr>
            <w:tcW w:w="49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16,737</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30,626</w:t>
            </w:r>
          </w:p>
        </w:tc>
        <w:tc>
          <w:tcPr>
            <w:tcW w:w="60" w:type="dxa"/>
            <w:vAlign w:val="bottom"/>
            <w:tcBorders>
              <w:bottom w:val="single" w:sz="8" w:color="CCEEFF"/>
            </w:tcBorders>
          </w:tcPr>
          <w:p>
            <w:pPr>
              <w:spacing w:after="0"/>
              <w:rPr>
                <w:sz w:val="15"/>
                <w:szCs w:val="15"/>
                <w:color w:val="auto"/>
              </w:rPr>
            </w:pPr>
          </w:p>
        </w:tc>
      </w:tr>
      <w:tr>
        <w:trPr>
          <w:trHeight w:val="183"/>
        </w:trPr>
        <w:tc>
          <w:tcPr>
            <w:tcW w:w="49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180" w:type="dxa"/>
            <w:vAlign w:val="bottom"/>
            <w:tcBorders>
              <w:bottom w:val="single" w:sz="8" w:color="auto"/>
            </w:tcBorders>
            <w:shd w:val="clear" w:color="auto" w:fill="CCEEFF"/>
          </w:tcPr>
          <w:p>
            <w:pPr>
              <w:jc w:val="right"/>
              <w:ind w:right="102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180,459</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144,777</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operating lease cost is primarily related to communication tower leases.</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Leases that have terms of 12 months or less.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3"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tcBorders>
          </w:tcPr>
          <w:p>
            <w:pPr>
              <w:spacing w:after="0"/>
              <w:rPr>
                <w:sz w:val="17"/>
                <w:szCs w:val="17"/>
                <w:color w:val="auto"/>
              </w:rPr>
            </w:pPr>
          </w:p>
        </w:tc>
      </w:tr>
      <w:tr>
        <w:trPr>
          <w:trHeight w:val="169"/>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right"/>
              <w:ind w:right="699"/>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20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112,238</w:t>
            </w:r>
          </w:p>
        </w:tc>
        <w:tc>
          <w:tcPr>
            <w:tcW w:w="4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67,223</w:t>
            </w:r>
          </w:p>
        </w:tc>
        <w:tc>
          <w:tcPr>
            <w:tcW w:w="40" w:type="dxa"/>
            <w:vAlign w:val="bottom"/>
          </w:tcPr>
          <w:p>
            <w:pPr>
              <w:spacing w:after="0"/>
              <w:rPr>
                <w:sz w:val="16"/>
                <w:szCs w:val="16"/>
                <w:color w:val="auto"/>
              </w:rPr>
            </w:pPr>
          </w:p>
        </w:tc>
      </w:tr>
      <w:tr>
        <w:trPr>
          <w:trHeight w:val="189"/>
        </w:trPr>
        <w:tc>
          <w:tcPr>
            <w:tcW w:w="6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40" w:type="dxa"/>
            <w:vAlign w:val="bottom"/>
            <w:shd w:val="clear" w:color="auto" w:fill="CCEEFF"/>
          </w:tcPr>
          <w:p>
            <w:pPr>
              <w:spacing w:after="0"/>
              <w:rPr>
                <w:sz w:val="16"/>
                <w:szCs w:val="16"/>
                <w:color w:val="auto"/>
              </w:rPr>
            </w:pPr>
          </w:p>
        </w:tc>
      </w:tr>
      <w:tr>
        <w:trPr>
          <w:trHeight w:val="189"/>
        </w:trPr>
        <w:tc>
          <w:tcPr>
            <w:tcW w:w="620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15,134</w:t>
            </w:r>
          </w:p>
        </w:tc>
        <w:tc>
          <w:tcPr>
            <w:tcW w:w="4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8,713</w:t>
            </w:r>
          </w:p>
        </w:tc>
        <w:tc>
          <w:tcPr>
            <w:tcW w:w="40" w:type="dxa"/>
            <w:vAlign w:val="bottom"/>
          </w:tcPr>
          <w:p>
            <w:pPr>
              <w:spacing w:after="0"/>
              <w:rPr>
                <w:sz w:val="16"/>
                <w:szCs w:val="16"/>
                <w:color w:val="auto"/>
              </w:rPr>
            </w:pPr>
          </w:p>
        </w:tc>
      </w:tr>
      <w:tr>
        <w:trPr>
          <w:trHeight w:val="189"/>
        </w:trPr>
        <w:tc>
          <w:tcPr>
            <w:tcW w:w="6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199,300</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231,868</w:t>
            </w:r>
          </w:p>
        </w:tc>
        <w:tc>
          <w:tcPr>
            <w:tcW w:w="40" w:type="dxa"/>
            <w:vAlign w:val="bottom"/>
            <w:shd w:val="clear" w:color="auto" w:fill="CCEEFF"/>
          </w:tcPr>
          <w:p>
            <w:pPr>
              <w:spacing w:after="0"/>
              <w:rPr>
                <w:sz w:val="16"/>
                <w:szCs w:val="16"/>
                <w:color w:val="auto"/>
              </w:rPr>
            </w:pPr>
          </w:p>
        </w:tc>
      </w:tr>
      <w:tr>
        <w:trPr>
          <w:trHeight w:val="215"/>
        </w:trPr>
        <w:tc>
          <w:tcPr>
            <w:tcW w:w="6200" w:type="dxa"/>
            <w:vAlign w:val="bottom"/>
          </w:tcPr>
          <w:p>
            <w:pPr>
              <w:ind w:left="240"/>
              <w:spacing w:after="0"/>
              <w:rPr>
                <w:sz w:val="20"/>
                <w:szCs w:val="20"/>
                <w:color w:val="auto"/>
              </w:rPr>
            </w:pPr>
            <w:r>
              <w:rPr>
                <w:rFonts w:ascii="Arial" w:cs="Arial" w:eastAsia="Arial" w:hAnsi="Arial"/>
                <w:sz w:val="16"/>
                <w:szCs w:val="16"/>
                <w:color w:val="auto"/>
              </w:rPr>
              <w:t>Finance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51,110</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6"/>
                <w:szCs w:val="16"/>
                <w:b w:val="1"/>
                <w:bCs w:val="1"/>
                <w:color w:val="auto"/>
              </w:rPr>
              <w:t>As of</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400"/>
              <w:spacing w:after="0" w:line="175" w:lineRule="exact"/>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right"/>
              <w:ind w:right="279"/>
              <w:spacing w:after="0" w:line="17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r>
      <w:tr>
        <w:trPr>
          <w:trHeight w:val="203"/>
        </w:trPr>
        <w:tc>
          <w:tcPr>
            <w:tcW w:w="5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69"/>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tcPr>
          <w:p>
            <w:pPr>
              <w:jc w:val="right"/>
              <w:ind w:right="80"/>
              <w:spacing w:after="0" w:line="169" w:lineRule="exact"/>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Operating lease assets</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4"/>
          </w:tcPr>
          <w:p>
            <w:pPr>
              <w:jc w:val="right"/>
              <w:spacing w:after="0"/>
              <w:rPr>
                <w:sz w:val="20"/>
                <w:szCs w:val="20"/>
                <w:color w:val="auto"/>
              </w:rPr>
            </w:pPr>
            <w:r>
              <w:rPr>
                <w:rFonts w:ascii="Arial" w:cs="Arial" w:eastAsia="Arial" w:hAnsi="Arial"/>
                <w:sz w:val="16"/>
                <w:szCs w:val="16"/>
                <w:color w:val="auto"/>
              </w:rPr>
              <w:t>2,965,490</w:t>
            </w:r>
          </w:p>
        </w:tc>
        <w:tc>
          <w:tcPr>
            <w:tcW w:w="600" w:type="dxa"/>
            <w:vAlign w:val="bottom"/>
            <w:gridSpan w:val="3"/>
          </w:tcPr>
          <w:p>
            <w:pPr>
              <w:jc w:val="right"/>
              <w:ind w:right="3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2,934,862</w:t>
            </w:r>
          </w:p>
        </w:tc>
        <w:tc>
          <w:tcPr>
            <w:tcW w:w="60" w:type="dxa"/>
            <w:vAlign w:val="bottom"/>
          </w:tcPr>
          <w:p>
            <w:pPr>
              <w:spacing w:after="0"/>
              <w:rPr>
                <w:sz w:val="19"/>
                <w:szCs w:val="19"/>
                <w:color w:val="auto"/>
              </w:rPr>
            </w:pPr>
          </w:p>
        </w:tc>
      </w:tr>
      <w:tr>
        <w:trPr>
          <w:trHeight w:val="169"/>
        </w:trPr>
        <w:tc>
          <w:tcPr>
            <w:tcW w:w="50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324,985</w:t>
            </w:r>
          </w:p>
        </w:tc>
        <w:tc>
          <w:tcPr>
            <w:tcW w:w="600" w:type="dxa"/>
            <w:vAlign w:val="bottom"/>
            <w:gridSpan w:val="3"/>
          </w:tcPr>
          <w:p>
            <w:pPr>
              <w:jc w:val="right"/>
              <w:ind w:right="3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301,172</w:t>
            </w:r>
          </w:p>
        </w:tc>
        <w:tc>
          <w:tcPr>
            <w:tcW w:w="60" w:type="dxa"/>
            <w:vAlign w:val="bottom"/>
          </w:tcPr>
          <w:p>
            <w:pPr>
              <w:spacing w:after="0"/>
              <w:rPr>
                <w:sz w:val="16"/>
                <w:szCs w:val="16"/>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3,033,390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2,992,863</w:t>
            </w:r>
          </w:p>
        </w:tc>
        <w:tc>
          <w:tcPr>
            <w:tcW w:w="60" w:type="dxa"/>
            <w:vAlign w:val="bottom"/>
            <w:shd w:val="clear" w:color="auto" w:fill="CCEEFF"/>
          </w:tcPr>
          <w:p>
            <w:pPr>
              <w:spacing w:after="0"/>
              <w:rPr>
                <w:sz w:val="16"/>
                <w:szCs w:val="16"/>
                <w:color w:val="auto"/>
              </w:rPr>
            </w:pPr>
          </w:p>
        </w:tc>
      </w:tr>
      <w:tr>
        <w:trPr>
          <w:trHeight w:val="223"/>
        </w:trPr>
        <w:tc>
          <w:tcPr>
            <w:tcW w:w="51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3,358,375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4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3,294,035</w:t>
            </w:r>
          </w:p>
        </w:tc>
        <w:tc>
          <w:tcPr>
            <w:tcW w:w="60" w:type="dxa"/>
            <w:vAlign w:val="bottom"/>
            <w:tcBorders>
              <w:bottom w:val="single" w:sz="8" w:color="CCEEFF"/>
            </w:tcBorders>
          </w:tcPr>
          <w:p>
            <w:pPr>
              <w:spacing w:after="0"/>
              <w:rPr>
                <w:sz w:val="19"/>
                <w:szCs w:val="19"/>
                <w:color w:val="auto"/>
              </w:rPr>
            </w:pPr>
          </w:p>
        </w:tc>
      </w:tr>
      <w:tr>
        <w:trPr>
          <w:trHeight w:val="169"/>
        </w:trPr>
        <w:tc>
          <w:tcPr>
            <w:tcW w:w="5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465,549</w:t>
            </w:r>
          </w:p>
        </w:tc>
        <w:tc>
          <w:tcPr>
            <w:tcW w:w="600" w:type="dxa"/>
            <w:vAlign w:val="bottom"/>
            <w:gridSpan w:val="3"/>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465,549</w:t>
            </w:r>
          </w:p>
        </w:tc>
        <w:tc>
          <w:tcPr>
            <w:tcW w:w="60" w:type="dxa"/>
            <w:vAlign w:val="bottom"/>
            <w:shd w:val="clear" w:color="auto" w:fill="CCEEFF"/>
          </w:tcPr>
          <w:p>
            <w:pPr>
              <w:spacing w:after="0"/>
              <w:rPr>
                <w:sz w:val="16"/>
                <w:szCs w:val="16"/>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Accumulated depreciation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right"/>
              <w:ind w:right="60"/>
              <w:spacing w:after="0"/>
              <w:rPr>
                <w:sz w:val="20"/>
                <w:szCs w:val="20"/>
                <w:color w:val="auto"/>
              </w:rPr>
            </w:pPr>
            <w:r>
              <w:rPr>
                <w:rFonts w:ascii="Arial" w:cs="Arial" w:eastAsia="Arial" w:hAnsi="Arial"/>
                <w:sz w:val="16"/>
                <w:szCs w:val="16"/>
                <w:color w:val="auto"/>
              </w:rPr>
              <w:t>(384,201)</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(370,768)</w:t>
            </w:r>
          </w:p>
        </w:tc>
      </w:tr>
      <w:tr>
        <w:trPr>
          <w:trHeight w:val="183"/>
        </w:trPr>
        <w:tc>
          <w:tcPr>
            <w:tcW w:w="51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81,348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94,781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48,391</w:t>
            </w:r>
          </w:p>
        </w:tc>
        <w:tc>
          <w:tcPr>
            <w:tcW w:w="600" w:type="dxa"/>
            <w:vAlign w:val="bottom"/>
            <w:gridSpan w:val="3"/>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56,459</w:t>
            </w:r>
          </w:p>
        </w:tc>
        <w:tc>
          <w:tcPr>
            <w:tcW w:w="60" w:type="dxa"/>
            <w:vAlign w:val="bottom"/>
            <w:shd w:val="clear" w:color="auto" w:fill="CCEEFF"/>
          </w:tcPr>
          <w:p>
            <w:pPr>
              <w:spacing w:after="0"/>
              <w:rPr>
                <w:sz w:val="16"/>
                <w:szCs w:val="16"/>
                <w:color w:val="auto"/>
              </w:rPr>
            </w:pPr>
          </w:p>
        </w:tc>
      </w:tr>
      <w:tr>
        <w:trPr>
          <w:trHeight w:val="189"/>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60,133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67,199</w:t>
            </w:r>
          </w:p>
        </w:tc>
        <w:tc>
          <w:tcPr>
            <w:tcW w:w="60" w:type="dxa"/>
            <w:vAlign w:val="bottom"/>
            <w:tcBorders>
              <w:bottom w:val="single" w:sz="8" w:color="CCEEFF"/>
            </w:tcBorders>
          </w:tcPr>
          <w:p>
            <w:pPr>
              <w:spacing w:after="0"/>
              <w:rPr>
                <w:sz w:val="16"/>
                <w:szCs w:val="16"/>
                <w:color w:val="auto"/>
              </w:rPr>
            </w:pPr>
          </w:p>
        </w:tc>
      </w:tr>
      <w:tr>
        <w:trPr>
          <w:trHeight w:val="183"/>
        </w:trPr>
        <w:tc>
          <w:tcPr>
            <w:tcW w:w="510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108,524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123,658</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10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spacing w:after="0"/>
              <w:rPr>
                <w:sz w:val="20"/>
                <w:szCs w:val="20"/>
                <w:color w:val="auto"/>
              </w:rPr>
            </w:pPr>
            <w:r>
              <w:rPr>
                <w:rFonts w:ascii="Arial" w:cs="Arial" w:eastAsia="Arial" w:hAnsi="Arial"/>
                <w:sz w:val="16"/>
                <w:szCs w:val="16"/>
                <w:color w:val="auto"/>
              </w:rPr>
              <w:t>10.0 years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10.7 years</w:t>
            </w:r>
          </w:p>
        </w:tc>
      </w:tr>
      <w:tr>
        <w:trPr>
          <w:trHeight w:val="189"/>
        </w:trPr>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2.1 years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 years</w:t>
            </w:r>
          </w:p>
        </w:tc>
      </w:tr>
      <w:tr>
        <w:trPr>
          <w:trHeight w:val="189"/>
        </w:trPr>
        <w:tc>
          <w:tcPr>
            <w:tcW w:w="5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10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w:t>
            </w:r>
          </w:p>
        </w:tc>
        <w:tc>
          <w:tcPr>
            <w:tcW w:w="60" w:type="dxa"/>
            <w:vAlign w:val="bottom"/>
          </w:tcPr>
          <w:p>
            <w:pPr>
              <w:spacing w:after="0"/>
              <w:rPr>
                <w:sz w:val="16"/>
                <w:szCs w:val="16"/>
                <w:color w:val="auto"/>
              </w:rPr>
            </w:pPr>
          </w:p>
        </w:tc>
      </w:tr>
      <w:tr>
        <w:trPr>
          <w:trHeight w:val="189"/>
        </w:trPr>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60" w:type="dxa"/>
            <w:vAlign w:val="bottom"/>
            <w:shd w:val="clear" w:color="auto" w:fill="CCEEFF"/>
          </w:tcPr>
          <w:p>
            <w:pPr>
              <w:spacing w:after="0"/>
              <w:rPr>
                <w:sz w:val="16"/>
                <w:szCs w:val="16"/>
                <w:color w:val="auto"/>
              </w:rPr>
            </w:pPr>
          </w:p>
        </w:tc>
      </w:tr>
      <w:tr>
        <w:trPr>
          <w:trHeight w:val="409"/>
        </w:trPr>
        <w:tc>
          <w:tcPr>
            <w:tcW w:w="5200" w:type="dxa"/>
            <w:vAlign w:val="bottom"/>
            <w:gridSpan w:val="3"/>
          </w:tcPr>
          <w:p>
            <w:pPr>
              <w:ind w:left="20"/>
              <w:spacing w:after="0"/>
              <w:rPr>
                <w:sz w:val="20"/>
                <w:szCs w:val="20"/>
                <w:color w:val="auto"/>
              </w:rPr>
            </w:pPr>
            <w:r>
              <w:rPr>
                <w:rFonts w:ascii="Arial" w:cs="Arial" w:eastAsia="Arial" w:hAnsi="Arial"/>
                <w:sz w:val="18"/>
                <w:szCs w:val="18"/>
                <w:color w:val="auto"/>
                <w:w w:val="98"/>
              </w:rPr>
              <w:t>Maturities of lease liabilities as of March 31, 2024 were as follows: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7"/>
        </w:trPr>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11"/>
          </w:tcPr>
          <w:p>
            <w:pPr>
              <w:jc w:val="center"/>
              <w:ind w:right="260"/>
              <w:spacing w:after="0"/>
              <w:rPr>
                <w:sz w:val="20"/>
                <w:szCs w:val="20"/>
                <w:color w:val="auto"/>
              </w:rPr>
            </w:pPr>
            <w:r>
              <w:rPr>
                <w:rFonts w:ascii="Arial" w:cs="Arial" w:eastAsia="Arial" w:hAnsi="Arial"/>
                <w:sz w:val="16"/>
                <w:szCs w:val="16"/>
                <w:b w:val="1"/>
                <w:bCs w:val="1"/>
                <w:color w:val="auto"/>
              </w:rPr>
              <w:t>Maturities of Lease Liabilities</w:t>
            </w:r>
          </w:p>
        </w:tc>
      </w:tr>
      <w:tr>
        <w:trPr>
          <w:trHeight w:val="175"/>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ind w:right="240"/>
              <w:spacing w:after="0" w:line="175" w:lineRule="exact"/>
              <w:rPr>
                <w:sz w:val="20"/>
                <w:szCs w:val="20"/>
                <w:color w:val="auto"/>
              </w:rPr>
            </w:pPr>
            <w:r>
              <w:rPr>
                <w:rFonts w:ascii="Arial" w:cs="Arial" w:eastAsia="Arial" w:hAnsi="Arial"/>
                <w:sz w:val="16"/>
                <w:szCs w:val="16"/>
                <w:b w:val="1"/>
                <w:bCs w:val="1"/>
                <w:color w:val="auto"/>
              </w:rPr>
              <w:t>Operating</w:t>
            </w:r>
          </w:p>
        </w:tc>
        <w:tc>
          <w:tcPr>
            <w:tcW w:w="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5"/>
          </w:tcPr>
          <w:p>
            <w:pPr>
              <w:jc w:val="center"/>
              <w:ind w:right="60"/>
              <w:spacing w:after="0" w:line="175" w:lineRule="exact"/>
              <w:rPr>
                <w:sz w:val="20"/>
                <w:szCs w:val="20"/>
                <w:color w:val="auto"/>
              </w:rPr>
            </w:pPr>
            <w:r>
              <w:rPr>
                <w:rFonts w:ascii="Arial" w:cs="Arial" w:eastAsia="Arial" w:hAnsi="Arial"/>
                <w:sz w:val="16"/>
                <w:szCs w:val="16"/>
                <w:b w:val="1"/>
                <w:bCs w:val="1"/>
                <w:color w:val="auto"/>
                <w:w w:val="99"/>
              </w:rPr>
              <w:t>Finance</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1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Leases</w:t>
            </w:r>
          </w:p>
        </w:tc>
        <w:tc>
          <w:tcPr>
            <w:tcW w:w="40" w:type="dxa"/>
            <w:vAlign w:val="bottom"/>
          </w:tcPr>
          <w:p>
            <w:pPr>
              <w:spacing w:after="0"/>
              <w:rPr>
                <w:sz w:val="17"/>
                <w:szCs w:val="17"/>
                <w:color w:val="auto"/>
              </w:rPr>
            </w:pPr>
          </w:p>
        </w:tc>
        <w:tc>
          <w:tcPr>
            <w:tcW w:w="126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Leases</w:t>
            </w:r>
          </w:p>
        </w:tc>
        <w:tc>
          <w:tcPr>
            <w:tcW w:w="12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r>
      <w:tr>
        <w:trPr>
          <w:trHeight w:val="183"/>
        </w:trPr>
        <w:tc>
          <w:tcPr>
            <w:tcW w:w="5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Borders>
              <w:top w:val="single" w:sz="8" w:color="auto"/>
            </w:tcBorders>
            <w:gridSpan w:val="4"/>
          </w:tcPr>
          <w:p>
            <w:pPr>
              <w:jc w:val="center"/>
              <w:spacing w:after="0" w:line="183" w:lineRule="exact"/>
              <w:rPr>
                <w:sz w:val="20"/>
                <w:szCs w:val="20"/>
                <w:color w:val="auto"/>
              </w:rPr>
            </w:pPr>
            <w:r>
              <w:rPr>
                <w:rFonts w:ascii="Arial" w:cs="Arial" w:eastAsia="Arial" w:hAnsi="Arial"/>
                <w:sz w:val="16"/>
                <w:szCs w:val="16"/>
                <w:color w:val="auto"/>
                <w:w w:val="99"/>
              </w:rPr>
              <w:t>(In thousands)</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(remaining nine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332,186</w:t>
            </w: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48,115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380,301</w:t>
            </w:r>
          </w:p>
        </w:tc>
        <w:tc>
          <w:tcPr>
            <w:tcW w:w="60" w:type="dxa"/>
            <w:vAlign w:val="bottom"/>
            <w:shd w:val="clear" w:color="auto" w:fill="CCEEFF"/>
          </w:tcPr>
          <w:p>
            <w:pPr>
              <w:spacing w:after="0"/>
              <w:rPr>
                <w:sz w:val="16"/>
                <w:szCs w:val="16"/>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6"/>
                <w:szCs w:val="16"/>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476,917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35,392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512,309</w:t>
            </w:r>
          </w:p>
        </w:tc>
        <w:tc>
          <w:tcPr>
            <w:tcW w:w="60" w:type="dxa"/>
            <w:vAlign w:val="bottom"/>
          </w:tcPr>
          <w:p>
            <w:pPr>
              <w:spacing w:after="0"/>
              <w:rPr>
                <w:sz w:val="16"/>
                <w:szCs w:val="16"/>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510,430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547,018</w:t>
            </w:r>
          </w:p>
        </w:tc>
        <w:tc>
          <w:tcPr>
            <w:tcW w:w="60" w:type="dxa"/>
            <w:vAlign w:val="bottom"/>
            <w:shd w:val="clear" w:color="auto" w:fill="CCEEFF"/>
          </w:tcPr>
          <w:p>
            <w:pPr>
              <w:spacing w:after="0"/>
              <w:rPr>
                <w:sz w:val="16"/>
                <w:szCs w:val="16"/>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6"/>
                <w:szCs w:val="16"/>
                <w:color w:val="auto"/>
              </w:rPr>
              <w:t>2027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511,954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2,574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514,528</w:t>
            </w:r>
          </w:p>
        </w:tc>
        <w:tc>
          <w:tcPr>
            <w:tcW w:w="60" w:type="dxa"/>
            <w:vAlign w:val="bottom"/>
          </w:tcPr>
          <w:p>
            <w:pPr>
              <w:spacing w:after="0"/>
              <w:rPr>
                <w:sz w:val="16"/>
                <w:szCs w:val="16"/>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470,151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470,151</w:t>
            </w:r>
          </w:p>
        </w:tc>
        <w:tc>
          <w:tcPr>
            <w:tcW w:w="60" w:type="dxa"/>
            <w:vAlign w:val="bottom"/>
            <w:shd w:val="clear" w:color="auto" w:fill="CCEEFF"/>
          </w:tcPr>
          <w:p>
            <w:pPr>
              <w:spacing w:after="0"/>
              <w:rPr>
                <w:sz w:val="16"/>
                <w:szCs w:val="16"/>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3,165,185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3,165,185</w:t>
            </w:r>
          </w:p>
        </w:tc>
        <w:tc>
          <w:tcPr>
            <w:tcW w:w="60" w:type="dxa"/>
            <w:vAlign w:val="bottom"/>
          </w:tcPr>
          <w:p>
            <w:pPr>
              <w:spacing w:after="0"/>
              <w:rPr>
                <w:sz w:val="16"/>
                <w:szCs w:val="16"/>
                <w:color w:val="auto"/>
              </w:rPr>
            </w:pPr>
          </w:p>
        </w:tc>
      </w:tr>
      <w:tr>
        <w:trPr>
          <w:trHeight w:val="183"/>
        </w:trPr>
        <w:tc>
          <w:tcPr>
            <w:tcW w:w="51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5,466,823</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122,669</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5,589,492</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Less: Imputed interest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(2,108,448)</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(14,145)</w:t>
            </w: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(2,122,593)</w:t>
            </w:r>
          </w:p>
        </w:tc>
      </w:tr>
      <w:tr>
        <w:trPr>
          <w:trHeight w:val="183"/>
        </w:trPr>
        <w:tc>
          <w:tcPr>
            <w:tcW w:w="51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3,358,375</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108,524</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3,466,899</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(324,985)</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(48,391)</w:t>
            </w: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(373,376)</w:t>
            </w:r>
          </w:p>
        </w:tc>
      </w:tr>
      <w:tr>
        <w:trPr>
          <w:trHeight w:val="182"/>
        </w:trPr>
        <w:tc>
          <w:tcPr>
            <w:tcW w:w="51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3,033,390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60,133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3,093,523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Finance Lease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amount and fair value of our debt facilities as of March 31, 2024 and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2023:</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As of</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ind w:left="520"/>
              <w:spacing w:after="0"/>
              <w:rPr>
                <w:sz w:val="20"/>
                <w:szCs w:val="20"/>
                <w:color w:val="auto"/>
              </w:rPr>
            </w:pPr>
            <w:r>
              <w:rPr>
                <w:rFonts w:ascii="Arial" w:cs="Arial" w:eastAsia="Arial" w:hAnsi="Arial"/>
                <w:sz w:val="16"/>
                <w:szCs w:val="16"/>
                <w:b w:val="1"/>
                <w:bCs w:val="1"/>
                <w:color w:val="auto"/>
              </w:rPr>
              <w:t>March 31, 2024</w:t>
            </w:r>
          </w:p>
        </w:tc>
        <w:tc>
          <w:tcPr>
            <w:tcW w:w="20" w:type="dxa"/>
            <w:vAlign w:val="bottom"/>
          </w:tcPr>
          <w:p>
            <w:pPr>
              <w:spacing w:after="0"/>
              <w:rPr>
                <w:sz w:val="16"/>
                <w:szCs w:val="16"/>
                <w:color w:val="auto"/>
              </w:rPr>
            </w:pPr>
          </w:p>
        </w:tc>
        <w:tc>
          <w:tcPr>
            <w:tcW w:w="22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auto"/>
            </w:tcBorders>
          </w:tcPr>
          <w:p>
            <w:pPr>
              <w:jc w:val="right"/>
              <w:ind w:right="79"/>
              <w:spacing w:after="0" w:line="168"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auto"/>
            </w:tcBorders>
          </w:tcPr>
          <w:p>
            <w:pPr>
              <w:jc w:val="right"/>
              <w:ind w:right="99"/>
              <w:spacing w:after="0" w:line="168" w:lineRule="exact"/>
              <w:rPr>
                <w:sz w:val="20"/>
                <w:szCs w:val="20"/>
                <w:color w:val="auto"/>
              </w:rPr>
            </w:pPr>
            <w:r>
              <w:rPr>
                <w:rFonts w:ascii="Arial" w:cs="Arial" w:eastAsia="Arial" w:hAnsi="Arial"/>
                <w:sz w:val="16"/>
                <w:szCs w:val="16"/>
                <w:b w:val="1"/>
                <w:bCs w:val="1"/>
                <w:color w:val="auto"/>
              </w:rPr>
              <w:t>Carrying</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Issuer</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jc w:val="right"/>
              <w:ind w:right="519"/>
              <w:spacing w:after="0" w:line="169"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2</w:t>
            </w:r>
          </w:p>
        </w:tc>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 Convertible Notes due 2024 (1)</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DISH</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951,168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944,034</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auto"/>
                <w:w w:val="89"/>
              </w:rPr>
              <w:t>5</w:t>
            </w:r>
          </w:p>
        </w:tc>
        <w:tc>
          <w:tcPr>
            <w:tcW w:w="3400" w:type="dxa"/>
            <w:vAlign w:val="bottom"/>
          </w:tcPr>
          <w:p>
            <w:pPr>
              <w:ind w:left="20"/>
              <w:spacing w:after="0"/>
              <w:rPr>
                <w:sz w:val="20"/>
                <w:szCs w:val="20"/>
                <w:color w:val="auto"/>
              </w:rPr>
            </w:pPr>
            <w:r>
              <w:rPr>
                <w:rFonts w:ascii="Arial" w:cs="Arial" w:eastAsia="Arial" w:hAnsi="Arial"/>
                <w:sz w:val="16"/>
                <w:szCs w:val="16"/>
                <w:color w:val="auto"/>
              </w:rPr>
              <w:t>7/8% Senior Notes due 2024</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DDBS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1,982,544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1,905,621</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1,982,544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1,872,275</w:t>
            </w:r>
          </w:p>
        </w:tc>
        <w:tc>
          <w:tcPr>
            <w:tcW w:w="0" w:type="dxa"/>
            <w:vAlign w:val="bottom"/>
          </w:tcPr>
          <w:p>
            <w:pPr>
              <w:spacing w:after="0"/>
              <w:rPr>
                <w:sz w:val="1"/>
                <w:szCs w:val="1"/>
                <w:color w:val="auto"/>
              </w:rPr>
            </w:pPr>
          </w:p>
        </w:tc>
      </w:tr>
      <w:tr>
        <w:trPr>
          <w:trHeight w:val="189"/>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 Convertible Notes due 2025</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DISH</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1,957,197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1,418,968</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1,957,197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1,228,141</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auto"/>
                <w:w w:val="89"/>
              </w:rPr>
              <w:t>7</w:t>
            </w:r>
          </w:p>
        </w:tc>
        <w:tc>
          <w:tcPr>
            <w:tcW w:w="3400" w:type="dxa"/>
            <w:vAlign w:val="bottom"/>
          </w:tcPr>
          <w:p>
            <w:pPr>
              <w:ind w:left="20"/>
              <w:spacing w:after="0"/>
              <w:rPr>
                <w:sz w:val="20"/>
                <w:szCs w:val="20"/>
                <w:color w:val="auto"/>
              </w:rPr>
            </w:pPr>
            <w:r>
              <w:rPr>
                <w:rFonts w:ascii="Arial" w:cs="Arial" w:eastAsia="Arial" w:hAnsi="Arial"/>
                <w:sz w:val="16"/>
                <w:szCs w:val="16"/>
                <w:color w:val="auto"/>
              </w:rPr>
              <w:t>3/4% Senior Notes due 2026</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DDBS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1,390,000</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1,388,060</w:t>
            </w: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3</w:t>
            </w:r>
          </w:p>
        </w:tc>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 Convertible Notes due 2026</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DISH</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2,908,801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1,830,799</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2,908,801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1,570,753</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auto"/>
                <w:w w:val="89"/>
              </w:rPr>
              <w:t>5</w:t>
            </w:r>
          </w:p>
        </w:tc>
        <w:tc>
          <w:tcPr>
            <w:tcW w:w="3400" w:type="dxa"/>
            <w:vAlign w:val="bottom"/>
          </w:tcPr>
          <w:p>
            <w:pPr>
              <w:ind w:left="20"/>
              <w:spacing w:after="0"/>
              <w:rPr>
                <w:sz w:val="20"/>
                <w:szCs w:val="20"/>
                <w:color w:val="auto"/>
              </w:rPr>
            </w:pPr>
            <w:r>
              <w:rPr>
                <w:rFonts w:ascii="Arial" w:cs="Arial" w:eastAsia="Arial" w:hAnsi="Arial"/>
                <w:sz w:val="16"/>
                <w:szCs w:val="16"/>
                <w:color w:val="auto"/>
              </w:rPr>
              <w:t>1/4% Senior Secured Notes due 2026</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DDBS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2,750,000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2,158,750</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2,750,000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2,366,073</w:t>
            </w:r>
          </w:p>
        </w:tc>
        <w:tc>
          <w:tcPr>
            <w:tcW w:w="0" w:type="dxa"/>
            <w:vAlign w:val="bottom"/>
          </w:tcPr>
          <w:p>
            <w:pPr>
              <w:spacing w:after="0"/>
              <w:rPr>
                <w:sz w:val="1"/>
                <w:szCs w:val="1"/>
                <w:color w:val="auto"/>
              </w:rPr>
            </w:pPr>
          </w:p>
        </w:tc>
      </w:tr>
      <w:tr>
        <w:trPr>
          <w:trHeight w:val="189"/>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 3/4% Senior Secured Notes due 2027</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DISH</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3,578,750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3,668,980</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auto"/>
                <w:w w:val="89"/>
              </w:rPr>
              <w:t>7</w:t>
            </w:r>
          </w:p>
        </w:tc>
        <w:tc>
          <w:tcPr>
            <w:tcW w:w="3400" w:type="dxa"/>
            <w:vAlign w:val="bottom"/>
          </w:tcPr>
          <w:p>
            <w:pPr>
              <w:ind w:left="20"/>
              <w:spacing w:after="0"/>
              <w:rPr>
                <w:sz w:val="20"/>
                <w:szCs w:val="20"/>
                <w:color w:val="auto"/>
              </w:rPr>
            </w:pPr>
            <w:r>
              <w:rPr>
                <w:rFonts w:ascii="Arial" w:cs="Arial" w:eastAsia="Arial" w:hAnsi="Arial"/>
                <w:sz w:val="16"/>
                <w:szCs w:val="16"/>
                <w:color w:val="auto"/>
              </w:rPr>
              <w:t>3/8% Senior Notes due 2028</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DDBS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489,200</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600,160</w:t>
            </w:r>
          </w:p>
        </w:tc>
        <w:tc>
          <w:tcPr>
            <w:tcW w:w="0" w:type="dxa"/>
            <w:vAlign w:val="bottom"/>
          </w:tcPr>
          <w:p>
            <w:pPr>
              <w:spacing w:after="0"/>
              <w:rPr>
                <w:sz w:val="1"/>
                <w:szCs w:val="1"/>
                <w:color w:val="auto"/>
              </w:rPr>
            </w:pPr>
          </w:p>
        </w:tc>
      </w:tr>
      <w:tr>
        <w:trPr>
          <w:trHeight w:val="189"/>
        </w:trPr>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5</w:t>
            </w:r>
          </w:p>
        </w:tc>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3/4% Senior Secured Notes due 2028</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DDBS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1,718,750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2,013,125</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auto"/>
                <w:w w:val="89"/>
              </w:rPr>
              <w:t>5</w:t>
            </w:r>
          </w:p>
        </w:tc>
        <w:tc>
          <w:tcPr>
            <w:tcW w:w="3400" w:type="dxa"/>
            <w:vAlign w:val="bottom"/>
          </w:tcPr>
          <w:p>
            <w:pPr>
              <w:ind w:left="20"/>
              <w:spacing w:after="0"/>
              <w:rPr>
                <w:sz w:val="20"/>
                <w:szCs w:val="20"/>
                <w:color w:val="auto"/>
              </w:rPr>
            </w:pPr>
            <w:r>
              <w:rPr>
                <w:rFonts w:ascii="Arial" w:cs="Arial" w:eastAsia="Arial" w:hAnsi="Arial"/>
                <w:sz w:val="16"/>
                <w:szCs w:val="16"/>
                <w:color w:val="auto"/>
              </w:rPr>
              <w:t>1/8% Senior Notes due 2029</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DDBS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1,500,000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629,250</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1,500,000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774,600</w:t>
            </w:r>
          </w:p>
        </w:tc>
        <w:tc>
          <w:tcPr>
            <w:tcW w:w="0" w:type="dxa"/>
            <w:vAlign w:val="bottom"/>
          </w:tcPr>
          <w:p>
            <w:pPr>
              <w:spacing w:after="0"/>
              <w:rPr>
                <w:sz w:val="1"/>
                <w:szCs w:val="1"/>
                <w:color w:val="auto"/>
              </w:rPr>
            </w:pPr>
          </w:p>
        </w:tc>
      </w:tr>
      <w:tr>
        <w:trPr>
          <w:trHeight w:val="189"/>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Intercompany Loan 2026 Tranche (2)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4,696,836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4,696,836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Arial" w:cs="Arial" w:eastAsia="Arial" w:hAnsi="Arial"/>
                <w:sz w:val="16"/>
                <w:szCs w:val="16"/>
                <w:color w:val="auto"/>
              </w:rPr>
              <w:t>Other notes payable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101,135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101,135</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113,564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113,564</w:t>
            </w:r>
          </w:p>
        </w:tc>
        <w:tc>
          <w:tcPr>
            <w:tcW w:w="0" w:type="dxa"/>
            <w:vAlign w:val="bottom"/>
          </w:tcPr>
          <w:p>
            <w:pPr>
              <w:spacing w:after="0"/>
              <w:rPr>
                <w:sz w:val="1"/>
                <w:szCs w:val="1"/>
                <w:color w:val="auto"/>
              </w:rPr>
            </w:pPr>
          </w:p>
        </w:tc>
      </w:tr>
      <w:tr>
        <w:trPr>
          <w:trHeight w:val="183"/>
        </w:trPr>
        <w:tc>
          <w:tcPr>
            <w:tcW w:w="350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Subtotal</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24,896,513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$ 19,918,059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21,163,274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$ 16,539,765</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line="168" w:lineRule="exact"/>
              <w:rPr>
                <w:sz w:val="20"/>
                <w:szCs w:val="20"/>
                <w:color w:val="auto"/>
              </w:rPr>
            </w:pPr>
            <w:r>
              <w:rPr>
                <w:rFonts w:ascii="Arial" w:cs="Arial" w:eastAsia="Arial" w:hAnsi="Arial"/>
                <w:sz w:val="16"/>
                <w:szCs w:val="16"/>
                <w:color w:val="auto"/>
              </w:rPr>
              <w:t>Unamortized deferred financing costs and other</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spacing w:after="0"/>
              <w:rPr>
                <w:sz w:val="20"/>
                <w:szCs w:val="20"/>
                <w:color w:val="auto"/>
              </w:rPr>
            </w:pPr>
            <w:r>
              <w:rPr>
                <w:rFonts w:ascii="Arial" w:cs="Arial" w:eastAsia="Arial" w:hAnsi="Arial"/>
                <w:sz w:val="16"/>
                <w:szCs w:val="16"/>
                <w:color w:val="auto"/>
              </w:rPr>
              <w:t>debt discounts, net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(63,939)</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(67,215)</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obligations (3)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108,524</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123,658</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0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Total long-term debt and finance lease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$ 24,941,098</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$ 21,219,717</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obligations (including current portion)</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879" w:hanging="330"/>
        <w:spacing w:after="0" w:line="245"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ind w:left="380" w:right="19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2024, DISH DBS assigned the Intercompany Loan 2026 Tranche of $4.7 billion to EchoStar Intercompany Receivable Company L.L.C., our parent, EchoStar’s, direct wholly-owned subsidiary, such that amounts owed in respect of the Intercompany Loan 2026 Tranche will now be paid by us to EchoStar Intercompany Receivable L.L.C. The Intercompany Loan 2026 Tranche was previously eliminated in consolidation and held by DISH DBS. The Intercompany Loan 2026 Tranche is not publicly traded and therefore the carrying value is the fair value.</w:t>
      </w:r>
    </w:p>
    <w:p>
      <w:pPr>
        <w:spacing w:after="0" w:line="4"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679"/>
        <w:spacing w:after="0" w:line="27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Convertible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0% Convertible Notes due 2025</w:t>
      </w:r>
    </w:p>
    <w:p>
      <w:pPr>
        <w:spacing w:after="0" w:line="19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On December 21, 2020, we issued $2.0 billion aggregate principal amount of the Convertible Notes due December 15, 2025 in a private placement. These notes will not bear interest, and the principal amount of the Notes will not accrete.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2025 are:</w:t>
      </w:r>
    </w:p>
    <w:p>
      <w:pPr>
        <w:spacing w:after="0" w:line="198"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45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2025;</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6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2025 may be converted at an initial conversion rate of 8.566 shares of EchoStar’s Class A common stock per $1,000 principal amount of the Convertible Notes due 2025 (equivalent to an initial conversion price of approximately $116.74 per share of EchoStar’s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3 3/8% Convertible Notes due 2026</w:t>
      </w:r>
    </w:p>
    <w:p>
      <w:pPr>
        <w:spacing w:after="0" w:line="196"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Interest accrues at an annual rate of 3 3/8% and is payable semi-annually in cash, in arrears on February 15 and August 15 of each year.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2026 are:</w:t>
      </w:r>
    </w:p>
    <w:p>
      <w:pPr>
        <w:spacing w:after="0" w:line="185"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7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EchoStar’s Class A common stock per $1,000 principal amount of Convertible Notes due 2026 (equivalent to an initial conversion price of approximately $185.76 per share of EchoStar’s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19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i w:val="1"/>
          <w:iCs w:val="1"/>
          <w:color w:val="auto"/>
        </w:rPr>
        <w:t>Merger with EchoStar</w:t>
      </w:r>
      <w:r>
        <w:rPr>
          <w:rFonts w:ascii="Arial" w:cs="Arial" w:eastAsia="Arial" w:hAnsi="Arial"/>
          <w:sz w:val="18"/>
          <w:szCs w:val="18"/>
          <w:color w:val="auto"/>
        </w:rPr>
        <w:t>. As defined and detailed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in connection with the completion of the Merger, on December 31, 2023, we and EchoStar entered into a note hedge amendment letter agreement with each option counterparty pursuant to which, at the Effective Time, our right to purchase shares of DISH Class A Common Stock pursuant to the terms of the applicable convertible note hedge transactions was changed into a right to purchase shares of EchoStar Class A Common Stock.</w:t>
      </w:r>
    </w:p>
    <w:p>
      <w:pPr>
        <w:spacing w:after="0" w:line="16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In addition, in connection with the completion of the Merger, on December 31, 2023, we and EchoStar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EchoStar guaranteed all of our obligations under the applicable warrant transactions.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 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 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Condensed Consolidated Balance Sheets as of December 31, 2016.</w:t>
      </w:r>
    </w:p>
    <w:p>
      <w:pPr>
        <w:spacing w:after="0" w:line="166"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Intercompany Loan</w:t>
      </w:r>
    </w:p>
    <w:p>
      <w:pPr>
        <w:spacing w:after="0" w:line="198"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The net proceeds from the offering of our 5 1/4% Senior Secured Notes due 2026 and our 5 3/4% Senior Secured Notes due 2028 (the “Senior Notes”) issued on November 26, 2021 were used by DISH DBS to make an intercompany loan to DISH Network pursuant to a Loan and Security Agreement dated November 26, 2021 (together with potential future advances to DISH Network, the “Intercompany Loan”) between DISH DBS and DISH Network in order to finance the purchase of wireless spectrum licenses and for general corporate purposes, including our 5G Network Deployment. The Intercompany Loan will mature in two tranches, with the first tranche maturing on December 1, 2026 (the “Intercompany Loan 2026 Tranche”) and the second tranche maturing on December 1, 2028 (the “Intercompany Loan 2028 Tranche”). DISH DBS may make additional advances to DISH Network under the Intercompany Loan, and on February 11, 2022, DISH DBS advanced an additional $1.5 billion to DISH Network under the Intercompany Loan 2026 Tranche. Interest accrues and is payable semiannually, and interest payments with respect to the Intercompany Loan are, at our option, payable in kind for the first two years from the issuance date of November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9" w:hanging="7"/>
        <w:spacing w:after="0" w:line="259" w:lineRule="auto"/>
        <w:rPr>
          <w:sz w:val="20"/>
          <w:szCs w:val="20"/>
          <w:color w:val="auto"/>
        </w:rPr>
      </w:pPr>
      <w:r>
        <w:rPr>
          <w:rFonts w:ascii="Arial" w:cs="Arial" w:eastAsia="Arial" w:hAnsi="Arial"/>
          <w:sz w:val="17"/>
          <w:szCs w:val="17"/>
          <w:color w:val="auto"/>
        </w:rPr>
        <w:t>After two years post issuance date, a minimum of 50% of each interest payment due with respect to each tranche of the Intercompany Loan must be paid in cash. Thereafter, interest payments must be paid in cash. Interest will accrue: (a) when paid in cash, at a fixed rate of 0.25% per annum in excess of the interest rate applicable to, in the case of the 2026 Tranche, the 5 1/4% Senior Secured Notes due 2026, and in the case of the 2028 Tranche, the 5 3/4% Senior Secured Notes due 2028 (each, the “Cash Accrual Rate” with respect to the applicable tranche); and (b) when paid in kind, at a rate of 0.75% per annum in excess of the Cash Accrual Rate for the applicable tranche.</w:t>
      </w:r>
    </w:p>
    <w:p>
      <w:pPr>
        <w:spacing w:after="0" w:line="15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As of March 31, 2024, the total Intercompany Loan amount outstanding plus interest paid in kind was $7.496 billion. For the three months ended March 31, 2024, there were no interest payments for the Intercompany Loan paid in cash.</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Intercompany Loan 2026 Tranche. </w:t>
      </w:r>
      <w:r>
        <w:rPr>
          <w:rFonts w:ascii="Arial" w:cs="Arial" w:eastAsia="Arial" w:hAnsi="Arial"/>
          <w:sz w:val="18"/>
          <w:szCs w:val="18"/>
          <w:color w:val="auto"/>
        </w:rPr>
        <w:t>In January 2024, DISH DBS assigned the 2026 Tranche of $4.7 billion</w:t>
      </w:r>
    </w:p>
    <w:p>
      <w:pPr>
        <w:spacing w:after="0" w:line="1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to EchoStar Intercompany Receivable Company L.L.C., our parent, EchoStar’s, direct wholly-owned subsidiary, such that amounts owed in respect of the 2026 Tranche will now be paid by us to EchoStar Intercompany Receivable L.L.C. The Intercompany Loan 2026 Tranche was previously eliminated in consolidation and held by DISH DBS. As of March 31, 2024, the total “Intercompany Loan 2026 Tranche” amount outstanding plus interest paid in kind was $4.697 billion, not including “Intercompany Loan 2026 Tranche Interest payable in cash” of $43 million and “Intercompany Loan 2026 Tranche Interest payable in kind” of $47 million, recorded on our Condensed Consolidated Balance Sheets. During the three months ended March 31 2024, we recorded $61 million of “Interest expense, net of amounts capitalized” on our Condensed Consolidated Statements of Operations and Comprehensive Income (Loss).</w:t>
      </w:r>
    </w:p>
    <w:p>
      <w:pPr>
        <w:spacing w:after="0" w:line="15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Intercompany Loan is secured by Weminuche’s interest in the wireless spectrum licenses for the 3.45-3.55 GHz Licenses with such cash proceeds up to the total loan amount outstanding including interest paid in kind. Under certain circumstances, DISH Network wireless spectrum licenses (valued based upon a third-party valuation) may be substituted for the collateral. The Intercompany Loan is not included as collateral for the Senior Secured Notes, and the Senior Secured Notes are subordinated to DISH DBS’s existing and certain future unsecured notes with respect to certain realizations under the Intercompany Loan and any collateral pledged as security for the Intercompany Loan.</w:t>
      </w:r>
    </w:p>
    <w:p>
      <w:pPr>
        <w:spacing w:after="0" w:line="158" w:lineRule="exact"/>
        <w:rPr>
          <w:sz w:val="20"/>
          <w:szCs w:val="20"/>
          <w:color w:val="auto"/>
        </w:rPr>
      </w:pPr>
    </w:p>
    <w:p>
      <w:pPr>
        <w:ind w:left="700" w:hanging="650"/>
        <w:spacing w:after="0"/>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96"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$6 billion of capitalized interest related to the carrying value of such licenses. See Note 1 and Note 2 for further information.</w:t>
      </w:r>
    </w:p>
    <w:p>
      <w:pPr>
        <w:spacing w:after="0" w:line="16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our Wireless spectrum licenses, which may affect the carrying amount of these assets and our future financial condition or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Wireless Spectrum Licenses</w:t>
      </w:r>
    </w:p>
    <w:p>
      <w:pPr>
        <w:spacing w:after="0" w:line="196"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Carrying</w:t>
            </w:r>
          </w:p>
        </w:tc>
        <w:tc>
          <w:tcPr>
            <w:tcW w:w="40" w:type="dxa"/>
            <w:vAlign w:val="bottom"/>
          </w:tcPr>
          <w:p>
            <w:pPr>
              <w:spacing w:after="0"/>
              <w:rPr>
                <w:sz w:val="13"/>
                <w:szCs w:val="13"/>
                <w:color w:val="auto"/>
              </w:rPr>
            </w:pPr>
          </w:p>
        </w:tc>
        <w:tc>
          <w:tcPr>
            <w:tcW w:w="2640" w:type="dxa"/>
            <w:vAlign w:val="bottom"/>
            <w:gridSpan w:val="4"/>
          </w:tcPr>
          <w:p>
            <w:pPr>
              <w:ind w:left="700"/>
              <w:spacing w:after="0"/>
              <w:rPr>
                <w:sz w:val="20"/>
                <w:szCs w:val="20"/>
                <w:color w:val="auto"/>
              </w:rPr>
            </w:pPr>
            <w:r>
              <w:rPr>
                <w:rFonts w:ascii="Arial" w:cs="Arial" w:eastAsia="Arial" w:hAnsi="Arial"/>
                <w:sz w:val="13"/>
                <w:szCs w:val="13"/>
                <w:b w:val="1"/>
                <w:bCs w:val="1"/>
                <w:color w:val="auto"/>
              </w:rPr>
              <w:t>Build-Out Deadlines</w:t>
            </w:r>
          </w:p>
        </w:tc>
        <w:tc>
          <w:tcPr>
            <w:tcW w:w="13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2"/>
                <w:szCs w:val="12"/>
                <w:color w:val="auto"/>
              </w:rPr>
            </w:pPr>
          </w:p>
        </w:tc>
        <w:tc>
          <w:tcPr>
            <w:tcW w:w="12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96"/>
              </w:rPr>
              <w:t>Interim</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Final</w:t>
            </w:r>
          </w:p>
        </w:tc>
        <w:tc>
          <w:tcPr>
            <w:tcW w:w="40" w:type="dxa"/>
            <w:vAlign w:val="bottom"/>
          </w:tcPr>
          <w:p>
            <w:pPr>
              <w:spacing w:after="0"/>
              <w:rPr>
                <w:sz w:val="12"/>
                <w:szCs w:val="12"/>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59"/>
        </w:trPr>
        <w:tc>
          <w:tcPr>
            <w:tcW w:w="3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Owned:</w:t>
            </w: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57"/>
              <w:spacing w:after="0"/>
              <w:rPr>
                <w:sz w:val="20"/>
                <w:szCs w:val="20"/>
                <w:color w:val="auto"/>
              </w:rPr>
            </w:pPr>
            <w:r>
              <w:rPr>
                <w:rFonts w:ascii="Arial" w:cs="Arial" w:eastAsia="Arial" w:hAnsi="Arial"/>
                <w:sz w:val="13"/>
                <w:szCs w:val="13"/>
                <w:color w:val="auto"/>
                <w:w w:val="96"/>
              </w:rPr>
              <w:t>(In thousands)</w:t>
            </w:r>
          </w:p>
        </w:tc>
        <w:tc>
          <w:tcPr>
            <w:tcW w:w="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DBS Licenses (1)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677,409</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3"/>
                <w:szCs w:val="13"/>
                <w:color w:val="auto"/>
              </w:rPr>
              <w:t>600 MHz Licenses</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6,213,335</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3"/>
                <w:szCs w:val="13"/>
                <w:color w:val="auto"/>
                <w:w w:val="96"/>
              </w:rPr>
              <w:t>June 14, 2025 (3)</w:t>
            </w:r>
          </w:p>
        </w:tc>
        <w:tc>
          <w:tcPr>
            <w:tcW w:w="130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June 2029</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3.45–3.55 GHz Licenses</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7,329,093</w:t>
            </w:r>
          </w:p>
        </w:tc>
        <w:tc>
          <w:tcPr>
            <w:tcW w:w="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May 4, 2026 (4)</w:t>
            </w:r>
          </w:p>
        </w:tc>
        <w:tc>
          <w:tcPr>
            <w:tcW w:w="14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May 4, 2030 (4)</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May 2037</w:t>
            </w:r>
          </w:p>
        </w:tc>
        <w:tc>
          <w:tcPr>
            <w:tcW w:w="0" w:type="dxa"/>
            <w:vAlign w:val="bottom"/>
          </w:tcPr>
          <w:p>
            <w:pPr>
              <w:spacing w:after="0"/>
              <w:rPr>
                <w:sz w:val="1"/>
                <w:szCs w:val="1"/>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3"/>
                <w:szCs w:val="13"/>
                <w:color w:val="auto"/>
              </w:rPr>
              <w:t>1695-1710 MHz, 1755-1780 MHz, and 2155-2180 MHz (2)</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972</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March 2026</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AWS-3</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5,618,930</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October 2025 (5)</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October 2025 (5)</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3"/>
                <w:szCs w:val="13"/>
                <w:b w:val="1"/>
                <w:bCs w:val="1"/>
                <w:i w:val="1"/>
                <w:iCs w:val="1"/>
                <w:color w:val="auto"/>
              </w:rPr>
              <w:t>Subtotal owned</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19,839,739</w:t>
            </w:r>
          </w:p>
        </w:tc>
        <w:tc>
          <w:tcPr>
            <w:tcW w:w="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Noncontrolling Investments: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SNR</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4,271,459</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October 2025 (5)</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October 2025 (5)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Interest (6)</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6,171,140</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Regulatory authorizations, net</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30,282,338</w:t>
            </w:r>
          </w:p>
        </w:tc>
        <w:tc>
          <w:tcPr>
            <w:tcW w:w="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Leased from EchoStar (7):</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700 MHz Licenses (2)</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711,871</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June 14, 2025 (8)</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3"/>
                <w:szCs w:val="13"/>
                <w:color w:val="auto"/>
              </w:rPr>
              <w:t>AWS-4 Licenses (2)</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1,940,000</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3"/>
                <w:szCs w:val="13"/>
                <w:color w:val="auto"/>
                <w:w w:val="96"/>
              </w:rPr>
              <w:t>June 14, 2025 (8)</w:t>
            </w:r>
          </w:p>
        </w:tc>
        <w:tc>
          <w:tcPr>
            <w:tcW w:w="130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 Block Licenses (2)</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1,671,506</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June 14, 2025 (9)</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3"/>
                <w:szCs w:val="13"/>
                <w:color w:val="auto"/>
              </w:rPr>
              <w:t>MVDDS Licenses (1)</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24,000</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July 2024</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LMDS Licenses (1)</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September 2028</w:t>
            </w:r>
          </w:p>
        </w:tc>
        <w:tc>
          <w:tcPr>
            <w:tcW w:w="0" w:type="dxa"/>
            <w:vAlign w:val="bottom"/>
          </w:tcPr>
          <w:p>
            <w:pPr>
              <w:spacing w:after="0"/>
              <w:rPr>
                <w:sz w:val="1"/>
                <w:szCs w:val="1"/>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3"/>
                <w:szCs w:val="13"/>
                <w:color w:val="auto"/>
              </w:rPr>
              <w:t>28 GHz Licenses</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2,883</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3"/>
                <w:szCs w:val="13"/>
                <w:color w:val="auto"/>
                <w:w w:val="97"/>
              </w:rPr>
              <w:t>October 2, 2029 (4)</w:t>
            </w:r>
          </w:p>
        </w:tc>
        <w:tc>
          <w:tcPr>
            <w:tcW w:w="1300" w:type="dxa"/>
            <w:vAlign w:val="bottom"/>
            <w:gridSpan w:val="2"/>
          </w:tcPr>
          <w:p>
            <w:pPr>
              <w:jc w:val="center"/>
              <w:ind w:right="20"/>
              <w:spacing w:after="0"/>
              <w:rPr>
                <w:sz w:val="20"/>
                <w:szCs w:val="20"/>
                <w:color w:val="auto"/>
              </w:rPr>
            </w:pPr>
            <w:r>
              <w:rPr>
                <w:rFonts w:ascii="Arial" w:cs="Arial" w:eastAsia="Arial" w:hAnsi="Arial"/>
                <w:sz w:val="13"/>
                <w:szCs w:val="13"/>
                <w:color w:val="auto"/>
                <w:w w:val="96"/>
              </w:rPr>
              <w:t>October 2029</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24 GHz Licenses</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11,772</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December 11, 2029 (4)</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December 2029</w:t>
            </w:r>
          </w:p>
        </w:tc>
        <w:tc>
          <w:tcPr>
            <w:tcW w:w="0" w:type="dxa"/>
            <w:vAlign w:val="bottom"/>
          </w:tcPr>
          <w:p>
            <w:pPr>
              <w:spacing w:after="0"/>
              <w:rPr>
                <w:sz w:val="1"/>
                <w:szCs w:val="1"/>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3"/>
                <w:szCs w:val="13"/>
                <w:color w:val="auto"/>
              </w:rPr>
              <w:t>37 GHz, 39 GHz and 47 GHz Licenses</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202,533</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3"/>
                <w:szCs w:val="13"/>
                <w:color w:val="auto"/>
                <w:w w:val="97"/>
              </w:rPr>
              <w:t>June 4, 2030 (4)</w:t>
            </w:r>
          </w:p>
        </w:tc>
        <w:tc>
          <w:tcPr>
            <w:tcW w:w="130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June 2030</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80"/>
              <w:spacing w:after="0"/>
              <w:rPr>
                <w:sz w:val="20"/>
                <w:szCs w:val="20"/>
                <w:color w:val="auto"/>
              </w:rPr>
            </w:pPr>
            <w:r>
              <w:rPr>
                <w:rFonts w:ascii="Arial" w:cs="Arial" w:eastAsia="Arial" w:hAnsi="Arial"/>
                <w:sz w:val="13"/>
                <w:szCs w:val="13"/>
                <w:color w:val="auto"/>
              </w:rPr>
              <w:t>3550-3650 MHz Licenses</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912,939</w:t>
            </w: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March 12, 2031 (4)</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March 2031</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3.7-3.98 GHz Licenses</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2,969</w:t>
            </w:r>
          </w:p>
        </w:tc>
        <w:tc>
          <w:tcPr>
            <w:tcW w:w="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3"/>
                <w:szCs w:val="13"/>
                <w:color w:val="auto"/>
                <w:w w:val="94"/>
              </w:rPr>
              <w:t>July 23, 2029 (4)</w:t>
            </w:r>
          </w:p>
        </w:tc>
        <w:tc>
          <w:tcPr>
            <w:tcW w:w="140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3"/>
                <w:szCs w:val="13"/>
                <w:color w:val="auto"/>
                <w:w w:val="97"/>
              </w:rPr>
              <w:t>July 23, 2033 (4)</w:t>
            </w:r>
          </w:p>
        </w:tc>
        <w:tc>
          <w:tcPr>
            <w:tcW w:w="130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3"/>
                <w:szCs w:val="13"/>
                <w:color w:val="auto"/>
                <w:w w:val="96"/>
              </w:rPr>
              <w:t>July 2036</w:t>
            </w:r>
          </w:p>
        </w:tc>
        <w:tc>
          <w:tcPr>
            <w:tcW w:w="0" w:type="dxa"/>
            <w:vAlign w:val="bottom"/>
          </w:tcPr>
          <w:p>
            <w:pPr>
              <w:spacing w:after="0"/>
              <w:rPr>
                <w:sz w:val="1"/>
                <w:szCs w:val="1"/>
                <w:color w:val="auto"/>
              </w:rPr>
            </w:pPr>
          </w:p>
        </w:tc>
      </w:tr>
      <w:tr>
        <w:trPr>
          <w:trHeight w:val="129"/>
        </w:trPr>
        <w:tc>
          <w:tcPr>
            <w:tcW w:w="37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Leased from EchoStar</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5,480,473</w:t>
            </w:r>
          </w:p>
        </w:tc>
        <w:tc>
          <w:tcPr>
            <w:tcW w:w="4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13"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ind w:left="380" w:right="79" w:hanging="330"/>
        <w:spacing w:after="0" w:line="23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these licenses, we must offer 5G broadband service to at least 75% of the population in each Partial Economic Area (which is a service area established by the FCC) by this date. We have also acquired certain additional 600 MHz licenses through private transactions. These licenses are currently subject to their original FCC buildout deadlines.</w:t>
      </w:r>
    </w:p>
    <w:p>
      <w:pPr>
        <w:spacing w:after="0" w:line="2"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w:t>
      </w:r>
    </w:p>
    <w:p>
      <w:pPr>
        <w:ind w:left="380" w:right="899" w:hanging="330"/>
        <w:spacing w:after="0" w:line="23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these licenses, we must provide reliable signal coverage and offer service to at least 75% of the population of each license area by this date.</w:t>
      </w:r>
    </w:p>
    <w:p>
      <w:pPr>
        <w:spacing w:after="0" w:line="1"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ind w:left="380" w:right="719" w:hanging="330"/>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Note 1 for further information on the Sale and Transfer of Assets to EchoStar and see Note 12 for Related Party Transactions with EchoStar.</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380" w:right="139" w:hanging="330"/>
        <w:spacing w:after="0" w:line="252" w:lineRule="auto"/>
        <w:tabs>
          <w:tab w:leader="none" w:pos="380" w:val="left"/>
        </w:tabs>
        <w:numPr>
          <w:ilvl w:val="0"/>
          <w:numId w:val="32"/>
        </w:numPr>
        <w:rPr>
          <w:rFonts w:ascii="Arial" w:cs="Arial" w:eastAsia="Arial" w:hAnsi="Arial"/>
          <w:sz w:val="17"/>
          <w:szCs w:val="17"/>
          <w:color w:val="222222"/>
        </w:rPr>
      </w:pPr>
      <w:r>
        <w:rPr>
          <w:rFonts w:ascii="Arial" w:cs="Arial" w:eastAsia="Arial" w:hAnsi="Arial"/>
          <w:sz w:val="17"/>
          <w:szCs w:val="17"/>
          <w:color w:val="222222"/>
        </w:rPr>
        <w:t xml:space="preserve">For these licenses, we must offer 5G broadband service to at least 70% of the population in each Economic Area (which is a service area established by the FCC). </w:t>
      </w:r>
      <w:r>
        <w:rPr>
          <w:rFonts w:ascii="Arial" w:cs="Arial" w:eastAsia="Arial" w:hAnsi="Arial"/>
          <w:sz w:val="17"/>
          <w:szCs w:val="17"/>
          <w:color w:val="000000"/>
        </w:rPr>
        <w:t>On September 29, 2023, the FCC confirmed we have</w:t>
      </w:r>
      <w:r>
        <w:rPr>
          <w:rFonts w:ascii="Arial" w:cs="Arial" w:eastAsia="Arial" w:hAnsi="Arial"/>
          <w:sz w:val="17"/>
          <w:szCs w:val="17"/>
          <w:color w:val="222222"/>
        </w:rPr>
        <w:t xml:space="preserve"> </w:t>
      </w:r>
      <w:r>
        <w:rPr>
          <w:rFonts w:ascii="Arial" w:cs="Arial" w:eastAsia="Arial" w:hAnsi="Arial"/>
          <w:sz w:val="17"/>
          <w:szCs w:val="17"/>
          <w:color w:val="000000"/>
        </w:rPr>
        <w:t>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1" w:lineRule="exact"/>
        <w:rPr>
          <w:rFonts w:ascii="Arial" w:cs="Arial" w:eastAsia="Arial" w:hAnsi="Arial"/>
          <w:sz w:val="17"/>
          <w:szCs w:val="17"/>
          <w:color w:val="222222"/>
        </w:rPr>
      </w:pPr>
    </w:p>
    <w:p>
      <w:pPr>
        <w:ind w:left="380" w:right="139" w:hanging="330"/>
        <w:spacing w:after="0" w:line="254"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these licenses, we must offer 5G broadband service to at least 75% of the population in each Economic Area (which is a service area established by the FCC).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-144145</wp:posOffset>
            </wp:positionV>
            <wp:extent cx="2540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3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i w:val="1"/>
          <w:iCs w:val="1"/>
          <w:color w:val="auto"/>
        </w:rPr>
        <w:t xml:space="preserve">Commercialization of Our Wireless Spectrum Licenses and Related Assets. </w:t>
      </w:r>
      <w:r>
        <w:rPr>
          <w:rFonts w:ascii="Arial" w:cs="Arial" w:eastAsia="Arial" w:hAnsi="Arial"/>
          <w:sz w:val="18"/>
          <w:szCs w:val="18"/>
          <w:color w:val="auto"/>
        </w:rPr>
        <w:t>We plan to commercialize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Wireless spectrum licenses through our 5G Network Deployment. We have committed to deploy our 5G Network capable of serving increasingly larger portions of the U.S. population at different deadlines.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w:t>
      </w:r>
      <w:r>
        <w:rPr>
          <w:rFonts w:ascii="Arial" w:cs="Arial" w:eastAsia="Arial" w:hAnsi="Arial"/>
          <w:sz w:val="18"/>
          <w:szCs w:val="18"/>
          <w:color w:val="auto"/>
        </w:rPr>
        <w:t xml:space="preserve"> </w:t>
      </w:r>
      <w:r>
        <w:rPr>
          <w:rFonts w:ascii="Arial" w:cs="Arial" w:eastAsia="Arial" w:hAnsi="Arial"/>
          <w:sz w:val="18"/>
          <w:szCs w:val="18"/>
          <w:color w:val="0A0A0A"/>
        </w:rPr>
        <w:t xml:space="preserve">now have the largest commercial deployment of 5G VoNR in the world reaching approximately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reaching approximately 250 million Americans. </w:t>
      </w:r>
      <w:r>
        <w:rPr>
          <w:rFonts w:ascii="Arial" w:cs="Arial" w:eastAsia="Arial" w:hAnsi="Arial"/>
          <w:sz w:val="18"/>
          <w:szCs w:val="18"/>
          <w:color w:val="000000"/>
        </w:rPr>
        <w:t>We currently expect capital</w:t>
      </w:r>
      <w:r>
        <w:rPr>
          <w:rFonts w:ascii="Arial" w:cs="Arial" w:eastAsia="Arial" w:hAnsi="Arial"/>
          <w:sz w:val="18"/>
          <w:szCs w:val="18"/>
          <w:color w:val="0A0A0A"/>
        </w:rPr>
        <w:t xml:space="preserve"> </w:t>
      </w:r>
      <w:r>
        <w:rPr>
          <w:rFonts w:ascii="Arial" w:cs="Arial" w:eastAsia="Arial" w:hAnsi="Arial"/>
          <w:sz w:val="18"/>
          <w:szCs w:val="18"/>
          <w:color w:val="000000"/>
        </w:rPr>
        <w:t>expenditures, excluding capitalized interest, for our 5G Network Deployment to be approximately $10 billion, including amounts incurred in 2021, 2022, 2023 and the first three months of 2024. See Note 2 for further information on capitalized interest.</w:t>
      </w:r>
    </w:p>
    <w:p>
      <w:pPr>
        <w:spacing w:after="0" w:line="169"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Northstar Wireless is a wholly-owned subsidiary of Northstar Spectrum, which is an entity wholly-owned by us and, prior to October 12, 2023, by us and Northstar Manager. SNR Wireless is a wholly-owned subsidiary of SNR HoldCo, which is an entity owned by us and our parent’s direct wholly-owned subsidiary EchoStar SNR HoldCo L.L.C. and, prior to February 16, 2024, by us and SNR Management. See Note 2 for further information.</w:t>
      </w:r>
    </w:p>
    <w:p>
      <w:pPr>
        <w:spacing w:after="0" w:line="16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i w:val="1"/>
          <w:iCs w:val="1"/>
          <w:color w:val="auto"/>
        </w:rPr>
        <w:t xml:space="preserve">FCC Order and October 2015 Arrangements. </w:t>
      </w:r>
      <w:r>
        <w:rPr>
          <w:rFonts w:ascii="Arial" w:cs="Arial" w:eastAsia="Arial" w:hAnsi="Arial"/>
          <w:sz w:val="18"/>
          <w:szCs w:val="18"/>
          <w:color w:val="auto"/>
        </w:rPr>
        <w:t>On August 18, 2015, the FCC released a</w:t>
      </w:r>
      <w:r>
        <w:rPr>
          <w:rFonts w:ascii="Arial" w:cs="Arial" w:eastAsia="Arial" w:hAnsi="Arial"/>
          <w:sz w:val="18"/>
          <w:szCs w:val="18"/>
          <w:i w:val="1"/>
          <w:iCs w:val="1"/>
          <w:color w:val="auto"/>
        </w:rPr>
        <w:t xml:space="preserve"> Memorandum Opinion and Order</w:t>
      </w:r>
      <w:r>
        <w:rPr>
          <w:rFonts w:ascii="Arial" w:cs="Arial" w:eastAsia="Arial" w:hAnsi="Arial"/>
          <w:sz w:val="18"/>
          <w:szCs w:val="18"/>
          <w:color w:val="auto"/>
        </w:rPr>
        <w:t>, FCC 15-104 (the “Order”) in which the FCC determined, among other things, that DISH Network has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 Northstar Wireless and SNR Wireless have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6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i w:val="1"/>
          <w:iCs w:val="1"/>
          <w:color w:val="auto"/>
        </w:rPr>
        <w:t xml:space="preserve">Letters Exchanged between Northstar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w:t>
      </w:r>
    </w:p>
    <w:p>
      <w:pPr>
        <w:spacing w:after="0" w:line="163"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Northstar Wireless, no additional amounts will be owed to the FCC by Northstar Wireless. However, if those winning bids are less than the winning bids of Northstar Wireless, then we will be responsible for the difference less any overpayment of the Northstar interim payment, detailed below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$334 million overpayment of the Northstar interim payment. We cannot predict with any degree of certainty the timing or outcome of any re-auction or the amount of any Northstar Re-Auction Payment.</w:t>
      </w:r>
    </w:p>
    <w:p>
      <w:pPr>
        <w:spacing w:after="0" w:line="166"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i w:val="1"/>
          <w:iCs w:val="1"/>
          <w:color w:val="auto"/>
        </w:rPr>
        <w:t xml:space="preserve">Letters Exchanged between SNR Wireless and the FCC Wireless Bureau. </w:t>
      </w:r>
      <w:r>
        <w:rPr>
          <w:rFonts w:ascii="Arial" w:cs="Arial" w:eastAsia="Arial" w:hAnsi="Arial"/>
          <w:sz w:val="17"/>
          <w:szCs w:val="17"/>
          <w:color w:val="auto"/>
        </w:rPr>
        <w:t>As outlined in letters exchanged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w:t>
      </w:r>
    </w:p>
    <w:p>
      <w:pPr>
        <w:spacing w:after="0" w:line="14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SNR Wireless, no additional amounts will be owed to the FCC by SNR Wireless. However, if those winning bids are less than the winning bids of SNR Wireless, then we and our parent, EchoStar, will be responsible for the difference less any overpayment of the SNR interim payment, detailed below (which will be recalculated as 15% of the winning bids from re-auction or other award) (the “SNR Re-Auction Payment”). For example, if the winning bids in a re-auction are $1, the SNR Re-Auction Payment would be approximately $1.029 billion, which is calculated as the difference between $1.211 billion (the SNR winning bid amounts) and $1 (the winning bids from re-auction) less the resulting $182 million overpayment of the SNR interim payment. We cannot predict with any degree of certainty the timing or outcome of any re-auction or the amount of any SNR Re-Auction Payment.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i w:val="1"/>
          <w:iCs w:val="1"/>
          <w:color w:val="auto"/>
        </w:rPr>
        <w:t>D.C. Circuit Court Opinion</w:t>
      </w:r>
      <w:r>
        <w:rPr>
          <w:rFonts w:ascii="Arial" w:cs="Arial" w:eastAsia="Arial" w:hAnsi="Arial"/>
          <w:sz w:val="17"/>
          <w:szCs w:val="17"/>
          <w:color w:val="auto"/>
        </w:rPr>
        <w:t>. On August 29, 2017, the United States Court of Appeals for the District of Columbia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Circuit (the “D.C. Circuit”) in </w:t>
      </w:r>
      <w:r>
        <w:rPr>
          <w:rFonts w:ascii="Arial" w:cs="Arial" w:eastAsia="Arial" w:hAnsi="Arial"/>
          <w:sz w:val="17"/>
          <w:szCs w:val="17"/>
          <w:i w:val="1"/>
          <w:iCs w:val="1"/>
          <w:color w:val="auto"/>
        </w:rPr>
        <w:t>SNR Wireless LicenseCo, LLC, et al. v. Federal Communications Commission</w:t>
      </w:r>
      <w:r>
        <w:rPr>
          <w:rFonts w:ascii="Arial" w:cs="Arial" w:eastAsia="Arial" w:hAnsi="Arial"/>
          <w:sz w:val="17"/>
          <w:szCs w:val="17"/>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5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March 13, 2014, ClearPlay, Inc. (“ClearPlay”) filed a complaint against us, our wholly-owned subsidiary DISH Network L.L.C., EchoStar, and its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7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EchoStar as defendants, leaving DISH Network L.L.C. and DISH Technologies L.L.C. as the sole defendants.</w:t>
      </w:r>
    </w:p>
    <w:p>
      <w:pPr>
        <w:spacing w:after="0" w:line="165"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15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7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May 9, 2023, Susan Owen-Brooks, an alleged customer, filed a putative class action complaint against us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On behalf of the nationwide class, she alleges claims for contractual breaches, negligence and unjust enrichment (and, on behalf of the North Carolina subclass only, violation of the North Carolina Deceptive Trade Practices Act), and seeks monetary damages, injunctive relief and a declaratory judgment.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w:t>
      </w:r>
    </w:p>
    <w:p>
      <w:pPr>
        <w:spacing w:after="0" w:line="17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Digital Broadcasting Solutions, LLC</w:t>
      </w:r>
    </w:p>
    <w:p>
      <w:pPr>
        <w:spacing w:after="0" w:line="19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222222"/>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5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222222"/>
        </w:rPr>
        <w:t xml:space="preserve">In May 2023, DISH Network L.L.C. and DISH Technologies L.L.C. </w:t>
      </w:r>
      <w:r>
        <w:rPr>
          <w:rFonts w:ascii="Arial" w:cs="Arial" w:eastAsia="Arial" w:hAnsi="Arial"/>
          <w:sz w:val="18"/>
          <w:szCs w:val="18"/>
          <w:color w:val="000000"/>
        </w:rPr>
        <w:t>filed petitions with the United States Patent and</w:t>
      </w:r>
      <w:r>
        <w:rPr>
          <w:rFonts w:ascii="Arial" w:cs="Arial" w:eastAsia="Arial" w:hAnsi="Arial"/>
          <w:sz w:val="18"/>
          <w:szCs w:val="18"/>
          <w:color w:val="222222"/>
        </w:rPr>
        <w:t xml:space="preserve"> </w:t>
      </w:r>
      <w:r>
        <w:rPr>
          <w:rFonts w:ascii="Arial" w:cs="Arial" w:eastAsia="Arial" w:hAnsi="Arial"/>
          <w:sz w:val="18"/>
          <w:szCs w:val="18"/>
          <w:color w:val="000000"/>
        </w:rPr>
        <w:t>Trademark Office challenging the validity of all claims of the 710 patent and the 122 patent and, on December 11, 2023, the United States Patent and Trademark Office entered decisions instituting each petition. On May 9, 2024, a magistrate judge issued an order granting the defendants’ motion to stay the case pending the petitions before the United States Patent and Trademark Office and any related appeals.</w:t>
      </w:r>
    </w:p>
    <w:p>
      <w:pPr>
        <w:spacing w:after="0" w:line="16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(first action)</w:t>
      </w:r>
    </w:p>
    <w:p>
      <w:pPr>
        <w:spacing w:after="0" w:line="196"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222222"/>
        </w:rPr>
        <w:t>On March 9, 2022, Entropic Communications, LLC (“Entropic”) filed a complaint against us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w:t>
      </w:r>
    </w:p>
    <w:p>
      <w:pPr>
        <w:spacing w:after="0" w:line="15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22222"/>
        </w:rPr>
        <w:t xml:space="preserve">On October 24, 2022, this case was ordered to be transferred to the United States District Court for the Central District of California. </w:t>
      </w:r>
      <w:r>
        <w:rPr>
          <w:rFonts w:ascii="Arial" w:cs="Arial" w:eastAsia="Arial" w:hAnsi="Arial"/>
          <w:sz w:val="18"/>
          <w:szCs w:val="18"/>
          <w:color w:val="000000"/>
        </w:rPr>
        <w:t>A companion case against DirecTV was also ordered transferred to the United States District</w:t>
      </w:r>
      <w:r>
        <w:rPr>
          <w:rFonts w:ascii="Arial" w:cs="Arial" w:eastAsia="Arial" w:hAnsi="Arial"/>
          <w:sz w:val="18"/>
          <w:szCs w:val="18"/>
          <w:color w:val="222222"/>
        </w:rPr>
        <w:t xml:space="preserve"> </w:t>
      </w:r>
      <w:r>
        <w:rPr>
          <w:rFonts w:ascii="Arial" w:cs="Arial" w:eastAsia="Arial" w:hAnsi="Arial"/>
          <w:sz w:val="18"/>
          <w:szCs w:val="18"/>
          <w:color w:val="000000"/>
        </w:rPr>
        <w:t>Court for the Central District of California.</w:t>
      </w:r>
    </w:p>
    <w:p>
      <w:pPr>
        <w:spacing w:after="0" w:line="15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22222"/>
        </w:rPr>
        <w:t xml:space="preserve">In January and February of 2023, DISH Network L.L.C. and Dish Network Service L.L.C. </w:t>
      </w:r>
      <w:r>
        <w:rPr>
          <w:rFonts w:ascii="Arial" w:cs="Arial" w:eastAsia="Arial" w:hAnsi="Arial"/>
          <w:sz w:val="18"/>
          <w:szCs w:val="18"/>
          <w:color w:val="000000"/>
        </w:rPr>
        <w:t>filed petitions with the</w:t>
      </w:r>
      <w:r>
        <w:rPr>
          <w:rFonts w:ascii="Arial" w:cs="Arial" w:eastAsia="Arial" w:hAnsi="Arial"/>
          <w:sz w:val="18"/>
          <w:szCs w:val="18"/>
          <w:color w:val="222222"/>
        </w:rPr>
        <w:t xml:space="preserve"> </w:t>
      </w:r>
      <w:r>
        <w:rPr>
          <w:rFonts w:ascii="Arial" w:cs="Arial" w:eastAsia="Arial" w:hAnsi="Arial"/>
          <w:sz w:val="18"/>
          <w:szCs w:val="18"/>
          <w:color w:val="000000"/>
        </w:rPr>
        <w:t>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w:t>
      </w:r>
    </w:p>
    <w:p>
      <w:pPr>
        <w:spacing w:after="0" w:line="16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22222"/>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r>
        <w:rPr>
          <w:rFonts w:ascii="Arial" w:cs="Arial" w:eastAsia="Arial" w:hAnsi="Arial"/>
          <w:sz w:val="18"/>
          <w:szCs w:val="18"/>
          <w:color w:val="000000"/>
        </w:rPr>
        <w:t>The plaintiff is an entity that seeks to license a patent portfolio without itself practicing any of the</w:t>
      </w:r>
      <w:r>
        <w:rPr>
          <w:rFonts w:ascii="Arial" w:cs="Arial" w:eastAsia="Arial" w:hAnsi="Arial"/>
          <w:sz w:val="18"/>
          <w:szCs w:val="18"/>
          <w:color w:val="222222"/>
        </w:rPr>
        <w:t xml:space="preserve"> </w:t>
      </w:r>
      <w:r>
        <w:rPr>
          <w:rFonts w:ascii="Arial" w:cs="Arial" w:eastAsia="Arial" w:hAnsi="Arial"/>
          <w:sz w:val="18"/>
          <w:szCs w:val="18"/>
          <w:color w:val="000000"/>
        </w:rPr>
        <w:t>claims recited therein.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(second action)</w:t>
      </w:r>
    </w:p>
    <w:p>
      <w:pPr>
        <w:spacing w:after="0" w:line="19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On February 10, 2023, Entropic filed a second lawsuit against us and our wholly-owned subsidiaries </w:t>
      </w:r>
      <w:r>
        <w:rPr>
          <w:rFonts w:ascii="Arial" w:cs="Arial" w:eastAsia="Arial" w:hAnsi="Arial"/>
          <w:sz w:val="18"/>
          <w:szCs w:val="18"/>
          <w:color w:val="222222"/>
        </w:rPr>
        <w:t>DISH</w:t>
      </w:r>
      <w:r>
        <w:rPr>
          <w:rFonts w:ascii="Arial" w:cs="Arial" w:eastAsia="Arial" w:hAnsi="Arial"/>
          <w:sz w:val="18"/>
          <w:szCs w:val="18"/>
          <w:color w:val="auto"/>
        </w:rPr>
        <w:t xml:space="preserve"> </w:t>
      </w:r>
      <w:r>
        <w:rPr>
          <w:rFonts w:ascii="Arial" w:cs="Arial" w:eastAsia="Arial" w:hAnsi="Arial"/>
          <w:sz w:val="18"/>
          <w:szCs w:val="18"/>
          <w:color w:val="222222"/>
        </w:rPr>
        <w:t>Network L.L.C., Dish Network Service L.L.C. and Dish Network California Service Corporation in the United States District Court for the Central District of California. The complaint alleges infringement of U.S. Patent No.</w:t>
      </w:r>
    </w:p>
    <w:p>
      <w:pPr>
        <w:spacing w:after="0" w:line="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22222"/>
        </w:rPr>
        <w:t>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79"/>
        <w:spacing w:after="0"/>
        <w:rPr>
          <w:sz w:val="20"/>
          <w:szCs w:val="20"/>
          <w:color w:val="auto"/>
        </w:rPr>
      </w:pPr>
      <w:r>
        <w:rPr>
          <w:rFonts w:ascii="Arial" w:cs="Arial" w:eastAsia="Arial" w:hAnsi="Arial"/>
          <w:sz w:val="18"/>
          <w:szCs w:val="18"/>
          <w:color w:val="222222"/>
        </w:rPr>
        <w:t xml:space="preserve">Generally, the patents relate to Multimedia over Coax Alliance standards and the manner in which we provide a whole-home DVR network over an on-premises coaxial cable network. Entropic has asserted the same patents in the same court against Comcast, Cox and </w:t>
      </w:r>
      <w:r>
        <w:rPr>
          <w:rFonts w:ascii="Arial" w:cs="Arial" w:eastAsia="Arial" w:hAnsi="Arial"/>
          <w:sz w:val="18"/>
          <w:szCs w:val="18"/>
          <w:color w:val="000000"/>
        </w:rPr>
        <w:t>DirecTV</w:t>
      </w:r>
      <w:r>
        <w:rPr>
          <w:rFonts w:ascii="Arial" w:cs="Arial" w:eastAsia="Arial" w:hAnsi="Arial"/>
          <w:sz w:val="18"/>
          <w:szCs w:val="18"/>
          <w:color w:val="222222"/>
        </w:rPr>
        <w:t xml:space="preserve">. On September 7, 2023, the Court granted the motion of DISH Network L.L.C., Dish Network Service L.L.C. and Dish Network California Service Corporation to dismiss the claims arising from the 7,566 patent and the 910 patent on the grounds that they claimed in eligible subject matter. </w:t>
      </w:r>
      <w:r>
        <w:rPr>
          <w:rFonts w:ascii="Arial" w:cs="Arial" w:eastAsia="Arial" w:hAnsi="Arial"/>
          <w:sz w:val="18"/>
          <w:szCs w:val="18"/>
          <w:color w:val="000000"/>
        </w:rPr>
        <w:t>In January and February 2024, DISH Network L.L.C. filed petitions with the United States Patent and Trademark Office challenging the validity of the 249 patent, the 518 patent, the 759 patent, the 450 patent, the 539 patent, the ‘0,566 patent, and the ‘681 patent.</w:t>
      </w:r>
    </w:p>
    <w:p>
      <w:pPr>
        <w:spacing w:after="0" w:line="16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Freedom Patents</w:t>
      </w:r>
    </w:p>
    <w:p>
      <w:pPr>
        <w:spacing w:after="0" w:line="19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 xml:space="preserve">On April 7, 2023, Freedom Patents LLC </w:t>
      </w:r>
      <w:r>
        <w:rPr>
          <w:rFonts w:ascii="Arial" w:cs="Arial" w:eastAsia="Arial" w:hAnsi="Arial"/>
          <w:sz w:val="17"/>
          <w:szCs w:val="17"/>
          <w:color w:val="222222"/>
        </w:rPr>
        <w:t>filed a complaint against us and our wholly-owned subsidiaries DISH</w:t>
      </w:r>
      <w:r>
        <w:rPr>
          <w:rFonts w:ascii="Arial" w:cs="Arial" w:eastAsia="Arial" w:hAnsi="Arial"/>
          <w:sz w:val="17"/>
          <w:szCs w:val="17"/>
          <w:color w:val="auto"/>
        </w:rPr>
        <w:t xml:space="preserve"> </w:t>
      </w:r>
      <w:r>
        <w:rPr>
          <w:rFonts w:ascii="Arial" w:cs="Arial" w:eastAsia="Arial" w:hAnsi="Arial"/>
          <w:sz w:val="17"/>
          <w:szCs w:val="17"/>
          <w:color w:val="222222"/>
        </w:rPr>
        <w:t xml:space="preserve">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w:t>
      </w:r>
      <w:r>
        <w:rPr>
          <w:rFonts w:ascii="Arial" w:cs="Arial" w:eastAsia="Arial" w:hAnsi="Arial"/>
          <w:sz w:val="17"/>
          <w:szCs w:val="17"/>
          <w:color w:val="000000"/>
        </w:rPr>
        <w:t>Acer, Altice, Charter, Comcast and Verizon. In</w:t>
      </w:r>
      <w:r>
        <w:rPr>
          <w:rFonts w:ascii="Arial" w:cs="Arial" w:eastAsia="Arial" w:hAnsi="Arial"/>
          <w:sz w:val="17"/>
          <w:szCs w:val="17"/>
          <w:color w:val="222222"/>
        </w:rPr>
        <w:t xml:space="preserve"> </w:t>
      </w:r>
      <w:r>
        <w:rPr>
          <w:rFonts w:ascii="Arial" w:cs="Arial" w:eastAsia="Arial" w:hAnsi="Arial"/>
          <w:sz w:val="17"/>
          <w:szCs w:val="17"/>
          <w:color w:val="000000"/>
        </w:rPr>
        <w:t>general, the asserted patents relate to the 802.11 wireless standard, and the products accused of infringement are the Wireless Joey, its access point, and certain Ring, Nest and Linksys products that we sell. On March 15, 2024, the Court denied the defendants’ motion to transfer the case to the United States District Court for the District of Colorado. The parties have reached a settlement under which we, DISH Network L.L.C. and Dish Network Service L.L.C. will pay a non-material sum in exchange for dismissal of the litigation and a license to the asserted patents.</w:t>
      </w:r>
    </w:p>
    <w:p>
      <w:pPr>
        <w:spacing w:after="0" w:line="16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22222"/>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r>
        <w:rPr>
          <w:rFonts w:ascii="Arial" w:cs="Arial" w:eastAsia="Arial" w:hAnsi="Arial"/>
          <w:sz w:val="18"/>
          <w:szCs w:val="18"/>
          <w:color w:val="000000"/>
        </w:rPr>
        <w:t>The plaintiff is an entity that seeks to license a patent portfolio without itself practicing any of the</w:t>
      </w:r>
      <w:r>
        <w:rPr>
          <w:rFonts w:ascii="Arial" w:cs="Arial" w:eastAsia="Arial" w:hAnsi="Arial"/>
          <w:sz w:val="18"/>
          <w:szCs w:val="18"/>
          <w:color w:val="222222"/>
        </w:rPr>
        <w:t xml:space="preserve"> </w:t>
      </w:r>
      <w:r>
        <w:rPr>
          <w:rFonts w:ascii="Arial" w:cs="Arial" w:eastAsia="Arial" w:hAnsi="Arial"/>
          <w:sz w:val="18"/>
          <w:szCs w:val="18"/>
          <w:color w:val="000000"/>
        </w:rPr>
        <w:t>claims recited therein.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March 23, 2023, a securities fraud class action complaint was filed against us and Messrs. Ergen, Carlson and Orban in the United States District Court for the District of Colorado. The complaint is brought on behalf of a putative class of purchasers of our securities during the February 22, 2021 to February 27, 2023 class period. In general, the complaint alleges that DISH Network’s public statements during that period were false and misleading and contained material omissions, because they did not disclose that we allegedly maintained a deficient cyber-security and information technology infrastructure, were unable to properly secure customer data and our operations were susceptible to widespread service outages.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adds as individual defendants James S. Allen, our Senior Vice President and Chief Accounting Officer; John Swieringa, our President, Technology and Chief Operating Officer; Dave Mayo, our former Executive Vice President of Network Development; Marc Rouanne, our former Executive Vice President and Chief Network Officer; and Stephen Bye, our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7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On December 20, 2021, four former employees filed a class action complaint in the United States District Court for the District of Colorado against us, our Board of Directors, and our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8"/>
          <w:szCs w:val="18"/>
          <w:color w:val="222222"/>
        </w:rPr>
        <w:t>On February 1, 2023, a Magistrate Judge issued a</w:t>
      </w:r>
      <w:r>
        <w:rPr>
          <w:rFonts w:ascii="Arial" w:cs="Arial" w:eastAsia="Arial" w:hAnsi="Arial"/>
          <w:sz w:val="18"/>
          <w:szCs w:val="18"/>
          <w:color w:val="auto"/>
        </w:rPr>
        <w:t xml:space="preserve"> </w:t>
      </w:r>
      <w:r>
        <w:rPr>
          <w:rFonts w:ascii="Arial" w:cs="Arial" w:eastAsia="Arial" w:hAnsi="Arial"/>
          <w:sz w:val="18"/>
          <w:szCs w:val="18"/>
          <w:color w:val="222222"/>
        </w:rPr>
        <w:t>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w:t>
      </w:r>
    </w:p>
    <w:p>
      <w:pPr>
        <w:spacing w:after="0" w:line="17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us;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w:t>
      </w:r>
    </w:p>
    <w:p>
      <w:pPr>
        <w:spacing w:after="0" w:line="165"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w:t>
      </w:r>
    </w:p>
    <w:p>
      <w:pPr>
        <w:ind w:left="60" w:right="199"/>
        <w:spacing w:after="0" w:line="238" w:lineRule="auto"/>
        <w:rPr>
          <w:sz w:val="20"/>
          <w:szCs w:val="20"/>
          <w:color w:val="auto"/>
        </w:rPr>
      </w:pPr>
      <w:r>
        <w:rPr>
          <w:rFonts w:ascii="Arial" w:cs="Arial" w:eastAsia="Arial" w:hAnsi="Arial"/>
          <w:sz w:val="18"/>
          <w:szCs w:val="18"/>
          <w:color w:val="auto"/>
        </w:rPr>
        <w:t>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47"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July 19, 2017, the Court severed Realtime’s claims against us,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us,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7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60" w:right="319"/>
        <w:spacing w:after="0" w:line="259" w:lineRule="auto"/>
        <w:rPr>
          <w:sz w:val="20"/>
          <w:szCs w:val="20"/>
          <w:color w:val="auto"/>
        </w:rPr>
      </w:pPr>
      <w:r>
        <w:rPr>
          <w:rFonts w:ascii="Arial" w:cs="Arial" w:eastAsia="Arial" w:hAnsi="Arial"/>
          <w:sz w:val="17"/>
          <w:szCs w:val="17"/>
          <w:color w:val="auto"/>
        </w:rPr>
        <w:t>As a result, neither we nor any of our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spacing w:after="0" w:line="15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6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that court heard oral argument on April 2, 2024.</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June 27, 2022, SafeCast Limited filed a complaint against us in the United States District Court for the Western District of Texas. The complaint alleges that we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us transferred to the United States District Court for the District of Colorado. On December 1, 2022, SafeCast filed an amended complaint naming our wholly-owned subsidiaries DISH Network L.L.C. and DISH Technologies L.L.C. as defendants and withdrawing the allegations as to us. On June 22, 2023, DISH Network L.L.C. and DISH Technologies L.L.C. filed a petition with the United States Patent and Trademark Office challenging the validity of the asserted claims of the 302 patent. On August 28, 2023, the Court stayed the case pending resolution of the petition.</w:t>
      </w:r>
    </w:p>
    <w:p>
      <w:pPr>
        <w:spacing w:after="0" w:line="172"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w:t>
      </w:r>
    </w:p>
    <w:p>
      <w:pPr>
        <w:spacing w:after="0" w:line="15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6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January 18, 2023, they filed another petition requesting ex parte reexamination of the validity of the four additional asserted claims of the 213 patent, and reexamination was ordered on April 17, 2023. On November 13, 2023, the United States Patent and Trademark Office confirmed the patentability of the claim challenged in our first petition.</w:t>
      </w:r>
    </w:p>
    <w:p>
      <w:pPr>
        <w:spacing w:after="0" w:line="16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w:t>
      </w:r>
    </w:p>
    <w:p>
      <w:pPr>
        <w:spacing w:after="0" w:line="167"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On July 17, 2015, TQ Delta, LLC (“TQ Delta”) filed a complaint against us and our wholly-owned subsidiaries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5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w:t>
      </w:r>
    </w:p>
    <w:p>
      <w:pPr>
        <w:spacing w:after="0" w:line="171"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w:t>
      </w:r>
    </w:p>
    <w:p>
      <w:pPr>
        <w:spacing w:after="0" w:line="16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w:t>
      </w:r>
    </w:p>
    <w:p>
      <w:pPr>
        <w:spacing w:after="0" w:line="160"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the United States Patent and Trademark Office confirmed the challenged claims of the 243 patent. In a proposed supplemental report, TQ Delta’s damages expert contends that TQ Delta is entitled to $251 million in damages.</w:t>
      </w:r>
    </w:p>
    <w:p>
      <w:pPr>
        <w:spacing w:after="0" w:line="16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w:t>
      </w:r>
    </w:p>
    <w:p>
      <w:pPr>
        <w:spacing w:after="0" w:line="154"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5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On November 9, 2022, Uniloc filed a notice of appeal of that revised final written decision, and briefing was completed on August 11, 2023.</w:t>
      </w:r>
    </w:p>
    <w:p>
      <w:pPr>
        <w:spacing w:after="0" w:line="171"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spacing w:after="0" w:line="16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Uniloc is an entity that seeks to license an acquired patent portfolio without itself practicing any of the claims recited therein.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196" w:lineRule="exact"/>
        <w:rPr>
          <w:sz w:val="20"/>
          <w:szCs w:val="20"/>
          <w:color w:val="auto"/>
        </w:rPr>
      </w:pPr>
    </w:p>
    <w:p>
      <w:pPr>
        <w:ind w:left="60" w:right="119" w:hanging="7"/>
        <w:spacing w:after="0" w:line="254" w:lineRule="auto"/>
        <w:rPr>
          <w:sz w:val="20"/>
          <w:szCs w:val="20"/>
          <w:color w:val="auto"/>
        </w:rPr>
      </w:pPr>
      <w:r>
        <w:rPr>
          <w:rFonts w:ascii="Arial" w:cs="Arial" w:eastAsia="Arial" w:hAnsi="Arial"/>
          <w:sz w:val="17"/>
          <w:szCs w:val="17"/>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w:t>
      </w:r>
    </w:p>
    <w:p>
      <w:pPr>
        <w:spacing w:after="0" w:line="159"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On September 23, 2016, the United States District Court for the District of Columbia unsealed a qui tam complaint that, on May 13, 2015, Vermont National filed against us; our wholly-owned subsidiaries, American AWS-3 Wireless I L.L.C., American II, American III, and DISH Wireless Holding L.L.C.; Charles W. Ergen (our Chairman) and Cantey M. Ergen (a member of our Board of Directors, at that time);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6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On August 25, 2023, the FCC provided a sworn declaration stating that “the FCC considers … SNR and Northstar to have fully and timely satisfied their obligations to pay money to the Government arising from the AWS-3 Auction.”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w:t>
      </w:r>
    </w:p>
    <w:p>
      <w:pPr>
        <w:spacing w:after="0" w:line="163"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49" w:lineRule="exact"/>
        <w:rPr>
          <w:sz w:val="20"/>
          <w:szCs w:val="20"/>
          <w:color w:val="auto"/>
        </w:rPr>
      </w:pPr>
    </w:p>
    <w:p>
      <w:pPr>
        <w:ind w:left="700" w:hanging="650"/>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Operating segments are components of an enterprise for which separate financial information is available and regularly evaluated by the chief operating decision maker(s) of an enterprise. Operating income is the primary measure used by our chief operating decision maker to evaluate segment operating performance. We currently operate three primary business segments: (1) Pay-TV; (2) Retail Wireless and (3) 5G Network Deployment. See Note 1 for further information.</w:t>
      </w:r>
    </w:p>
    <w:p>
      <w:pPr>
        <w:spacing w:after="0" w:line="16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All other and eliminations primarily include intersegment eliminations related to intercompany debt and the related interest income and interest expense, which are eliminated in consolidation.</w:t>
      </w:r>
    </w:p>
    <w:p>
      <w:pPr>
        <w:spacing w:after="0" w:line="140" w:lineRule="exact"/>
        <w:rPr>
          <w:sz w:val="20"/>
          <w:szCs w:val="20"/>
          <w:color w:val="auto"/>
        </w:rPr>
      </w:pPr>
    </w:p>
    <w:p>
      <w:pPr>
        <w:ind w:left="60" w:right="679"/>
        <w:spacing w:after="0" w:line="271" w:lineRule="auto"/>
        <w:rPr>
          <w:sz w:val="20"/>
          <w:szCs w:val="20"/>
          <w:color w:val="auto"/>
        </w:rPr>
      </w:pPr>
      <w:r>
        <w:rPr>
          <w:rFonts w:ascii="Arial" w:cs="Arial" w:eastAsia="Arial" w:hAnsi="Arial"/>
          <w:sz w:val="18"/>
          <w:szCs w:val="18"/>
          <w:color w:val="auto"/>
        </w:rPr>
        <w:t>The total assets, revenue and operating income, and purchases of property and equipment, net of refunds, (including capitalized interest related to Regulatory authorizations) by segment were as follows: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3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2"/>
          </w:tcPr>
          <w:p>
            <w:pPr>
              <w:ind w:left="260"/>
              <w:spacing w:after="0" w:line="175" w:lineRule="exact"/>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jc w:val="right"/>
              <w:ind w:right="379"/>
              <w:spacing w:after="0" w:line="17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r>
      <w:tr>
        <w:trPr>
          <w:trHeight w:val="203"/>
        </w:trPr>
        <w:tc>
          <w:tcPr>
            <w:tcW w:w="3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69"/>
        </w:trPr>
        <w:tc>
          <w:tcPr>
            <w:tcW w:w="3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Pay-TV</w:t>
            </w:r>
          </w:p>
        </w:tc>
        <w:tc>
          <w:tcPr>
            <w:tcW w:w="17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49,325,095</w:t>
            </w:r>
          </w:p>
        </w:tc>
        <w:tc>
          <w:tcPr>
            <w:tcW w:w="180" w:type="dxa"/>
            <w:vAlign w:val="bottom"/>
          </w:tcPr>
          <w:p>
            <w:pPr>
              <w:spacing w:after="0"/>
              <w:rPr>
                <w:sz w:val="16"/>
                <w:szCs w:val="16"/>
                <w:color w:val="auto"/>
              </w:rPr>
            </w:pPr>
          </w:p>
        </w:tc>
        <w:tc>
          <w:tcPr>
            <w:tcW w:w="440" w:type="dxa"/>
            <w:vAlign w:val="bottom"/>
            <w:gridSpan w:val="2"/>
          </w:tcPr>
          <w:p>
            <w:pPr>
              <w:jc w:val="right"/>
              <w:ind w:right="264"/>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49,437,958</w:t>
            </w:r>
          </w:p>
        </w:tc>
        <w:tc>
          <w:tcPr>
            <w:tcW w:w="60" w:type="dxa"/>
            <w:vAlign w:val="bottom"/>
          </w:tcPr>
          <w:p>
            <w:pPr>
              <w:spacing w:after="0"/>
              <w:rPr>
                <w:sz w:val="16"/>
                <w:szCs w:val="16"/>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Retail Wireless</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750,328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777,957</w:t>
            </w:r>
          </w:p>
        </w:tc>
        <w:tc>
          <w:tcPr>
            <w:tcW w:w="60" w:type="dxa"/>
            <w:vAlign w:val="bottom"/>
            <w:shd w:val="clear" w:color="auto" w:fill="CCEEFF"/>
          </w:tcPr>
          <w:p>
            <w:pPr>
              <w:spacing w:after="0"/>
              <w:rPr>
                <w:sz w:val="16"/>
                <w:szCs w:val="16"/>
                <w:color w:val="auto"/>
              </w:rPr>
            </w:pP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5G Network Deployment (1)</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39,403,966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46,793,378</w:t>
            </w:r>
          </w:p>
        </w:tc>
        <w:tc>
          <w:tcPr>
            <w:tcW w:w="60" w:type="dxa"/>
            <w:vAlign w:val="bottom"/>
          </w:tcPr>
          <w:p>
            <w:pPr>
              <w:spacing w:after="0"/>
              <w:rPr>
                <w:sz w:val="16"/>
                <w:szCs w:val="16"/>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13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(46,041,346)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(45,596,262)</w:t>
            </w:r>
          </w:p>
        </w:tc>
        <w:tc>
          <w:tcPr>
            <w:tcW w:w="60" w:type="dxa"/>
            <w:vAlign w:val="bottom"/>
            <w:shd w:val="clear" w:color="auto" w:fill="CCEEFF"/>
          </w:tcPr>
          <w:p>
            <w:pPr>
              <w:spacing w:after="0"/>
              <w:rPr>
                <w:sz w:val="16"/>
                <w:szCs w:val="16"/>
                <w:color w:val="auto"/>
              </w:rPr>
            </w:pPr>
          </w:p>
        </w:tc>
      </w:tr>
      <w:tr>
        <w:trPr>
          <w:trHeight w:val="183"/>
        </w:trPr>
        <w:tc>
          <w:tcPr>
            <w:tcW w:w="3360" w:type="dxa"/>
            <w:vAlign w:val="bottom"/>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36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43,438,043</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51,413,031</w:t>
            </w:r>
          </w:p>
        </w:tc>
        <w:tc>
          <w:tcPr>
            <w:tcW w:w="6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599" w:hanging="330"/>
        <w:spacing w:after="0" w:line="27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change primarily resulted from the Sale and Transfer of Assets to EchoStar. See Note 1 for further information.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color w:val="auto"/>
              </w:rPr>
              <w:t>Pay-TV</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2,726,578</w:t>
            </w:r>
          </w:p>
        </w:tc>
        <w:tc>
          <w:tcPr>
            <w:tcW w:w="180" w:type="dxa"/>
            <w:vAlign w:val="bottom"/>
          </w:tcPr>
          <w:p>
            <w:pPr>
              <w:spacing w:after="0"/>
              <w:rPr>
                <w:sz w:val="16"/>
                <w:szCs w:val="16"/>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2,972,131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Wireless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905,850</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974,866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color w:val="auto"/>
              </w:rPr>
              <w:t>5G Network Deployment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28,928</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18,907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(21,467)</w:t>
            </w:r>
          </w:p>
        </w:tc>
        <w:tc>
          <w:tcPr>
            <w:tcW w:w="5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(8,922)</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3,639,889</w:t>
            </w:r>
          </w:p>
        </w:tc>
        <w:tc>
          <w:tcPr>
            <w:tcW w:w="1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3,956,982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670,243</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675,233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color w:val="auto"/>
              </w:rPr>
              <w:t>Retail Wireless</w:t>
            </w:r>
          </w:p>
        </w:tc>
        <w:tc>
          <w:tcPr>
            <w:tcW w:w="3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(74,417)</w:t>
            </w:r>
          </w:p>
        </w:tc>
        <w:tc>
          <w:tcPr>
            <w:tcW w:w="5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(18,207)</w:t>
            </w: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3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(570,034)</w:t>
            </w:r>
          </w:p>
        </w:tc>
        <w:tc>
          <w:tcPr>
            <w:tcW w:w="5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(333,603)</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48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25,979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323,423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Purchases of property and equipment, net of refunds, (including</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capitalized interest related to regulatory authorizations):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color w:val="auto"/>
              </w:rPr>
              <w:t>Pay-TV</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27,877</w:t>
            </w:r>
          </w:p>
        </w:tc>
        <w:tc>
          <w:tcPr>
            <w:tcW w:w="180" w:type="dxa"/>
            <w:vAlign w:val="bottom"/>
          </w:tcPr>
          <w:p>
            <w:pPr>
              <w:spacing w:after="0"/>
              <w:rPr>
                <w:sz w:val="16"/>
                <w:szCs w:val="16"/>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35,563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Wireless</w:t>
            </w:r>
          </w:p>
        </w:tc>
        <w:tc>
          <w:tcPr>
            <w:tcW w:w="3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5G Network Deployment</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481,002</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871,042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Total purchases of property and equipment, net of refunds, (including</w:t>
            </w:r>
          </w:p>
        </w:tc>
        <w:tc>
          <w:tcPr>
            <w:tcW w:w="34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508,879</w:t>
            </w:r>
          </w:p>
        </w:tc>
        <w:tc>
          <w:tcPr>
            <w:tcW w:w="1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906,605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capitalized interest related to regulatory authorizations)</w:t>
            </w: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5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180" w:type="dxa"/>
            <w:vAlign w:val="bottom"/>
            <w:vMerge w:val="restart"/>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2,701,179</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2,944,482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Retail wireless services and related revenue</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804,265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867,111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 services and related revenue</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25,399</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 wireless equipment sales and other revenue</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101,585</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5G network deployment equipment sales and other revenue</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28,924</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(21,467)</w:t>
            </w: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(8,922)</w:t>
            </w:r>
          </w:p>
        </w:tc>
        <w:tc>
          <w:tcPr>
            <w:tcW w:w="0" w:type="dxa"/>
            <w:vAlign w:val="bottom"/>
          </w:tcPr>
          <w:p>
            <w:pPr>
              <w:spacing w:after="0"/>
              <w:rPr>
                <w:sz w:val="1"/>
                <w:szCs w:val="1"/>
                <w:color w:val="auto"/>
              </w:rPr>
            </w:pPr>
          </w:p>
        </w:tc>
      </w:tr>
      <w:tr>
        <w:trPr>
          <w:trHeight w:val="183"/>
        </w:trPr>
        <w:tc>
          <w:tcPr>
            <w:tcW w:w="55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3,639,889</w:t>
            </w:r>
          </w:p>
        </w:tc>
        <w:tc>
          <w:tcPr>
            <w:tcW w:w="20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3,956,982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valuation and qualifying accounts as of March 31, 2024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March 31, 2024</w:t>
            </w:r>
          </w:p>
        </w:tc>
      </w:tr>
      <w:tr>
        <w:trPr>
          <w:trHeight w:val="183"/>
        </w:trPr>
        <w:tc>
          <w:tcPr>
            <w:tcW w:w="57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jc w:val="center"/>
              <w:ind w:right="139"/>
              <w:spacing w:after="0" w:line="183"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5"/>
                <w:szCs w:val="15"/>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53,991</w:t>
            </w:r>
          </w:p>
        </w:tc>
        <w:tc>
          <w:tcPr>
            <w:tcW w:w="220" w:type="dxa"/>
            <w:vAlign w:val="bottom"/>
            <w:shd w:val="clear" w:color="auto" w:fill="CCEEFF"/>
          </w:tcPr>
          <w:p>
            <w:pPr>
              <w:spacing w:after="0"/>
              <w:rPr>
                <w:sz w:val="17"/>
                <w:szCs w:val="17"/>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24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6"/>
                <w:szCs w:val="16"/>
                <w:color w:val="auto"/>
              </w:rPr>
              <w:t>17,370</w:t>
            </w:r>
          </w:p>
        </w:tc>
        <w:tc>
          <w:tcPr>
            <w:tcW w:w="220" w:type="dxa"/>
            <w:vAlign w:val="bottom"/>
          </w:tcPr>
          <w:p>
            <w:pPr>
              <w:spacing w:after="0"/>
              <w:rPr>
                <w:sz w:val="17"/>
                <w:szCs w:val="17"/>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24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(9,259)</w:t>
            </w:r>
          </w:p>
        </w:tc>
      </w:tr>
      <w:tr>
        <w:trPr>
          <w:trHeight w:val="203"/>
        </w:trPr>
        <w:tc>
          <w:tcPr>
            <w:tcW w:w="574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7"/>
                <w:szCs w:val="17"/>
                <w:color w:val="auto"/>
              </w:rPr>
            </w:pPr>
          </w:p>
        </w:tc>
        <w:tc>
          <w:tcPr>
            <w:tcW w:w="2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183"/>
        </w:trPr>
        <w:tc>
          <w:tcPr>
            <w:tcW w:w="57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24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2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62,102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59"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left="1099"/>
              <w:spacing w:after="0"/>
              <w:rPr>
                <w:sz w:val="20"/>
                <w:szCs w:val="20"/>
                <w:color w:val="auto"/>
              </w:rPr>
            </w:pPr>
            <w:r>
              <w:rPr>
                <w:rFonts w:ascii="Arial" w:cs="Arial" w:eastAsia="Arial" w:hAnsi="Arial"/>
                <w:sz w:val="16"/>
                <w:szCs w:val="16"/>
                <w:b w:val="1"/>
                <w:bCs w:val="1"/>
                <w:color w:val="auto"/>
                <w:w w:val="99"/>
              </w:rPr>
              <w:t>As of</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6"/>
                <w:szCs w:val="16"/>
                <w:color w:val="auto"/>
              </w:rPr>
            </w:pPr>
          </w:p>
        </w:tc>
        <w:tc>
          <w:tcPr>
            <w:tcW w:w="1560" w:type="dxa"/>
            <w:vAlign w:val="bottom"/>
          </w:tcPr>
          <w:p>
            <w:pPr>
              <w:jc w:val="center"/>
              <w:ind w:right="41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r>
      <w:tr>
        <w:trPr>
          <w:trHeight w:val="203"/>
        </w:trPr>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3"/>
          </w:tcPr>
          <w:p>
            <w:pPr>
              <w:jc w:val="center"/>
              <w:ind w:left="1099"/>
              <w:spacing w:after="0" w:line="183" w:lineRule="exact"/>
              <w:rPr>
                <w:sz w:val="20"/>
                <w:szCs w:val="20"/>
                <w:color w:val="auto"/>
              </w:rPr>
            </w:pPr>
            <w:r>
              <w:rPr>
                <w:rFonts w:ascii="Arial" w:cs="Arial" w:eastAsia="Arial" w:hAnsi="Arial"/>
                <w:sz w:val="16"/>
                <w:szCs w:val="16"/>
                <w:color w:val="auto"/>
              </w:rPr>
              <w:t>(In thousands)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556,448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586,867</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2024 was $557 million.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Retail Wireless Segments</w:t>
      </w:r>
    </w:p>
    <w:p>
      <w:pPr>
        <w:spacing w:after="0" w:line="19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344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the Three Months Ended</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0"/>
        </w:trPr>
        <w:tc>
          <w:tcPr>
            <w:tcW w:w="44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189"/>
        </w:trPr>
        <w:tc>
          <w:tcPr>
            <w:tcW w:w="4460" w:type="dxa"/>
            <w:vAlign w:val="bottom"/>
          </w:tcPr>
          <w:p>
            <w:pPr>
              <w:spacing w:after="0"/>
              <w:rPr>
                <w:sz w:val="16"/>
                <w:szCs w:val="16"/>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(In thousands)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287,276</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381,401</w:t>
            </w:r>
          </w:p>
        </w:tc>
        <w:tc>
          <w:tcPr>
            <w:tcW w:w="340" w:type="dxa"/>
            <w:vAlign w:val="bottom"/>
            <w:shd w:val="clear" w:color="auto" w:fill="CCEEFF"/>
          </w:tcPr>
          <w:p>
            <w:pPr>
              <w:spacing w:after="0"/>
              <w:rPr>
                <w:sz w:val="16"/>
                <w:szCs w:val="16"/>
                <w:color w:val="auto"/>
              </w:rPr>
            </w:pPr>
          </w:p>
        </w:tc>
      </w:tr>
      <w:tr>
        <w:trPr>
          <w:trHeight w:val="189"/>
        </w:trPr>
        <w:tc>
          <w:tcPr>
            <w:tcW w:w="44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52,275</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84,214</w:t>
            </w:r>
          </w:p>
        </w:tc>
        <w:tc>
          <w:tcPr>
            <w:tcW w:w="340" w:type="dxa"/>
            <w:vAlign w:val="bottom"/>
          </w:tcPr>
          <w:p>
            <w:pPr>
              <w:spacing w:after="0"/>
              <w:rPr>
                <w:sz w:val="16"/>
                <w:szCs w:val="16"/>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(81,454)</w:t>
            </w:r>
          </w:p>
        </w:tc>
        <w:tc>
          <w:tcPr>
            <w:tcW w:w="10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(97,557)</w:t>
            </w:r>
          </w:p>
        </w:tc>
      </w:tr>
      <w:tr>
        <w:trPr>
          <w:trHeight w:val="223"/>
        </w:trPr>
        <w:tc>
          <w:tcPr>
            <w:tcW w:w="44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1320" w:type="dxa"/>
            <w:vAlign w:val="bottom"/>
            <w:tcBorders>
              <w:top w:val="single" w:sz="8" w:color="auto"/>
              <w:bottom w:val="single" w:sz="8" w:color="auto"/>
            </w:tcBorders>
          </w:tcPr>
          <w:p>
            <w:pPr>
              <w:jc w:val="right"/>
              <w:ind w:right="113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258,097</w:t>
            </w:r>
          </w:p>
        </w:tc>
        <w:tc>
          <w:tcPr>
            <w:tcW w:w="3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7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368,058</w:t>
            </w:r>
          </w:p>
        </w:tc>
        <w:tc>
          <w:tcPr>
            <w:tcW w:w="340" w:type="dxa"/>
            <w:vAlign w:val="bottom"/>
            <w:tcBorders>
              <w:bottom w:val="single" w:sz="8" w:color="CCEEFF"/>
            </w:tcBorders>
          </w:tcPr>
          <w:p>
            <w:pPr>
              <w:spacing w:after="0"/>
              <w:rPr>
                <w:sz w:val="19"/>
                <w:szCs w:val="19"/>
                <w:color w:val="auto"/>
              </w:rPr>
            </w:pPr>
          </w:p>
        </w:tc>
      </w:tr>
      <w:tr>
        <w:trPr>
          <w:trHeight w:val="170"/>
        </w:trPr>
        <w:tc>
          <w:tcPr>
            <w:tcW w:w="4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bl>
    <w:p>
      <w:pPr>
        <w:spacing w:after="0" w:line="197" w:lineRule="exact"/>
        <w:rPr>
          <w:sz w:val="20"/>
          <w:szCs w:val="20"/>
          <w:color w:val="auto"/>
        </w:rPr>
      </w:pPr>
    </w:p>
    <w:p>
      <w:pPr>
        <w:ind w:left="700" w:hanging="650"/>
        <w:spacing w:after="0"/>
        <w:tabs>
          <w:tab w:leader="none" w:pos="7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EchoStar, our Parent.</w:t>
      </w:r>
    </w:p>
    <w:p>
      <w:pPr>
        <w:spacing w:after="0" w:line="198"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January 1, 2008, DISH Network completed the distribution of its technology and set-top box business and certain infrastructure assets (the “Spin-off”) into a separate publicly-traded company, EchoStar. Following the Spin-off, DISH Network and EchoStar operated as separate publicly-traded companies until the Merger on December 31, 2023. See Note 1 for more information. After the Spin-off and prior to the Merger, we and EchoStar entered into certain agreements pursuant to which we obtain certain products, services and rights from EchoStar and EchoStar obtains certain products, services and rights from us.</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February 28, 2017, we and EchoStar and certain of our respective subsidiaries completed a transaction (the “Share Exchange Agreement”) pursuant to which certain assets that were transferred to EchoStar in the Spin-off were transferred back to us. On September 10, 2019, we and EchoStar and certain of our respective subsidiaries completed the transactions contemplated by the Master Transaction Agreement (the “Master Transaction Agreement”) pursuant to which certain assets that were transferred to EchoStar in the Spin-off were transferred back to us. On December 31, 2023, EchoStar completed the acquisition of DISH Network.</w:t>
      </w:r>
    </w:p>
    <w:p>
      <w:pPr>
        <w:spacing w:after="0" w:line="165"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The following is a summary of the terms of our principal agreements with EchoStar that may have an impact on our financial condition and results of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9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of March 31, 2024 and December 31, 2023, trade accounts receivable from EchoStar was $233 million and $4 million, respectively. These amounts are recorded in “Trade accounts receivable” on our Condensed Consolidated Balance Sheets. See Note 1 for further information on the Sale and Transfer of Assets to EchoStar.</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9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As of March 31, 2024 and December 31, 2023, trade accounts payable to EchoStar was $22 million and $4 million, respectively. These amounts are recorded in “Trade accounts payable” on our Condensed Consolidated Balance Sheets.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96" w:lineRule="exact"/>
        <w:rPr>
          <w:sz w:val="20"/>
          <w:szCs w:val="20"/>
          <w:color w:val="auto"/>
        </w:rPr>
      </w:pPr>
    </w:p>
    <w:p>
      <w:pPr>
        <w:jc w:val="both"/>
        <w:ind w:left="60" w:right="399"/>
        <w:spacing w:after="0" w:line="247" w:lineRule="auto"/>
        <w:rPr>
          <w:sz w:val="20"/>
          <w:szCs w:val="20"/>
          <w:color w:val="auto"/>
        </w:rPr>
      </w:pPr>
      <w:r>
        <w:rPr>
          <w:rFonts w:ascii="Arial" w:cs="Arial" w:eastAsia="Arial" w:hAnsi="Arial"/>
          <w:sz w:val="18"/>
          <w:szCs w:val="18"/>
          <w:color w:val="auto"/>
        </w:rPr>
        <w:t>During both the three months ended March 31, 2024 and 2023, we received $1 million for services provided to EchoStar. These amounts are recorded in “Service revenue” on our Condensed Consolidated Statements of Operations and Comprehensive Income (Loss). The agreements pertaining to these revenues are discussed below.</w:t>
      </w:r>
    </w:p>
    <w:p>
      <w:pPr>
        <w:spacing w:after="0" w:line="16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TT&amp;C Agreement – Master Transaction Agreement</w:t>
      </w:r>
      <w:r>
        <w:rPr>
          <w:rFonts w:ascii="Arial" w:cs="Arial" w:eastAsia="Arial" w:hAnsi="Arial"/>
          <w:sz w:val="18"/>
          <w:szCs w:val="18"/>
          <w:color w:val="auto"/>
        </w:rPr>
        <w:t>. In September 2019, we entered into an agreement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we provide TT&amp;C services to EchoStar for a period ending in September 2021, with the option for EchoStar to renew for a one-year period upon written notice at least 90 days prior to the initial expiration (the “MTA TT&amp;C Agreement”). The fees for services provided under the MTA TT&amp;C Agreement are calculated at either: (i) a fixed fee or (ii) cost plus a fixed margin, which will vary depending on the nature of the services provided. Either party is able to terminate the MTA TT&amp;C Agreement for any reason upon 12 months’ notice. In June 2021, we amended the MTA TT&amp;C Agreement to extend the term until September 2022 and added the option for EchoStar to renew for three one-year renewal terms. In August 2022, EchoStar exercised its first renewal option for a period ending in September 2023. In June 2023, EchoStar exercised its second renewal option for a period ending in September 2024.</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9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During both the three months ended March 31, 2024 and 2023, we received $1 million for services provided to EchoStar. These amounts are recorded in “Equipment sales and other revenue” on our Condensed Consolidated Statements of Operations and Comprehensive Income (Loss). The agreements pertaining to these revenues are discussed below.</w:t>
      </w:r>
    </w:p>
    <w:p>
      <w:pPr>
        <w:spacing w:after="0" w:line="16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 certain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to EchoStar. The rent on a per square foot basis for each of the leases is comparable to per square foot rental rates of similar commercial property in the same geographic areas, and EchoStar is responsible for its portion of the taxes, insurance, utilities and maintenance of the premises. The term of each lease is set forth below:</w:t>
      </w:r>
    </w:p>
    <w:p>
      <w:pPr>
        <w:spacing w:after="0" w:line="163" w:lineRule="exact"/>
        <w:rPr>
          <w:sz w:val="20"/>
          <w:szCs w:val="20"/>
          <w:color w:val="auto"/>
        </w:rPr>
      </w:pPr>
    </w:p>
    <w:p>
      <w:pPr>
        <w:ind w:left="720" w:right="279" w:hanging="319"/>
        <w:spacing w:after="0" w:line="246"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El Paso Lease Agreement. </w:t>
      </w:r>
      <w:r>
        <w:rPr>
          <w:rFonts w:ascii="Arial" w:cs="Arial" w:eastAsia="Arial" w:hAnsi="Arial"/>
          <w:sz w:val="18"/>
          <w:szCs w:val="18"/>
          <w:color w:val="auto"/>
        </w:rPr>
        <w:t>During 2012, we began leasing certain space at 1285 Joe Battle Blvd., El</w:t>
      </w:r>
      <w:r>
        <w:rPr>
          <w:rFonts w:ascii="Arial" w:cs="Arial" w:eastAsia="Arial" w:hAnsi="Arial"/>
          <w:sz w:val="18"/>
          <w:szCs w:val="18"/>
          <w:i w:val="1"/>
          <w:iCs w:val="1"/>
          <w:color w:val="auto"/>
        </w:rPr>
        <w:t xml:space="preserve"> </w:t>
      </w:r>
      <w:r>
        <w:rPr>
          <w:rFonts w:ascii="Arial" w:cs="Arial" w:eastAsia="Arial" w:hAnsi="Arial"/>
          <w:sz w:val="18"/>
          <w:szCs w:val="18"/>
          <w:color w:val="auto"/>
        </w:rPr>
        <w:t>Paso, Texas to EchoStar for an initial period ending on August 1, 2015, which also provides EchoStar with renewal options for four consecutive three-year terms. EchoStar exercised its renewal option for a period ending in July 2024.</w:t>
      </w:r>
    </w:p>
    <w:p>
      <w:pPr>
        <w:spacing w:after="0" w:line="163" w:lineRule="exact"/>
        <w:rPr>
          <w:rFonts w:ascii="Times New Roman" w:cs="Times New Roman" w:eastAsia="Times New Roman" w:hAnsi="Times New Roman"/>
          <w:sz w:val="18"/>
          <w:szCs w:val="18"/>
          <w:color w:val="auto"/>
        </w:rPr>
      </w:pPr>
    </w:p>
    <w:p>
      <w:pPr>
        <w:ind w:left="720" w:right="119" w:hanging="319"/>
        <w:spacing w:after="0" w:line="246"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Effective March 1, 2017, EchoStar leases certain space from us at 90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Circle East, Englewood, Colorado with an initial term that ended in February 2023 and renewal options for four consecutive three-year terms ending in February 2027. EchoStar exercised its renewal option for a period ending in February 2025.</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720" w:right="159"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Effective March 1, 2017, EchoStar began leasing certain space from us at</w:t>
      </w:r>
      <w:r>
        <w:rPr>
          <w:rFonts w:ascii="Arial" w:cs="Arial" w:eastAsia="Arial" w:hAnsi="Arial"/>
          <w:sz w:val="18"/>
          <w:szCs w:val="18"/>
          <w:i w:val="1"/>
          <w:iCs w:val="1"/>
          <w:color w:val="auto"/>
        </w:rPr>
        <w:t xml:space="preserve"> </w:t>
      </w:r>
      <w:r>
        <w:rPr>
          <w:rFonts w:ascii="Arial" w:cs="Arial" w:eastAsia="Arial" w:hAnsi="Arial"/>
          <w:sz w:val="18"/>
          <w:szCs w:val="18"/>
          <w:color w:val="auto"/>
        </w:rPr>
        <w:t>530 EchoStar Drive, Cheyenne, Wyoming for a period ending in February 2019. In August 2018, EchoStar exercised its option to renew this lease for a one-year period ending in February 2020. EchoStar has the option to renew this lease for 12 one-year periods. During September 2019, we and EchoStar amended this lease to provide EchoStar with certain space for a period ending in September 2023, with the option for EchoStar to renew for a one-year period upon 180 days’ written notice prior to the end of the term. This lease was not renewed and terminated in September 2023.</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i w:val="1"/>
          <w:iCs w:val="1"/>
          <w:color w:val="auto"/>
        </w:rPr>
        <w:t>Collocation and Antenna Space Agreements</w:t>
      </w:r>
      <w:r>
        <w:rPr>
          <w:rFonts w:ascii="Arial" w:cs="Arial" w:eastAsia="Arial" w:hAnsi="Arial"/>
          <w:sz w:val="18"/>
          <w:szCs w:val="18"/>
          <w:color w:val="auto"/>
        </w:rPr>
        <w:t>. Effective March 1, 2017, we entered into certain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provide certain collocation and antenna space to HNS through February 2025 at the following locations: Cheyenne, Wyoming; Gilbert, Arizona; Monee, Illinois; Englewood, Colorado; and Spokane, Washington. During August 2017, we entered into certain other agreements pursuant to which we provide certain collocation and antenna space to HNS through August 2022 at the following locations: Monee, Illinois and Spokane, Washington. HNS has the option to renew each of these agreements for four three-year periods. In May 2022, HNS exercised its renewal option for a period ending in August 2025. HNS may terminate certain of these agreements with 180 days’ prior written notice to us at the following locations: Englewood, Colorado; and Spokane, Washington. The fees for the services provided under these agreements depend, among other things, on the number of racks leased and/or antennas present at the location.</w:t>
      </w:r>
    </w:p>
    <w:p>
      <w:pPr>
        <w:spacing w:after="0" w:line="16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Also in September 2019, we entered into an agreement pursuant to which we provide HNS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6"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During the three months ended March 31, 2024 and 2023, we incurred $1 million and $3 million, respectively, of costs for services provided to us by EchoStar. These amounts are recorded in “Cost of services” on our Condensed Consolidated Statements of Operations and Comprehensive Income (Loss). The agreements pertaining to these expenses are discussed below.</w:t>
      </w:r>
    </w:p>
    <w:p>
      <w:pPr>
        <w:spacing w:after="0" w:line="16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i w:val="1"/>
          <w:iCs w:val="1"/>
          <w:color w:val="auto"/>
        </w:rPr>
        <w:t>Spectrum Manager Lease Agreement</w:t>
      </w:r>
      <w:r>
        <w:rPr>
          <w:rFonts w:ascii="Arial" w:cs="Arial" w:eastAsia="Arial" w:hAnsi="Arial"/>
          <w:sz w:val="18"/>
          <w:szCs w:val="18"/>
          <w:color w:val="auto"/>
        </w:rPr>
        <w:t xml:space="preserve">. Effective January 10, 2024, we and EchoStar, on behalf of certain wholly-owned subsidiaries, entered into the Spectrum Manager Lease Agreement pursuant to which we have the right to lease the wireless spectrum licenses AWS-4, H-Block, CBRS (3550-3650 MHz), C-Band– Cheyenne (3.7-3.98 GHz), 12GHz (MVDDS), LMDS, 24 GHz, 28 GHz, 37GHz, 39GHz and 47GHz, and 700 MHz for a nominal fee. Under the applicable accounting guidance in Accounting Standards Codification 842, </w:t>
      </w:r>
      <w:r>
        <w:rPr>
          <w:rFonts w:ascii="Arial" w:cs="Arial" w:eastAsia="Arial" w:hAnsi="Arial"/>
          <w:sz w:val="18"/>
          <w:szCs w:val="18"/>
          <w:i w:val="1"/>
          <w:iCs w:val="1"/>
          <w:color w:val="auto"/>
        </w:rPr>
        <w:t>Leases (“ASC 842”)</w:t>
      </w:r>
      <w:r>
        <w:rPr>
          <w:rFonts w:ascii="Arial" w:cs="Arial" w:eastAsia="Arial" w:hAnsi="Arial"/>
          <w:sz w:val="18"/>
          <w:szCs w:val="18"/>
          <w:color w:val="auto"/>
        </w:rPr>
        <w:t>, these wireless spectrum licenses are intangible assets, and therefore excluded from the scope of ASC 842 and are not reflected on our Condensed Consolidated Balance Sheets as right-of-use assets and lease liabilities. We have the right to use the wireless spectrum licenses for as long as EchoStar holds the licenses, subject to certain termination provisions.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i w:val="1"/>
          <w:iCs w:val="1"/>
          <w:color w:val="auto"/>
        </w:rPr>
        <w:t>Hughes Broadband Distribution Agreement</w:t>
      </w:r>
      <w:r>
        <w:rPr>
          <w:rFonts w:ascii="Arial" w:cs="Arial" w:eastAsia="Arial" w:hAnsi="Arial"/>
          <w:sz w:val="18"/>
          <w:szCs w:val="18"/>
          <w:color w:val="auto"/>
        </w:rPr>
        <w:t>. Effective October 1, 2012, dishNET Satellite Broadband L.L.C.</w:t>
      </w:r>
      <w:r>
        <w:rPr>
          <w:rFonts w:ascii="Arial" w:cs="Arial" w:eastAsia="Arial" w:hAnsi="Arial"/>
          <w:sz w:val="18"/>
          <w:szCs w:val="18"/>
          <w:i w:val="1"/>
          <w:iCs w:val="1"/>
          <w:color w:val="auto"/>
        </w:rPr>
        <w:t xml:space="preserve"> </w:t>
      </w:r>
      <w:r>
        <w:rPr>
          <w:rFonts w:ascii="Arial" w:cs="Arial" w:eastAsia="Arial" w:hAnsi="Arial"/>
          <w:sz w:val="18"/>
          <w:szCs w:val="18"/>
          <w:color w:val="auto"/>
        </w:rPr>
        <w:t>(“dishNET Satellite Broadband”), our indirect wholly-owned subsidiary, and HNS entered into a Distribution Agreement (the “Distribution Agreement”) pursuant to which dishNET Satellite Broadband has the right, but not the obligation, to market, sell and distribute the HNS satellite Internet service (the “Service”). dishNET Satellite Broadband pays HNS a monthly per subscriber wholesale service fee for the Service based upon the subscriber’s service level, and, beginning January 1, 2014, certain volume subscription thresholds. The Distribution Agreement also provides that dishNET Satellite Broadband has the right, but not the obligation, to purchase certain broadband equipment from HNS to support the sale of the Service. On February 20, 2014, dishNET Satellite Broadband and HNS amended the Distribution Agreement which, among other things, extended the initial term of the Distribution Agreement through March 1, 2024.</w:t>
      </w:r>
    </w:p>
    <w:p>
      <w:pPr>
        <w:spacing w:after="0" w:line="15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Thereafter, the Distribution Agreement automatically renews for successive one year terms unless either party gives written notice of its intent not to renew to the other party at least 180 days before the expiration of the then-current term. Upon expiration or termination of the Distribution Agreement, the parties will continue to provide the Service to the then-current dishNET subscribers pursuant to the terms and conditions of the Distribution Agreement.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 – equipment and other”</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three months ended March 31, 2024 and 2023, we incurred zero and $2 million, respectively, for satellite hosting, operations and maintenance services as well as transmission of certain data to EchoStar. These amounts are recorded in “Cost of sales – equipment and other” on our Condensed Consolidated Statements of Operations and Comprehensive Income (Loss). The agreements pertaining to these expenses are discussed below.</w:t>
      </w:r>
    </w:p>
    <w:p>
      <w:pPr>
        <w:spacing w:after="0" w:line="163" w:lineRule="exact"/>
        <w:rPr>
          <w:sz w:val="20"/>
          <w:szCs w:val="20"/>
          <w:color w:val="auto"/>
        </w:rPr>
      </w:pPr>
    </w:p>
    <w:p>
      <w:pPr>
        <w:ind w:left="60" w:right="139"/>
        <w:spacing w:after="0"/>
        <w:rPr>
          <w:sz w:val="20"/>
          <w:szCs w:val="20"/>
          <w:color w:val="auto"/>
        </w:rPr>
      </w:pPr>
      <w:r>
        <w:rPr>
          <w:rFonts w:ascii="Arial" w:cs="Arial" w:eastAsia="Arial" w:hAnsi="Arial"/>
          <w:sz w:val="18"/>
          <w:szCs w:val="18"/>
          <w:i w:val="1"/>
          <w:iCs w:val="1"/>
          <w:color w:val="auto"/>
        </w:rPr>
        <w:t xml:space="preserve">DBSD North America Agreement. </w:t>
      </w:r>
      <w:r>
        <w:rPr>
          <w:rFonts w:ascii="Arial" w:cs="Arial" w:eastAsia="Arial" w:hAnsi="Arial"/>
          <w:sz w:val="18"/>
          <w:szCs w:val="18"/>
          <w:color w:val="auto"/>
        </w:rPr>
        <w:t>On March 9, 2012, we completed the DBSD Transaction. During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2011, EchoStar acquired Hughes. Prior to our acquisition of DBSD North America and EchoStar’s acquisition of Hughes, DBSD North America and HNS entered into an agreement pursuant to which HNS provides, among other things, hosting, operations and maintenance services for DBSD North America’s satellite gateway and associated ground infrastructure. This agreement generally may be terminated by us at any time for convenience. DBSD North America was included in the Sale and Transfer of Assets to EchoStar. See Note 1 for further information.</w:t>
      </w:r>
    </w:p>
    <w:p>
      <w:pPr>
        <w:spacing w:after="0" w:line="171"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i w:val="1"/>
          <w:iCs w:val="1"/>
          <w:color w:val="auto"/>
        </w:rPr>
        <w:t>TerreStar Agreements</w:t>
      </w:r>
      <w:r>
        <w:rPr>
          <w:rFonts w:ascii="Arial" w:cs="Arial" w:eastAsia="Arial" w:hAnsi="Arial"/>
          <w:sz w:val="18"/>
          <w:szCs w:val="18"/>
          <w:color w:val="auto"/>
        </w:rPr>
        <w:t>. On March 9, 2012, we completed the TerreStar Transaction. Prior to our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the assets of TerreStar and EchoStar’s acquisition of Hughes, TerreStar and HNS entered into various agreements pursuant to which HNS provides, among other things, hosting, operations and maintenance services for TerreStar’s satellite gateway and associated ground infrastructure. These agreements generally may be terminated by us at any time for convenience. TerreStar was included in the Sale and Transfer of Assets to EchoStar. See Note 1 for further information.</w:t>
      </w:r>
    </w:p>
    <w:p>
      <w:pPr>
        <w:spacing w:after="0" w:line="16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i w:val="1"/>
          <w:iCs w:val="1"/>
          <w:color w:val="auto"/>
        </w:rPr>
        <w:t xml:space="preserve">Hughes Equipment and Services Agreement. </w:t>
      </w:r>
      <w:r>
        <w:rPr>
          <w:rFonts w:ascii="Arial" w:cs="Arial" w:eastAsia="Arial" w:hAnsi="Arial"/>
          <w:sz w:val="18"/>
          <w:szCs w:val="18"/>
          <w:color w:val="auto"/>
        </w:rPr>
        <w:t>In February 2019, we and HNS entered into an agreement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HNS will provide us with HughesNet Service and HughesNet equipment for the transmission of certain data related to our 5G Network Deployment. This agreement has an initial term of five years with automatic renewal for successive one-year terms unless terminated by DISH Network with at least 180 days’ written notice to HNS or by HNS with at least 365 days’ written notice to DISH Network.</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During the three months ended March 31, 2024 and 2023, we incurred $5 million and $3 million, respectively, for selling, general and administrative expenses for services provided to us by EchoStar. These amounts are recorded in “Selling, general and administrative expenses” on our Condensed Consolidated Statements of Operations and Comprehensive Income (Loss). The agreements pertaining to these expenses are discussed below.</w:t>
      </w:r>
    </w:p>
    <w:p>
      <w:pPr>
        <w:spacing w:after="0" w:line="163" w:lineRule="exact"/>
        <w:rPr>
          <w:sz w:val="20"/>
          <w:szCs w:val="20"/>
          <w:color w:val="auto"/>
        </w:rPr>
      </w:pPr>
    </w:p>
    <w:p>
      <w:pPr>
        <w:jc w:val="both"/>
        <w:ind w:left="60" w:right="139"/>
        <w:spacing w:after="0" w:line="266" w:lineRule="auto"/>
        <w:rPr>
          <w:sz w:val="20"/>
          <w:szCs w:val="20"/>
          <w:color w:val="auto"/>
        </w:rPr>
      </w:pPr>
      <w:r>
        <w:rPr>
          <w:rFonts w:ascii="Arial" w:cs="Arial" w:eastAsia="Arial" w:hAnsi="Arial"/>
          <w:sz w:val="17"/>
          <w:szCs w:val="17"/>
          <w:i w:val="1"/>
          <w:iCs w:val="1"/>
          <w:color w:val="auto"/>
        </w:rPr>
        <w:t xml:space="preserve">Real Estate Lease Agreements. </w:t>
      </w:r>
      <w:r>
        <w:rPr>
          <w:rFonts w:ascii="Arial" w:cs="Arial" w:eastAsia="Arial" w:hAnsi="Arial"/>
          <w:sz w:val="17"/>
          <w:szCs w:val="17"/>
          <w:color w:val="auto"/>
        </w:rPr>
        <w:t>We have entered into lease agreements pursuant to which we lease certain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from EchoStar. The rent on a per square foot basis for each of the leases is comparable to per square foot rental rates of similar commercial property in the same geographic area, and we are responsible for our portion of the taxes, insurance, utilities and maintenance of the premises. The term of each lease is set forth below:</w:t>
      </w:r>
    </w:p>
    <w:p>
      <w:pPr>
        <w:spacing w:after="0" w:line="146" w:lineRule="exact"/>
        <w:rPr>
          <w:sz w:val="20"/>
          <w:szCs w:val="20"/>
          <w:color w:val="auto"/>
        </w:rPr>
      </w:pPr>
    </w:p>
    <w:p>
      <w:pPr>
        <w:ind w:left="720" w:right="199" w:hanging="319"/>
        <w:spacing w:after="0" w:line="270"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We lease all of 9601 S. Meridian Blvd. in Englewood, Colorado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on December 31, 2024.</w:t>
      </w:r>
    </w:p>
    <w:p>
      <w:pPr>
        <w:spacing w:after="0" w:line="140"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Effective March 1, 2017, we lease certain space from EchoStar at 100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Terrace East, Englewood, Colorado for a period ending in December 2024. This agreement may be terminated by either party upon 180 days’ prior notice.</w:t>
      </w:r>
    </w:p>
    <w:p>
      <w:pPr>
        <w:spacing w:after="0" w:line="15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Prior to 2010, we entered into various agreements with EchoStar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Services Agreement, Satellite Procurement Agreement and Services Agreement, which all expired on January 1, 2010 and were replaced by a Professional Services Agreement. During 2009, we and EchoStar agreed that EchoStar shall continue to have the right, but not the obligation, to receive the following services from us,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we and EchoStar agreed that we shall continue to have the right, but not the obligation, to engage EchoStar to manage the process of procuring new satellite capacity for us and receive logistics, procurement and quality assurance services from EchoStar and other support services. On February 28, 2017, DISH Network and EchoStar amended the Professional Services Agreement to, among other things, provide certain transition services to each other. In addition, we and EchoStar amended the Professional Services Agreement effective September 10, 2019 to, among other things, provide certain transition services to each other and to remove certain services no longer necessary.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During March 2020, we and EchoStar added a service under the Professional Services Agreement whereby we provide EchoStar with rights to use certain satellite capacity in exchange for certain credits to amounts owed by us to EchoStar under the TerreStar Agreement described above. The Professional Services Agreement renewed on January 1, 2024 for an additional one-year period until January 1, 2025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71"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color w:val="auto"/>
        </w:rPr>
        <w:t>Revenue for services provided by us to EchoStar under the Professional Services Agreement is recorded in “Service revenue” and “Equipment sales and other revenue” on our Condensed Consolidated Statements of Operations and Comprehensive Income (Loss).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i w:val="1"/>
          <w:iCs w:val="1"/>
          <w:color w:val="auto"/>
        </w:rPr>
        <w:t xml:space="preserve">Tax Sharing Agreement. </w:t>
      </w:r>
      <w:r>
        <w:rPr>
          <w:rFonts w:ascii="Arial" w:cs="Arial" w:eastAsia="Arial" w:hAnsi="Arial"/>
          <w:sz w:val="18"/>
          <w:szCs w:val="18"/>
          <w:color w:val="auto"/>
        </w:rPr>
        <w:t>We entered into a tax sharing agreement (the “Tax Sharing Agreement”) with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us, and we will indemnify EchoStar for such taxes. However, we are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 (iii) 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us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light of the Tax Sharing Agreement, among other things, and in connection with our consolidated federal income tax returns for certain tax years prior to and for the year of the Spin-off, during 2013, we and EchoStar agreed upon a supplemental allocation of the tax benefits arising from certain tax items resolved in the course of the IRS’ examination of these consolidated tax returns. As a result, we agreed to pay EchoStar $82 million of the tax benefit we received or will receive. Any payment to EchoStar, including accrued interest, will be made at such time as EchoStar would have otherwise been able to realize such tax benefit. As of March 31, 2024, we have paid $13 million of the tax benefit received, leaving $69 million remaining to be paid.</w:t>
      </w:r>
    </w:p>
    <w:p>
      <w:pPr>
        <w:spacing w:after="0" w:line="171"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In addition, during 2013, we and EchoStar agreed upon a tax sharing arrangement for filing certain combined state income tax returns and a method of allocating the respective tax liabilities between us and EchoStar for such combined returns, through the taxable period ending on December 31, 2017 (the “State Tax Arrangement”). During the third quarter of 2018, we and EchoStar amended the Tax Sharing Agreement and the 2013 agreements (the “Amendment”).</w:t>
      </w:r>
    </w:p>
    <w:p>
      <w:pPr>
        <w:spacing w:after="0" w:line="163"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Under the Amendment, among other things, we are entitled to apply the benefit of EchoStar’s 2009 net operating losses to our federal tax return for the year ended December 31, 2008, in exchange for paying EchoStar over time the value of the net annual federal income taxes paid by EchoStar that would have been otherwise offset by their 2009 net operating loss.</w:t>
      </w:r>
    </w:p>
    <w:p>
      <w:pPr>
        <w:spacing w:after="0" w:line="160" w:lineRule="exact"/>
        <w:rPr>
          <w:sz w:val="20"/>
          <w:szCs w:val="20"/>
          <w:color w:val="auto"/>
        </w:rPr>
      </w:pPr>
    </w:p>
    <w:p>
      <w:pPr>
        <w:jc w:val="both"/>
        <w:ind w:left="60" w:right="459"/>
        <w:spacing w:after="0" w:line="253" w:lineRule="auto"/>
        <w:rPr>
          <w:sz w:val="20"/>
          <w:szCs w:val="20"/>
          <w:color w:val="auto"/>
        </w:rPr>
      </w:pPr>
      <w:r>
        <w:rPr>
          <w:rFonts w:ascii="Arial" w:cs="Arial" w:eastAsia="Arial" w:hAnsi="Arial"/>
          <w:sz w:val="18"/>
          <w:szCs w:val="18"/>
          <w:color w:val="auto"/>
        </w:rPr>
        <w:t>The Amendment also contained provisions related to the term of the State Tax Arrangement. As discussed in prior filings, beginning in 2020, DISH Network and EchoStar no longer files a combined state tax return in any state. All requirements under the State Tax Arrangement were fulfilled in 2022.</w:t>
      </w:r>
    </w:p>
    <w:p>
      <w:pPr>
        <w:spacing w:after="0" w:line="155"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As a result of the Merger discussed above, DISH Network and EchoStar are analyzing requirements to determine if combined returns are appropriate for tax years beginning in 2024.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Patent Cross-License Agreements</w:t>
      </w:r>
      <w:r>
        <w:rPr>
          <w:rFonts w:ascii="Arial" w:cs="Arial" w:eastAsia="Arial" w:hAnsi="Arial"/>
          <w:sz w:val="18"/>
          <w:szCs w:val="18"/>
          <w:color w:val="auto"/>
        </w:rPr>
        <w:t>. In December 2011, we and EchoStar entered into separate patent cross-license agreements with the same third-party whereby: (i) EchoStar and such third-party licensed their respective patents to each other subject to certain conditions; and (ii) we and such third-party licensed our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 In December 2016, we and EchoStar independently exercised our respective options to extend each Cross-License Agreement to include patents acquired by the respective party prior to January 1, 2022.</w:t>
      </w:r>
    </w:p>
    <w:p>
      <w:pPr>
        <w:spacing w:after="0" w:line="167"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i w:val="1"/>
          <w:iCs w:val="1"/>
          <w:color w:val="auto"/>
        </w:rPr>
        <w:t xml:space="preserve">Rovi License Agreement. </w:t>
      </w:r>
      <w:r>
        <w:rPr>
          <w:rFonts w:ascii="Arial" w:cs="Arial" w:eastAsia="Arial" w:hAnsi="Arial"/>
          <w:sz w:val="18"/>
          <w:szCs w:val="18"/>
          <w:color w:val="auto"/>
        </w:rPr>
        <w:t>On August 19, 2016, we entered into a ten-year patent license agreement (the “Rovi</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with Rovi Corporation (“Rovi”) and, for certain limited purposes, EchoStar. EchoStar is a party to the Rovi License Agreement solely with respect to certain provisions relating to the prior patent license agreement between EchoStar and Rovi. There are no payments between us and EchoStar under the Rovi License Agreement.</w:t>
      </w:r>
    </w:p>
    <w:p>
      <w:pPr>
        <w:spacing w:after="0" w:line="16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 xml:space="preserve">Hughes Broadband Master Services Agreement. </w:t>
      </w:r>
      <w:r>
        <w:rPr>
          <w:rFonts w:ascii="Arial" w:cs="Arial" w:eastAsia="Arial" w:hAnsi="Arial"/>
          <w:sz w:val="18"/>
          <w:szCs w:val="18"/>
          <w:color w:val="auto"/>
        </w:rPr>
        <w:t>In March 2017, DISH Network L.L.C. (“DNLLC”) and HNS</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the MSA pursuant to which DNLLC, among other things: (i) has the right, but not the obligation, to market, promote and solicit orders for the Hughes broadband satellite service and related equipment; and (ii) installs Hughes service equipment with respect to activations generated by DNLLC. Under the MSA, HNS will make certain payments to DNLLC for each Hughes service activation generated, and installation performed, by DNLLC. Payments from HNS for services provided are recorded in “Service revenue” on our Condensed Consolidated Statements of Operations and Comprehensive Income (Loss). For the three months ended March 31, 2024 and 2023, these payments were less than $1 million and $1 million, respectively. The MSA has an initial term of five years with automatic renewal for successive one-year terms. After the first anniversary of the MSA,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For each of the three months ended March 31, 2024 and 2023, we purchased zero broadband equipment from HNS under the MSA.</w:t>
      </w:r>
    </w:p>
    <w:p>
      <w:pPr>
        <w:spacing w:after="0" w:line="17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i w:val="1"/>
          <w:iCs w:val="1"/>
          <w:color w:val="auto"/>
        </w:rPr>
        <w:t>Intellectual Property and Technology License Agreement – Share Exchange</w:t>
      </w:r>
      <w:r>
        <w:rPr>
          <w:rFonts w:ascii="Arial" w:cs="Arial" w:eastAsia="Arial" w:hAnsi="Arial"/>
          <w:sz w:val="18"/>
          <w:szCs w:val="18"/>
          <w:color w:val="auto"/>
        </w:rPr>
        <w:t>. Effective March 1, 2017, we and</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entered into an Intellectual Property and Technology License Agreement (“IPTLA”), pursuant to which we and EchoStar license to each other certain intellectual property and technology. The IPTLA will continue in perpetuity, unless mutually terminated by the parties. Pursuant to the IPTLA, EchoStar granted to us a license to its intellectual property and technology for use by us, among other things, in connection with our continued operation of the Transferred Businesses acquired pursuant to the Share Exchange Agreement, including a limited license to use the “ECHOSTAR” trademark during a transition period. EchoStar retains full ownership of the “ECHOSTAR” trademark. In addition, we granted a license back to EchoStar, among other things, for the continued use of all intellectual property and technology transferred to us pursuant to the Share Exchange Agreement that is used in EchoStar’s retained businesses.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i w:val="1"/>
          <w:iCs w:val="1"/>
          <w:color w:val="auto"/>
        </w:rPr>
        <w:t>Intellectual Property and Technology License Agreement – Master Transaction Agreement</w:t>
      </w:r>
      <w:r>
        <w:rPr>
          <w:rFonts w:ascii="Arial" w:cs="Arial" w:eastAsia="Arial" w:hAnsi="Arial"/>
          <w:sz w:val="17"/>
          <w:szCs w:val="17"/>
          <w:color w:val="auto"/>
        </w:rPr>
        <w:t>. Effective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10, 2019, we and EchoStar entered into an IPTLA (the “MTA IPTLA”), pursuant to which we and EchoStar license to each other certain intellectual property and technology. The MTA IPTLA will continue in perpetuity, unless mutually terminated by the parties. Pursuant to the MTA IPTLA, EchoStar granted to us a license to its intellectual property and technology for use by us, among other things, in connection with our continued operation of the BSS Business acquired pursuant to the Master Transaction Agreement, including a limited license to use the “ESS” and “ECHOSTAR SATELLITE SERVICES” trademarks during a transition period. EchoStar retains full ownership of the “ESS” and “ECHOSTAR SATELLITE SERVICES” trademarks. In addition, we granted a license back to EchoStar, among other things, for the continued use of all intellectual property and technology transferred to us pursuant to the Master Transaction Agreement that is used in EchoStar’s retained businesses.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NagraStar L.L.C.</w:t>
      </w:r>
    </w:p>
    <w:p>
      <w:pPr>
        <w:spacing w:after="0" w:line="198"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176" w:lineRule="exact"/>
        <w:rPr>
          <w:sz w:val="20"/>
          <w:szCs w:val="20"/>
          <w:color w:val="auto"/>
        </w:rPr>
      </w:pPr>
    </w:p>
    <w:p>
      <w:pPr>
        <w:jc w:val="center"/>
        <w:ind w:left="440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446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7"/>
                <w:szCs w:val="17"/>
                <w:color w:val="auto"/>
              </w:rPr>
            </w:pPr>
          </w:p>
        </w:tc>
      </w:tr>
      <w:tr>
        <w:trPr>
          <w:trHeight w:val="169"/>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3"/>
          </w:tcPr>
          <w:p>
            <w:pPr>
              <w:jc w:val="right"/>
              <w:ind w:right="19"/>
              <w:spacing w:after="0" w:line="169" w:lineRule="exact"/>
              <w:rPr>
                <w:sz w:val="20"/>
                <w:szCs w:val="20"/>
                <w:color w:val="auto"/>
              </w:rPr>
            </w:pPr>
            <w:r>
              <w:rPr>
                <w:rFonts w:ascii="Arial" w:cs="Arial" w:eastAsia="Arial" w:hAnsi="Arial"/>
                <w:sz w:val="16"/>
                <w:szCs w:val="16"/>
                <w:color w:val="auto"/>
              </w:rPr>
              <w:t>(In thousands)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Purchases from NagraStar</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8,602</w:t>
            </w:r>
          </w:p>
        </w:tc>
        <w:tc>
          <w:tcPr>
            <w:tcW w:w="200" w:type="dxa"/>
            <w:vAlign w:val="bottom"/>
          </w:tcPr>
          <w:p>
            <w:pPr>
              <w:spacing w:after="0"/>
              <w:rPr>
                <w:sz w:val="16"/>
                <w:szCs w:val="16"/>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9,545</w:t>
            </w:r>
          </w:p>
        </w:tc>
        <w:tc>
          <w:tcPr>
            <w:tcW w:w="300" w:type="dxa"/>
            <w:vAlign w:val="bottom"/>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w w:val="99"/>
              </w:rPr>
              <w:t>As of</w:t>
            </w:r>
          </w:p>
        </w:tc>
        <w:tc>
          <w:tcPr>
            <w:tcW w:w="1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175"/>
        </w:trPr>
        <w:tc>
          <w:tcPr>
            <w:tcW w:w="478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March 31,</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5"/>
                <w:szCs w:val="15"/>
                <w:color w:val="auto"/>
              </w:rPr>
            </w:pPr>
          </w:p>
        </w:tc>
      </w:tr>
      <w:tr>
        <w:trPr>
          <w:trHeight w:val="203"/>
        </w:trPr>
        <w:tc>
          <w:tcPr>
            <w:tcW w:w="4780" w:type="dxa"/>
            <w:vAlign w:val="bottom"/>
          </w:tcPr>
          <w:p>
            <w:pPr>
              <w:spacing w:after="0"/>
              <w:rPr>
                <w:sz w:val="17"/>
                <w:szCs w:val="17"/>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7"/>
                <w:szCs w:val="17"/>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40" w:type="dxa"/>
            <w:vAlign w:val="bottom"/>
            <w:gridSpan w:val="5"/>
          </w:tcPr>
          <w:p>
            <w:pPr>
              <w:jc w:val="right"/>
              <w:ind w:right="1299"/>
              <w:spacing w:after="0" w:line="169" w:lineRule="exact"/>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4"/>
                <w:szCs w:val="14"/>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1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6"/>
                <w:szCs w:val="16"/>
                <w:color w:val="auto"/>
              </w:rPr>
              <w:t>Amounts payable to NagraStar</w:t>
            </w: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6,452</w:t>
            </w:r>
          </w:p>
        </w:tc>
        <w:tc>
          <w:tcPr>
            <w:tcW w:w="54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9,821</w:t>
            </w:r>
          </w:p>
        </w:tc>
        <w:tc>
          <w:tcPr>
            <w:tcW w:w="300" w:type="dxa"/>
            <w:vAlign w:val="bottom"/>
          </w:tcPr>
          <w:p>
            <w:pPr>
              <w:spacing w:after="0"/>
              <w:rPr>
                <w:sz w:val="19"/>
                <w:szCs w:val="19"/>
                <w:color w:val="auto"/>
              </w:rPr>
            </w:pPr>
          </w:p>
        </w:tc>
      </w:tr>
      <w:tr>
        <w:trPr>
          <w:trHeight w:val="170"/>
        </w:trPr>
        <w:tc>
          <w:tcPr>
            <w:tcW w:w="4780" w:type="dxa"/>
            <w:vAlign w:val="bottom"/>
            <w:tcBorders>
              <w:top w:val="single" w:sz="8" w:color="CCEEFF"/>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1280" w:type="dxa"/>
            <w:vAlign w:val="bottom"/>
            <w:tcBorders>
              <w:top w:val="single" w:sz="8" w:color="auto"/>
              <w:bottom w:val="single" w:sz="8" w:color="auto"/>
            </w:tcBorders>
            <w:shd w:val="clear" w:color="auto" w:fill="CCEEFF"/>
          </w:tcPr>
          <w:p>
            <w:pPr>
              <w:jc w:val="right"/>
              <w:ind w:right="1099"/>
              <w:spacing w:after="0" w:line="170"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99"/>
              </w:rPr>
              <w:t>1,177</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19"/>
              <w:spacing w:after="0" w:line="170" w:lineRule="exact"/>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1,727</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20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i w:val="1"/>
          <w:iCs w:val="1"/>
          <w:color w:val="auto"/>
        </w:rPr>
        <w:t>You should read the following management’s narrative analysis of our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2023 under the caption “Item 1A. Risk Factors.” Furthermore, such forward-looking statements speak only as of the date of this Quarterly Report on Form 10-Q, and we expressly disclaim any obligation to update any forward-looking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and Transfer of Assets to EchoStar</w:t>
      </w:r>
    </w:p>
    <w:p>
      <w:pPr>
        <w:spacing w:after="0" w:line="196"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i w:val="1"/>
          <w:iCs w:val="1"/>
          <w:color w:val="auto"/>
        </w:rPr>
        <w:t xml:space="preserve">Sale of Assets to EchoStar. </w:t>
      </w:r>
      <w:r>
        <w:rPr>
          <w:rFonts w:ascii="Arial" w:cs="Arial" w:eastAsia="Arial" w:hAnsi="Arial"/>
          <w:sz w:val="18"/>
          <w:szCs w:val="18"/>
          <w:color w:val="auto"/>
        </w:rPr>
        <w:t>On January 10, 2024, we sold certain assets and equity interests to EchoStar,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the sale of a financial asset (the “Sale of Assets to EchoStar”).</w:t>
      </w:r>
    </w:p>
    <w:p>
      <w:pPr>
        <w:spacing w:after="0" w:line="14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i w:val="1"/>
          <w:iCs w:val="1"/>
          <w:color w:val="222222"/>
        </w:rPr>
        <w:t xml:space="preserve">Asset Transfer to EchoStar. </w:t>
      </w:r>
      <w:r>
        <w:rPr>
          <w:rFonts w:ascii="Arial" w:cs="Arial" w:eastAsia="Arial" w:hAnsi="Arial"/>
          <w:sz w:val="18"/>
          <w:szCs w:val="18"/>
          <w:color w:val="000000"/>
        </w:rPr>
        <w:t>On January 10, 2024, we transferred our wholly-owned subsidiaries that hold certain</w:t>
      </w:r>
      <w:r>
        <w:rPr>
          <w:rFonts w:ascii="Arial" w:cs="Arial" w:eastAsia="Arial" w:hAnsi="Arial"/>
          <w:sz w:val="18"/>
          <w:szCs w:val="18"/>
          <w:i w:val="1"/>
          <w:iCs w:val="1"/>
          <w:color w:val="222222"/>
        </w:rPr>
        <w:t xml:space="preserve"> </w:t>
      </w:r>
      <w:r>
        <w:rPr>
          <w:rFonts w:ascii="Arial" w:cs="Arial" w:eastAsia="Arial" w:hAnsi="Arial"/>
          <w:sz w:val="18"/>
          <w:szCs w:val="18"/>
          <w:color w:val="000000"/>
        </w:rPr>
        <w:t>of our wireless spectrum licenses, including AWS-4, H-Block, CBRS (3550-3650 MHz), C-Band – Cheyenne (3.7-3.98 GHz), 12GHz (MVDDS), LMDS, 24 GHz, 28 GHz, 37GHz, 39GHz and 47GHz to EchoStar Wireless Holding L.L.C., a direct wholly-owned subsidiary of our parent, EchoStar (together with the “Intercompany Loan 2026 Tranche” defined below, the “Asset Transfer to EchoStar”). 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2026 Tranche of $4.7 billion (the “Intercompany Loan 2026 Tranche”) to DBS Intercompany Receivable L.L.C. DBS Intercompany Receivable L.L.C. has subsequently assigned its rights as lender thereunder to EchoStar Intercompany Receivable Company L.L.C., our parent, EchoStar’s direct wholly-owned subsidiary, such that amounts owed in respect of the 2026 Tranche will now be paid by us to EchoStar Intercompany Receivable L.L.C.</w:t>
      </w:r>
    </w:p>
    <w:p>
      <w:pPr>
        <w:spacing w:after="0" w:line="169"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i w:val="1"/>
          <w:iCs w:val="1"/>
          <w:color w:val="auto"/>
        </w:rPr>
        <w:t xml:space="preserve">700 MHz Spectrum Sale to EchoStar. </w:t>
      </w:r>
      <w:r>
        <w:rPr>
          <w:rFonts w:ascii="Arial" w:cs="Arial" w:eastAsia="Arial" w:hAnsi="Arial"/>
          <w:sz w:val="18"/>
          <w:szCs w:val="18"/>
          <w:color w:val="auto"/>
        </w:rPr>
        <w:t>On March 12, 2024, we sold our wholly-owned subsidiary which holds the</w:t>
      </w:r>
      <w:r>
        <w:rPr>
          <w:rFonts w:ascii="Arial" w:cs="Arial" w:eastAsia="Arial" w:hAnsi="Arial"/>
          <w:sz w:val="18"/>
          <w:szCs w:val="18"/>
          <w:i w:val="1"/>
          <w:iCs w:val="1"/>
          <w:color w:val="auto"/>
        </w:rPr>
        <w:t xml:space="preserve"> </w:t>
      </w:r>
      <w:r>
        <w:rPr>
          <w:rFonts w:ascii="Arial" w:cs="Arial" w:eastAsia="Arial" w:hAnsi="Arial"/>
          <w:sz w:val="18"/>
          <w:szCs w:val="18"/>
          <w:color w:val="auto"/>
        </w:rPr>
        <w:t>700 MHz spectrum to a wholly-owned subsidiary of our parent, EchoStar (the “700 MHz Spectrum Sale to EchoStar”).</w:t>
      </w:r>
    </w:p>
    <w:p>
      <w:pPr>
        <w:spacing w:after="0" w:line="15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 xml:space="preserve">The Sale of Assets to EchoStar, </w:t>
      </w:r>
      <w:r>
        <w:rPr>
          <w:rFonts w:ascii="Arial" w:cs="Arial" w:eastAsia="Arial" w:hAnsi="Arial"/>
          <w:sz w:val="18"/>
          <w:szCs w:val="18"/>
          <w:color w:val="222222"/>
        </w:rPr>
        <w:t>Asset Transfer to EchoStar and</w:t>
      </w:r>
      <w:r>
        <w:rPr>
          <w:rFonts w:ascii="Arial" w:cs="Arial" w:eastAsia="Arial" w:hAnsi="Arial"/>
          <w:sz w:val="18"/>
          <w:szCs w:val="18"/>
          <w:color w:val="auto"/>
        </w:rPr>
        <w:t xml:space="preserve"> 700 MHz Spectrum Sale to EchoStar together are referred to as (the “Sale and Transfer of Assets to EchoStar”).</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EchoStar’s business in a manner that facilitates synergies, cost savings, growth opportunities and achieves other anticipated benefits (the “Integration”).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We currently operate three primary business segments: (1) Pay-TV; (2) Retail Wireless; and (3) 5G Network Deployment.</w:t>
      </w:r>
    </w:p>
    <w:p>
      <w:pPr>
        <w:spacing w:after="0" w:line="140" w:lineRule="exact"/>
        <w:rPr>
          <w:sz w:val="20"/>
          <w:szCs w:val="20"/>
          <w:color w:val="auto"/>
        </w:rPr>
      </w:pPr>
    </w:p>
    <w:p>
      <w:pPr>
        <w:ind w:left="60" w:right="99" w:hanging="7"/>
        <w:spacing w:after="0" w:line="230"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176" w:lineRule="exact"/>
        <w:rPr>
          <w:sz w:val="20"/>
          <w:szCs w:val="20"/>
          <w:color w:val="auto"/>
        </w:rPr>
      </w:pPr>
    </w:p>
    <w:p>
      <w:pPr>
        <w:ind w:left="60" w:right="59" w:hanging="12"/>
        <w:spacing w:after="0" w:line="257" w:lineRule="auto"/>
        <w:rPr>
          <w:sz w:val="20"/>
          <w:szCs w:val="20"/>
          <w:color w:val="auto"/>
        </w:rPr>
      </w:pPr>
      <w:r>
        <w:rPr>
          <w:rFonts w:ascii="Arial" w:cs="Arial" w:eastAsia="Arial" w:hAnsi="Arial"/>
          <w:sz w:val="17"/>
          <w:szCs w:val="17"/>
          <w:color w:val="auto"/>
        </w:rPr>
        <w:t>We offer nationwide prepaid and postpaid retail wireless services to subscribers primarily under our Boost Mobile® and Gen Mobile® brands (“Retail Wireless” services), as well as a competitive portfolio of wireless devices. We offer customers value by providing choice and flexibility in our Retail Wireless services. We offer competitive consumer plans with no annual service contracts. 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159" w:hanging="12"/>
        <w:spacing w:after="0" w:line="255" w:lineRule="auto"/>
        <w:rPr>
          <w:sz w:val="20"/>
          <w:szCs w:val="20"/>
          <w:color w:val="auto"/>
        </w:rPr>
      </w:pPr>
      <w:r>
        <w:rPr>
          <w:rFonts w:ascii="Arial" w:cs="Arial" w:eastAsia="Arial" w:hAnsi="Arial"/>
          <w:sz w:val="17"/>
          <w:szCs w:val="17"/>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7"/>
          <w:szCs w:val="17"/>
          <w:color w:val="0A0A0A"/>
        </w:rPr>
        <w:t>voice over new radio (“VoNR”)</w:t>
      </w:r>
      <w:r>
        <w:rPr>
          <w:rFonts w:ascii="Arial" w:cs="Arial" w:eastAsia="Arial" w:hAnsi="Arial"/>
          <w:sz w:val="17"/>
          <w:szCs w:val="17"/>
          <w:color w:val="auto"/>
        </w:rPr>
        <w:t xml:space="preserve">. We currently provide </w:t>
      </w:r>
      <w:r>
        <w:rPr>
          <w:rFonts w:ascii="Arial" w:cs="Arial" w:eastAsia="Arial" w:hAnsi="Arial"/>
          <w:sz w:val="17"/>
          <w:szCs w:val="17"/>
          <w:color w:val="0A0A0A"/>
        </w:rPr>
        <w:t>5G VoNR reaching approximately 200 million</w:t>
      </w:r>
      <w:r>
        <w:rPr>
          <w:rFonts w:ascii="Arial" w:cs="Arial" w:eastAsia="Arial" w:hAnsi="Arial"/>
          <w:sz w:val="17"/>
          <w:szCs w:val="17"/>
          <w:color w:val="auto"/>
        </w:rPr>
        <w:t xml:space="preserve"> </w:t>
      </w:r>
      <w:r>
        <w:rPr>
          <w:rFonts w:ascii="Arial" w:cs="Arial" w:eastAsia="Arial" w:hAnsi="Arial"/>
          <w:sz w:val="17"/>
          <w:szCs w:val="17"/>
          <w:color w:val="0A0A0A"/>
        </w:rPr>
        <w:t xml:space="preserve">Americans. </w:t>
      </w:r>
      <w:r>
        <w:rPr>
          <w:rFonts w:ascii="Arial" w:cs="Arial" w:eastAsia="Arial" w:hAnsi="Arial"/>
          <w:sz w:val="17"/>
          <w:szCs w:val="17"/>
          <w:color w:val="000000"/>
        </w:rPr>
        <w:t>Within our MVNO operations, today we depend on T-Mobile and AT&amp;T to provide us with network</w:t>
      </w:r>
      <w:r>
        <w:rPr>
          <w:rFonts w:ascii="Arial" w:cs="Arial" w:eastAsia="Arial" w:hAnsi="Arial"/>
          <w:sz w:val="17"/>
          <w:szCs w:val="17"/>
          <w:color w:val="0A0A0A"/>
        </w:rPr>
        <w:t xml:space="preserve"> </w:t>
      </w:r>
      <w:r>
        <w:rPr>
          <w:rFonts w:ascii="Arial" w:cs="Arial" w:eastAsia="Arial" w:hAnsi="Arial"/>
          <w:sz w:val="17"/>
          <w:szCs w:val="17"/>
          <w:color w:val="000000"/>
        </w:rPr>
        <w:t>services under the amended Master Network Services Agreement (“MNSA”) and Network Services Agreement (the “NSA”), respectively. Under the NSA, we expect AT&amp;T will become our primary network services provider.</w:t>
      </w:r>
    </w:p>
    <w:p>
      <w:pPr>
        <w:spacing w:after="0" w:line="156"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 xml:space="preserve">Our 5G Network Deployment segment strategy is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w:t>
      </w:r>
      <w:r>
        <w:rPr>
          <w:rFonts w:ascii="Arial" w:cs="Arial" w:eastAsia="Arial" w:hAnsi="Arial"/>
          <w:sz w:val="18"/>
          <w:szCs w:val="18"/>
          <w:color w:val="auto"/>
        </w:rPr>
        <w:t xml:space="preserve"> </w:t>
      </w:r>
      <w:r>
        <w:rPr>
          <w:rFonts w:ascii="Arial" w:cs="Arial" w:eastAsia="Arial" w:hAnsi="Arial"/>
          <w:sz w:val="18"/>
          <w:szCs w:val="18"/>
          <w:color w:val="0A0A0A"/>
        </w:rPr>
        <w:t xml:space="preserve">now have the largest commercial deployment of 5G VoNR in the world reaching approximately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reaching approximately 250 million Americans.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139" w:hanging="6"/>
        <w:spacing w:after="0" w:line="238"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from cash generated from operations, existing cash, restricted cash, cash equivalents and marketable investment securities balances,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depending on, among other things, the rate at which we complete our 5G Network Deployment, the potential purchase of additional wireless spectrum licenses and the rate at which we acquire new subscribers, and the cost of subscriber acquisition and retention. Certain of our capital expenditures for 2024 are expected to be driven by the rate of our 5G Network Deployment as well as costs associated with subscriber premises equipment. These expenditures are necessary for our 5G Network Deployment as well as to operate and maintain our DISH TV services. Consequently, we consider them to be non-discretionary.</w:t>
      </w:r>
    </w:p>
    <w:p>
      <w:pPr>
        <w:spacing w:after="0" w:line="169"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222222"/>
        </w:rPr>
        <w:t xml:space="preserve">We do not currently have the necessary cash, cash equivalents and marketable investment securities and/or projected </w:t>
      </w:r>
      <w:r>
        <w:rPr>
          <w:rFonts w:ascii="Arial" w:cs="Arial" w:eastAsia="Arial" w:hAnsi="Arial"/>
          <w:sz w:val="18"/>
          <w:szCs w:val="18"/>
          <w:color w:val="000000"/>
        </w:rPr>
        <w:t>future cash flows to fund fourth quarter operations or the November 2024 debt maturity.</w:t>
      </w:r>
      <w:r>
        <w:rPr>
          <w:rFonts w:ascii="Arial" w:cs="Arial" w:eastAsia="Arial" w:hAnsi="Arial"/>
          <w:sz w:val="18"/>
          <w:szCs w:val="18"/>
          <w:color w:val="222222"/>
        </w:rPr>
        <w:t xml:space="preserve"> To address our capital needs, we are in active discussions with funding sources to raise additional capital.</w:t>
      </w:r>
    </w:p>
    <w:p>
      <w:pPr>
        <w:spacing w:after="0" w:line="155" w:lineRule="exact"/>
        <w:rPr>
          <w:sz w:val="20"/>
          <w:szCs w:val="20"/>
          <w:color w:val="auto"/>
        </w:rPr>
      </w:pPr>
    </w:p>
    <w:p>
      <w:pPr>
        <w:ind w:left="60" w:right="79" w:hanging="6"/>
        <w:spacing w:after="0" w:line="242" w:lineRule="auto"/>
        <w:rPr>
          <w:sz w:val="20"/>
          <w:szCs w:val="20"/>
          <w:color w:val="auto"/>
        </w:rPr>
      </w:pPr>
      <w:r>
        <w:rPr>
          <w:rFonts w:ascii="Arial" w:cs="Arial" w:eastAsia="Arial" w:hAnsi="Arial"/>
          <w:sz w:val="18"/>
          <w:szCs w:val="18"/>
          <w:color w:val="auto"/>
        </w:rPr>
        <w:t>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79" w:hanging="8"/>
        <w:spacing w:after="0"/>
        <w:rPr>
          <w:sz w:val="20"/>
          <w:szCs w:val="20"/>
          <w:color w:val="auto"/>
        </w:rPr>
      </w:pPr>
      <w:r>
        <w:rPr>
          <w:rFonts w:ascii="Arial" w:cs="Arial" w:eastAsia="Arial" w:hAnsi="Arial"/>
          <w:sz w:val="18"/>
          <w:szCs w:val="18"/>
          <w:color w:val="auto"/>
        </w:rPr>
        <w:t>We have and expect to continue to incur expenditures in 2024 related to our 5G Network Deployment, including, but not limited to, capital expenditures associated with our 5G Network Deployment and the potential purchase of additional wireless spectrum licenses. The amount of capital required will also depend on, among other things, our available liquidity, the growth of our Retail Wireless segment and the levels of investment necessary to support potential strategic initiatives that may arise from time to time. These factors, including, but not limited to, a reduction in our available future cash flows as a result of our 5G Network Deployment, will require us to raise additional capital in the future, which may not be available on favorable terms.</w:t>
      </w:r>
    </w:p>
    <w:p>
      <w:pPr>
        <w:spacing w:after="0" w:line="171" w:lineRule="exact"/>
        <w:rPr>
          <w:sz w:val="20"/>
          <w:szCs w:val="20"/>
          <w:color w:val="auto"/>
        </w:rPr>
      </w:pPr>
    </w:p>
    <w:p>
      <w:pPr>
        <w:jc w:val="both"/>
        <w:ind w:left="60" w:right="139" w:hanging="8"/>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These developments may have a significant effect on our cost of financing and our liquidity position.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During 2023 and the first three months of 2024, we experienced inflationary pressures in our commodity and labor costs resulting from the macroeconomic environment in the United States, which has significantly impacted our overall operating results.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Operational Liquidity</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make general investments in property such as, among others, satellites, wireless devices, set-top boxes, information technology and facilities that support our Pay-TV and Retail Wireless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7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Retail Wireless service margins are impacted by, among other things, our MNSA agreement with T-Mobile and our NSA agreement with AT&amp;T and the speed with which we are able to convert Wireless subscribers onto our 5G Network.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Finally, our future cash flow is impacted by, among other things, the rate at which we complete our 5G Network Deployment, incur litigation expense, and any cash flow from financing activities. We anticipate operating expenditures for our 5G Network Deployment to increase during 2024 as we continue to, among other things, deploy cell sites and communication towers to commercialize our 5G Network. Since we reached our 5G Network Deployment milestone of 70% of the U.S. population, we expect our capital expenditures will decline in the near term. However, as we prepare for our next build-out requirements in 2025, we expect our capital expenditures to increase as we approach this deadline. As a result, our historical cash flow is not necessarily indicative of our future cash flows. As of March 31, 2024, as a result of, among other things, capital expenditures for our 5G Network Deployment, we experienced negative cash flow. We expect that this trend will continue in 2024 and in future periods. In addition, declines in our Pay-TV and Wireless subscriber base and any decrease in subscriber-related margins negatively impact our cash flow, and there can be no assurance that our subscriber declines will not continue.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196"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During the year ended December 31, 2023, we repurchased approximately $49 million of our 2 3/8% Convertible Notes due 2024 in open market trades. The remaining balance of approximately $951 million matured and was redeemed on March 15, 2024.</w:t>
      </w:r>
    </w:p>
    <w:p>
      <w:pPr>
        <w:spacing w:after="0" w:line="155"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 xml:space="preserve">Our 5 7/8% Senior Notes due 2024 with remaining balance of approximately $1.983 billion matures on November 15, 2024. </w:t>
      </w:r>
      <w:r>
        <w:rPr>
          <w:rFonts w:ascii="Arial" w:cs="Arial" w:eastAsia="Arial" w:hAnsi="Arial"/>
          <w:sz w:val="18"/>
          <w:szCs w:val="18"/>
          <w:color w:val="222222"/>
        </w:rPr>
        <w:t>We do not currently have the necessary cash, cash equivalents and marketable investment</w:t>
      </w:r>
      <w:r>
        <w:rPr>
          <w:rFonts w:ascii="Arial" w:cs="Arial" w:eastAsia="Arial" w:hAnsi="Arial"/>
          <w:sz w:val="18"/>
          <w:szCs w:val="18"/>
          <w:color w:val="auto"/>
        </w:rPr>
        <w:t xml:space="preserve"> </w:t>
      </w:r>
      <w:r>
        <w:rPr>
          <w:rFonts w:ascii="Arial" w:cs="Arial" w:eastAsia="Arial" w:hAnsi="Arial"/>
          <w:sz w:val="18"/>
          <w:szCs w:val="18"/>
          <w:color w:val="222222"/>
        </w:rPr>
        <w:t>securities and/or projected future cash flows to fund the November 2024 debt maturity. To address our capital needs, we are in active discussions with funding sources to raise additional capital.</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subject to the covenants and restrictions set forth in the indentures related to our long-term debt. In particular, 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36"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As of the date of filing of this Quarterly Report on Form 10-Q, we and DISH DBS were in compliance with the covenants and restrictions related to our respective long-term debt.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revenue” consists principally of Pay-TV and Wireless subscriber revenue.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amounts included in “Service revenue” are not recurring on a monthly basis.</w:t>
      </w:r>
    </w:p>
    <w:p>
      <w:pPr>
        <w:spacing w:after="0" w:line="140" w:lineRule="exact"/>
        <w:rPr>
          <w:sz w:val="20"/>
          <w:szCs w:val="20"/>
          <w:color w:val="auto"/>
        </w:rPr>
      </w:pPr>
    </w:p>
    <w:p>
      <w:pPr>
        <w:ind w:left="60" w:right="199"/>
        <w:spacing w:after="0" w:line="301"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principally includes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devices, the non-subsidized sales of Pay-TV equipment and the licensing of certain intellectual property.</w:t>
      </w:r>
    </w:p>
    <w:p>
      <w:pPr>
        <w:spacing w:after="0" w:line="117"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and costs of Wireless services (including costs incurred under the MNSA and NSA). Beginning on January 1, 2024, as we have commenced utilizing our 5G Network for commercial traffic, cost of Wireless services includes certain direct costs related to our 5G Network Deployment, including lease expense on communication towers, transport, cloud services and other costs.</w:t>
      </w:r>
    </w:p>
    <w:p>
      <w:pPr>
        <w:spacing w:after="0" w:line="163" w:lineRule="exact"/>
        <w:rPr>
          <w:sz w:val="20"/>
          <w:szCs w:val="20"/>
          <w:color w:val="auto"/>
        </w:rPr>
      </w:pPr>
    </w:p>
    <w:p>
      <w:pPr>
        <w:ind w:left="60" w:right="159"/>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spacing w:after="0" w:line="171"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losses related to our property and equipment, regulatory authorizations, goodwill and other intangible assets.</w:t>
      </w:r>
    </w:p>
    <w:p>
      <w:pPr>
        <w:spacing w:after="0" w:line="15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and equity in earnings and losses of our affiliates.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79"/>
        <w:spacing w:after="0" w:line="266" w:lineRule="auto"/>
        <w:rPr>
          <w:sz w:val="20"/>
          <w:szCs w:val="20"/>
          <w:color w:val="auto"/>
        </w:rPr>
      </w:pPr>
      <w:r>
        <w:rPr>
          <w:rFonts w:ascii="Arial" w:cs="Arial" w:eastAsia="Arial" w:hAnsi="Arial"/>
          <w:sz w:val="17"/>
          <w:szCs w:val="17"/>
          <w:b w:val="1"/>
          <w:bCs w:val="1"/>
          <w:i w:val="1"/>
          <w:iCs w:val="1"/>
          <w:color w:val="auto"/>
        </w:rPr>
        <w:t xml:space="preserve">Earnings before interest, taxes, depreciation and amortization (“EBITDA”). </w:t>
      </w:r>
      <w:r>
        <w:rPr>
          <w:rFonts w:ascii="Arial" w:cs="Arial" w:eastAsia="Arial" w:hAnsi="Arial"/>
          <w:sz w:val="17"/>
          <w:szCs w:val="17"/>
          <w:color w:val="auto"/>
        </w:rPr>
        <w:t>EBITDA is defined as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(loss) attributable to DISH Network” plus “Interest expense, net of amounts capitalized” and net of “Interest income,” “Income tax (provision) benefit, net” and “Depreciation and amortization.” This “non-GAAP measure” is reconciled to “Net income (loss) attributable to DISH Network” in our discussion of “Results of Operations” below.</w:t>
      </w:r>
    </w:p>
    <w:p>
      <w:pPr>
        <w:spacing w:after="0" w:line="14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plus “Depreciation and amortization.” This “non-GAAP measure” is reconciled to “Operating income (loss)” in our discussion of “Results of Operations” below.</w:t>
      </w:r>
    </w:p>
    <w:p>
      <w:pPr>
        <w:spacing w:after="0" w:line="15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63" w:lineRule="exact"/>
        <w:rPr>
          <w:sz w:val="20"/>
          <w:szCs w:val="20"/>
          <w:color w:val="auto"/>
        </w:rPr>
      </w:pPr>
    </w:p>
    <w:p>
      <w:pPr>
        <w:ind w:left="60" w:right="259" w:hanging="12"/>
        <w:spacing w:after="0" w:line="244" w:lineRule="auto"/>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spacing w:after="0" w:line="163"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16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prepaid and postpaid customers obtained through direct sales,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retailers and other independent third-party distribution relationships in our Wireless subscriber count. Our Wireless subscriber count includes all ACP/Gen Mobile subscribers discussed below. Our gross new Wireless subscriber activations exclude all ACP/Gen Mobile subscribers as we record these subscribers net of disconnects, as discussed below.</w:t>
      </w:r>
    </w:p>
    <w:p>
      <w:pPr>
        <w:spacing w:after="0" w:line="163"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b w:val="1"/>
          <w:bCs w:val="1"/>
          <w:i w:val="1"/>
          <w:iCs w:val="1"/>
          <w:color w:val="auto"/>
        </w:rPr>
        <w:t xml:space="preserve">Affordable Connectivity Program/Gen Mobile subscribers (“ACP/Gen Mobile subscribers”).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Emergency Broadband Benefit Program (“EBBP”) was launched by the FCC in February of 2021 to support broadband services and devices to help low-income individuals that meet certain eligibility criteria. The Affordable Connectivity Program (“ACP”) replaced the EBBP on December 31, 2021. Our ACP/Gen Mobile subscribers have a significantly higher churn rate compared to our other Wireless subscribers and we incur lower costs to acquire these subscribers. Therefore, our ACP/Gen Mobile subscriber additions are recorded net of disconnects.</w:t>
      </w:r>
    </w:p>
    <w:p>
      <w:pPr>
        <w:spacing w:after="0" w:line="152" w:lineRule="exact"/>
        <w:rPr>
          <w:sz w:val="20"/>
          <w:szCs w:val="20"/>
          <w:color w:val="auto"/>
        </w:rPr>
      </w:pPr>
    </w:p>
    <w:p>
      <w:pPr>
        <w:ind w:left="60" w:right="59"/>
        <w:spacing w:after="0"/>
        <w:rPr>
          <w:sz w:val="20"/>
          <w:szCs w:val="20"/>
          <w:color w:val="auto"/>
        </w:rPr>
      </w:pPr>
      <w:r>
        <w:rPr>
          <w:rFonts w:ascii="Arial" w:cs="Arial" w:eastAsia="Arial" w:hAnsi="Arial"/>
          <w:sz w:val="18"/>
          <w:szCs w:val="18"/>
          <w:b w:val="1"/>
          <w:bCs w:val="1"/>
          <w:i w:val="1"/>
          <w:iCs w:val="1"/>
          <w:color w:val="auto"/>
        </w:rPr>
        <w:t xml:space="preserve">Wireless average monthly revenue per subscriber (“Wireless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Retail Wireless segment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b w:val="1"/>
          <w:bCs w:val="1"/>
          <w:i w:val="1"/>
          <w:iCs w:val="1"/>
          <w:color w:val="auto"/>
        </w:rPr>
        <w:t xml:space="preserve">Wireless average monthly subscriber churn rate (“Wireless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ACP/Gen Mobile subscribers are excluded from our calculation of our Wireless churn rate.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currently operate three primary business segments: (1) Pay-TV; (2) Retail Wireless; and (3) 5G Network Deployment. Revenue and operating income (loss) by segment are shown in the table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4"/>
          </w:tcPr>
          <w:p>
            <w:pPr>
              <w:ind w:left="14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2,726,578</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2,972,131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(245,553)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6"/>
                <w:szCs w:val="16"/>
                <w:color w:val="auto"/>
              </w:rPr>
              <w:t>Retail Wireless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905,850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974,866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(69,016)</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28,928</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(21,467)</w:t>
            </w:r>
          </w:p>
        </w:tc>
        <w:tc>
          <w:tcPr>
            <w:tcW w:w="40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(8,922)</w:t>
            </w:r>
          </w:p>
        </w:tc>
        <w:tc>
          <w:tcPr>
            <w:tcW w:w="2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(12,545)</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3,639,889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3,956,982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(317,093)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6"/>
                <w:szCs w:val="16"/>
                <w:color w:val="auto"/>
              </w:rPr>
              <w:t>Pay-TV</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670,243</w:t>
            </w:r>
          </w:p>
        </w:tc>
        <w:tc>
          <w:tcPr>
            <w:tcW w:w="2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675,233</w:t>
            </w:r>
          </w:p>
        </w:tc>
        <w:tc>
          <w:tcPr>
            <w:tcW w:w="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(4,990)</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Wireless</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(74,417)</w:t>
            </w: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(18,207)</w:t>
            </w:r>
          </w:p>
        </w:tc>
        <w:tc>
          <w:tcPr>
            <w:tcW w:w="24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(56,210)</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6"/>
                <w:szCs w:val="16"/>
                <w:color w:val="auto"/>
              </w:rPr>
              <w:t>5G Network Deployment</w:t>
            </w:r>
          </w:p>
        </w:tc>
        <w:tc>
          <w:tcPr>
            <w:tcW w:w="2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(570,034)</w:t>
            </w:r>
          </w:p>
        </w:tc>
        <w:tc>
          <w:tcPr>
            <w:tcW w:w="40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(333,603)</w:t>
            </w:r>
          </w:p>
        </w:tc>
        <w:tc>
          <w:tcPr>
            <w:tcW w:w="2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(236,431)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6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25,979</w:t>
            </w:r>
          </w:p>
        </w:tc>
        <w:tc>
          <w:tcPr>
            <w:tcW w:w="2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323,423</w:t>
            </w: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(297,444)</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$3.640 billion for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$317 million or 8.0% compared to the same period in 2023. The net decrease primarily resulted from the decrease in revenue from our Pay-TV and Retail Wireless segments.</w:t>
      </w:r>
    </w:p>
    <w:p>
      <w:pPr>
        <w:spacing w:after="0" w:line="15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income totaled $26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2024, a decrease of $297 million or 92.0% compared to the same period in 2023. This decrease primarily resulted from a decrease in operating income from our 5G Network Deployment and Retail Wireless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Segment</w:t>
      </w:r>
    </w:p>
    <w:p>
      <w:pPr>
        <w:spacing w:after="0" w:line="26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We offer Pay-TV services under the DISH brand and the SLING brand. As of March 31, 2024, we had 8.178 million Pay-TV subscribers in the United States, including 6.258 million DISH TV subscribers and 1.920 million SLING TV subscribers.</w:t>
      </w:r>
    </w:p>
    <w:p>
      <w:pPr>
        <w:spacing w:after="0" w:line="15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54" w:lineRule="exact"/>
        <w:rPr>
          <w:sz w:val="20"/>
          <w:szCs w:val="20"/>
          <w:color w:val="auto"/>
        </w:rPr>
      </w:pPr>
    </w:p>
    <w:p>
      <w:pPr>
        <w:jc w:val="both"/>
        <w:ind w:left="60" w:right="479"/>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line="257" w:lineRule="auto"/>
        <w:rPr>
          <w:sz w:val="20"/>
          <w:szCs w:val="20"/>
          <w:color w:val="auto"/>
        </w:rPr>
      </w:pPr>
      <w:r>
        <w:rPr>
          <w:rFonts w:ascii="Arial" w:cs="Arial" w:eastAsia="Arial" w:hAnsi="Arial"/>
          <w:sz w:val="17"/>
          <w:szCs w:val="17"/>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2023 and elsewhere in our public filings. These transactions may affect us adversely by, among other things, making it more difficult for us to obtain access to certain programming networks on nondiscriminatory and fair terms, or at all.</w:t>
      </w:r>
    </w:p>
    <w:p>
      <w:pPr>
        <w:spacing w:after="0" w:line="155"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spacing w:after="0" w:line="17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22222"/>
        </w:rPr>
        <w:t>Adaptive Bitrate Streaming Patents</w:t>
      </w:r>
    </w:p>
    <w:p>
      <w:pPr>
        <w:spacing w:after="0" w:line="19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22222"/>
        </w:rPr>
        <w:t>T</w:t>
      </w:r>
      <w:r>
        <w:rPr>
          <w:rFonts w:ascii="Arial" w:cs="Arial" w:eastAsia="Arial" w:hAnsi="Arial"/>
          <w:sz w:val="18"/>
          <w:szCs w:val="18"/>
          <w:color w:val="000000"/>
        </w:rPr>
        <w:t>hrough our subsidiaries, we hold dozens of issued United States and foreign patents that relate to Adaptive</w:t>
      </w:r>
      <w:r>
        <w:rPr>
          <w:rFonts w:ascii="Arial" w:cs="Arial" w:eastAsia="Arial" w:hAnsi="Arial"/>
          <w:sz w:val="18"/>
          <w:szCs w:val="18"/>
          <w:color w:val="222222"/>
        </w:rPr>
        <w:t xml:space="preserve"> </w:t>
      </w:r>
      <w:r>
        <w:rPr>
          <w:rFonts w:ascii="Arial" w:cs="Arial" w:eastAsia="Arial" w:hAnsi="Arial"/>
          <w:sz w:val="18"/>
          <w:szCs w:val="18"/>
          <w:color w:val="000000"/>
        </w:rPr>
        <w:t>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second quarter of 2023, we recorded the $75 million license agreement in “Equipment sales and other revenue” on our Condensed Consolidated Statements of Operations and Comprehensive Income (Loss). On March 6, 2024, we entered into a license agreement covering NordicTrack exercise equipment that resolves our litigation involving those products and received the initial payment.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7"/>
          </w:tcPr>
          <w:p>
            <w:pPr>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right"/>
              <w:ind w:right="96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8"/>
                <w:szCs w:val="18"/>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jc w:val="right"/>
              <w:spacing w:after="0" w:line="183" w:lineRule="exact"/>
              <w:rPr>
                <w:sz w:val="20"/>
                <w:szCs w:val="20"/>
                <w:color w:val="auto"/>
              </w:rPr>
            </w:pPr>
            <w:r>
              <w:rPr>
                <w:rFonts w:ascii="Arial" w:cs="Arial" w:eastAsia="Arial" w:hAnsi="Arial"/>
                <w:sz w:val="16"/>
                <w:szCs w:val="16"/>
                <w:color w:val="auto"/>
                <w:w w:val="99"/>
              </w:rPr>
              <w:t>(In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2,701,179</w:t>
            </w:r>
          </w:p>
        </w:tc>
        <w:tc>
          <w:tcPr>
            <w:tcW w:w="16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2,944,482</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(243,303)</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25,399</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(2,250)</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2,726,578</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2,972,131</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(245,553)</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gridSpan w:val="2"/>
          </w:tcPr>
          <w:p>
            <w:pPr>
              <w:jc w:val="right"/>
              <w:ind w:right="120"/>
              <w:spacing w:after="0" w:line="183"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1,664,445</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1,833,299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(168,854)</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61.6 %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62.3 %</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(4,073)</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289,496</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339,959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(50,463)</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10.6 %</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11.4 %</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85,402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102,575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(17,173)</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83"/>
        </w:trPr>
        <w:tc>
          <w:tcPr>
            <w:tcW w:w="44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2,056,335</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2,296,898</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(240,563)</w:t>
            </w: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670,243</w:t>
            </w: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675,233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(4,990)</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8.178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9.198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(1.020)</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(0.840)</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(0.180)</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(0.348)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(0.552)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(0.213)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(0.318)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0.105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(0.135)</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(0.234)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0.099</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Pay-TV ARPU</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107.38</w:t>
            </w:r>
          </w:p>
        </w:tc>
        <w:tc>
          <w:tcPr>
            <w:tcW w:w="16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102.71</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0.079</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(0.034)</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DISH TV churn rate</w:t>
            </w: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1.98 </w:t>
            </w: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(0.45)</w:t>
            </w: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SAC</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27,877</w:t>
            </w:r>
          </w:p>
        </w:tc>
        <w:tc>
          <w:tcPr>
            <w:tcW w:w="16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35,563</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(7,686)</w:t>
            </w:r>
          </w:p>
        </w:tc>
        <w:tc>
          <w:tcPr>
            <w:tcW w:w="1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755,645</w:t>
            </w: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777,808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(22,163)</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Percentage is not meaningful.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213,000 net DISH TV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compared to the loss of approximately 318,000 net DISH TV subscribers during the same period in 2023. This decrease in net DISH TV subscriber losses primarily resulted from a lower DISH TV churn rate, partially offset by lower gross new DISH TV subscriber activations.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b w:val="1"/>
          <w:bCs w:val="1"/>
          <w:i w:val="1"/>
          <w:iCs w:val="1"/>
          <w:color w:val="auto"/>
        </w:rPr>
        <w:t>SLING TV subscribers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lost approximately 135,000 net SLING TV subscribers during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2024 compared to the loss of approximately 234,000 net SLING TV subscribers during the same period in 2023. The decrease in net SLING TV subscriber losses was primarily related to lower SLING TV subscriber disconnects in 2024 due to our emphasis on acquiring higher quality subscribers, partially offset by lower SLING TV subscriber activations.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5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March 31,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79,000 gross new DISH TV subscribers compared to approximately 113,000 gross new DISH TV subscribers during the same period in 2023, a decrease of 30.1%.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b w:val="1"/>
          <w:bCs w:val="1"/>
          <w:i w:val="1"/>
          <w:iCs w:val="1"/>
          <w:color w:val="auto"/>
        </w:rPr>
        <w:t>DISH TV churn rate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DISH TV churn rate for the three months ended March 31, 2024 was 1.53%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1.98% for the same period in 2023. Our DISH TV churn rate for the three months ended March 31,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 In addition, our DISH TV churn rate for the three months ended March 31, 2023 was briefly elevated due to the cyber-security incident.</w:t>
      </w:r>
    </w:p>
    <w:p>
      <w:pPr>
        <w:spacing w:after="0" w:line="15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$2.701 billion for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$243 million or 8.3% compared to the same period in 2023. The decrease in “Service revenue” compared to the same period in 2023 was primarily related to lower average Pay-TV subscriber base, partially offset by an increase in Pay-TV ARPU, discussed below.</w:t>
      </w:r>
    </w:p>
    <w:p>
      <w:pPr>
        <w:spacing w:after="0" w:line="16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$107.38 during the three months ended March 31, 2024 versus $102.71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The $4.67 or 4.5% increase in Pay-TV ARPU was primarily attributable to the DISH TV and SLING TV programming price increases and higher Pay-TV ad sales revenue. The DISH TV and SLING TV programming package price increases were effective in the fourth quarter of 2023.</w:t>
      </w:r>
    </w:p>
    <w:p>
      <w:pPr>
        <w:spacing w:after="0" w:line="160"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$1.664 billion during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decrease of $169 million or 9.2% compared to the same period in 2023. The decrease in “Cost of services” was primarily attributable to a lower average Pay-TV subscriber base and lower variable and retention costs per subscriber, partially offset by higher programming costs per subscriber. Programming costs per subscriber increased during the three months ended March 31, 2024 due to rate increases in certain of our programming contracts, including the renewal of certain contracts at higher rates, particularly for local broadcast channels. Variable and retention costs per subscriber during the three months ended March 31, 2023 were negatively impacted by </w:t>
      </w:r>
      <w:r>
        <w:rPr>
          <w:rFonts w:ascii="Arial" w:cs="Arial" w:eastAsia="Arial" w:hAnsi="Arial"/>
          <w:sz w:val="18"/>
          <w:szCs w:val="18"/>
          <w:color w:val="222222"/>
        </w:rPr>
        <w:t>approximately $30 million in cyber-security-related expenses</w:t>
      </w:r>
      <w:r>
        <w:rPr>
          <w:rFonts w:ascii="Arial" w:cs="Arial" w:eastAsia="Arial" w:hAnsi="Arial"/>
          <w:sz w:val="18"/>
          <w:szCs w:val="18"/>
          <w:color w:val="auto"/>
        </w:rPr>
        <w:t xml:space="preserve"> to remediate the incident and provide additional customer support. “Cost of services” represented 61.6% and 62.3% of “Service revenue” during the three months ended March 31, 2024 and 2023, respectively.</w:t>
      </w:r>
    </w:p>
    <w:p>
      <w:pPr>
        <w:spacing w:after="0" w:line="16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6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$289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2024, a $50 million or 14.8% decrease compared to the same period in 2023.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right="49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$85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a $17 million or 16.7% decrease compared to the same period in 2023. This change was primarily driven by a decrease in depreciation expense from equipment leased to new and existing DISH TV subscribers and the EchoStar XI satellite which became fully depreciated during the second quarter of 2023.</w:t>
      </w:r>
    </w:p>
    <w:p>
      <w:pPr>
        <w:spacing w:after="0" w:line="163" w:lineRule="exact"/>
        <w:rPr>
          <w:sz w:val="20"/>
          <w:szCs w:val="20"/>
          <w:color w:val="auto"/>
        </w:rPr>
      </w:pPr>
    </w:p>
    <w:p>
      <w:pPr>
        <w:ind w:left="60" w:right="79"/>
        <w:spacing w:after="0" w:line="266" w:lineRule="auto"/>
        <w:rPr>
          <w:sz w:val="20"/>
          <w:szCs w:val="20"/>
          <w:color w:val="auto"/>
        </w:rPr>
      </w:pPr>
      <w:r>
        <w:rPr>
          <w:rFonts w:ascii="Arial" w:cs="Arial" w:eastAsia="Arial" w:hAnsi="Arial"/>
          <w:sz w:val="17"/>
          <w:szCs w:val="17"/>
          <w:b w:val="1"/>
          <w:bCs w:val="1"/>
          <w:i w:val="1"/>
          <w:iCs w:val="1"/>
          <w:color w:val="auto"/>
        </w:rPr>
        <w:t xml:space="preserve">DISH TV SAC. </w:t>
      </w:r>
      <w:r>
        <w:rPr>
          <w:rFonts w:ascii="Arial" w:cs="Arial" w:eastAsia="Arial" w:hAnsi="Arial"/>
          <w:sz w:val="17"/>
          <w:szCs w:val="17"/>
          <w:color w:val="auto"/>
        </w:rPr>
        <w:t>DISH TV SAC was $1,054 during the three months ended March 31, 2024 compared to $1,055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same period in 2023, a decrease of $1 or 0.1%. This change was primarily attributable to a decrease in advertising costs per subscriber, partially offset by higher installation costs due to an increase in labor and other installation costs and higher commission costs due to our emphasis on acquiring higher quality subscribers.</w:t>
      </w:r>
    </w:p>
    <w:p>
      <w:pPr>
        <w:spacing w:after="0" w:line="146"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During the three months ended March 31, 2024 and 2023, the amount of equipment capitalized under our lease program for new DISH TV subscribers totaled $7 million and $15 million, respectively. This decrease in capital expenditures primarily resulted from a decrease in gross new DISH TV subscriber activations.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3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Our “DISH TV SAC” may materially increase in the future to the extent that we, among other things, transition to newer technologies, introduce more aggressive promotions, or provide greater equipment subsidies.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Retail Wireless Segment</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device financing arrangements.</w:t>
      </w:r>
    </w:p>
    <w:p>
      <w:pPr>
        <w:spacing w:after="0" w:line="163" w:lineRule="exact"/>
        <w:rPr>
          <w:sz w:val="20"/>
          <w:szCs w:val="20"/>
          <w:color w:val="auto"/>
        </w:rPr>
      </w:pPr>
    </w:p>
    <w:p>
      <w:pPr>
        <w:ind w:left="60" w:right="59" w:hanging="7"/>
        <w:spacing w:after="0" w:line="247" w:lineRule="auto"/>
        <w:rPr>
          <w:sz w:val="20"/>
          <w:szCs w:val="20"/>
          <w:color w:val="auto"/>
        </w:rPr>
      </w:pPr>
      <w:r>
        <w:rPr>
          <w:rFonts w:ascii="Arial" w:cs="Arial" w:eastAsia="Arial" w:hAnsi="Arial"/>
          <w:sz w:val="18"/>
          <w:szCs w:val="18"/>
          <w:i w:val="1"/>
          <w:iCs w:val="1"/>
          <w:color w:val="auto"/>
        </w:rPr>
        <w:t>Boost Mobile postpaid</w:t>
      </w:r>
      <w:r>
        <w:rPr>
          <w:rFonts w:ascii="Arial" w:cs="Arial" w:eastAsia="Arial" w:hAnsi="Arial"/>
          <w:sz w:val="18"/>
          <w:szCs w:val="18"/>
          <w:color w:val="auto"/>
        </w:rPr>
        <w:t>. During 2023, we launched our nationwide expansion of our Boost Mobile postpaid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At the end of the third quarter of 2023, we began offering the iPhone 15 on our 5G Network and expanded our Boost Mobile postpaid offering through a distribution partnership with Amazon. We currently offer a broad range of premium wireless devices on our 5G Network.</w:t>
      </w:r>
    </w:p>
    <w:p>
      <w:pPr>
        <w:spacing w:after="0" w:line="160" w:lineRule="exact"/>
        <w:rPr>
          <w:sz w:val="20"/>
          <w:szCs w:val="20"/>
          <w:color w:val="auto"/>
        </w:rPr>
      </w:pPr>
    </w:p>
    <w:p>
      <w:pPr>
        <w:ind w:left="60" w:right="219" w:hanging="7"/>
        <w:spacing w:after="0"/>
        <w:rPr>
          <w:sz w:val="20"/>
          <w:szCs w:val="20"/>
          <w:color w:val="auto"/>
        </w:rPr>
      </w:pPr>
      <w:r>
        <w:rPr>
          <w:rFonts w:ascii="Arial" w:cs="Arial" w:eastAsia="Arial" w:hAnsi="Arial"/>
          <w:sz w:val="18"/>
          <w:szCs w:val="18"/>
          <w:color w:val="auto"/>
        </w:rPr>
        <w:t xml:space="preserve">We are currently operating our Retail Wireless segment primarily as an MVNO as we continue our 5G Network Deployment and commercialize and grow customer traffic on our 5G Network. We are transitioning our Retail Wireless segment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VoNR</w:t>
      </w:r>
      <w:r>
        <w:rPr>
          <w:rFonts w:ascii="Arial" w:cs="Arial" w:eastAsia="Arial" w:hAnsi="Arial"/>
          <w:sz w:val="18"/>
          <w:szCs w:val="18"/>
          <w:color w:val="auto"/>
        </w:rPr>
        <w:t xml:space="preserve">. We currently provide </w:t>
      </w:r>
      <w:r>
        <w:rPr>
          <w:rFonts w:ascii="Arial" w:cs="Arial" w:eastAsia="Arial" w:hAnsi="Arial"/>
          <w:sz w:val="18"/>
          <w:szCs w:val="18"/>
          <w:color w:val="0A0A0A"/>
        </w:rPr>
        <w:t>5G VoNR reaching approximately</w:t>
      </w:r>
      <w:r>
        <w:rPr>
          <w:rFonts w:ascii="Arial" w:cs="Arial" w:eastAsia="Arial" w:hAnsi="Arial"/>
          <w:sz w:val="18"/>
          <w:szCs w:val="18"/>
          <w:color w:val="auto"/>
        </w:rPr>
        <w:t xml:space="preserve"> </w:t>
      </w:r>
      <w:r>
        <w:rPr>
          <w:rFonts w:ascii="Arial" w:cs="Arial" w:eastAsia="Arial" w:hAnsi="Arial"/>
          <w:sz w:val="18"/>
          <w:szCs w:val="18"/>
          <w:color w:val="0A0A0A"/>
        </w:rPr>
        <w:t xml:space="preserve">200 million Americans. </w:t>
      </w:r>
      <w:r>
        <w:rPr>
          <w:rFonts w:ascii="Arial" w:cs="Arial" w:eastAsia="Arial" w:hAnsi="Arial"/>
          <w:sz w:val="18"/>
          <w:szCs w:val="18"/>
          <w:color w:val="000000"/>
        </w:rPr>
        <w:t>Within our MVNO operations, today we depend on T-Mobile and AT&amp;T to provide us with</w:t>
      </w:r>
      <w:r>
        <w:rPr>
          <w:rFonts w:ascii="Arial" w:cs="Arial" w:eastAsia="Arial" w:hAnsi="Arial"/>
          <w:sz w:val="18"/>
          <w:szCs w:val="18"/>
          <w:color w:val="0A0A0A"/>
        </w:rPr>
        <w:t xml:space="preserve"> </w:t>
      </w:r>
      <w:r>
        <w:rPr>
          <w:rFonts w:ascii="Arial" w:cs="Arial" w:eastAsia="Arial" w:hAnsi="Arial"/>
          <w:sz w:val="18"/>
          <w:szCs w:val="18"/>
          <w:color w:val="000000"/>
        </w:rPr>
        <w:t>network services under MNSA and NSA, respectively. Under the NSA, we expect AT&amp;T will become our primary network services provider.</w:t>
      </w:r>
    </w:p>
    <w:p>
      <w:pPr>
        <w:spacing w:after="0" w:line="167"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As of March 31, 2024 we had 7.297 million Wireless subscribers. Currently, we offer Wireless subscribers competitive consumer plans with no annual service contracts and monthly service plans including high-speed data and unlimited talk and text, and device financing arrangements for certain qualified subscribers.</w:t>
      </w:r>
    </w:p>
    <w:p>
      <w:pPr>
        <w:spacing w:after="0" w:line="155" w:lineRule="exact"/>
        <w:rPr>
          <w:sz w:val="20"/>
          <w:szCs w:val="20"/>
          <w:color w:val="auto"/>
        </w:rPr>
      </w:pPr>
    </w:p>
    <w:p>
      <w:pPr>
        <w:ind w:left="60" w:right="159" w:hanging="7"/>
        <w:spacing w:after="0"/>
        <w:rPr>
          <w:sz w:val="20"/>
          <w:szCs w:val="20"/>
          <w:color w:val="auto"/>
        </w:rPr>
      </w:pPr>
      <w:r>
        <w:rPr>
          <w:rFonts w:ascii="Arial" w:cs="Arial" w:eastAsia="Arial" w:hAnsi="Arial"/>
          <w:sz w:val="18"/>
          <w:szCs w:val="18"/>
          <w:color w:val="auto"/>
        </w:rPr>
        <w:t>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w:t>
      </w:r>
    </w:p>
    <w:p>
      <w:pPr>
        <w:spacing w:after="0" w:line="171" w:lineRule="exact"/>
        <w:rPr>
          <w:sz w:val="20"/>
          <w:szCs w:val="20"/>
          <w:color w:val="auto"/>
        </w:rPr>
      </w:pPr>
    </w:p>
    <w:p>
      <w:pPr>
        <w:ind w:left="60" w:right="79" w:hanging="12"/>
        <w:spacing w:after="0" w:line="259" w:lineRule="auto"/>
        <w:rPr>
          <w:sz w:val="20"/>
          <w:szCs w:val="20"/>
          <w:color w:val="auto"/>
        </w:rPr>
      </w:pPr>
      <w:r>
        <w:rPr>
          <w:rFonts w:ascii="Arial" w:cs="Arial" w:eastAsia="Arial" w:hAnsi="Arial"/>
          <w:sz w:val="17"/>
          <w:szCs w:val="17"/>
          <w:i w:val="1"/>
          <w:iCs w:val="1"/>
          <w:color w:val="auto"/>
        </w:rPr>
        <w:t xml:space="preserve">ACP Subscribers. </w:t>
      </w:r>
      <w:r>
        <w:rPr>
          <w:rFonts w:ascii="Arial" w:cs="Arial" w:eastAsia="Arial" w:hAnsi="Arial"/>
          <w:sz w:val="17"/>
          <w:szCs w:val="17"/>
          <w:color w:val="auto"/>
        </w:rPr>
        <w:t>A portion of our subscriber base and revenue is comprised of subscribers who receive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ACP. The ACP program was projected to end in April 2024 unless Congress appropriated additional funding and the FCC began taking steps to wind down the ACP program and stopped accepting new applications and enrollments on February 7, 2024. Households enrolled in the ACP continued to receive the benefit on their service through April 2024. In May 2024, households may receive a partial benefit and after May 2024 ACP will end and households will no longer receive their benefit, unless Congress appropriates additional funding.</w:t>
      </w:r>
    </w:p>
    <w:p>
      <w:pPr>
        <w:spacing w:after="0" w:line="152" w:lineRule="exact"/>
        <w:rPr>
          <w:sz w:val="20"/>
          <w:szCs w:val="20"/>
          <w:color w:val="auto"/>
        </w:rPr>
      </w:pPr>
    </w:p>
    <w:p>
      <w:pPr>
        <w:ind w:left="60" w:right="159" w:hanging="12"/>
        <w:spacing w:after="0" w:line="242" w:lineRule="auto"/>
        <w:rPr>
          <w:sz w:val="20"/>
          <w:szCs w:val="20"/>
          <w:color w:val="auto"/>
        </w:rPr>
      </w:pPr>
      <w:r>
        <w:rPr>
          <w:rFonts w:ascii="Arial" w:cs="Arial" w:eastAsia="Arial" w:hAnsi="Arial"/>
          <w:sz w:val="18"/>
          <w:szCs w:val="18"/>
          <w:color w:val="auto"/>
        </w:rPr>
        <w:t>As of March 31, 2024, we had approximately 600,000 ACP subscribers, representing 8% of our Wireless subscriber base. We currently have plans in place to retain and/or migrate these subscribers to lower priced service plans. Generally, ACP subscribers have lower Wireless ARPU than other Wireless subscribers and as a result, any loss of ACP subscribers will have a nominal impact on pre-tax net income. We cannot predict with any certainty the impact of the loss of the ACP benefit to our Wireless subscriber base, net Wireless subscriber activations and results of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36" w:lineRule="exact"/>
        <w:rPr>
          <w:sz w:val="20"/>
          <w:szCs w:val="20"/>
          <w:color w:val="auto"/>
        </w:rPr>
      </w:pPr>
    </w:p>
    <w:p>
      <w:pPr>
        <w:ind w:left="60" w:right="59" w:hanging="7"/>
        <w:spacing w:after="0" w:line="244" w:lineRule="auto"/>
        <w:rPr>
          <w:sz w:val="20"/>
          <w:szCs w:val="20"/>
          <w:color w:val="auto"/>
        </w:rPr>
      </w:pPr>
      <w:r>
        <w:rPr>
          <w:rFonts w:ascii="Arial" w:cs="Arial" w:eastAsia="Arial" w:hAnsi="Arial"/>
          <w:sz w:val="18"/>
          <w:szCs w:val="18"/>
          <w:color w:val="auto"/>
        </w:rPr>
        <w:t>If ACP funding is ultimately restored or replaced, there can be no assurance that the timing of the restoration or replacement will not lead to service interruptions and negatively impact, among other things, our net Wireless subscriber activations and results of operations. In addition, the restoration or replacement of ACP with one having different eligibility requirements and/or funding levels could negatively impact, among other things, our net Wireless subscriber activations and results of operations or impose additional costs on our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Competition</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Retail wireless is a mature market with moderate year over year organic growth. Competitors include, among others, providers who offer similar wireless communications services, such as talk, text and data. Competitive factors within the wireless communications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71" w:lineRule="exact"/>
        <w:rPr>
          <w:sz w:val="20"/>
          <w:szCs w:val="20"/>
          <w:color w:val="auto"/>
        </w:rPr>
      </w:pPr>
    </w:p>
    <w:p>
      <w:pPr>
        <w:ind w:left="60" w:right="279" w:hanging="7"/>
        <w:spacing w:after="0" w:line="247" w:lineRule="auto"/>
        <w:rPr>
          <w:sz w:val="20"/>
          <w:szCs w:val="20"/>
          <w:color w:val="auto"/>
        </w:rPr>
      </w:pPr>
      <w:r>
        <w:rPr>
          <w:rFonts w:ascii="Arial" w:cs="Arial" w:eastAsia="Arial" w:hAnsi="Arial"/>
          <w:sz w:val="18"/>
          <w:szCs w:val="18"/>
          <w:color w:val="auto"/>
        </w:rPr>
        <w:t>Additional primary competitors to our Retail Wireless segment include, but are not limited to, Metro PCS (owned by T-Mobile), Cricket Wireless (owned by AT&amp;T), Visible (owned by Verizon), Tracfone Wireless (owned by Verizon), and other MVNOs such as Consumer Cellular, Mint Mobile (T-Mobile has reached an agreement to acquire), Spectrum Mobile and Xfinity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–Retail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804,265</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867,111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(62,846)</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101,585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107,755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(6,170)</w:t>
            </w:r>
          </w:p>
        </w:tc>
        <w:tc>
          <w:tcPr>
            <w:tcW w:w="2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905,850</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974,866</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(69,016)</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3"/>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460,814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497,972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(37,158)</w:t>
            </w:r>
          </w:p>
        </w:tc>
        <w:tc>
          <w:tcPr>
            <w:tcW w:w="2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57.3 %</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57.4 %</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289,542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263,833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25,709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173,012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178,423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(5,411)</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3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19.1 %</w:t>
            </w:r>
          </w:p>
        </w:tc>
        <w:tc>
          <w:tcPr>
            <w:tcW w:w="2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18.3 %</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56,899</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52,845</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980,267</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993,073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(12,806)</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gridSpan w:val="2"/>
          </w:tcPr>
          <w:p>
            <w:pPr>
              <w:jc w:val="right"/>
              <w:ind w:right="100"/>
              <w:spacing w:after="0" w:line="18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(74,417)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(18,207)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(56,210)</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(0.616)</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0.580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0.785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(0.205)</w:t>
            </w:r>
          </w:p>
        </w:tc>
        <w:tc>
          <w:tcPr>
            <w:tcW w:w="2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(0.081)</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(0.081)</w:t>
            </w:r>
          </w:p>
        </w:tc>
        <w:tc>
          <w:tcPr>
            <w:tcW w:w="1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Wireless ARPU</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36.69</w:t>
            </w:r>
          </w:p>
        </w:tc>
        <w:tc>
          <w:tcPr>
            <w:tcW w:w="2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36.43</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b w:val="1"/>
                <w:bCs w:val="1"/>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w:t>
            </w:r>
            <w:r>
              <w:rPr>
                <w:rFonts w:ascii="Arial" w:cs="Arial" w:eastAsia="Arial" w:hAnsi="Arial"/>
                <w:sz w:val="16"/>
                <w:szCs w:val="16"/>
                <w:b w:val="1"/>
                <w:bCs w:val="1"/>
                <w:color w:val="auto"/>
              </w:rPr>
              <w:t>%</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5"/>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(17,518)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34,638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(52,156)</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Percentage is not meaningful.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**Includes ACP/Gen Mobile subscribers.</w:t>
      </w:r>
    </w:p>
    <w:p>
      <w:pPr>
        <w:spacing w:after="0" w:line="187"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81,000 net Wireless subscribers during each of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2024 and 2023. The three months ended March 31, 2024 was positively impacted by a lower Wireless churn rate, partially offset by lower gross new Wireless subscriber activations and lower net ACP/Gen Mobile subscriber additions compared to the same period in 2023.</w:t>
      </w:r>
    </w:p>
    <w:p>
      <w:pPr>
        <w:spacing w:after="0" w:line="160" w:lineRule="exact"/>
        <w:rPr>
          <w:sz w:val="20"/>
          <w:szCs w:val="20"/>
          <w:color w:val="auto"/>
        </w:rPr>
      </w:pPr>
    </w:p>
    <w:p>
      <w:pPr>
        <w:ind w:left="60" w:right="199"/>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March 31,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580,000 gross new Wireless subscribers compared to approximately 785,000 gross new Wireless subscribers during the same period in 2023, a decrease of 26.1%. This decrease in our gross new Wireless subscriber activations was primarily related to increased competitive pressures, including aggressive competitor marketing, discounted service plans and deeper wireless device subsidies. In addition, our gross new Wireless subscribers for the three months ended March 31, 2024 was negatively impacted by our emphasis on acquiring and retaining higher quality subscribers.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March 31, 2024 was 3.05%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4.24% for the same period in 2023. Our Wireless churn rate for the three months ended March 31, 2024 was positively impacted by our emphasis on acquiring and retaining higher quality subscribers, partially offset by competitive pressures, including deeper wireless device subsidies. In addition, our Wireless churn rate for the three months ended March 31, 2023 was negatively impacted by migrating subscribers off the TSA with T-Mobile and onto our new billing and operational support systems.</w:t>
      </w:r>
    </w:p>
    <w:p>
      <w:pPr>
        <w:spacing w:after="0" w:line="16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$804 million for the three months ended March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$63 million or 7.2% compared to the same period in 2023. The decrease in “Service revenue” compared to the same period in 2023 was primarily related to a lower average Wireless subscriber base, partially offset by an increase in Wireless ARPU, discussed below.</w:t>
      </w:r>
    </w:p>
    <w:p>
      <w:pPr>
        <w:spacing w:after="0" w:line="160"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$36.69 during the three months ended March 31, 2024 versus $36.43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The $0.26 or 0.7% increase in Wireless ARPU was primarily attributable to, among other things, a shift in subscriber plan mix to higher priced service plans.</w:t>
      </w:r>
    </w:p>
    <w:p>
      <w:pPr>
        <w:spacing w:after="0" w:line="155"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$102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March 31, 2024, a decrease of $6 million or 5.7% compared to the same period in 2023. The decrease in “Equipment sales and other revenue” compared to the same period in 2023 was primarily related to a decrease in units shipped and higher promotional subsidies, partially offset </w:t>
      </w:r>
      <w:r>
        <w:rPr>
          <w:rFonts w:ascii="Arial" w:cs="Arial" w:eastAsia="Arial" w:hAnsi="Arial"/>
          <w:sz w:val="18"/>
          <w:szCs w:val="18"/>
          <w:color w:val="222222"/>
        </w:rPr>
        <w:t>by h</w:t>
      </w:r>
      <w:r>
        <w:rPr>
          <w:rFonts w:ascii="Arial" w:cs="Arial" w:eastAsia="Arial" w:hAnsi="Arial"/>
          <w:sz w:val="18"/>
          <w:szCs w:val="18"/>
          <w:color w:val="auto"/>
        </w:rPr>
        <w:t>igher revenue per unit shipped due to unit mix. During the three months ended March 31, 2024, we shipped a higher percentage of devices that are compatible with our 5G Network and other devices that have a higher revenue per unit.</w:t>
      </w:r>
    </w:p>
    <w:p>
      <w:pPr>
        <w:spacing w:after="0" w:line="16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$461 million for the three months ended March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$37 million or 7.5% compared to the same period in 2023. The decrease in “Cost of services” compared to the same period in 2023 was primarily attributable to a lower average Wireless subscriber base and lower network services costs per subscriber, partially offset by higher monthly dealer incentive costs. In the third quarter of 2023, we realigned our commission structure with current business objectives to acquire higher quality, long-term subscribers, which resulted in higher monthly dealer incentive costs. The three months ended March 31, 2023 was negatively impacted by the migration of subscribers off the TSA with T-Mobile and onto our new billing and operational support systems. We incurred duplicative costs related to our TSA with T-Mobile and our own billing and operational support systems as we migrated subscribers off the TSA with T-Mobile.</w:t>
      </w:r>
    </w:p>
    <w:p>
      <w:pPr>
        <w:spacing w:after="0" w:line="170" w:lineRule="exact"/>
        <w:rPr>
          <w:sz w:val="20"/>
          <w:szCs w:val="20"/>
          <w:color w:val="auto"/>
        </w:rPr>
      </w:pPr>
    </w:p>
    <w:p>
      <w:pPr>
        <w:ind w:left="60" w:right="299"/>
        <w:spacing w:after="0" w:line="259" w:lineRule="auto"/>
        <w:rPr>
          <w:sz w:val="20"/>
          <w:szCs w:val="20"/>
          <w:color w:val="auto"/>
        </w:rPr>
      </w:pPr>
      <w:r>
        <w:rPr>
          <w:rFonts w:ascii="Arial" w:cs="Arial" w:eastAsia="Arial" w:hAnsi="Arial"/>
          <w:sz w:val="17"/>
          <w:szCs w:val="17"/>
          <w:b w:val="1"/>
          <w:bCs w:val="1"/>
          <w:i w:val="1"/>
          <w:iCs w:val="1"/>
          <w:color w:val="auto"/>
        </w:rPr>
        <w:t xml:space="preserve">Cost of sales – equipment and other. </w:t>
      </w:r>
      <w:r>
        <w:rPr>
          <w:rFonts w:ascii="Arial" w:cs="Arial" w:eastAsia="Arial" w:hAnsi="Arial"/>
          <w:sz w:val="17"/>
          <w:szCs w:val="17"/>
          <w:color w:val="auto"/>
        </w:rPr>
        <w:t>“Cost of sales – equipment and other” totaled $290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months ended March 31, 2024, an increase of $26 million or 9.7% compared to the same period in 2023. The increase in “Cost of sales – equipment and other” compared to the same period in 2023 was primarily related to </w:t>
      </w:r>
      <w:r>
        <w:rPr>
          <w:rFonts w:ascii="Arial" w:cs="Arial" w:eastAsia="Arial" w:hAnsi="Arial"/>
          <w:sz w:val="17"/>
          <w:szCs w:val="17"/>
          <w:color w:val="222222"/>
        </w:rPr>
        <w:t>h</w:t>
      </w:r>
      <w:r>
        <w:rPr>
          <w:rFonts w:ascii="Arial" w:cs="Arial" w:eastAsia="Arial" w:hAnsi="Arial"/>
          <w:sz w:val="17"/>
          <w:szCs w:val="17"/>
          <w:color w:val="000000"/>
        </w:rPr>
        <w:t>igher costs per unit shipped due to unit mix,</w:t>
      </w:r>
      <w:r>
        <w:rPr>
          <w:rFonts w:ascii="Arial" w:cs="Arial" w:eastAsia="Arial" w:hAnsi="Arial"/>
          <w:sz w:val="17"/>
          <w:szCs w:val="17"/>
          <w:color w:val="222222"/>
        </w:rPr>
        <w:t xml:space="preserve"> partially offset by </w:t>
      </w:r>
      <w:r>
        <w:rPr>
          <w:rFonts w:ascii="Arial" w:cs="Arial" w:eastAsia="Arial" w:hAnsi="Arial"/>
          <w:sz w:val="17"/>
          <w:szCs w:val="17"/>
          <w:color w:val="000000"/>
        </w:rPr>
        <w:t>a decrease in units shipped and higher vendor</w:t>
      </w:r>
      <w:r>
        <w:rPr>
          <w:rFonts w:ascii="Arial" w:cs="Arial" w:eastAsia="Arial" w:hAnsi="Arial"/>
          <w:sz w:val="17"/>
          <w:szCs w:val="17"/>
          <w:color w:val="222222"/>
        </w:rPr>
        <w:t xml:space="preserve"> </w:t>
      </w:r>
      <w:r>
        <w:rPr>
          <w:rFonts w:ascii="Arial" w:cs="Arial" w:eastAsia="Arial" w:hAnsi="Arial"/>
          <w:sz w:val="17"/>
          <w:szCs w:val="17"/>
          <w:color w:val="000000"/>
        </w:rPr>
        <w:t>rebates</w:t>
      </w:r>
      <w:r>
        <w:rPr>
          <w:rFonts w:ascii="Arial" w:cs="Arial" w:eastAsia="Arial" w:hAnsi="Arial"/>
          <w:sz w:val="17"/>
          <w:szCs w:val="17"/>
          <w:color w:val="222222"/>
        </w:rPr>
        <w:t>.</w:t>
      </w:r>
      <w:r>
        <w:rPr>
          <w:rFonts w:ascii="Arial" w:cs="Arial" w:eastAsia="Arial" w:hAnsi="Arial"/>
          <w:sz w:val="17"/>
          <w:szCs w:val="17"/>
          <w:color w:val="000000"/>
        </w:rPr>
        <w:t xml:space="preserve"> During the three months ended March 31, 2024, we shipped a higher percentage of devices that are compatible with our 5G Network and other devices that have a higher cost per unit.</w:t>
      </w:r>
    </w:p>
    <w:p>
      <w:pPr>
        <w:spacing w:after="0" w:line="152" w:lineRule="exact"/>
        <w:rPr>
          <w:sz w:val="20"/>
          <w:szCs w:val="20"/>
          <w:color w:val="auto"/>
        </w:rPr>
      </w:pPr>
    </w:p>
    <w:p>
      <w:pPr>
        <w:ind w:left="60" w:right="159"/>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$173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2024, a $5 million or 3.0% decrease compared to the same period in 2023. This change was primarily driven by a decrease in costs to support the Retail Wireless segment and lower sales commissions, partially offset by higher marketing expenditures mainly related to the third quarter of 2023 nationwide expansion of our Boost Mobile postpaid wireless service and offering of the iPhone 15 on our 5G Network. The three months ended March 31, 2023 was negatively impacted by costs of migrating subscribers off the TSA with T-Mobile and onto our new billing and operational support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5G Network Deployment Segment</w:t>
      </w:r>
    </w:p>
    <w:p>
      <w:pPr>
        <w:spacing w:after="0" w:line="198"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$6 billion of capitalized interest related to the carrying value of such licenses. See Note 1, Note 2 and Note 9 in the Notes to our Condensed Consolidated Financial Statements for further information.</w:t>
      </w:r>
    </w:p>
    <w:p>
      <w:pPr>
        <w:spacing w:after="0" w:line="163"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our Wireless spectrum licenses, which may affect the carrying amount of these assets and our future financial condition or results of operations. See Note 9 in the Notes to our Condensed Consolidated Financial Statements for further information.</w:t>
      </w:r>
    </w:p>
    <w:p>
      <w:pPr>
        <w:spacing w:after="0" w:line="165" w:lineRule="exact"/>
        <w:rPr>
          <w:sz w:val="20"/>
          <w:szCs w:val="20"/>
          <w:color w:val="auto"/>
        </w:rPr>
      </w:pPr>
    </w:p>
    <w:p>
      <w:pPr>
        <w:ind w:left="60" w:right="199" w:hanging="7"/>
        <w:spacing w:after="0" w:line="254" w:lineRule="auto"/>
        <w:rPr>
          <w:sz w:val="20"/>
          <w:szCs w:val="20"/>
          <w:color w:val="auto"/>
        </w:rPr>
      </w:pPr>
      <w:r>
        <w:rPr>
          <w:rFonts w:ascii="Arial" w:cs="Arial" w:eastAsia="Arial" w:hAnsi="Arial"/>
          <w:sz w:val="17"/>
          <w:szCs w:val="17"/>
          <w:color w:val="auto"/>
        </w:rPr>
        <w:t>Our Wireless spectrum licenses are subject to certain interim and final build-out requirements, as well as certain renewal requirements. We plan to commercialize our Wireless spectrum licenses through our 5G Network Deployment. We have committed to deploy our 5G Network capable of serving increasingly larger portions of the U.S. population at different deadlines. On September 29, 2023, the FCC confirmed we have met all of our</w:t>
      </w:r>
    </w:p>
    <w:p>
      <w:pPr>
        <w:ind w:left="60" w:right="79"/>
        <w:spacing w:after="0" w:line="238" w:lineRule="auto"/>
        <w:rPr>
          <w:sz w:val="20"/>
          <w:szCs w:val="20"/>
          <w:color w:val="auto"/>
        </w:rPr>
      </w:pPr>
      <w:r>
        <w:rPr>
          <w:rFonts w:ascii="Arial" w:cs="Arial" w:eastAsia="Arial" w:hAnsi="Arial"/>
          <w:sz w:val="18"/>
          <w:szCs w:val="18"/>
          <w:color w:val="auto"/>
        </w:rPr>
        <w:t xml:space="preserve">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now have the largest commercial deployment of</w:t>
      </w:r>
      <w:r>
        <w:rPr>
          <w:rFonts w:ascii="Arial" w:cs="Arial" w:eastAsia="Arial" w:hAnsi="Arial"/>
          <w:sz w:val="18"/>
          <w:szCs w:val="18"/>
          <w:color w:val="auto"/>
        </w:rPr>
        <w:t xml:space="preserve"> </w:t>
      </w:r>
      <w:r>
        <w:rPr>
          <w:rFonts w:ascii="Arial" w:cs="Arial" w:eastAsia="Arial" w:hAnsi="Arial"/>
          <w:sz w:val="18"/>
          <w:szCs w:val="18"/>
          <w:color w:val="0A0A0A"/>
        </w:rPr>
        <w:t xml:space="preserve">5G VoNR in the world reaching approximately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reaching approximately 250 million Americans.</w:t>
      </w:r>
    </w:p>
    <w:p>
      <w:pPr>
        <w:spacing w:after="0" w:line="168"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9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–5G Network Deployment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ind w:left="120"/>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28,928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18,907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10,021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53.0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311,154</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184,997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(184,997)</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(19,264)</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237,186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97,627</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139,559</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598,962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352,510</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246,452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(570,034)</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(333,603)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(236,431)</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(332,848)</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(235,976)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(96,872)</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387,702</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671,647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(283,945)</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219" w:hanging="7"/>
        <w:spacing w:after="0" w:line="256" w:lineRule="auto"/>
        <w:rPr>
          <w:sz w:val="20"/>
          <w:szCs w:val="20"/>
          <w:color w:val="auto"/>
        </w:rPr>
      </w:pPr>
      <w:r>
        <w:rPr>
          <w:rFonts w:ascii="Arial" w:cs="Arial" w:eastAsia="Arial" w:hAnsi="Arial"/>
          <w:sz w:val="17"/>
          <w:szCs w:val="17"/>
          <w:b w:val="1"/>
          <w:bCs w:val="1"/>
          <w:i w:val="1"/>
          <w:iCs w:val="1"/>
          <w:color w:val="auto"/>
        </w:rPr>
        <w:t xml:space="preserve">Cost of services and Cost of sales – equipment and other. </w:t>
      </w:r>
      <w:r>
        <w:rPr>
          <w:rFonts w:ascii="Arial" w:cs="Arial" w:eastAsia="Arial" w:hAnsi="Arial"/>
          <w:sz w:val="17"/>
          <w:szCs w:val="17"/>
          <w:color w:val="auto"/>
        </w:rPr>
        <w:t>“Cost of services” and “Cost of sales –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totaled $311 million during the three months ended March 31, 2024, an increase of $126 million compared to the same period in 2023. Beginning on January 1, 2024, as we have commenced utilizing our 5G Network for commercial traffic, “Cost of services” includes certain direct costs related to our 5G Network Deployment, including lease expense on communication towers, transport, cloud services and other costs which were previously reported in “Cost of sales – equipment and other.” The increase primarily resulted from an increase in lease expense on communication towers, transport, cloud services and other costs related to our 5G Network. See Note 2 in the Notes to our Condensed Consolidated Financial Statements for further information.</w:t>
      </w:r>
    </w:p>
    <w:p>
      <w:pPr>
        <w:spacing w:after="0" w:line="154"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2024, a $19 million or 27.6% decrease compared to the same period in 2023. This change was primarily driven by a decrease in costs to support the 5G Network Deployment segment.</w:t>
      </w:r>
    </w:p>
    <w:p>
      <w:pPr>
        <w:spacing w:after="0" w:line="16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$237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a $140 million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Variance</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323,423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(297,444)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40,533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(27,880)</w:t>
            </w:r>
          </w:p>
        </w:tc>
        <w:tc>
          <w:tcPr>
            <w:tcW w:w="2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(170,635)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(7,772)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(162,863)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127,342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(30,521)</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157,863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(30,640)</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2,240</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(32,880)</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(4,661)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325,663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(330,324)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(5,570)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(82,425)</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76,855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(119.5)%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25.3 %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(10,231)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243,238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(253,469)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 noncontrolling</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interests, net of tax</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(16,885)</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182"/>
        </w:trPr>
        <w:tc>
          <w:tcPr>
            <w:tcW w:w="41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DISH Network</w:t>
            </w: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(13,879)</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222,705</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(236,584)</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Percentage is not meaningful.</w:t>
      </w:r>
    </w:p>
    <w:p>
      <w:pPr>
        <w:spacing w:after="0" w:line="203"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$13 million during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$28 million compared to the same period in 2023. This decrease primarily resulted from lower average cash and marketable investment securities balances and lower percentage returns earned on our cash and marketable investment securities during the three months ended March 31, 2024.</w:t>
      </w:r>
    </w:p>
    <w:p>
      <w:pPr>
        <w:spacing w:after="0" w:line="160" w:lineRule="exact"/>
        <w:rPr>
          <w:sz w:val="20"/>
          <w:szCs w:val="20"/>
          <w:color w:val="auto"/>
        </w:rPr>
      </w:pPr>
    </w:p>
    <w:p>
      <w:pPr>
        <w:ind w:left="60" w:right="119" w:hanging="7"/>
        <w:spacing w:after="0" w:line="255" w:lineRule="auto"/>
        <w:rPr>
          <w:sz w:val="20"/>
          <w:szCs w:val="20"/>
          <w:color w:val="auto"/>
        </w:rPr>
      </w:pPr>
      <w:r>
        <w:rPr>
          <w:rFonts w:ascii="Arial" w:cs="Arial" w:eastAsia="Arial" w:hAnsi="Arial"/>
          <w:sz w:val="17"/>
          <w:szCs w:val="17"/>
          <w:b w:val="1"/>
          <w:bCs w:val="1"/>
          <w:i w:val="1"/>
          <w:iCs w:val="1"/>
          <w:color w:val="auto"/>
        </w:rPr>
        <w:t xml:space="preserve">Interest expense, net of amounts capitalized. </w:t>
      </w:r>
      <w:r>
        <w:rPr>
          <w:rFonts w:ascii="Arial" w:cs="Arial" w:eastAsia="Arial" w:hAnsi="Arial"/>
          <w:sz w:val="17"/>
          <w:szCs w:val="17"/>
          <w:color w:val="auto"/>
        </w:rPr>
        <w:t>“Interest expense, net of amounts capitalized” totaled $171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during the three months ended March 31, 2024, an increase of $163 million compared to the same period in 2023. This increase primarily resulted from the reduction of capitalized interest related to the qualifying assets being placed into service and the Sale and Transfer of Assets to EchoStar, which included the Intercompany Loan 2026 Tranche, which was previously eliminated in consolidation and held by DISH DBS. During the three months ended March 31, 2024, as the qualifying assets, including certain bands of wireless spectrum licenses, have been placed into service with the deployment of our 5G Network, we no longer capitalize substantially all interest on those assets and as a result, capitalized interest was reduced. See Note 1, Note 2 and Note 8 in the Notes to our Condensed Consolidated Financial Statements for further information.</w:t>
      </w:r>
    </w:p>
    <w:p>
      <w:pPr>
        <w:spacing w:after="0" w:line="15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$127 million during the three months ended March 31, 2024,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$31 million during the same period in 2023. This change primarily resulted from the $128 million gain on a sale of a financial asset to EchoStar. In addition, this change resulted from the $29 million decrease in the fair value of our option to purchase certain of T-Mobile’s 800 MHz spectrum licenses during the three months ended March 31, 2023 compared to no change during the three months ended March 31, 2024. See Note 1 in the Notes to our Condensed Consolidated Financial Statements for further information.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provision was $6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compared to $82 million during the same period in 2023. This change was primarily related to a decrease in “Income (loss) before income taxes” and the change in the effective tax rate. Our effective tax rate during the three months ended March 31, 2024 was impacted by federal and state valuation allowances and the sale of a financial asset to EchoStar. See Note 1 in the Notes to our Condensed Consolidated Financial Statements for further information.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279"/>
        <w:spacing w:after="0" w:line="256" w:lineRule="auto"/>
        <w:rPr>
          <w:sz w:val="20"/>
          <w:szCs w:val="20"/>
          <w:color w:val="auto"/>
        </w:rPr>
      </w:pPr>
      <w:r>
        <w:rPr>
          <w:rFonts w:ascii="Arial" w:cs="Arial" w:eastAsia="Arial" w:hAnsi="Arial"/>
          <w:sz w:val="17"/>
          <w:szCs w:val="17"/>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EBITDA</w:t>
      </w:r>
    </w:p>
    <w:p>
      <w:pPr>
        <w:spacing w:after="0" w:line="19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Consolidated EBITDA is not a measure determined in accordance with GAAP and should not be considered a substitute for operating income, net income or any other measure determined in accordance with GAAP. Consolidated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176" w:lineRule="exact"/>
        <w:rPr>
          <w:sz w:val="20"/>
          <w:szCs w:val="20"/>
          <w:color w:val="auto"/>
        </w:rPr>
      </w:pPr>
    </w:p>
    <w:p>
      <w:pPr>
        <w:jc w:val="center"/>
        <w:ind w:left="544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550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2023</w:t>
            </w:r>
          </w:p>
        </w:tc>
        <w:tc>
          <w:tcPr>
            <w:tcW w:w="180" w:type="dxa"/>
            <w:vAlign w:val="bottom"/>
          </w:tcPr>
          <w:p>
            <w:pPr>
              <w:spacing w:after="0"/>
              <w:rPr>
                <w:sz w:val="17"/>
                <w:szCs w:val="17"/>
                <w:color w:val="auto"/>
              </w:rPr>
            </w:pPr>
          </w:p>
        </w:tc>
      </w:tr>
      <w:tr>
        <w:trPr>
          <w:trHeight w:val="169"/>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DISH Network</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(13,879)</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222,705</w:t>
            </w:r>
          </w:p>
        </w:tc>
        <w:tc>
          <w:tcPr>
            <w:tcW w:w="180" w:type="dxa"/>
            <w:vAlign w:val="bottom"/>
            <w:shd w:val="clear" w:color="auto" w:fill="CCEEFF"/>
          </w:tcPr>
          <w:p>
            <w:pPr>
              <w:spacing w:after="0"/>
              <w:rPr>
                <w:sz w:val="16"/>
                <w:szCs w:val="16"/>
                <w:color w:val="auto"/>
              </w:rPr>
            </w:pPr>
          </w:p>
        </w:tc>
      </w:tr>
      <w:tr>
        <w:trPr>
          <w:trHeight w:val="189"/>
        </w:trPr>
        <w:tc>
          <w:tcPr>
            <w:tcW w:w="5700" w:type="dxa"/>
            <w:vAlign w:val="bottom"/>
          </w:tcPr>
          <w:p>
            <w:pPr>
              <w:ind w:left="20"/>
              <w:spacing w:after="0"/>
              <w:rPr>
                <w:sz w:val="20"/>
                <w:szCs w:val="20"/>
                <w:color w:val="auto"/>
              </w:rPr>
            </w:pPr>
            <w:r>
              <w:rPr>
                <w:rFonts w:ascii="Arial" w:cs="Arial" w:eastAsia="Arial" w:hAnsi="Arial"/>
                <w:sz w:val="16"/>
                <w:szCs w:val="16"/>
                <w:color w:val="auto"/>
              </w:rPr>
              <w:t>Interest, net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157,982</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(32,761)</w:t>
            </w:r>
          </w:p>
        </w:tc>
      </w:tr>
      <w:tr>
        <w:trPr>
          <w:trHeight w:val="18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 net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82,425</w:t>
            </w:r>
          </w:p>
        </w:tc>
        <w:tc>
          <w:tcPr>
            <w:tcW w:w="180" w:type="dxa"/>
            <w:vAlign w:val="bottom"/>
            <w:shd w:val="clear" w:color="auto" w:fill="CCEEFF"/>
          </w:tcPr>
          <w:p>
            <w:pPr>
              <w:spacing w:after="0"/>
              <w:rPr>
                <w:sz w:val="16"/>
                <w:szCs w:val="16"/>
                <w:color w:val="auto"/>
              </w:rPr>
            </w:pPr>
          </w:p>
        </w:tc>
      </w:tr>
      <w:tr>
        <w:trPr>
          <w:trHeight w:val="18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367,074</w:t>
            </w:r>
          </w:p>
        </w:tc>
        <w:tc>
          <w:tcPr>
            <w:tcW w:w="3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245,697</w:t>
            </w:r>
          </w:p>
        </w:tc>
        <w:tc>
          <w:tcPr>
            <w:tcW w:w="180" w:type="dxa"/>
            <w:vAlign w:val="bottom"/>
            <w:tcBorders>
              <w:bottom w:val="single" w:sz="8" w:color="CCEEFF"/>
            </w:tcBorders>
          </w:tcPr>
          <w:p>
            <w:pPr>
              <w:spacing w:after="0"/>
              <w:rPr>
                <w:sz w:val="16"/>
                <w:szCs w:val="16"/>
                <w:color w:val="auto"/>
              </w:rPr>
            </w:pPr>
          </w:p>
        </w:tc>
      </w:tr>
      <w:tr>
        <w:trPr>
          <w:trHeight w:val="183"/>
        </w:trPr>
        <w:tc>
          <w:tcPr>
            <w:tcW w:w="57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Consolidated EBITDA</w:t>
            </w: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516,747</w:t>
            </w:r>
          </w:p>
        </w:tc>
        <w:tc>
          <w:tcPr>
            <w:tcW w:w="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518,066</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The changes in Consolidated EBITDA during the three months ended March 31, 2024, compared to the same period in 2023, were primarily a result of the factors described in connection with operating revenues and operating expenses, as well as the impact from changes in the fair value of our option to purchase certain of T - Mobile’s 800 MHz spectrum licenses during the three months ended March 31, 2023.</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right="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w:t>
      </w:r>
    </w:p>
    <w:p>
      <w:pPr>
        <w:spacing w:after="0" w:line="198" w:lineRule="exact"/>
        <w:rPr>
          <w:sz w:val="20"/>
          <w:szCs w:val="20"/>
          <w:color w:val="auto"/>
        </w:rPr>
      </w:pPr>
    </w:p>
    <w:p>
      <w:pPr>
        <w:ind w:left="60" w:right="199" w:hanging="12"/>
        <w:spacing w:after="0"/>
        <w:rPr>
          <w:sz w:val="20"/>
          <w:szCs w:val="20"/>
          <w:color w:val="auto"/>
        </w:rPr>
      </w:pPr>
      <w:r>
        <w:rPr>
          <w:rFonts w:ascii="Arial" w:cs="Arial" w:eastAsia="Arial" w:hAnsi="Arial"/>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10 to the Notes to our Condensed Consolidated Financial Statements for further information.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Retail</w:t>
            </w: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5G Network</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Three Months Ended March 31, 2024</w:t>
            </w:r>
          </w:p>
        </w:tc>
        <w:tc>
          <w:tcPr>
            <w:tcW w:w="18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Pay-TV</w:t>
            </w:r>
          </w:p>
        </w:tc>
        <w:tc>
          <w:tcPr>
            <w:tcW w:w="140" w:type="dxa"/>
            <w:vAlign w:val="bottom"/>
          </w:tcPr>
          <w:p>
            <w:pPr>
              <w:spacing w:after="0"/>
              <w:rPr>
                <w:sz w:val="17"/>
                <w:szCs w:val="17"/>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Wireless</w:t>
            </w:r>
          </w:p>
        </w:tc>
        <w:tc>
          <w:tcPr>
            <w:tcW w:w="1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Deployment</w:t>
            </w:r>
          </w:p>
        </w:tc>
        <w:tc>
          <w:tcPr>
            <w:tcW w:w="1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Eliminations</w:t>
            </w:r>
          </w:p>
        </w:tc>
        <w:tc>
          <w:tcPr>
            <w:tcW w:w="10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r>
      <w:tr>
        <w:trPr>
          <w:trHeight w:val="183"/>
        </w:trPr>
        <w:tc>
          <w:tcPr>
            <w:tcW w:w="3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w w:val="89"/>
              </w:rPr>
              <w:t>(In thousands)</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670,243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(74,417)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(570,034)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25,979</w:t>
            </w:r>
          </w:p>
        </w:tc>
        <w:tc>
          <w:tcPr>
            <w:tcW w:w="20" w:type="dxa"/>
            <w:vAlign w:val="bottom"/>
            <w:shd w:val="clear" w:color="auto" w:fill="CCEEFF"/>
          </w:tcPr>
          <w:p>
            <w:pPr>
              <w:spacing w:after="0"/>
              <w:rPr>
                <w:sz w:val="16"/>
                <w:szCs w:val="16"/>
                <w:color w:val="auto"/>
              </w:rPr>
            </w:pPr>
          </w:p>
        </w:tc>
      </w:tr>
      <w:tr>
        <w:trPr>
          <w:trHeight w:val="18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85,402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56,899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237,186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(12,413)</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367,074</w:t>
            </w:r>
          </w:p>
        </w:tc>
        <w:tc>
          <w:tcPr>
            <w:tcW w:w="20" w:type="dxa"/>
            <w:vAlign w:val="bottom"/>
          </w:tcPr>
          <w:p>
            <w:pPr>
              <w:spacing w:after="0"/>
              <w:rPr>
                <w:sz w:val="16"/>
                <w:szCs w:val="16"/>
                <w:color w:val="auto"/>
              </w:rPr>
            </w:pPr>
          </w:p>
        </w:tc>
      </w:tr>
      <w:tr>
        <w:trPr>
          <w:trHeight w:val="183"/>
        </w:trPr>
        <w:tc>
          <w:tcPr>
            <w:tcW w:w="352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755,645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(17,518)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(332,848)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(12,226)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393,053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March 31, 2023</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3"/>
        </w:trPr>
        <w:tc>
          <w:tcPr>
            <w:tcW w:w="3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675,233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(333,603)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323,423</w:t>
            </w:r>
          </w:p>
        </w:tc>
        <w:tc>
          <w:tcPr>
            <w:tcW w:w="20" w:type="dxa"/>
            <w:vAlign w:val="bottom"/>
            <w:shd w:val="clear" w:color="auto" w:fill="CCEEFF"/>
          </w:tcPr>
          <w:p>
            <w:pPr>
              <w:spacing w:after="0"/>
              <w:rPr>
                <w:sz w:val="16"/>
                <w:szCs w:val="16"/>
                <w:color w:val="auto"/>
              </w:rPr>
            </w:pPr>
          </w:p>
        </w:tc>
      </w:tr>
      <w:tr>
        <w:trPr>
          <w:trHeight w:val="18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102,575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52,845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97,627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(7,350)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245,697</w:t>
            </w:r>
          </w:p>
        </w:tc>
        <w:tc>
          <w:tcPr>
            <w:tcW w:w="20" w:type="dxa"/>
            <w:vAlign w:val="bottom"/>
          </w:tcPr>
          <w:p>
            <w:pPr>
              <w:spacing w:after="0"/>
              <w:rPr>
                <w:sz w:val="16"/>
                <w:szCs w:val="16"/>
                <w:color w:val="auto"/>
              </w:rPr>
            </w:pPr>
          </w:p>
        </w:tc>
      </w:tr>
      <w:tr>
        <w:trPr>
          <w:trHeight w:val="183"/>
        </w:trPr>
        <w:tc>
          <w:tcPr>
            <w:tcW w:w="352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777,808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34,638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(235,976)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(7,350)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569,120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ind w:left="60" w:right="379"/>
        <w:spacing w:after="0" w:line="301" w:lineRule="auto"/>
        <w:rPr>
          <w:sz w:val="20"/>
          <w:szCs w:val="20"/>
          <w:color w:val="auto"/>
        </w:rPr>
      </w:pPr>
      <w:r>
        <w:rPr>
          <w:rFonts w:ascii="Arial" w:cs="Arial" w:eastAsia="Arial" w:hAnsi="Arial"/>
          <w:sz w:val="17"/>
          <w:szCs w:val="17"/>
          <w:color w:val="auto"/>
        </w:rPr>
        <w:t>The changes in OIBDA during the three months ended March 31, 2024, compared to the same period in 2023, were primarily a result of the factors described in connection with operating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See Note 9 “</w:t>
      </w:r>
      <w:r>
        <w:rPr>
          <w:rFonts w:ascii="Arial" w:cs="Arial" w:eastAsia="Arial" w:hAnsi="Arial"/>
          <w:sz w:val="18"/>
          <w:szCs w:val="18"/>
          <w:i w:val="1"/>
          <w:iCs w:val="1"/>
          <w:color w:val="auto"/>
        </w:rPr>
        <w:t>Commitments and Contingencies – Litigation</w:t>
      </w:r>
      <w:r>
        <w:rPr>
          <w:rFonts w:ascii="Arial" w:cs="Arial" w:eastAsia="Arial" w:hAnsi="Arial"/>
          <w:sz w:val="18"/>
          <w:szCs w:val="18"/>
          <w:color w:val="auto"/>
        </w:rPr>
        <w:t>” in the Notes to our Condensed Consolidated Financial Statements for information regarding certain legal proceedings in which we are involved.</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Item 1A, “Risk Factors,” of our Annual Report on Form 10-K for the year ended December 31, 2023 includes a detailed discussion of our risk factors.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Exhibits.</w:t>
      </w:r>
    </w:p>
    <w:p>
      <w:pPr>
        <w:spacing w:after="0" w:line="37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31.1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Executive Officer.</w:t>
      </w:r>
    </w:p>
    <w:p>
      <w:pPr>
        <w:spacing w:after="0" w:line="21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31.2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Financial Officer.</w:t>
      </w:r>
    </w:p>
    <w:p>
      <w:pPr>
        <w:spacing w:after="0" w:line="21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32.1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Executive Officer.</w:t>
      </w:r>
    </w:p>
    <w:p>
      <w:pPr>
        <w:spacing w:after="0" w:line="21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32.2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Financial Officer.</w:t>
      </w:r>
    </w:p>
    <w:p>
      <w:pPr>
        <w:spacing w:after="0" w:line="212" w:lineRule="exact"/>
        <w:rPr>
          <w:sz w:val="20"/>
          <w:szCs w:val="20"/>
          <w:color w:val="auto"/>
        </w:rPr>
      </w:pPr>
    </w:p>
    <w:p>
      <w:pPr>
        <w:jc w:val="both"/>
        <w:ind w:left="1220" w:right="559" w:hanging="714"/>
        <w:spacing w:after="0" w:line="205" w:lineRule="exact"/>
        <w:tabs>
          <w:tab w:leader="none" w:pos="1200" w:val="left"/>
        </w:tabs>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The following materials from the Quarterly Report on Form 10-Q of DISH Network for the quarter ended March 31, 2024 filed on May 15, 2024,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p>
      <w:pPr>
        <w:spacing w:after="0" w:line="42" w:lineRule="exact"/>
        <w:rPr>
          <w:sz w:val="20"/>
          <w:szCs w:val="20"/>
          <w:color w:val="auto"/>
        </w:rPr>
      </w:pPr>
    </w:p>
    <w:p>
      <w:pPr>
        <w:jc w:val="both"/>
        <w:ind w:left="1220" w:right="559" w:hanging="714"/>
        <w:spacing w:after="0" w:line="214" w:lineRule="exact"/>
        <w:tabs>
          <w:tab w:leader="none" w:pos="1200" w:val="left"/>
        </w:tabs>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r>
        <w:rPr>
          <w:rFonts w:ascii="Arial" w:cs="Arial" w:eastAsia="Arial" w:hAnsi="Arial"/>
          <w:sz w:val="18"/>
          <w:szCs w:val="18"/>
          <w:color w:val="auto"/>
        </w:rPr>
        <w:tab/>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8" w:lineRule="exact"/>
        <w:rPr>
          <w:sz w:val="20"/>
          <w:szCs w:val="20"/>
          <w:color w:val="auto"/>
        </w:rPr>
      </w:pPr>
    </w:p>
    <w:p>
      <w:pPr>
        <w:ind w:left="600" w:hanging="550"/>
        <w:spacing w:after="0"/>
        <w:tabs>
          <w:tab w:leader="none" w:pos="60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600" w:hanging="550"/>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DISH NETWORK CORPORATION</w:t>
      </w:r>
    </w:p>
    <w:p>
      <w:pPr>
        <w:spacing w:after="0" w:line="19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Hamid Akhavan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1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(Duly Authorized Officer)</w:t>
      </w:r>
    </w:p>
    <w:p>
      <w:pPr>
        <w:spacing w:after="0" w:line="38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W. Orban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180" w:right="79"/>
        <w:spacing w:after="0" w:line="250" w:lineRule="auto"/>
        <w:rPr>
          <w:sz w:val="20"/>
          <w:szCs w:val="20"/>
          <w:color w:val="auto"/>
        </w:rPr>
      </w:pPr>
      <w:r>
        <w:rPr>
          <w:rFonts w:ascii="Arial" w:cs="Arial" w:eastAsia="Arial" w:hAnsi="Arial"/>
          <w:sz w:val="18"/>
          <w:szCs w:val="18"/>
          <w:color w:val="auto"/>
        </w:rPr>
        <w:t xml:space="preserve">Executive Vice President and Chief Financial Officer, DISH </w:t>
      </w:r>
      <w:r>
        <w:rPr>
          <w:rFonts w:ascii="Arial" w:cs="Arial" w:eastAsia="Arial" w:hAnsi="Arial"/>
          <w:sz w:val="18"/>
          <w:szCs w:val="18"/>
          <w:i w:val="1"/>
          <w:iCs w:val="1"/>
          <w:color w:val="auto"/>
        </w:rPr>
        <w:t>(Principal Financial Officer)</w:t>
      </w:r>
    </w:p>
    <w:p>
      <w:pPr>
        <w:spacing w:after="0" w:line="36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S. Allen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James S.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180"/>
        <w:spacing w:after="0" w:line="234" w:lineRule="auto"/>
        <w:rPr>
          <w:sz w:val="20"/>
          <w:szCs w:val="20"/>
          <w:color w:val="auto"/>
        </w:rPr>
      </w:pPr>
      <w:r>
        <w:rPr>
          <w:rFonts w:ascii="Arial" w:cs="Arial" w:eastAsia="Arial" w:hAnsi="Arial"/>
          <w:sz w:val="18"/>
          <w:szCs w:val="18"/>
          <w:color w:val="auto"/>
        </w:rPr>
        <w:t>Senior Vice President and Chief Accounting Officer</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(Principal Accounting Officer)</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Hamid Akhavan, certify that:</w:t>
      </w:r>
    </w:p>
    <w:p>
      <w:pPr>
        <w:spacing w:after="0" w:line="225" w:lineRule="exact"/>
        <w:rPr>
          <w:sz w:val="20"/>
          <w:szCs w:val="20"/>
          <w:color w:val="auto"/>
        </w:rPr>
      </w:pPr>
    </w:p>
    <w:p>
      <w:pPr>
        <w:ind w:left="360" w:hanging="316"/>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Network Corporation;</w:t>
      </w:r>
    </w:p>
    <w:p>
      <w:pPr>
        <w:spacing w:after="0" w:line="225" w:lineRule="exact"/>
        <w:rPr>
          <w:rFonts w:ascii="Arial" w:cs="Arial" w:eastAsia="Arial" w:hAnsi="Arial"/>
          <w:sz w:val="18"/>
          <w:szCs w:val="18"/>
          <w:color w:val="auto"/>
        </w:rPr>
      </w:pPr>
    </w:p>
    <w:p>
      <w:pPr>
        <w:jc w:val="both"/>
        <w:ind w:left="360" w:right="459" w:hanging="316"/>
        <w:spacing w:after="0" w:line="268"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60" w:right="379" w:hanging="316"/>
        <w:spacing w:after="0" w:line="261"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60" w:right="259" w:hanging="316"/>
        <w:spacing w:after="0" w:line="257"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700" w:right="139" w:hanging="332"/>
        <w:spacing w:after="0" w:line="262"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700" w:right="379" w:hanging="332"/>
        <w:spacing w:after="0" w:line="262"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700" w:right="139" w:hanging="332"/>
        <w:spacing w:after="0" w:line="268"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700" w:right="419" w:hanging="332"/>
        <w:spacing w:after="0" w:line="262"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360" w:right="539" w:hanging="316"/>
        <w:spacing w:after="0" w:line="268"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700" w:right="299" w:hanging="332"/>
        <w:spacing w:after="0" w:line="261"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15, 2024</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28289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492125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8"/>
          <w:szCs w:val="18"/>
          <w:color w:val="auto"/>
        </w:rPr>
        <w:t>I, Paul W. Orban, certify that:</w:t>
      </w:r>
    </w:p>
    <w:p>
      <w:pPr>
        <w:spacing w:after="0" w:line="225" w:lineRule="exact"/>
        <w:rPr>
          <w:sz w:val="20"/>
          <w:szCs w:val="20"/>
          <w:color w:val="auto"/>
        </w:rPr>
      </w:pPr>
    </w:p>
    <w:p>
      <w:pPr>
        <w:ind w:left="321" w:hanging="321"/>
        <w:spacing w:after="0"/>
        <w:tabs>
          <w:tab w:leader="none" w:pos="3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Network Corporation;</w:t>
      </w:r>
    </w:p>
    <w:p>
      <w:pPr>
        <w:spacing w:after="0" w:line="225" w:lineRule="exact"/>
        <w:rPr>
          <w:rFonts w:ascii="Arial" w:cs="Arial" w:eastAsia="Arial" w:hAnsi="Arial"/>
          <w:sz w:val="18"/>
          <w:szCs w:val="18"/>
          <w:color w:val="auto"/>
        </w:rPr>
      </w:pPr>
    </w:p>
    <w:p>
      <w:pPr>
        <w:ind w:left="321" w:right="180" w:hanging="321"/>
        <w:spacing w:after="0" w:line="268" w:lineRule="auto"/>
        <w:tabs>
          <w:tab w:leader="none" w:pos="3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321" w:right="200" w:hanging="321"/>
        <w:spacing w:after="0" w:line="261" w:lineRule="auto"/>
        <w:tabs>
          <w:tab w:leader="none" w:pos="3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21" w:right="140" w:hanging="321"/>
        <w:spacing w:after="0" w:line="283"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7"/>
          <w:szCs w:val="17"/>
          <w:color w:val="auto"/>
        </w:rPr>
      </w:pPr>
    </w:p>
    <w:p>
      <w:pPr>
        <w:ind w:left="641" w:right="20" w:hanging="317"/>
        <w:spacing w:after="0" w:line="262" w:lineRule="auto"/>
        <w:tabs>
          <w:tab w:leader="none" w:pos="64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641" w:right="100" w:hanging="317"/>
        <w:spacing w:after="0" w:line="262" w:lineRule="auto"/>
        <w:tabs>
          <w:tab w:leader="none" w:pos="64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41" w:right="240" w:hanging="317"/>
        <w:spacing w:after="0" w:line="268" w:lineRule="auto"/>
        <w:tabs>
          <w:tab w:leader="none" w:pos="64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641" w:right="40" w:hanging="317"/>
        <w:spacing w:after="0" w:line="262" w:lineRule="auto"/>
        <w:tabs>
          <w:tab w:leader="none" w:pos="64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321" w:right="160" w:hanging="321"/>
        <w:spacing w:after="0" w:line="268" w:lineRule="auto"/>
        <w:tabs>
          <w:tab w:leader="none" w:pos="3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1" w:right="180" w:hanging="317"/>
        <w:spacing w:after="0" w:line="261" w:lineRule="auto"/>
        <w:tabs>
          <w:tab w:leader="none" w:pos="64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641" w:right="280" w:hanging="317"/>
        <w:spacing w:after="0" w:line="271" w:lineRule="auto"/>
        <w:tabs>
          <w:tab w:leader="none" w:pos="64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May 15, 2024</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9400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0" w:lineRule="exact"/>
        <w:rPr>
          <w:sz w:val="20"/>
          <w:szCs w:val="20"/>
          <w:color w:val="auto"/>
        </w:rPr>
      </w:pPr>
    </w:p>
    <w:p>
      <w:pPr>
        <w:ind w:left="1"/>
        <w:spacing w:after="0"/>
        <w:rPr>
          <w:sz w:val="20"/>
          <w:szCs w:val="20"/>
          <w:color w:val="auto"/>
        </w:rPr>
      </w:pPr>
      <w:r>
        <w:rPr>
          <w:rFonts w:ascii="Arial" w:cs="Arial" w:eastAsia="Arial" w:hAnsi="Arial"/>
          <w:sz w:val="18"/>
          <w:szCs w:val="18"/>
          <w:color w:val="auto"/>
        </w:rPr>
        <w:t>Executive Vice President and Chief Financial Officer,</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auto"/>
        </w:rPr>
        <w:t>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486410</wp:posOffset>
            </wp:positionV>
            <wp:extent cx="588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87" w:name="page88"/>
    <w:bookmarkEnd w:id="8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207" w:lineRule="exact"/>
        <w:rPr>
          <w:sz w:val="20"/>
          <w:szCs w:val="20"/>
          <w:color w:val="auto"/>
        </w:rPr>
      </w:pPr>
    </w:p>
    <w:p>
      <w:pPr>
        <w:ind w:left="40" w:right="259"/>
        <w:spacing w:after="0" w:line="259" w:lineRule="auto"/>
        <w:rPr>
          <w:sz w:val="20"/>
          <w:szCs w:val="20"/>
          <w:color w:val="auto"/>
        </w:rPr>
      </w:pPr>
      <w:r>
        <w:rPr>
          <w:rFonts w:ascii="Arial" w:cs="Arial" w:eastAsia="Arial" w:hAnsi="Arial"/>
          <w:sz w:val="18"/>
          <w:szCs w:val="18"/>
          <w:color w:val="auto"/>
        </w:rPr>
        <w:t>Pursuant to 18 U.S.C. § 1350, the undersigned officer of DISH Network Corporation (the “Company”) hereby certifies that to the best of his knowledge the Company’s Quarterly Report on Form 10-Q for the three months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Dated: May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17780</wp:posOffset>
            </wp:positionV>
            <wp:extent cx="24517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17780</wp:posOffset>
            </wp:positionV>
            <wp:extent cx="24517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19"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225" w:lineRule="exact"/>
        <w:rPr>
          <w:sz w:val="20"/>
          <w:szCs w:val="20"/>
          <w:color w:val="auto"/>
        </w:rPr>
      </w:pPr>
    </w:p>
    <w:p>
      <w:pPr>
        <w:ind w:left="40" w:right="259"/>
        <w:spacing w:after="0" w:line="28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3"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94" w:lineRule="exact"/>
        <w:rPr>
          <w:sz w:val="20"/>
          <w:szCs w:val="20"/>
          <w:color w:val="auto"/>
        </w:rPr>
      </w:pPr>
    </w:p>
    <w:p>
      <w:pPr>
        <w:ind w:left="40" w:right="259"/>
        <w:spacing w:after="0" w:line="259" w:lineRule="auto"/>
        <w:rPr>
          <w:sz w:val="20"/>
          <w:szCs w:val="20"/>
          <w:color w:val="auto"/>
        </w:rPr>
      </w:pPr>
      <w:r>
        <w:rPr>
          <w:rFonts w:ascii="Arial" w:cs="Arial" w:eastAsia="Arial" w:hAnsi="Arial"/>
          <w:sz w:val="18"/>
          <w:szCs w:val="18"/>
          <w:color w:val="auto"/>
        </w:rPr>
        <w:t>Pursuant to 18 U.S.C. § 1350, the undersigned officer of DISH Network Corporation (the “Company”) hereby certifies that to the best of his knowledge the Company’s Quarterly Report on Form 10-Q for the three months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Dated: May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25800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25800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19" w:lineRule="exact"/>
        <w:rPr>
          <w:sz w:val="20"/>
          <w:szCs w:val="20"/>
          <w:color w:val="auto"/>
        </w:rPr>
      </w:pPr>
    </w:p>
    <w:p>
      <w:pPr>
        <w:ind w:left="430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 Financial</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Officer, 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6350</wp:posOffset>
            </wp:positionV>
            <wp:extent cx="25800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1" w:lineRule="exact"/>
        <w:rPr>
          <w:sz w:val="20"/>
          <w:szCs w:val="20"/>
          <w:color w:val="auto"/>
        </w:rPr>
      </w:pPr>
    </w:p>
    <w:p>
      <w:pPr>
        <w:ind w:left="40" w:right="259"/>
        <w:spacing w:after="0" w:line="28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3"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3"/>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4"/>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6"/>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7"/>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8"/>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9"/>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8"/>
    </w:lvl>
  </w:abstractNum>
  <w:abstractNum w:abstractNumId="32">
    <w:nsid w:val="5C482A97"/>
    <w:multiLevelType w:val="hybridMultilevel"/>
    <w:lvl w:ilvl="0">
      <w:lvlJc w:val="left"/>
      <w:lvlText w:val="%1."/>
      <w:numFmt w:val="decimal"/>
      <w:start w:val="10"/>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1"/>
    </w:lvl>
  </w:abstractNum>
  <w:abstractNum w:abstractNumId="35">
    <w:nsid w:val="51EAD36B"/>
    <w:multiLevelType w:val="hybridMultilevel"/>
    <w:lvl w:ilvl="0">
      <w:lvlJc w:val="left"/>
      <w:lvlText w:val="%1."/>
      <w:numFmt w:val="decimal"/>
      <w:start w:val="12"/>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2024-05-15T14:18:39Z</dcterms:created>
  <dcterms:modified xsi:type="dcterms:W3CDTF">2024-05-15T14:18:39Z</dcterms:modified>
</cp:coreProperties>
</file>