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380" w:right="26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333-31929</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DISH DBS Corporation</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5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1"/>
              </w:rPr>
              <w:t>Colorado</w:t>
            </w:r>
          </w:p>
        </w:tc>
        <w:tc>
          <w:tcPr>
            <w:tcW w:w="3840" w:type="dxa"/>
            <w:vAlign w:val="bottom"/>
          </w:tcPr>
          <w:p>
            <w:pPr>
              <w:jc w:val="right"/>
              <w:ind w:right="790"/>
              <w:spacing w:after="0"/>
              <w:rPr>
                <w:sz w:val="20"/>
                <w:szCs w:val="20"/>
                <w:color w:val="auto"/>
              </w:rPr>
            </w:pPr>
            <w:r>
              <w:rPr>
                <w:rFonts w:ascii="Arial" w:cs="Arial" w:eastAsia="Arial" w:hAnsi="Arial"/>
                <w:sz w:val="18"/>
                <w:szCs w:val="18"/>
                <w:b w:val="1"/>
                <w:bCs w:val="1"/>
                <w:color w:val="auto"/>
              </w:rPr>
              <w:t>84-1328967</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9601 South Meridian Boulevard</w:t>
            </w:r>
          </w:p>
        </w:tc>
        <w:tc>
          <w:tcPr>
            <w:tcW w:w="3840" w:type="dxa"/>
            <w:vAlign w:val="bottom"/>
          </w:tcPr>
          <w:p>
            <w:pPr>
              <w:spacing w:after="0"/>
              <w:rPr>
                <w:sz w:val="24"/>
                <w:szCs w:val="24"/>
                <w:color w:val="auto"/>
              </w:rPr>
            </w:pPr>
          </w:p>
        </w:tc>
      </w:tr>
      <w:tr>
        <w:trPr>
          <w:trHeight w:val="220"/>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Englewood, Colorado</w:t>
            </w:r>
          </w:p>
        </w:tc>
        <w:tc>
          <w:tcPr>
            <w:tcW w:w="3840" w:type="dxa"/>
            <w:vAlign w:val="bottom"/>
          </w:tcPr>
          <w:p>
            <w:pPr>
              <w:jc w:val="right"/>
              <w:ind w:right="1010"/>
              <w:spacing w:after="0"/>
              <w:rPr>
                <w:sz w:val="20"/>
                <w:szCs w:val="20"/>
                <w:color w:val="auto"/>
              </w:rPr>
            </w:pPr>
            <w:r>
              <w:rPr>
                <w:rFonts w:ascii="Arial" w:cs="Arial" w:eastAsia="Arial" w:hAnsi="Arial"/>
                <w:sz w:val="18"/>
                <w:szCs w:val="18"/>
                <w:b w:val="1"/>
                <w:bCs w:val="1"/>
                <w:color w:val="auto"/>
              </w:rPr>
              <w:t>80112</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3"/>
              </w:rPr>
              <w:t>(Zip code)</w:t>
            </w:r>
          </w:p>
        </w:tc>
      </w:tr>
    </w:tbl>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(303) 723-1000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0"/>
          <w:szCs w:val="20"/>
          <w:color w:val="auto"/>
        </w:rPr>
      </w:pPr>
    </w:p>
    <w:p>
      <w:pPr>
        <w:ind w:right="40"/>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o</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6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327" w:lineRule="exact"/>
        <w:rPr>
          <w:sz w:val="20"/>
          <w:szCs w:val="20"/>
          <w:color w:val="auto"/>
        </w:rPr>
      </w:pPr>
    </w:p>
    <w:p>
      <w:pPr>
        <w:sectPr>
          <w:pgSz w:w="11900" w:h="16838" w:orient="portrait"/>
          <w:cols w:equalWidth="0" w:num="4">
            <w:col w:w="1920" w:space="720"/>
            <w:col w:w="1420" w:space="660"/>
            <w:col w:w="3540" w:space="640"/>
            <w:col w:w="2380"/>
          </w:cols>
          <w:pgMar w:left="240" w:top="122" w:right="379" w:bottom="1440" w:gutter="0" w:footer="0" w:header="0"/>
          <w:type w:val="continuous"/>
        </w:sectPr>
      </w:pPr>
    </w:p>
    <w:p>
      <w:pPr>
        <w:ind w:right="1700"/>
        <w:spacing w:after="0" w:line="293" w:lineRule="exact"/>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Exchange Act). Yes </w:t>
      </w:r>
      <w:r>
        <w:rPr>
          <w:rFonts w:ascii="Arial" w:cs="Arial" w:eastAsia="Arial" w:hAnsi="Arial"/>
          <w:sz w:val="16"/>
          <w:szCs w:val="16"/>
          <w:color w:val="auto"/>
        </w:rPr>
        <w:t>o</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As of May 1, 2009, the registrant’s outstanding common stock consisted of 1,015 shares of common stock, $0.01 par value.</w:t>
      </w:r>
    </w:p>
    <w:p>
      <w:pPr>
        <w:spacing w:after="0" w:line="9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2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39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00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37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Disclosure Regarding Forward-Looking Statements</w:t>
              </w:r>
            </w:hyperlink>
          </w:p>
        </w:tc>
        <w:tc>
          <w:tcPr>
            <w:tcW w:w="656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12"/>
        </w:trPr>
        <w:tc>
          <w:tcPr>
            <w:tcW w:w="103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 Financial Statements</w:t>
              </w:r>
            </w:hyperlink>
          </w:p>
        </w:tc>
        <w:tc>
          <w:tcPr>
            <w:tcW w:w="102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Balance Sheets – March 31, 2009 and December 31, 2008 (Unaudited)</w:t>
              </w:r>
            </w:hyperlink>
          </w:p>
        </w:tc>
        <w:tc>
          <w:tcPr>
            <w:tcW w:w="31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2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Operations and Comprehensive Income (Loss) For the Three Months Ended March 31, 2009</w:t>
              </w:r>
            </w:hyperlink>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and 2008 (Unaudited)</w:t>
              </w:r>
            </w:hyperlink>
          </w:p>
        </w:tc>
        <w:tc>
          <w:tcPr>
            <w:tcW w:w="82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2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Three Months Ended March 31, 2009 and 2008 (Unaudited)</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2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(Unaudited)</w:t>
              </w:r>
            </w:hyperlink>
          </w:p>
        </w:tc>
        <w:tc>
          <w:tcPr>
            <w:tcW w:w="3740" w:type="dxa"/>
            <w:vAlign w:val="bottom"/>
            <w:tcBorders>
              <w:top w:val="single" w:sz="8" w:color="0000EE"/>
            </w:tcBorders>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030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Narrative Analysis of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10300" w:type="dxa"/>
            <w:vAlign w:val="bottom"/>
            <w:gridSpan w:val="19"/>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3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 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20" w:type="dxa"/>
            <w:vAlign w:val="bottom"/>
            <w:gridSpan w:val="8"/>
          </w:tcPr>
          <w:p>
            <w:pPr>
              <w:jc w:val="center"/>
              <w:ind w:right="316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2380" w:type="dxa"/>
            <w:vAlign w:val="bottom"/>
            <w:gridSpan w:val="5"/>
          </w:tcPr>
          <w:p>
            <w:pPr>
              <w:spacing w:after="0"/>
              <w:rPr>
                <w:sz w:val="24"/>
                <w:szCs w:val="24"/>
                <w:color w:val="auto"/>
              </w:rPr>
            </w:pPr>
          </w:p>
        </w:tc>
        <w:tc>
          <w:tcPr>
            <w:tcW w:w="2860" w:type="dxa"/>
            <w:vAlign w:val="bottom"/>
            <w:tcBorders>
              <w:top w:val="single" w:sz="8" w:color="0000EE"/>
            </w:tcBorders>
            <w:gridSpan w:val="3"/>
          </w:tcPr>
          <w:p>
            <w:pPr>
              <w:spacing w:after="0"/>
              <w:rPr>
                <w:sz w:val="24"/>
                <w:szCs w:val="24"/>
                <w:color w:val="auto"/>
              </w:rPr>
            </w:pPr>
          </w:p>
        </w:tc>
        <w:tc>
          <w:tcPr>
            <w:tcW w:w="316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1A. Risk Factors</w:t>
              </w:r>
            </w:hyperlink>
          </w:p>
        </w:tc>
        <w:tc>
          <w:tcPr>
            <w:tcW w:w="870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3"/>
        </w:trPr>
        <w:tc>
          <w:tcPr>
            <w:tcW w:w="10300" w:type="dxa"/>
            <w:vAlign w:val="bottom"/>
            <w:gridSpan w:val="19"/>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300" w:type="dxa"/>
            <w:vAlign w:val="bottom"/>
            <w:gridSpan w:val="19"/>
          </w:tcPr>
          <w:p>
            <w:pPr>
              <w:spacing w:after="0"/>
              <w:rPr>
                <w:sz w:val="20"/>
                <w:szCs w:val="20"/>
                <w:color w:val="auto"/>
              </w:rPr>
            </w:pPr>
            <w:r>
              <w:rPr>
                <w:rFonts w:ascii="Arial" w:cs="Arial" w:eastAsia="Arial" w:hAnsi="Arial"/>
                <w:sz w:val="18"/>
                <w:szCs w:val="18"/>
                <w:color w:val="auto"/>
              </w:rPr>
              <w:t>Item 3. Defaults Upon Senior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300" w:type="dxa"/>
            <w:vAlign w:val="bottom"/>
            <w:gridSpan w:val="19"/>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300" w:type="dxa"/>
            <w:vAlign w:val="bottom"/>
            <w:gridSpan w:val="19"/>
          </w:tcPr>
          <w:p>
            <w:pPr>
              <w:spacing w:after="0"/>
              <w:rPr>
                <w:sz w:val="20"/>
                <w:szCs w:val="20"/>
                <w:color w:val="auto"/>
              </w:rPr>
            </w:pPr>
            <w:r>
              <w:rPr>
                <w:rFonts w:ascii="Arial" w:cs="Arial" w:eastAsia="Arial" w:hAnsi="Arial"/>
                <w:sz w:val="18"/>
                <w:szCs w:val="18"/>
                <w:color w:val="auto"/>
              </w:rPr>
              <w:t>Item 5. Other Information</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None</w:t>
            </w:r>
          </w:p>
        </w:tc>
      </w:tr>
      <w:tr>
        <w:trPr>
          <w:trHeight w:val="392"/>
        </w:trPr>
        <w:tc>
          <w:tcPr>
            <w:tcW w:w="10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914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item has been omitted pursuant to the reduced disclosure format as set forth in General Instruction (H) (2)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make “forward-looking statements” within the meaning of the Private Securities Litigation Reform Act of 1995 throughout this report. Whenever you read a statement that is not simply a statement of historical fact (such as when we describe what we “believe,” “intend,” “plan,” “estimate,” “expect” or “anticipate” will occur, and other similar statements), you must remember that our expectations may not be achieved, even though we believe they are reasonable. We do not guarantee that any future transactions or events described herein will happen as described or that they will happen at all. You should read this report completely and with the understanding that actual future results may be materially different from what we expect. Whether actual events or results will conform with our expectations and predictions is subject to a number of risks and uncertainties. The risks and uncertainties include, but are not limited to, the following:</w:t>
      </w:r>
    </w:p>
    <w:p>
      <w:pPr>
        <w:spacing w:after="0" w:line="81" w:lineRule="exact"/>
        <w:rPr>
          <w:sz w:val="20"/>
          <w:szCs w:val="20"/>
          <w:color w:val="auto"/>
        </w:rPr>
      </w:pPr>
    </w:p>
    <w:p>
      <w:pPr>
        <w:ind w:left="660" w:right="4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Weakening economic conditions, including the recent downturn in financial markets and reduced consumer spending, may adversely affect our ability to grow or maintain our business.</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If we do not improve our operational performance and customer satisfaction, our gross subscriber additions may decrease and our subscriber churn may increase.</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If declines in DISH Network gross subscriber additions, increases in subscriber churn and higher subscriber acquisition and retention costs continue, our financial performance will be further adversely affected.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face intense and increasing competition from satellite television providers, cable television providers, telecommunications companies, and companies that provide/facilitate the delivery of video content via the internet.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We may be required to make substantial additional investments in order to maintain competitive high definition, or HD, programming offerings.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Technology in our industry changes rapidly and could cause our services and products to become obsolete.</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need additional capital, which may not be available on acceptable terms or at all, in order to continue investing in our business and to finance acquisitions and other strategic transactions.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termination of our distribution agreement with AT&amp;T Inc., or AT&amp;T, may reduce subscriber additions and increase churn if we are not able to develop alternative distribution channels.</w:t>
      </w:r>
    </w:p>
    <w:p>
      <w:pPr>
        <w:spacing w:after="0" w:line="75"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technology changes, and in order to remain competitive, we may have to upgrade or replace subscriber equipment and make substantial investments in our infrastructure.</w:t>
      </w:r>
    </w:p>
    <w:p>
      <w:pPr>
        <w:spacing w:after="0" w:line="75" w:lineRule="exact"/>
        <w:rPr>
          <w:rFonts w:ascii="Arial" w:cs="Arial" w:eastAsia="Arial" w:hAnsi="Arial"/>
          <w:sz w:val="18"/>
          <w:szCs w:val="18"/>
          <w:b w:val="1"/>
          <w:bCs w:val="1"/>
          <w:color w:val="auto"/>
        </w:rPr>
      </w:pPr>
    </w:p>
    <w:p>
      <w:pPr>
        <w:ind w:left="660" w:right="100" w:hanging="436"/>
        <w:spacing w:after="0" w:line="28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We rely on EchoStar Corporation, or EchoStar, to design and develop all of our new set-top boxes and certain related components, and to provide transponder capacity, digital broadcast operations and other services for us. Our business would be adversely affected if EchoStar ceases to provide these services to us and we are unable to obtain suitable replacement services from third parties.</w:t>
      </w:r>
    </w:p>
    <w:p>
      <w:pPr>
        <w:spacing w:after="0" w:line="70" w:lineRule="exact"/>
        <w:rPr>
          <w:rFonts w:ascii="Arial" w:cs="Arial" w:eastAsia="Arial" w:hAnsi="Arial"/>
          <w:sz w:val="17"/>
          <w:szCs w:val="17"/>
          <w:b w:val="1"/>
          <w:bCs w:val="1"/>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rely on one or a limited number of vendors, and the inability of these key vendors to meet our needs could have a material adverse effect on our business.</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programming signals are subject to theft, and we are vulnerable to other forms of fraud that could require us to make significant expenditures to remedy.</w:t>
      </w:r>
    </w:p>
    <w:p>
      <w:pPr>
        <w:spacing w:after="0" w:line="75" w:lineRule="exact"/>
        <w:rPr>
          <w:rFonts w:ascii="Arial" w:cs="Arial" w:eastAsia="Arial" w:hAnsi="Arial"/>
          <w:sz w:val="18"/>
          <w:szCs w:val="18"/>
          <w:b w:val="1"/>
          <w:bCs w:val="1"/>
          <w:color w:val="auto"/>
        </w:rPr>
      </w:pPr>
    </w:p>
    <w:p>
      <w:pPr>
        <w:ind w:left="660" w:right="7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depend on third parties to solicit orders for DISH Network services that represent a significant percentage of our total gross subscriber acquisitions.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depend on others to provide the programming that we offer to our subscribers and, if we lose access to this programming, our subscriber losses and subscriber churn may increase.</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competitors may be able to leverage their relationships with programmers so that they are able to reduce their programming costs and offer exclusive content that will place them at a competitive advantage to us.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depend on the Cable Act for access to programming from cable-affiliate programmers at cost-effective rates.</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face increasing competition from other distributors of foreign language programming that may limit our ability to maintain our foreign language programming subscriber base.</w:t>
      </w:r>
    </w:p>
    <w:p>
      <w:pPr>
        <w:spacing w:after="0" w:line="75"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local programming strategy faces uncertainty because we may not be able to obtain necessary retransmission consents from local network stations.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We are subject to significant regulatory oversight and changes in applicable regulatory requirements could adversely affect our business.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have substantial debt outstanding and may incur additional debt that could have an effect on our future earnings.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If we are unsuccessful in defending Tivo’s litigation against us, we could be prohibited from offering digital video recorder, or DVR, technology that would in turn put us at a significant disadvantage to our competitors.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have limited owned and leased satellite capacity and satellite failures could adversely affect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owned and leased satellites are subject to risks related to launch that could limit our ability to utilize these satellites.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Our owned and leased satellites are subject to significant operational and atmospheric risks that could limit our ability to utilize these satellites.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owned and leased satellites have minimum design lives of 12 years, but could fail or suffer reduced capacity before then.</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currently have no commercial insurance coverage on the satellites we own and could face significant impairment charges if one of our satellites fails.</w:t>
      </w:r>
    </w:p>
    <w:p>
      <w:pPr>
        <w:spacing w:after="0" w:line="75"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have potential conflicts of interest with EchoStar due to common ownership and management with our parent company DISH Network Corporation (“DISH”).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rely on key personnel and the loss of their services may negatively affect our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parent, DISH, is controlled by one principal stockholder who is also our Chairman, President and Chief Executive Officer.</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are party to various lawsuits which, if adversely decided, could have a significant adverse impact on our business, particularly lawsuits regarding intellectual property.</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pursue acquisitions and other strategic transactions to complement or expand our business that may not be successful and with respect to which we may lose the entire value of our investment.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business depends substantially on Federal Communications Commission, or FCC, licenses that can expire or be revoked or modified and applications for FCC licenses that may not be granted.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are subject to digital HD “carry-one-carry-all” requirements that cause capacity constraints.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cannot assure you that there will not be deficiencies leading to material weaknesses in our internal control over financial reporting.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We may face other risks described from time to time in periodic and current reports we file with the Securities and Exchange Commission, or SEC.</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described herein and should not place undue reliance on any forward-looking statements. We assume no responsibility for updating forward-looking information contained or incorporated by reference herein or in other reports we file with the SEC.</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this report, the words “DDBS,” the “Company,” “we,” “our” and “us” refer to DISH DBS Corporation and its subsidiaries, unless the context otherwise requires. “DISH” refers to DISH Network Corporation, our ultimate parent company, and its subsidiaries including us. “EchoStar” refers to EchoStar Corporation and its subsidiaries.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w w:val="97"/>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Marketable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746,002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Trade accounts receivable — other, net of allowance for doubtful accounts of $12,813 and $15,207,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775,840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Trade accounts receivable — EchoStar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23,508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97,215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Other current assets — EchoStar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2,344,149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1,883,686</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Noncurrent Assets: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marketable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 of $2,488,029 and $2,432,707,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2,564,933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2,430,717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FCC authorizations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Other noncurrent assets,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3,401,931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3,272,295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5,746,080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5,155,981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 — other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Trade accounts payable — EchoStar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315,992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Accrued programming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1,032,814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511,178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 mortgages and other notes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2,929,254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2,932,324</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Long-term obligations, net of current portion:</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 3/8% Senior Notes due 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6 5/8% Senior Notes due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 1/8% Senior Notes due 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7% Senior Notes due 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 3/4% Senior Notes due 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Capital lease obligations, mortgages and other notes payable,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334,977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Long-term deferred revenue, distribution and carriage payments and other long-term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5,719,595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5,433,334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8,648,849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8,365,658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 (Deficit):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 .01 par value, 1,000,000 shares authorized, 1,015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1,145,738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1,142,529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(4,039,769)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(4,343,414)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(2,902,769)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(3,209,677)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5,746,080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5,155,981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419" w:right="239" w:bottom="46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62"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For the Three Months</w:t>
      </w:r>
    </w:p>
    <w:p>
      <w:pPr>
        <w:jc w:val="center"/>
        <w:ind w:left="88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Subscriber-related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2,864,939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2,810,426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and other revenue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Equipment sales — EchoStar</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Transitional services and other revenue — EchoStar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2,905,320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2,844,393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Subscriber-related expenses (exclusive of depreciation shown below — Note 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1,550,078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Satellite and transmission expenses (exclusive of depreciation shown below — Note 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EchoStar</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80,757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Equipment, transitional services and other cost of sales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40,499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Subscriber acquisition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w w:val="98"/>
              </w:rPr>
              <w:t>Cost of sales — subscriber promotion subsidies — EchoStar (exclusive of depreciation shown below — Note 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24,136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subscriber promotion subsidies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Subscriber acquisition advertising</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subscriber acquisition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292,203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General and administrative expenses — EchoStar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11,142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125,554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Depreciation and amortization (Note 9)</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223,288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2,330,542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2,338,422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574,778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505,971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2,988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(87,107)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(87,715)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(77,307)</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487,063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net</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(183,418)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(165,684)</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303,645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Unrealized holding gains (losses) on available-for-sale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303,699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303,645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(loss) to net 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223,288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losses (earnings) of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Non-cash,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26,470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Amortization of debt discount and 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Change in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1,682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long-term deferred revenue, distribution and carriage payments and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Changes in current assets and current liabilities,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173,609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738,596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593,232</w:t>
            </w:r>
          </w:p>
        </w:tc>
        <w:tc>
          <w:tcPr>
            <w:tcW w:w="0" w:type="dxa"/>
            <w:vAlign w:val="bottom"/>
          </w:tcPr>
          <w:p>
            <w:pPr>
              <w:spacing w:after="0"/>
              <w:rPr>
                <w:sz w:val="1"/>
                <w:szCs w:val="1"/>
                <w:color w:val="auto"/>
              </w:rPr>
            </w:pPr>
          </w:p>
        </w:tc>
      </w:tr>
      <w:tr>
        <w:trPr>
          <w:trHeight w:val="439"/>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0"/>
              </w:rPr>
              <w:t>(614,490)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Sales and maturities of marketable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251,631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0"/>
              </w:rPr>
              <w:t>(242,652)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Change in restricted cash and marketable investment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0"/>
              </w:rPr>
              <w:t>(605,246)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(313,113)</w:t>
            </w:r>
          </w:p>
        </w:tc>
        <w:tc>
          <w:tcPr>
            <w:tcW w:w="0" w:type="dxa"/>
            <w:vAlign w:val="bottom"/>
          </w:tcPr>
          <w:p>
            <w:pPr>
              <w:spacing w:after="0"/>
              <w:rPr>
                <w:sz w:val="1"/>
                <w:szCs w:val="1"/>
                <w:color w:val="auto"/>
              </w:rPr>
            </w:pPr>
          </w:p>
        </w:tc>
      </w:tr>
      <w:tr>
        <w:trPr>
          <w:trHeight w:val="439"/>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cash and cash equivalents to EchoStar in connection with the Spin-off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Repayment of capital lease obligations, mortgages and other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(29,701)</w:t>
            </w:r>
          </w:p>
        </w:tc>
        <w:tc>
          <w:tcPr>
            <w:tcW w:w="0" w:type="dxa"/>
            <w:vAlign w:val="bottom"/>
          </w:tcPr>
          <w:p>
            <w:pPr>
              <w:spacing w:after="0"/>
              <w:rPr>
                <w:sz w:val="1"/>
                <w:szCs w:val="1"/>
                <w:color w:val="auto"/>
              </w:rPr>
            </w:pPr>
          </w:p>
        </w:tc>
      </w:tr>
      <w:tr>
        <w:trPr>
          <w:trHeight w:val="439"/>
        </w:trPr>
        <w:tc>
          <w:tcPr>
            <w:tcW w:w="90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128,258</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98,001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482,251</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226,259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58,250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Cash received for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 to DISH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144,499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Satellites and other assets financed under capital lease obligations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130,714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Net assets distributed in connection with the Spin-off, excluding cash and cash equivalents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1,005,553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DISH DBS Corporation (which together with its subsidiaries is referred to as “DDBS,” the “Company,” “we,” “us” and/or “our”) is a holding company and an indirect, wholly-owned subsidiary of DISH Network Corporation or DISH, a publicly traded company listed on the Nasdaq Global Select Market. In this report, “DISH” refers to DISH Network Corporation, our ultimate parent company, and its subsidiaries including us. DDBS was formed under Colorado law in January 1996 and its common stock is held by EchoStar Orbital Corporation, a direct subsidiary of DISH. We operate the DISH Network</w:t>
      </w:r>
      <w:r>
        <w:rPr>
          <w:rFonts w:ascii="Arial" w:cs="Arial" w:eastAsia="Arial" w:hAnsi="Arial"/>
          <w:sz w:val="13"/>
          <w:szCs w:val="13"/>
          <w:color w:val="auto"/>
        </w:rPr>
        <w:t>®</w:t>
      </w:r>
      <w:r>
        <w:rPr>
          <w:rFonts w:ascii="Arial" w:cs="Arial" w:eastAsia="Arial" w:hAnsi="Arial"/>
          <w:sz w:val="16"/>
          <w:szCs w:val="16"/>
          <w:color w:val="auto"/>
        </w:rPr>
        <w:t xml:space="preserve"> direct broadcast satellite (“DBS”) subscription television service in the United States which had 13.584 million subscribers as of March 31, 2009. We have deployed substantial resources to develop the “DISH Network DBS System.” The DISH Network DBS System consists of our licensed Federal Communications Commission (“FCC”) authorized DBS and Fixed Satellite Service (“FSS”) spectrum, our owned and leased satellites, receiver systems, third-party broadcast operations, customer service facilities, in-home service and call center operations and certain other assets utilized in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of Technology and Certain Infrastructure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 2008, DISH completed a tax-free distribution of its technology and set-top box business and certain infrastructure assets (the “Spin-off”) into a separate publicly-traded company, EchoStar Corporation (“EchoStar”). DISH and EchoStar now operate separately, and neither entity has any ownership interest in the other. However, a substantial majority of the voting power of both companies is owned beneficially by Charles W. Ergen, our Chairman, President and Chief Executive Officer. The two entities consist of the following:</w:t>
      </w:r>
    </w:p>
    <w:p>
      <w:pPr>
        <w:spacing w:after="0" w:line="79" w:lineRule="exact"/>
        <w:rPr>
          <w:sz w:val="20"/>
          <w:szCs w:val="20"/>
          <w:color w:val="auto"/>
        </w:rPr>
      </w:pPr>
    </w:p>
    <w:p>
      <w:pPr>
        <w:ind w:left="660" w:hanging="436"/>
        <w:spacing w:after="0"/>
        <w:tabs>
          <w:tab w:leader="none" w:pos="660" w:val="left"/>
        </w:tabs>
        <w:numPr>
          <w:ilvl w:val="1"/>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DISH Network Corporation </w:t>
      </w:r>
      <w:r>
        <w:rPr>
          <w:rFonts w:ascii="Arial" w:cs="Arial" w:eastAsia="Arial" w:hAnsi="Arial"/>
          <w:sz w:val="18"/>
          <w:szCs w:val="18"/>
          <w:color w:val="auto"/>
        </w:rPr>
        <w:t>– which retained its subscription television business, the DISH Network</w:t>
      </w:r>
      <w:r>
        <w:rPr>
          <w:rFonts w:ascii="Arial" w:cs="Arial" w:eastAsia="Arial" w:hAnsi="Arial"/>
          <w:sz w:val="15"/>
          <w:szCs w:val="15"/>
          <w:color w:val="auto"/>
        </w:rPr>
        <w:t>®</w:t>
      </w:r>
      <w:r>
        <w:rPr>
          <w:rFonts w:ascii="Arial" w:cs="Arial" w:eastAsia="Arial" w:hAnsi="Arial"/>
          <w:sz w:val="18"/>
          <w:szCs w:val="18"/>
          <w:color w:val="auto"/>
        </w:rPr>
        <w:t>, and</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1"/>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EchoStar Corporation </w:t>
      </w:r>
      <w:r>
        <w:rPr>
          <w:rFonts w:ascii="Arial" w:cs="Arial" w:eastAsia="Arial" w:hAnsi="Arial"/>
          <w:sz w:val="18"/>
          <w:szCs w:val="18"/>
          <w:color w:val="auto"/>
        </w:rPr>
        <w:t>– which sells equipment, including set-top boxes and related components, to DISH Network and international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digital broadcast operations and satellite services to DISH Network and other customers.</w:t>
      </w:r>
    </w:p>
    <w:p>
      <w:pPr>
        <w:spacing w:after="0" w:line="166" w:lineRule="exact"/>
        <w:rPr>
          <w:rFonts w:ascii="Arial" w:cs="Arial" w:eastAsia="Arial" w:hAnsi="Arial"/>
          <w:sz w:val="18"/>
          <w:szCs w:val="18"/>
          <w:b w:val="1"/>
          <w:bCs w:val="1"/>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Operating results for the three months ended March 31, 2009 are not necessarily indicative of the results that may be expected for the year ending December 31, 2009. For further information, refer to the Consolidated Financial Statements and notes thereto included in our Amendment No. 1 to our Annual Report on Form 10-K for the year ended December 31, 2008. Certain prior period amounts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consolidate all majority owned subsidiaries and investments in entities in which we have controlling influence. Non-majority owned investments are accounted for using the equity method when we have the ability to significantly influence the operating decisions of the investee. When we do not have the ability to significantly influence the operating decisions of an investee, the cost method is used. For entities that are considered variable interest entities we apply the provisions of Financial Accounting Standards Board (“FASB”) Interpretation No. 46R,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“Consolidation of Variable Interest Entities – An Interpretation of ARB No. 51” (“FIN 46R”).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expenses for each reporting period. Estimates are used in accounting for, among other things, allowances for doubtful accounts, inventory allowances, self-insurance obligations, deferred taxes and related valuation allowances, uncertain tax positions, loss contingencies, fair value of financial instruments, fair value of options granted under our stock-based compensation plans, fair values of assets and liabilities acquired in business combinations, capital leases, asset impairments, useful lives of property, equipment and intangible assets, retailer incentives, programming expenses, subscriber lives and royalty obligations. Illiquid credit markets and general downward economic conditions have increased the inherent uncertainty in the estimates and assumptions indicated above. Actual results may differ from previously estimated amounts, and such differences may be material to the Condensed Consolidated Financial Statements. Estimates and assumptions are reviewed periodically, and the effects of revisions are reflected prospectively in the period they occur.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2009, the FASB issued FASB Staff Position No. 157-4 (“FSP 157-4”), which provides additional guidance on FASB Statement No. 157 (“SFAS 157”), Fair Value Measurements, when the volume and level of activity for the asset or liability has significantly decreased. FSP 157-4 will be effective for interim and annual reporting periods ending after June 15, 2009. We are currently evaluating the impact that adoption of FSP 157-4 will have on our financial position and our results of operations.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2009, the FASB issued FASB Staff Position No. 115-2 (“FSP 115-2”) and FASB Staff Position No. 124-2 (“FSP 124-2”), which amends prior other-than-temporary impairment guidance for debt and equity securities. FSP 115-2 and FSP 124-2 will be effective for interim and annual reporting periods ending after June 15, 2009. We are currently evaluating the impact that adoption of FSP 115-2 and FSP 124-2 will have on our financial position and our results of operations.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Investment Securities, Restricted Cash and Other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restricted cash and other investment securities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14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1160" w:type="dxa"/>
            <w:vAlign w:val="bottom"/>
            <w:gridSpan w:val="4"/>
          </w:tcPr>
          <w:p>
            <w:pPr>
              <w:jc w:val="right"/>
              <w:ind w:right="431"/>
              <w:spacing w:after="0" w:line="142" w:lineRule="exact"/>
              <w:rPr>
                <w:sz w:val="20"/>
                <w:szCs w:val="20"/>
                <w:color w:val="auto"/>
              </w:rPr>
            </w:pPr>
            <w:r>
              <w:rPr>
                <w:rFonts w:ascii="Arial" w:cs="Arial" w:eastAsia="Arial" w:hAnsi="Arial"/>
                <w:sz w:val="14"/>
                <w:szCs w:val="14"/>
                <w:color w:val="auto"/>
                <w:w w:val="89"/>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marketable investment securities — VRDNs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4"/>
              </w:rPr>
              <w:t>$ 592,722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Current marketable investment securities — other</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153,280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i w:val="1"/>
                <w:iCs w:val="1"/>
                <w:color w:val="auto"/>
              </w:rPr>
              <w:t>Total current marketable investment securities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746,002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383,089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Restricted marketable investment securities (1)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b w:val="1"/>
                <w:bCs w:val="1"/>
                <w:color w:val="auto"/>
              </w:rPr>
              <w:t>Total marketable investment securities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393,769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cash and cash equivalents: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Restricted cash and cash equivalents (1)</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restricted cash and cash equivalents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60,063</w:t>
            </w:r>
          </w:p>
        </w:tc>
        <w:tc>
          <w:tcPr>
            <w:tcW w:w="0" w:type="dxa"/>
            <w:vAlign w:val="bottom"/>
          </w:tcPr>
          <w:p>
            <w:pPr>
              <w:spacing w:after="0"/>
              <w:rPr>
                <w:sz w:val="1"/>
                <w:szCs w:val="1"/>
                <w:color w:val="auto"/>
              </w:rPr>
            </w:pPr>
          </w:p>
        </w:tc>
      </w:tr>
      <w:tr>
        <w:trPr>
          <w:trHeight w:val="439"/>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 securities:</w:t>
            </w: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securities — cost method</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Other investment securities — equity method</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other investment securities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marketable investment securities, restricted cash and other investment securities</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500" w:type="dxa"/>
            <w:vAlign w:val="bottom"/>
            <w:gridSpan w:val="2"/>
            <w:vMerge w:val="continue"/>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4"/>
              </w:rPr>
              <w:t>$ 841,625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480,479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and marketable investment securities” on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various debt and equity instruments, all of which are classified as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Marketable Investment Securities — VRDNs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Variable rate demand notes (“VRDNs”) are long-term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for VRDNs to be liquidated on a same day or on a five business day settlement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other current marketable investment securities portfolio includes investments in various debt instruments including corporate and government bonds.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Marketable Investment Securities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2009 and December 31, 2008, our restricted marketable investment securities, together with our restricted cash, included amounts required as collateral for our letters of credit.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 Securities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several investments in certain equity securities that are included in noncurrent “Other investment securities” on our Condensed Consolidated Balance Sheets accounted for using the cost or equity methods of accounting.</w:t>
      </w:r>
    </w:p>
    <w:p>
      <w:pPr>
        <w:spacing w:after="0" w:line="6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ability to realize value from our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Gains (Losses) on Marketable Investment Securities – Recorded on the Condensed Consolidated Balance Sheets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2009 and December 31, 2008, we had accumulated net unrealized losses of $9 million and $9 million, both net of related tax effect, respectively, as a part of “Accumulated other comprehensive income (loss)” within “Total stockholder’s equity (deficit).” A full valuation allowance has been established against the deferred tax assets associated with these unrealized capital losses. The components of our available-for-sale investments are detailed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March 31, 2009</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As of December 31, 2008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Marketable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Marketable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Investment</w:t>
            </w: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Investment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Securities</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7"/>
              </w:rPr>
              <w:t>Gains</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Securities</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1160" w:type="dxa"/>
            <w:vAlign w:val="bottom"/>
            <w:gridSpan w:val="3"/>
          </w:tcPr>
          <w:p>
            <w:pPr>
              <w:jc w:val="right"/>
              <w:ind w:right="468"/>
              <w:spacing w:after="0" w:line="142" w:lineRule="exact"/>
              <w:rPr>
                <w:sz w:val="20"/>
                <w:szCs w:val="20"/>
                <w:color w:val="auto"/>
              </w:rPr>
            </w:pPr>
            <w:r>
              <w:rPr>
                <w:rFonts w:ascii="Arial" w:cs="Arial" w:eastAsia="Arial" w:hAnsi="Arial"/>
                <w:sz w:val="14"/>
                <w:szCs w:val="14"/>
                <w:color w:val="auto"/>
                <w:w w:val="86"/>
              </w:rPr>
              <w:t>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securities: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VRDNs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$ 592,722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$ 205,513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(including restricted)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188,256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05"/>
        </w:trPr>
        <w:tc>
          <w:tcPr>
            <w:tcW w:w="2660" w:type="dxa"/>
            <w:vAlign w:val="bottom"/>
          </w:tcPr>
          <w:p>
            <w:pPr>
              <w:spacing w:after="0" w:line="205" w:lineRule="exact"/>
              <w:rPr>
                <w:sz w:val="20"/>
                <w:szCs w:val="20"/>
                <w:color w:val="auto"/>
              </w:rPr>
            </w:pPr>
            <w:r>
              <w:rPr>
                <w:rFonts w:ascii="Arial" w:cs="Arial" w:eastAsia="Arial" w:hAnsi="Arial"/>
                <w:sz w:val="18"/>
                <w:szCs w:val="18"/>
                <w:b w:val="1"/>
                <w:bCs w:val="1"/>
                <w:color w:val="auto"/>
              </w:rPr>
              <w:t>Total marketable investment</w:t>
            </w:r>
          </w:p>
        </w:tc>
        <w:tc>
          <w:tcPr>
            <w:tcW w:w="7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20"/>
              <w:spacing w:after="0"/>
              <w:rPr>
                <w:sz w:val="20"/>
                <w:szCs w:val="20"/>
                <w:color w:val="auto"/>
              </w:rPr>
            </w:pPr>
            <w:r>
              <w:rPr>
                <w:rFonts w:ascii="Arial" w:cs="Arial" w:eastAsia="Arial" w:hAnsi="Arial"/>
                <w:sz w:val="18"/>
                <w:szCs w:val="18"/>
                <w:b w:val="1"/>
                <w:bCs w:val="1"/>
                <w:color w:val="auto"/>
              </w:rPr>
              <w:t>securities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$ 756,692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(8,846)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8"/>
              <w:spacing w:after="0"/>
              <w:rPr>
                <w:sz w:val="20"/>
                <w:szCs w:val="20"/>
                <w:color w:val="auto"/>
              </w:rPr>
            </w:pPr>
            <w:r>
              <w:rPr>
                <w:rFonts w:ascii="Arial" w:cs="Arial" w:eastAsia="Arial" w:hAnsi="Arial"/>
                <w:sz w:val="18"/>
                <w:szCs w:val="18"/>
                <w:color w:val="auto"/>
              </w:rPr>
              <w:t>(8,738)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$ 393,769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79"/>
              </w:rPr>
              <w:t>60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(8,852)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March 31, 2009, restricted and non-restricted marketable investment securities include debt securities of $756 million with contractual maturities of one year or less and $1 million with contractual maturities greater than one year. Actual maturities may differ from contractual maturities as a result of our ability to sell these securities prior to maturity.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Investment Securities in a Loss Position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accordance with the guidance of FASB Staff Position No. 115-1 (“FSP 115-1”) “The Meaning of Other-Than-Temporary Impairment and Its Application to Certain Investments,” the following table reflects the length of time that the individual securities, accounted for as available-for-sale, have been in an unrealized loss position, aggregated by investment category. As of March 31, 2009, the unrealized losses on our investments in debt securities primarily represent investments in mortgage and asset-backed securities. We are not aware of any specific factors indicating that the underlying issuers of these investments would not be able to pay interest as it becomes due or repay the principal at maturity. Therefore, we believe that these changes in the estimated fair values of these marketable investment securities are related to temporary market fluctuations. In addition, we have the ability and intent to hold our investments in these debt securities until they recover or mature.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Primary</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As of March 31, 2009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Reason for</w:t>
            </w:r>
          </w:p>
        </w:tc>
        <w:tc>
          <w:tcPr>
            <w:tcW w:w="160" w:type="dxa"/>
            <w:vAlign w:val="bottom"/>
          </w:tcPr>
          <w:p>
            <w:pPr>
              <w:spacing w:after="0"/>
              <w:rPr>
                <w:sz w:val="12"/>
                <w:szCs w:val="12"/>
                <w:color w:val="auto"/>
              </w:rPr>
            </w:pPr>
          </w:p>
        </w:tc>
        <w:tc>
          <w:tcPr>
            <w:tcW w:w="10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4"/>
              </w:rPr>
              <w:t>Less than Six Months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Six to Nine Months</w:t>
            </w:r>
          </w:p>
        </w:tc>
        <w:tc>
          <w:tcPr>
            <w:tcW w:w="160" w:type="dxa"/>
            <w:vAlign w:val="bottom"/>
          </w:tcPr>
          <w:p>
            <w:pPr>
              <w:spacing w:after="0"/>
              <w:rPr>
                <w:sz w:val="12"/>
                <w:szCs w:val="12"/>
                <w:color w:val="auto"/>
              </w:rPr>
            </w:pPr>
          </w:p>
        </w:tc>
        <w:tc>
          <w:tcPr>
            <w:tcW w:w="1880" w:type="dxa"/>
            <w:vAlign w:val="bottom"/>
            <w:gridSpan w:val="5"/>
          </w:tcPr>
          <w:p>
            <w:pPr>
              <w:jc w:val="right"/>
              <w:ind w:right="257"/>
              <w:spacing w:after="0" w:line="142" w:lineRule="exact"/>
              <w:rPr>
                <w:sz w:val="20"/>
                <w:szCs w:val="20"/>
                <w:color w:val="auto"/>
              </w:rPr>
            </w:pPr>
            <w:r>
              <w:rPr>
                <w:rFonts w:ascii="Arial" w:cs="Arial" w:eastAsia="Arial" w:hAnsi="Arial"/>
                <w:sz w:val="14"/>
                <w:szCs w:val="14"/>
                <w:b w:val="1"/>
                <w:bCs w:val="1"/>
                <w:color w:val="auto"/>
              </w:rPr>
              <w:t>Nine Months or More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60" w:type="dxa"/>
            <w:vAlign w:val="bottom"/>
          </w:tcPr>
          <w:p>
            <w:pPr>
              <w:ind w:left="380"/>
              <w:spacing w:after="0" w:line="119" w:lineRule="exact"/>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0"/>
                <w:szCs w:val="10"/>
                <w:color w:val="auto"/>
              </w:rPr>
            </w:pPr>
          </w:p>
        </w:tc>
        <w:tc>
          <w:tcPr>
            <w:tcW w:w="2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0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Fair</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Category</w:t>
            </w:r>
          </w:p>
        </w:tc>
        <w:tc>
          <w:tcPr>
            <w:tcW w:w="14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Temporary market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21"/>
              <w:spacing w:after="0"/>
              <w:rPr>
                <w:sz w:val="20"/>
                <w:szCs w:val="20"/>
                <w:color w:val="auto"/>
              </w:rPr>
            </w:pPr>
            <w:r>
              <w:rPr>
                <w:rFonts w:ascii="Arial" w:cs="Arial" w:eastAsia="Arial" w:hAnsi="Arial"/>
                <w:sz w:val="14"/>
                <w:szCs w:val="14"/>
                <w:color w:val="auto"/>
              </w:rPr>
              <w:t>(In</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77"/>
              </w:rPr>
              <w:t>thousands)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0"/>
                <w:szCs w:val="20"/>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fluctuations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118,739</w:t>
            </w:r>
          </w:p>
        </w:tc>
        <w:tc>
          <w:tcPr>
            <w:tcW w:w="3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1,297</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117,442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118,739</w:t>
            </w:r>
          </w:p>
        </w:tc>
        <w:tc>
          <w:tcPr>
            <w:tcW w:w="3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1,297</w:t>
            </w:r>
          </w:p>
        </w:tc>
        <w:tc>
          <w:tcPr>
            <w:tcW w:w="380" w:type="dxa"/>
            <w:vAlign w:val="bottom"/>
            <w:vMerge w:val="continue"/>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117,442</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380"/>
              <w:spacing w:after="0"/>
              <w:rPr>
                <w:sz w:val="20"/>
                <w:szCs w:val="20"/>
                <w:color w:val="auto"/>
              </w:rPr>
            </w:pPr>
            <w:r>
              <w:rPr>
                <w:rFonts w:ascii="Arial" w:cs="Arial" w:eastAsia="Arial" w:hAnsi="Arial"/>
                <w:sz w:val="18"/>
                <w:szCs w:val="18"/>
                <w:color w:val="auto"/>
                <w:w w:val="77"/>
              </w:rPr>
              <w:t>(8,842)</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As of December 31, 2008</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18"/>
                <w:szCs w:val="18"/>
                <w:color w:val="auto"/>
              </w:rPr>
              <w:t>Temporary market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0"/>
                <w:szCs w:val="20"/>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fluctuations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144,798</w:t>
            </w:r>
          </w:p>
        </w:tc>
        <w:tc>
          <w:tcPr>
            <w:tcW w:w="3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6,529</w:t>
            </w:r>
          </w:p>
        </w:tc>
        <w:tc>
          <w:tcPr>
            <w:tcW w:w="5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138,269</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144,798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(19)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138,269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7"/>
              </w:rPr>
              <w:t>(8,833)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SFAS 157 “Fair Value Measurements” established a new framework for measuring fair value for all financial and non-financial instruments and expands related disclosures. Broadly, the SFAS 157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 SFAS 157 established market or observable inputs as the preferred source of values, followed by unobservable inputs or assumptions based on hypothetical transactions in the absence of market inputs.</w:t>
      </w:r>
    </w:p>
    <w:p>
      <w:pPr>
        <w:spacing w:after="0" w:line="8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1, defined as observable inputs being quoted prices in active markets for identical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2, defined as observable inputs including quoted prices for similar assets; and</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3, defined as unobservable inputs in which little or no market data exists, therefore requiring assumptions based on the best information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assets measured at fair value on a recurring basis were as follows:</w:t>
      </w:r>
    </w:p>
    <w:p>
      <w:pPr>
        <w:spacing w:after="0" w:line="217"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Total Fair Value as of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6350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tabs>
          <w:tab w:leader="none" w:pos="7740" w:val="left"/>
          <w:tab w:leader="none" w:pos="8700" w:val="left"/>
          <w:tab w:leader="none" w:pos="9720" w:val="left"/>
          <w:tab w:leader="none" w:pos="10740" w:val="left"/>
        </w:tabs>
        <w:rPr>
          <w:sz w:val="20"/>
          <w:szCs w:val="20"/>
          <w:color w:val="auto"/>
        </w:rPr>
      </w:pPr>
      <w:r>
        <w:rPr>
          <w:rFonts w:ascii="Arial" w:cs="Arial" w:eastAsia="Arial" w:hAnsi="Arial"/>
          <w:sz w:val="14"/>
          <w:szCs w:val="14"/>
          <w:b w:val="1"/>
          <w:bCs w:val="1"/>
          <w:color w:val="auto"/>
        </w:rPr>
        <w:t>Assets</w:t>
      </w:r>
      <w:r>
        <w:rPr>
          <w:sz w:val="20"/>
          <w:szCs w:val="20"/>
          <w:color w:val="auto"/>
        </w:rPr>
        <w:tab/>
      </w: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78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ind w:left="9020"/>
        <w:spacing w:after="0" w:line="235" w:lineRule="auto"/>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214"/>
        </w:trPr>
        <w:tc>
          <w:tcPr>
            <w:tcW w:w="4140" w:type="dxa"/>
            <w:vAlign w:val="bottom"/>
            <w:gridSpan w:val="2"/>
          </w:tcPr>
          <w:p>
            <w:pPr>
              <w:spacing w:after="0"/>
              <w:rPr>
                <w:sz w:val="20"/>
                <w:szCs w:val="20"/>
                <w:color w:val="auto"/>
              </w:rPr>
            </w:pPr>
            <w:r>
              <w:rPr>
                <w:rFonts w:ascii="Arial" w:cs="Arial" w:eastAsia="Arial" w:hAnsi="Arial"/>
                <w:sz w:val="18"/>
                <w:szCs w:val="18"/>
                <w:color w:val="auto"/>
              </w:rPr>
              <w:t>Marketable investment securities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$ 756,692</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$ 756,692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assets at fair value</w:t>
            </w:r>
          </w:p>
        </w:tc>
        <w:tc>
          <w:tcPr>
            <w:tcW w:w="3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$ 756,692</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$ 756,692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3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4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1160" w:type="dxa"/>
            <w:vAlign w:val="bottom"/>
            <w:gridSpan w:val="5"/>
          </w:tcPr>
          <w:p>
            <w:pPr>
              <w:jc w:val="right"/>
              <w:ind w:right="432"/>
              <w:spacing w:after="0" w:line="142" w:lineRule="exact"/>
              <w:rPr>
                <w:sz w:val="20"/>
                <w:szCs w:val="20"/>
                <w:color w:val="auto"/>
              </w:rPr>
            </w:pPr>
            <w:r>
              <w:rPr>
                <w:rFonts w:ascii="Arial" w:cs="Arial" w:eastAsia="Arial" w:hAnsi="Arial"/>
                <w:sz w:val="14"/>
                <w:szCs w:val="14"/>
                <w:color w:val="auto"/>
                <w:w w:val="8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 DBS</w:t>
            </w:r>
          </w:p>
        </w:tc>
        <w:tc>
          <w:tcPr>
            <w:tcW w:w="3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87"/>
              </w:rPr>
              <w:t>$ 249,272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Raw materials</w:t>
            </w:r>
          </w:p>
        </w:tc>
        <w:tc>
          <w:tcPr>
            <w:tcW w:w="3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88"/>
              <w:spacing w:after="0"/>
              <w:rPr>
                <w:sz w:val="20"/>
                <w:szCs w:val="20"/>
                <w:color w:val="auto"/>
              </w:rPr>
            </w:pPr>
            <w:r>
              <w:rPr>
                <w:rFonts w:ascii="Arial" w:cs="Arial" w:eastAsia="Arial" w:hAnsi="Arial"/>
                <w:sz w:val="18"/>
                <w:szCs w:val="18"/>
                <w:color w:val="auto"/>
              </w:rPr>
              <w:t>116,038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Work-in-process — used</w:t>
            </w:r>
          </w:p>
        </w:tc>
        <w:tc>
          <w:tcPr>
            <w:tcW w:w="3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74,539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Work-in-process — new</w:t>
            </w:r>
          </w:p>
        </w:tc>
        <w:tc>
          <w:tcPr>
            <w:tcW w:w="3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87"/>
              </w:rPr>
              <w:t>$ 442,401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448,773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Inventory allowance</w:t>
            </w:r>
          </w:p>
        </w:tc>
        <w:tc>
          <w:tcPr>
            <w:tcW w:w="3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(27,568)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$ 414,833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426,671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20" w:type="dxa"/>
            <w:vAlign w:val="bottom"/>
            <w:vMerge w:val="restart"/>
          </w:tcPr>
          <w:p>
            <w:pPr>
              <w:jc w:val="right"/>
              <w:ind w:right="171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Satellites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currently utilize twelve satellites in geostationary orbit approximately 22,300 miles above the equator, five of which are owned by us. Each of the owned satellites had an original estimated minimum useful life of at least 12 years. We currently lease capacity on five satellites from EchoStar with terms of up to two years and we account for these as operating leases. (See Note 11 for further discussion of our satellite leases with EchoStar.) We also lease two satellites from third parties, which are accounted for as capital leases pursuant to Statement of Financial Accounting Standards No. 13, “Accounting for Leases” (“SFAS 13”). The capital leases are depreciated over the shorter of the economic life or the term of the satellite agreement.</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Operation of our programming service requires that we have adequate satellite transmission capacity for the programming we offer. Moreover, current competitive conditions require that we continue to expand our offering of new programming, particularly by expanding local HD coverage and offering more HD national channels. While we generally have had in-orbit satellite capacity sufficient to transmit our existing channels and some backup capacity to recover the transmission of certain critical programming, our backup capacity is limited.</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of a failure or loss of any of our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2009, certain satellites in our fleet have experienced anomalies, some of which have had a significant adverse impact on their commercial operation. There can be no assurance that future anomalies will not cause further losses, which could further impact the remaining life or commercial operation of any of these satellites. See “</w:t>
      </w:r>
      <w:r>
        <w:rPr>
          <w:rFonts w:ascii="Arial" w:cs="Arial" w:eastAsia="Arial" w:hAnsi="Arial"/>
          <w:sz w:val="18"/>
          <w:szCs w:val="18"/>
          <w:i w:val="1"/>
          <w:iCs w:val="1"/>
          <w:color w:val="auto"/>
        </w:rPr>
        <w:t>Long-Lived Satellite Assets</w:t>
      </w:r>
      <w:r>
        <w:rPr>
          <w:rFonts w:ascii="Arial" w:cs="Arial" w:eastAsia="Arial" w:hAnsi="Arial"/>
          <w:sz w:val="18"/>
          <w:szCs w:val="18"/>
          <w:color w:val="auto"/>
        </w:rPr>
        <w:t>” below for further discussion of evaluation of impairment. There can be no assurance that we can recover critical transmission capacity in the event one or more of our in-orbit satellites were to fail. We do not anticipate carrying insurance for any of the in-orbit satellites that we own, and we will bear the risk associated with any in-orbit satellite failures. Recent developments with respect to our satellites are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Satellites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 xml:space="preserve">EchoStar V. </w:t>
      </w:r>
      <w:r>
        <w:rPr>
          <w:rFonts w:ascii="Arial" w:cs="Arial" w:eastAsia="Arial" w:hAnsi="Arial"/>
          <w:sz w:val="17"/>
          <w:szCs w:val="17"/>
          <w:color w:val="auto"/>
        </w:rPr>
        <w:t>EchoStar V was originally designed with a minimum 12-year design life. Momentum wheel failures in prior years, together with relocation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satellite between orbital locations, resulted in increased fuel consumption, as previously disclosed. Prior to 2009, EchoStar V experienced anomalies resulting in the loss of 13 solar array strings. During April 2009, EchoStar V lost an additional solar array string. These issues have not impacted commercial operation of the satellite. However, during 2005, as a result of the momentum wheel failures and the increased fuel consumption, we reduced the remaining estimated useful life of the satellite. As of October 2008, EchoStar V was fully depreciated.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Satellites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EchoStar XII. </w:t>
      </w:r>
      <w:r>
        <w:rPr>
          <w:rFonts w:ascii="Arial" w:cs="Arial" w:eastAsia="Arial" w:hAnsi="Arial"/>
          <w:sz w:val="17"/>
          <w:szCs w:val="17"/>
          <w:color w:val="auto"/>
        </w:rPr>
        <w:t>EchoStar XII was designed to operate 13 DBS transponders at 270 watts per channel when providing service to the entire continental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(“CONUS”), or 22 spot beams in a combination of 135 and 65 watts per channel. We currently operate the satellite in spot beam/CONUS hybrid mode. EchoStar XII has a total of 24 solar array circuits, approximately 22 of which are required to assure full power for the original minimum 12-year design life of the satellite. Prior to 2009, eight solar array circuits on EchoStar XII experienced anomalous behavior resulting in both temporary and permanent solar array circuit failures. During March and May 2009, EchoStar XII experienced additional solar array circuit failures. Although the design life of the satellite has not been affected, these circuit failures have resulted in a reduction in power to the satellite which will preclude us from using the full complement of transponders on EchoStar XII for the 12-year design life of the satellite.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Satellite Assets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account for impairments of long-lived satellite assets in accordance with the provisions of Statement of Financial Accounting Standards No. 144, “Accounting for the Impairment or Disposal of Long-Lived Assets” (“SFAS 144”). SFAS 144 requires a long-lived asset or asset group to be tested for recoverability whenever events or changes in circumstance indicate that its carrying amount may not be recoverable. Based on the guidance under SFAS 144, we evaluate our satellite fleet for recoverability as one asset group. While certain of the anomalies discussed above, and previously disclosed, may be considered to represent a significant adverse change in the physical condition of an individual satellite, based on the redundancy designed within each satellite and considering the asset grouping, these anomalies (none of which caused a loss of service to subscribers for an extended period) are not considered to be significant events that would require evaluation for impairment recognition pursuant to the guidance under SFAS 144. Unless and until a specific satellite is abandoned or otherwise determined to have no service potential, the net carrying amount related to the satellite would not be written 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Ciel II, a Canadian DBS satellite, was launched in December 2008 and commenced commercial operation at the 129 degree orbital location in February 2009. We have leased 100% of the capacity on the satellite for an initial term of ten years. Prior to the launch, we pre-paid $131 million to SES Americom in connection with the lease agreement and we capitalized $16 million of interest related to this satellite. In accordance with Statement of Financial Accounting Standards No. 13, “Accounting for Leases” (“SFAS 13”), we have accounted for this agreement as a capital lease asset by recording $277 million as the estimated fair value of the satellite and recording a capital lease obligation in the amount of $130 million.</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March 31, 2009 and December 31, 2008, we had $500 million and $223 million capitalized for satellites acquired under capital leases included in “Property and equipment, net,” respectively, with related accumulated depreciation of $34 million and $26 million, respectively. This increase during the three months ended March 31, 2009 related to the Ciel II satellite discussed above. In our Condensed Consolidated Statements of Operations and Comprehensive Income (Loss), we recognized $8 million and $4 million in depreciation expense on satellites acquired under capital lease agreements during the three months ended March 31, 2009 and 2008, respectively.</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under our capital lease obligations, together with the present value of the net minimum lease payments as of March 31, 2009,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nine months)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904,557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4"/>
              </w:rPr>
              <w:t>Less: Amount representing lease of the orbital location and estimated executory costs (primarily insurance and maintenance) including</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20" w:type="dxa"/>
            <w:vAlign w:val="bottom"/>
          </w:tcPr>
          <w:p>
            <w:pPr>
              <w:jc w:val="right"/>
              <w:ind w:right="5710"/>
              <w:spacing w:after="0"/>
              <w:rPr>
                <w:sz w:val="20"/>
                <w:szCs w:val="20"/>
                <w:color w:val="auto"/>
              </w:rPr>
            </w:pPr>
            <w:r>
              <w:rPr>
                <w:rFonts w:ascii="Arial" w:cs="Arial" w:eastAsia="Arial" w:hAnsi="Arial"/>
                <w:sz w:val="18"/>
                <w:szCs w:val="18"/>
                <w:color w:val="auto"/>
                <w:w w:val="95"/>
              </w:rPr>
              <w:t>profit thereon, included in total minimum lease payments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488,231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capital lease obligations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293,187</w:t>
            </w:r>
          </w:p>
        </w:tc>
        <w:tc>
          <w:tcPr>
            <w:tcW w:w="0" w:type="dxa"/>
            <w:vAlign w:val="bottom"/>
          </w:tcPr>
          <w:p>
            <w:pPr>
              <w:spacing w:after="0"/>
              <w:rPr>
                <w:sz w:val="1"/>
                <w:szCs w:val="1"/>
                <w:color w:val="auto"/>
              </w:rPr>
            </w:pPr>
          </w:p>
        </w:tc>
      </w:tr>
      <w:tr>
        <w:trPr>
          <w:trHeight w:val="20"/>
        </w:trPr>
        <w:tc>
          <w:tcPr>
            <w:tcW w:w="10140" w:type="dxa"/>
            <w:vAlign w:val="bottom"/>
            <w:gridSpan w:val="2"/>
            <w:vMerge w:val="restart"/>
          </w:tcPr>
          <w:p>
            <w:pPr>
              <w:jc w:val="right"/>
              <w:ind w:right="425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1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Spin-off, as permitted by existing stock incentive plans and consistent with the Spin-off exchange ratio, each DISH stock option was converted into two stock options as follows:</w:t>
      </w:r>
    </w:p>
    <w:p>
      <w:pPr>
        <w:spacing w:after="0" w:line="62" w:lineRule="exact"/>
        <w:rPr>
          <w:sz w:val="20"/>
          <w:szCs w:val="20"/>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adjusted DISH stock option for the same number of shares that were exercisable under the original DISH stock option, with an exercise price equal to the exercise price of the original DISH stock option multiplied by 0.831219.</w:t>
      </w:r>
    </w:p>
    <w:p>
      <w:pPr>
        <w:spacing w:after="0" w:line="75" w:lineRule="exact"/>
        <w:rPr>
          <w:rFonts w:ascii="Arial" w:cs="Arial" w:eastAsia="Arial" w:hAnsi="Arial"/>
          <w:sz w:val="18"/>
          <w:szCs w:val="18"/>
          <w:b w:val="1"/>
          <w:bCs w:val="1"/>
          <w:color w:val="auto"/>
        </w:rPr>
      </w:pPr>
    </w:p>
    <w:p>
      <w:pPr>
        <w:ind w:left="900" w:right="240" w:hanging="446"/>
        <w:spacing w:after="0" w:line="277"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new EchoStar stock option for one-fifth of the number of shares that were exercisable under the original DISH stock option, with an exercise price equal to the exercise price of the original DISH stock option multiplied by 0.843907.</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Similarly, each holder of DISH restricted stock units retained his or her DISH restricted stock units and received one EchoStar restricted stock unit for every five DISH restricted stock units that they held.</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Consequently, the fair value of the DISH stock award and the new EchoStar stock award immediately following the Spin-off was equivalent to the fair value of such stock award immediately prior to the Spin-off.</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DISH maintains stock incentive plans to attract and retain officers, directors and key employees. Awards under these plans include both performance and non-performance based equity incentives. As of March 31, 2009, there were outstanding under these plans stock options to acquire 18.6 million shares of DISH’s Class A common stock and 0.5 million restricted stock awards associated with our employees. Stock options granted through March 31, 2009 were granted with exercise prices equal to or greater than the market value of DISH Class A common stock at the date of grant and with a maximum term of ten years. While historically DISH’s board of directors has issued stock options subject to vesting, typically at the rate of 20% per year, some stock options have been granted with immediate vesting and other stock options vest only upon the achievement of certain DISH-specific objectives. As of March 31, 2009, DISH had 57.6 million shares of its Class A common stock available for future grant under its stock incentive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2009, the following stock incentive awards were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As of March 31, 2009</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760"/>
              <w:spacing w:after="0" w:line="142" w:lineRule="exact"/>
              <w:rPr>
                <w:sz w:val="20"/>
                <w:szCs w:val="20"/>
                <w:color w:val="auto"/>
              </w:rPr>
            </w:pPr>
            <w:r>
              <w:rPr>
                <w:rFonts w:ascii="Arial" w:cs="Arial" w:eastAsia="Arial" w:hAnsi="Arial"/>
                <w:sz w:val="14"/>
                <w:szCs w:val="14"/>
                <w:b w:val="1"/>
                <w:bCs w:val="1"/>
                <w:color w:val="auto"/>
              </w:rPr>
              <w:t>DISH Awards</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6"/>
          </w:tcPr>
          <w:p>
            <w:pPr>
              <w:ind w:left="620"/>
              <w:spacing w:after="0" w:line="142" w:lineRule="exact"/>
              <w:rPr>
                <w:sz w:val="20"/>
                <w:szCs w:val="20"/>
                <w:color w:val="auto"/>
              </w:rPr>
            </w:pPr>
            <w:r>
              <w:rPr>
                <w:rFonts w:ascii="Arial" w:cs="Arial" w:eastAsia="Arial" w:hAnsi="Arial"/>
                <w:sz w:val="14"/>
                <w:szCs w:val="14"/>
                <w:b w:val="1"/>
                <w:bCs w:val="1"/>
                <w:color w:val="auto"/>
              </w:rPr>
              <w:t>EchoStar Awards</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4"/>
            <w:vMerge w:val="restart"/>
          </w:tcPr>
          <w:p>
            <w:pPr>
              <w:jc w:val="center"/>
              <w:ind w:right="8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Restricted</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0"/>
                <w:szCs w:val="10"/>
                <w:color w:val="auto"/>
              </w:rPr>
            </w:pP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Restricted</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Incentive Awards Outstanding</w:t>
            </w:r>
          </w:p>
        </w:tc>
        <w:tc>
          <w:tcPr>
            <w:tcW w:w="2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Units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Held by DDBS employees</w:t>
            </w:r>
          </w:p>
        </w:tc>
        <w:tc>
          <w:tcPr>
            <w:tcW w:w="420" w:type="dxa"/>
            <w:vAlign w:val="bottom"/>
          </w:tcPr>
          <w:p>
            <w:pPr>
              <w:spacing w:after="0"/>
              <w:rPr>
                <w:sz w:val="18"/>
                <w:szCs w:val="18"/>
                <w:color w:val="auto"/>
              </w:rPr>
            </w:pPr>
          </w:p>
        </w:tc>
        <w:tc>
          <w:tcPr>
            <w:tcW w:w="1080" w:type="dxa"/>
            <w:vAlign w:val="bottom"/>
            <w:tcBorders>
              <w:top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0"/>
              </w:rPr>
              <w:t>18,629,714</w:t>
            </w: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487,735</w:t>
            </w:r>
          </w:p>
        </w:tc>
        <w:tc>
          <w:tcPr>
            <w:tcW w:w="420" w:type="dxa"/>
            <w:vAlign w:val="bottom"/>
          </w:tcPr>
          <w:p>
            <w:pPr>
              <w:spacing w:after="0"/>
              <w:rPr>
                <w:sz w:val="18"/>
                <w:szCs w:val="18"/>
                <w:color w:val="auto"/>
              </w:rPr>
            </w:pPr>
          </w:p>
        </w:tc>
        <w:tc>
          <w:tcPr>
            <w:tcW w:w="12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1,622,315</w:t>
            </w:r>
          </w:p>
        </w:tc>
        <w:tc>
          <w:tcPr>
            <w:tcW w:w="440" w:type="dxa"/>
            <w:vAlign w:val="bottom"/>
          </w:tcPr>
          <w:p>
            <w:pPr>
              <w:spacing w:after="0"/>
              <w:rPr>
                <w:sz w:val="18"/>
                <w:szCs w:val="18"/>
                <w:color w:val="auto"/>
              </w:rPr>
            </w:pPr>
          </w:p>
        </w:tc>
        <w:tc>
          <w:tcPr>
            <w:tcW w:w="11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81,366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DISH is responsible for fulfilling all stock incentive awards related to DISH common stock and EchoStar is responsible for fulfilling all stock incentive awards related to EchoStar common stock, regardless of whether such stock incentive awards are held by our or EchoStar’s employees. Notwithstanding the foregoing, based on the requirements of Statement of Financial Accounting Standards No. 123R, “Share Based Payments” (“SFAS 123R”), our stock-based compensation expense, resulting from awards outstanding at the Spin-off date, is based on the stock incentive awards held by our employees regardless of whether such awards were issued by DISH or EchoStar. Accordingly, stock-based compensation that we expense with respect to EchoStar stock incentive awards is included in “Additional paid-in capital” on our Condensed Consolidated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 Activity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DISH stock option activity (including performance and non-performance based stock options) associated with our employees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2009 was as follows:</w:t>
      </w:r>
    </w:p>
    <w:p>
      <w:pPr>
        <w:spacing w:after="0" w:line="202"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For the Three Months</w:t>
      </w:r>
    </w:p>
    <w:p>
      <w:pPr>
        <w:ind w:left="9180"/>
        <w:spacing w:after="0" w:line="236" w:lineRule="auto"/>
        <w:rPr>
          <w:sz w:val="20"/>
          <w:szCs w:val="20"/>
          <w:color w:val="auto"/>
        </w:rPr>
      </w:pPr>
      <w:r>
        <w:rPr>
          <w:rFonts w:ascii="Arial" w:cs="Arial" w:eastAsia="Arial" w:hAnsi="Arial"/>
          <w:sz w:val="14"/>
          <w:szCs w:val="14"/>
          <w:b w:val="1"/>
          <w:bCs w:val="1"/>
          <w:color w:val="auto"/>
        </w:rPr>
        <w:t>Ended March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5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options outstanding, beginning of period</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18,267,950</w:t>
            </w:r>
          </w:p>
        </w:tc>
        <w:tc>
          <w:tcPr>
            <w:tcW w:w="1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1,105,500</w:t>
            </w:r>
          </w:p>
        </w:tc>
        <w:tc>
          <w:tcPr>
            <w:tcW w:w="1640" w:type="dxa"/>
            <w:vAlign w:val="bottom"/>
            <w:gridSpan w:val="2"/>
          </w:tcPr>
          <w:p>
            <w:pPr>
              <w:jc w:val="right"/>
              <w:ind w:right="29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(19,000)</w:t>
            </w:r>
          </w:p>
        </w:tc>
        <w:tc>
          <w:tcPr>
            <w:tcW w:w="1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(724,736)</w:t>
            </w:r>
          </w:p>
        </w:tc>
        <w:tc>
          <w:tcPr>
            <w:tcW w:w="1640" w:type="dxa"/>
            <w:vAlign w:val="bottom"/>
            <w:gridSpan w:val="2"/>
          </w:tcPr>
          <w:p>
            <w:pPr>
              <w:jc w:val="right"/>
              <w:ind w:right="29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options outstanding, end of period</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18,629,714</w:t>
            </w:r>
          </w:p>
        </w:tc>
        <w:tc>
          <w:tcPr>
            <w:tcW w:w="1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Performance based options outstanding, end of period (1)</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9,177,750</w:t>
            </w:r>
          </w:p>
        </w:tc>
        <w:tc>
          <w:tcPr>
            <w:tcW w:w="3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5,035,064</w:t>
            </w:r>
          </w:p>
        </w:tc>
        <w:tc>
          <w:tcPr>
            <w:tcW w:w="1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4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stock options, which are included in the caption “Total options outstanding, end of period,” were issued pursuant to two separate long-term, performance-based stock incentive plans. Vesting of these stock options is contingent upon meeting certain long-term DISH-specific goals. See discussion of the 2005 LTIP and 2008 LTIP below.</w:t>
      </w:r>
    </w:p>
    <w:p>
      <w:pPr>
        <w:spacing w:after="0" w:line="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did not realize a tax benefit from stock options exercised during the three months ended March 31, 2009. The tax benefit from stock options exercised during the three months ended March 31, 2008 was less than $1 million. Based on the closing market price of DISH’s Class A common stock on March 31, 2009, there was no aggregate intrinsic value related to outstanding or exercisable stock options associated with our employees at the end of the period.</w:t>
      </w:r>
    </w:p>
    <w:p>
      <w:pPr>
        <w:spacing w:after="0" w:line="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DISH restricted stock award activity (including performance and non-performance based stock awards) associated with our employees for the three months ended March 31, 2009 was as follows:</w:t>
      </w:r>
    </w:p>
    <w:p>
      <w:pPr>
        <w:spacing w:after="0" w:line="162"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For the Three Months</w:t>
      </w:r>
    </w:p>
    <w:p>
      <w:pPr>
        <w:ind w:left="9300"/>
        <w:spacing w:after="0" w:line="236" w:lineRule="auto"/>
        <w:rPr>
          <w:sz w:val="20"/>
          <w:szCs w:val="20"/>
          <w:color w:val="auto"/>
        </w:rPr>
      </w:pPr>
      <w:r>
        <w:rPr>
          <w:rFonts w:ascii="Arial" w:cs="Arial" w:eastAsia="Arial" w:hAnsi="Arial"/>
          <w:sz w:val="14"/>
          <w:szCs w:val="14"/>
          <w:b w:val="1"/>
          <w:bCs w:val="1"/>
          <w:color w:val="auto"/>
        </w:rPr>
        <w:t>Ended March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240" w:type="dxa"/>
            <w:vAlign w:val="bottom"/>
            <w:tcBorders>
              <w:top w:val="single" w:sz="8" w:color="auto"/>
            </w:tcBorders>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Restricted</w:t>
            </w:r>
          </w:p>
        </w:tc>
        <w:tc>
          <w:tcPr>
            <w:tcW w:w="5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stock awards outstanding, beginning of period</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517,735</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6,666</w:t>
            </w:r>
          </w:p>
        </w:tc>
        <w:tc>
          <w:tcPr>
            <w:tcW w:w="320" w:type="dxa"/>
            <w:vAlign w:val="bottom"/>
          </w:tcPr>
          <w:p>
            <w:pPr>
              <w:spacing w:after="0"/>
              <w:rPr>
                <w:sz w:val="18"/>
                <w:szCs w:val="18"/>
                <w:color w:val="auto"/>
              </w:rPr>
            </w:pPr>
          </w:p>
        </w:tc>
        <w:tc>
          <w:tcPr>
            <w:tcW w:w="1600" w:type="dxa"/>
            <w:vAlign w:val="bottom"/>
            <w:gridSpan w:val="2"/>
          </w:tcPr>
          <w:p>
            <w:pPr>
              <w:jc w:val="right"/>
              <w:ind w:right="265"/>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32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(36,666)</w:t>
            </w:r>
          </w:p>
        </w:tc>
        <w:tc>
          <w:tcPr>
            <w:tcW w:w="1600" w:type="dxa"/>
            <w:vAlign w:val="bottom"/>
            <w:gridSpan w:val="2"/>
          </w:tcPr>
          <w:p>
            <w:pPr>
              <w:jc w:val="right"/>
              <w:ind w:right="265"/>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stock awards outstanding, end of period</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487,735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Restricted performance units outstanding, end of period (1)</w:t>
            </w: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vMerge w:val="restart"/>
          </w:tcPr>
          <w:p>
            <w:pPr>
              <w:jc w:val="right"/>
              <w:ind w:right="265"/>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417,735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restricted performance units, which are included in the caption “Total restricted stock awards outstanding, end of period,” were issued pursuant to two separate long-term, performance-based stock incentive plans. Vesting of these restricted performance units is contingent upon meeting certain long-term DISH-specific goals. See discussion of the 2005 LTIP and 2008 LTIP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Performance-Based Plans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2005 LTIP. </w:t>
      </w:r>
      <w:r>
        <w:rPr>
          <w:rFonts w:ascii="Arial" w:cs="Arial" w:eastAsia="Arial" w:hAnsi="Arial"/>
          <w:sz w:val="18"/>
          <w:szCs w:val="18"/>
          <w:color w:val="auto"/>
        </w:rPr>
        <w:t>In 2005, DISH adopted a long-term, performance-based stock incentive plan (the “2005 LTIP”) within the terms of its 1999 Stock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2005 LTIP provides stock options and restricted performance units,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either alone or in combination, which vest over seven years at the rate of 10% per year during the first four years, and at the rate of 20% per year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Exercise of the stock options is subject to a performance condition that a DISH-specific subscriber goal is achieved prior to March 31, 2015.</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Contingent compensation related to the 2005 LTIP will not be recorded in our financial statements unless and until management concludes achievement of the performance condition is probable. Given the competitive nature of DISH’s business, small variations in subscriber churn, gross subscriber addition rates and certain other factors can significantly impact subscriber growth. Consequently, while it was determined that achievement of the goal was not probable as of March 31, 2009, that assessment could change at any time.</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accordance with SFAS 123R, if all of the awards under the 2005 LTIP were vested and the goal had been met or if management had determined that achievement of the goal was probable during the three months ended March 31, 2009, we would have recorded total non-cash, stock-based compensation expense for our employees as indicated in the table below. If the goal is met and there are unvested stock options at that time, the vested amounts would be expensed immediately on our Condensed Consolidated Statements of Operations and Comprehensive Income (Loss), with the unvested portion recognized ratably over the remaining vesting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7"/>
              </w:rPr>
              <w:t>2005 LTIP</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w w:val="98"/>
              </w:rPr>
              <w:t>Vested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DISH awards held by DDBS employees</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47,171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EchoStar awards held by DDBS employees</w:t>
            </w:r>
          </w:p>
        </w:tc>
        <w:tc>
          <w:tcPr>
            <w:tcW w:w="3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56,749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2008 LTIP. </w:t>
      </w:r>
      <w:r>
        <w:rPr>
          <w:rFonts w:ascii="Arial" w:cs="Arial" w:eastAsia="Arial" w:hAnsi="Arial"/>
          <w:sz w:val="18"/>
          <w:szCs w:val="18"/>
          <w:color w:val="auto"/>
        </w:rPr>
        <w:t>In December 2008, DISH adopted a long-term, performance-based stock incentive plan (the “2008 LTIP”) within the terms of its 1999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2008 LTIP provides stock options and restricted performance units, either alone or in combination, which vest based on DISH-specific subscriber and financial goals. Exercise of the awards is contingent on achieving these goals prior to December 31, 2015. Management has determined it is probable that a portion of the 2008 LTIP awards will vest and as a result, we recorded less than $1 million in non-cash, stock-based compensation expense during the three months ended March 31, 2009. During the remainder of 2009, we expect to record an additional $1 million in non-cash, stock-based compensation expense related to this portion which management has determined to be probable. Additional compensation related to the 2008 LTIP will be recorded based on management’s assessment of the probability of meeting the remaining performance conditions. If the remaining goals are achieved and the remaining 2008 LTIP awards vest, we will recognize an additional $23 million in non-cash, stock-based compensation expense over the term of this stock incentive plan.</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the 18.6 million stock options and 0.5 million restricted stock awards outstanding under the DISH stock incentive plans associated with our employees as of March 31, 2009, the following awards were outstanding pursuant to the 2005 LTIP and the 2008 LTIP: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4"/>
                <w:szCs w:val="14"/>
                <w:b w:val="1"/>
                <w:bCs w:val="1"/>
                <w:color w:val="auto"/>
              </w:rPr>
              <w:t>As of March 31,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8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84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Awards</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 LTIP</w:t>
            </w:r>
          </w:p>
        </w:tc>
        <w:tc>
          <w:tcPr>
            <w:tcW w:w="520" w:type="dxa"/>
            <w:vAlign w:val="bottom"/>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3,170,250</w:t>
            </w: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2008 LTIP</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6,007,500</w:t>
            </w:r>
          </w:p>
        </w:tc>
        <w:tc>
          <w:tcPr>
            <w:tcW w:w="320" w:type="dxa"/>
            <w:vAlign w:val="bottom"/>
          </w:tcPr>
          <w:p>
            <w:pPr>
              <w:spacing w:after="0"/>
              <w:rPr>
                <w:sz w:val="19"/>
                <w:szCs w:val="19"/>
                <w:color w:val="auto"/>
              </w:rPr>
            </w:pPr>
          </w:p>
        </w:tc>
        <w:tc>
          <w:tcPr>
            <w:tcW w:w="1600" w:type="dxa"/>
            <w:vAlign w:val="bottom"/>
            <w:gridSpan w:val="2"/>
          </w:tcPr>
          <w:p>
            <w:pPr>
              <w:jc w:val="right"/>
              <w:ind w:right="265"/>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9,177,750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Restricted Performance Units</w:t>
            </w: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LTIP</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336,913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2008 LTIP</w:t>
            </w:r>
          </w:p>
        </w:tc>
        <w:tc>
          <w:tcPr>
            <w:tcW w:w="3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80,822</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417,735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 awards were granted under the 2005 LTIP during the three months ended March 31,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non-cash, stock-based compensation expense for all of our employees is shown in the following table for the three months ended March 31,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and was allocated to the same expense categories as the base compensation for such employees: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w:t>
      </w:r>
    </w:p>
    <w:p>
      <w:pPr>
        <w:jc w:val="center"/>
        <w:ind w:left="91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Subscriber-related</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2,950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3,288</w:t>
            </w:r>
          </w:p>
        </w:tc>
      </w:tr>
      <w:tr>
        <w:trPr>
          <w:trHeight w:val="27"/>
        </w:trPr>
        <w:tc>
          <w:tcPr>
            <w:tcW w:w="6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non-cash, stock-based compensation</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w:t>
            </w:r>
          </w:p>
        </w:tc>
      </w:tr>
      <w:tr>
        <w:trPr>
          <w:trHeight w:val="20"/>
        </w:trPr>
        <w:tc>
          <w:tcPr>
            <w:tcW w:w="6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2009, our total unrecognized compensation cost related to the non-performance based unvested stock options was $30 million and includes compensation expense that we will recognize for EchoStar stock options held by our employees as a result of the Spin-off. This cost is based on an estimated future forfeiture rate of approximately 4.3% per year and will be recognized over a weighted-average period of approximately three years. Share-based compensation expense is recognized based on awards ultimately expected to vest and is reduced for estimated forfeitures. SFAS 123R requires forfeitures to be estimated at the time of grant and revised, if necessary, in subsequent periods if actual forfeitures differ from those estimates. Changes in the estimated forfeiture rate can have a significant effect on share-based compensation expense since the effect of adjusting the rate is recognized in the period the forfeiture estimate is changed.</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each award for the three months ended March 31, 2009 and 2008 was estimated at the date of the grant using a Black-Scholes option pricing model with the following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w w:val="94"/>
              </w:rPr>
              <w:t>For the Three Months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gridSpan w:val="3"/>
            <w:vMerge w:val="continue"/>
          </w:tcPr>
          <w:p>
            <w:pPr>
              <w:spacing w:after="0"/>
              <w:rPr>
                <w:sz w:val="12"/>
                <w:szCs w:val="12"/>
                <w:color w:val="auto"/>
              </w:rPr>
            </w:pPr>
          </w:p>
        </w:tc>
        <w:tc>
          <w:tcPr>
            <w:tcW w:w="1260" w:type="dxa"/>
            <w:vAlign w:val="bottom"/>
            <w:gridSpan w:val="2"/>
          </w:tcPr>
          <w:p>
            <w:pPr>
              <w:jc w:val="right"/>
              <w:ind w:right="41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- 2.51%</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Volatility factor</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29.72%</w:t>
            </w:r>
          </w:p>
        </w:tc>
        <w:tc>
          <w:tcPr>
            <w:tcW w:w="680" w:type="dxa"/>
            <w:vAlign w:val="bottom"/>
          </w:tcPr>
          <w:p>
            <w:pPr>
              <w:ind w:left="20"/>
              <w:spacing w:after="0"/>
              <w:rPr>
                <w:sz w:val="20"/>
                <w:szCs w:val="20"/>
                <w:color w:val="auto"/>
              </w:rPr>
            </w:pPr>
            <w:r>
              <w:rPr>
                <w:rFonts w:ascii="Arial" w:cs="Arial" w:eastAsia="Arial" w:hAnsi="Arial"/>
                <w:sz w:val="18"/>
                <w:szCs w:val="18"/>
                <w:color w:val="auto"/>
                <w:w w:val="88"/>
              </w:rPr>
              <w:t>- 32.04%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w w:val="85"/>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of options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Weighted-average fair value of options 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680" w:type="dxa"/>
            <w:vAlign w:val="bottom"/>
          </w:tcPr>
          <w:p>
            <w:pPr>
              <w:ind w:left="20"/>
              <w:spacing w:after="0"/>
              <w:rPr>
                <w:sz w:val="20"/>
                <w:szCs w:val="20"/>
                <w:color w:val="auto"/>
              </w:rPr>
            </w:pPr>
            <w:r>
              <w:rPr>
                <w:rFonts w:ascii="Arial" w:cs="Arial" w:eastAsia="Arial" w:hAnsi="Arial"/>
                <w:sz w:val="18"/>
                <w:szCs w:val="18"/>
                <w:color w:val="auto"/>
              </w:rPr>
              <w:t>- $4.17</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DISH does not currently plan to pay additional dividends on its common stock, and therefore the dividend yield percentage is set at zero for all periods presented.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model requires the input of highly subjective assumptions. Changes in the subjective input assumptions can materially affect the fair value estimate. Therefore, we do not believe the existing models provide as reliable a single measure of the fair value of stock-based compensation awards as a market-based model would.</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will continue to evaluate the assumptions used to derive the estimated fair value of DISH’s stock options as new events or changes in circumstances become known.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866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Spin-off, we distributed certain satellite lease agreements to EchoStar. We remain the guarantor under those capital leases for payments totaling approximately $486 million over the next eight years. As of March 31, 2009, we have not recorded a liability on the balance sheet for these guarantees.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connection with the Spin-off, DISH entered into a separation agreement with EchoStar, which provides for, among other things, the division of liability resulting from litigation. Under the terms of the separation agreement, EchoStar has assumed liability for any acts or omissions that relate to its business whether such acts or omissions occurred before or after the Spin-off. Certain exceptions are provided, including for intellectual property related claims generally, whereby EchoStar will only be liable for its acts or omissions that occurred following the Spin-off and DISH has indemnified EchoStar for any potential liability or damages resulting from intellectual property claims relating to the period prior to the effective date of the Spin-off.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Acacia</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2004, Acacia Media Technologies (“Acacia”) filed a lawsuit against us and EchoStar in the United States District Court for the Northern District of California. The suit also named DirecTV, Comcast, Charter, Cox and a number of smaller cable companies as defendants. Acacia is an intellectual property holding company that seeks to license an acquired patent portfolio. The suit alleges infringement of United States Patent Nos. 5,132,992, 5,253,275, 5,550,863, 6,002,720 and 6,144,702, which relate to certain systems and methods for transmission of digital data. In March 2008, the Court issued an order outlining a schedule for filing dispositive invalidity motions based on its claim constructions. Acacia has agreed to stipulate to invalidity based on the Court’s claim constructions in order to proceed immediately to the Federal Circuit on appeal. The Court, however, has permitted us to file additional invalidity motions.</w:t>
      </w:r>
    </w:p>
    <w:p>
      <w:pPr>
        <w:spacing w:after="0" w:line="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Innovation, L.L.C.</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2001, Broadcast Innovation, L.L.C. (“Broadcast Innovation”) filed a lawsuit against us, EchoStar, DirecTV, Thomson Consumer Electronics and others in United States District Court in Denver, Colorado. The suit alleges infringement of United States Patent Nos. 6,076,094 (the ‘094 patent) and 4,992,066 (the ‘066 patent). The ‘094 patent relates to certain methods and devices for transmitting and receiving data along with specific formatting information for the data. The ‘066 patent relates to certain methods and devices for providing the scrambling circuitry for a pay television system on removable cards. Subsequently, DirecTV and Thomson settled with Broadcast Innovation leaving us as the only defendant.</w:t>
      </w:r>
    </w:p>
    <w:p>
      <w:pPr>
        <w:spacing w:after="0" w:line="6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2004, the judge issued an order finding the ‘066 patent invalid. Also in 2004, the Court found the ‘094 patent invalid in a parallel case filed by Broadcast Innovation against Charter and Comcast. In 2005, the United States Court of Appeals for the Federal Circuit overturned the ‘094 patent finding of invalidity and remanded the Charter case back to the District Court. During June 2006, Charter filed a reexamination request with the United States Patent and Trademark Office. The Court has stayed the Charter case pending reexamination, and our case has been stayed pending resolution of the Charter case.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Channel Bundling Class Action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21, 2007, a purported class of cable and satellite subscribers filed an antitrust action against us in the United States District Court for the Central District of California. The suit also names as defendants DirecTV, Comcast, Cablevision, Cox, Charter, Time Warner, Inc., Time Warner Cable, NBC Universal, Viacom, Fox Entertainment Group, and Walt Disney Company. The suit alleges, among other things, that the defendants engaged in a conspiracy to provide customers with access only to bundled channel offerings as opposed to giving customers the ability to purchase channels on an “a la carte” basis. We filed a motion to dismiss, which the Court denied in July 2008. We intend to vigorously defend this case. We cannot predict with any degree of certainty the outcome of the suit or determine the extent of any potential liability or damages.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Enron Commercial Paper Investment</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October 2001, we received approximately $40 million from the sale of Enron commercial paper to a third party broker. That commercial paper was ultimately purchased by Enron. During November 2003, an action was commenced in the United States Bankruptcy Court for the Southern District of New York against approximately 100 defendants, including us, who invested in Enron’s commercial paper. The complaint alleges that Enron’s October 2001 purchase of its commercial paper was a fraudulent conveyance and voidable preference under bankruptcy laws. We dispute these allegations. We typically invest in commercial paper and notes that are rated in one of the four highest rating categories by at least two nationally recognized statistical rating organizations. At the time of our investment in Enron commercial paper, it was considered to be high quality and low risk. On April 7, 2009, we settled the litigation for an immaterial amount.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ESPN</w:t>
      </w:r>
    </w:p>
    <w:p>
      <w:pPr>
        <w:spacing w:after="0" w:line="117"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On January 30, 2008, we filed a lawsuit against ESPN, Inc., ESPN Classic, Inc., ABC Cable Networks Group, Soapnet L.L.C., and International Family Entertainment (collectively “ESPN”) for breach of contract in New York State Supreme Court. Our complaint alleges that ESPN failed to provide us with certain high-definition feeds of the Disney Channel, ESPN News, Toon, and ABC Family. ESPN asserted a counterclaim, and then filed a motion for summary judgment, alleging that we owed approximately $35 million under the applicable affiliation agreements. We brought a motion to amend our complaint to assert that ESPN was in breach of certain most-favored-nation provisions under the affiliation agreements. On April 15, 2009, the trial court granted our motion to amend the complaint, and granted, in part, ESPN’s motion on the counterclaim, finding that we are liable for some of the amount alleged to be owing but that the actual amount owing is disputed and will have to be determined at a later date. We will appeal the partial grant of ESPN’s motion. We intend to vigorously defend this case. We cannot predict with any degree of certainty the outcome of the suit or determine the extent of any potential liability or damages.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Finisar Corporation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Finisar Corporation (“Finisar”) obtained a $100 million verdict in the United States District Court for the Eastern District of Texas against DirecTV for patent infringement. Finisar alleged that DirecTV’s electronic program guide and other elements of its system infringe United States Patent No. 5,404,505 (the ‘505 patent).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July 2006, we and EchoStar, together with NagraStar LLC, filed a Complaint for Declaratory Judgment in the United States District Court for the District of Delaware against Finisar that asks the Court to declare that we do not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infringe, and have not infringed, any valid claim of the ‘505 patent. During April 2008, the Federal Circuit reversed the judgment against DirecTV and ordered a new trial. Our case is stayed until the DirecTV action is resolved.</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intend to vigorously prosecute this case. In the event that a Court ultimately determines that we infringe this patent, we may be subject to substantial damages, which may include treble damages, and/or an injunction that could require us to modify our system architecture. We cannot predict with any degree of certainty the outcome of the suit or determine the extent of any potential liability or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Communications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19, 2007, Global Communications, Inc. (“Global”) filed a patent infringement action against us and EchoStar in the United States District Court for the Eastern District of Texas. The suit alleges infringement of United States Patent No. 6,947,702 (the ‘702 patent), which relates to satellite reception. On October 24, 2007, the United States Patent and Trademark Office granted our request for reexamination of the ‘702 patent and issued an Office Action finding that all of the claims of the ‘702 patent were invalid. At the request of the parties, the District Court stayed the litigation until the reexamination proceeding is concluded and/or other Global patent applications issue. We intend to vigorously defend this case. In the event that a Court ultimately determines that we infringe the ‘702 patent,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Guardian Media</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22, 2008, Guardian Media Technologies LTD (“Guardian”) filed suit against us, EchoStar, EchoStar Technologies L.L.C., DirecTV and several other defendants in the United States District Court for the Central District of California alleging infringement of United States Patent Nos. 4,930,158 and 4,930,160. Both patents are expired and relate to certain parental lock features.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We cannot predict with any degree of certainty the outcome of the suit or determine the extent of any potential liability or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Katz Communications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21, 2007, Ronald A. Katz Technology Licensing, L.P. (“Katz”) filed a patent infringement action against us in the United States District Court for the Northern District of California. The suit alleges infringement of 19 patents owned by Katz. The patents relate to interactive voice response, or IVR, technology. 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Multimedia Patent Trust</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February 13, 2009, Multimedia Patent Trust (“MPT”) filed suit against us, EchoStar, DirecTV and several other defendants in the United States District Court for the Southern District of California alleging infringement of United States Patent Nos. 4,958,226, 5,227,878, 5,136,377, 5,500,678 and 5,563,593, which relate to video encoding, decoding and compression technology.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Personalized Media Communications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February 2008, Personalized Media Communications, Inc. filed suit against us, EchoStar and Motorola, Inc. in the United States District Court for the Eastern District of Texas alleging infringement of United States Patent Nos. 4,694,490, 5,109,414, 4,965,825, 5,233,654, 5,335,277, and 5,887,243, which relate to satellite signal processing.</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Class Actions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2000, lawsuits were filed by retailers in Colorado state and federal courts attempting to certify nationwide classes on behalf of certain of our retailers. The plaintiffs are requesting the Courts declare certain provisions of, and changes to, alleged agreements between us and the retailers invalid and unenforceable, and to award damages for lost incentives and payments, charge backs, and other compensation. We have asserted a variety of counterclaims. The federal court action has been stayed during the pendency of the state court action. We filed a motion for summary judgment on all counts and against all plaintiffs. The plaintiffs filed a motion for additional time to conduct discovery to enable them to respond to our motion. The state court granted limited discovery which ended during 2004. The plaintiffs claimed we did not provide adequate disclosure during the discovery process. The state court agreed, and denied our motion for summary judgment as a result. In April 2008, the state court granted plaintiff’s class certification motion and in January 2009, the state court entered an order excluding certain evidence that we can present at trial based on the prior discovery issues. The state court also denied plaintiffs’ request to dismiss our counterclaims. The final impact of the court’s evidentiary ruling cannot be fully assessed at this time. We intend to vigorously defend this case. We cannot predict with any degree of certainty the outcome of the lawsuit or determine the extent of any potential liability or damages.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 Licensing</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January 22, 2009, Technology Development and Licensing LLC (“TechDev”) filed suit against us and EchoStar in the United States District Court for the Northern District of Illinois alleging infringement of United States Patent No. 35, 952, which relates to certain favorite channel features.</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Tivo Inc.</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January 31, 2008, the U.S. Court of Appeals for the Federal Circuit affirmed in part and reversed in part the April 2006 jury verdict concluding that certain of our digital video recorders, or DVRs, infringed a patent held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Tivo. In accordance with Statement of Financial Accounting Standards No. 5, “Accounting for Contingencies” (“SFAS 5”), we previously recorded a total reserve of $132 million on our Condensed Consolidated Balance Sheets to reflect the April 2006 jury verdict, supplemental damages and pre-judgment interest awarded by the Texas court. This amount also includes the estimated cost of any software infringement prior to implementation of our alternative technology, discussed below, plus interest subsequent to the jury verdict. In its January 2008 decision, the Federal Circuit affirmed the jury’s verdict of infringement on Tivo’s “software claims,” upheld the award of damages from the District Court, and ordered that the stay of the District Court’s injunction against us, which was issued pending appeal, be dissolved when the appeal becomes final. The Federal Circuit, however, found that we did not literally infringe Tivo’s “hardware claims,” and remanded such claims back to the District Court for further proceedings. On October 6, 2008, the Supreme Court denied our petition for certiorari. As a result, approximately $105 million of the total $132 million reserve was released from an escrow account to Tivo.</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developed and deployed “next-generation” DVR software to our customers’ DVRs. This improved software is fully operational and has been automatically downloaded to current customers (our “alternative technology”). We have written legal opinions from outside counsel that conclude that our alternative technology does not infringe, literally or under the doctrine of equivalents, either the hardware or software claims of Tivo’s patent. Tivo has filed a motion for contempt alleging that we are in violation of the Court’s injunction. We have vigorously opposed the motion arguing that the Court’s injunction does not apply to DVRs that have received our alternative technology, that our alternative technology does not infringe Tivo’s patent, and that we are in compliance with the injunction. An evidentiary hearing on Tivo’s motion for contempt was held mid- February 2009, the parties’ have submitted their post-trial briefs and we are now awaiting a ruling from the Court. In January 2009, the Patent and Trademark Office (“PTO”) granted our Petition for Re-Examination of the software claims of Tivo’s ‘389 patent, which are the subject of Tivo’s current motion for contempt. The PTO found that there is a ‘substantial new question’ of patentability as to the software claims in light of prior patents that appear to render Tivo’s ‘389 patent invalid as obvious.</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are unsuccessful in defending against Tivo’s motion for contempt or any subsequent claim that our alternative technology infringes Tivo’s patent, we could be prohibited from distributing DVRs, or could be required to modify or eliminate certain user-friendly DVR features that we currently offer to consumers. In that event we would be at a significant disadvantage to our competitors who could offer this functionality and, while we would attempt to provide that functionality through other manufacturers, the adverse affect on our business could be material. We could also have to pay substantial additional damages.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Voom</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May 28, 2008, Voom HD Holdings (“Voom”) filed a complaint against us in New York Supreme Court. The suit alleges breach of contract arising from our termination of the affiliation agreement we had with Voom for the carriage of certain Voom HD channels on the DISH Network satellite television service. In January 2008, Voom sought a preliminary injunction to prevent us from terminating the agreement. The Court denied Voom’s motion, finding, among other things, that Voom was not likely to prevail on the merits of its case. Voom is claiming over $1.0 billion in damages. We intend to vigorously defend this case. We cannot predict with any degree of certainty the outcome of the suit or determine the extent of any potential liability or damages.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including among other things, disputes with programmers regarding fees. In our opinion, the amount of ultimate liability with respect to any of these actions is unlikely to materially affect our financial position, results of operations or liquidity.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Depreciation and Amortization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consists of the following:</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Three Months</w:t>
      </w:r>
    </w:p>
    <w:p>
      <w:pPr>
        <w:jc w:val="center"/>
        <w:ind w:left="91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2180" w:type="dxa"/>
            <w:vAlign w:val="bottom"/>
            <w:gridSpan w:val="6"/>
          </w:tcPr>
          <w:p>
            <w:pPr>
              <w:ind w:left="62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$ 192,568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$ 212,279</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Satellites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19,883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26,451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28,237</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Identifiable intangible assets subject to amortization</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291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4,331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$ 223,288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$ 272,368</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expense related to satellites or equipment leased to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Information for Subsidiary Guarantors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DDBS’s senior notes are fully, unconditionally and jointly and severally guaranteed by all of our subsidiaries other than minor subsidiaries and the stand alone entity DDBS has no independent assets or operations. Therefore, supplemental financial information on a condensed consolidating basis of the guarantor subsidiaries is not required. There are no restrictions on our ability to obtain cash dividends or other distributions of funds from the guarantor subsidiaries, except those imposed by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with EchoStar</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Following the Spin-off, EchoStar has operated as a separate public company and we have no continued ownership interest in EchoStar. However, a substantial majority of the voting power of the shares of both companies is owned beneficially by our Chairman, President and Chief Executive Officer, Charles W. Ergen.</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EchoStar is our primary supplier of set-top boxes and digital broadcast operations and our key supplier of transponder leasing. Generally the prices charged for products and services provided under the agreements entered into in connection with the Spin-off are based on pricing equal to EchoStar’s cost plus a fixed margin (unless noted differently below), which will vary depending on the nature of the products and services provided. Prior to the Spin-off, these products were provided and services were performed internally at cost.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Spin-off, we and EchoStar also entered into certain transitional services agreements pursuant to which we obtain certain services and rights from EchoStar, EchoStar obtains certain services and rights from us, and we and EchoStar have indemnified each other against certain liabilities arising from our respective businesses. Subsequent to the Spin-off, we also entered into certain agreements with EchoStar and may enter into additional agreements with EchoStar in the future. The following is a summary of the terms of the principal agreements that we have entered into with EchoStar that may have an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sales — EchoStar”</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Remanufactured Receiver Agreement. </w:t>
      </w:r>
      <w:r>
        <w:rPr>
          <w:rFonts w:ascii="Arial" w:cs="Arial" w:eastAsia="Arial" w:hAnsi="Arial"/>
          <w:sz w:val="18"/>
          <w:szCs w:val="18"/>
          <w:color w:val="auto"/>
        </w:rPr>
        <w:t>We entered into a remanufactured receiver agreement with EchoStar under which EchoStar has the right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remanufactured receivers and accessories from us for a two-year period ending, January 1, 2010. Under the remanufactured receiver agreement, EchoStar has the right, but not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obligation, to purchase remanufactured receivers and accessories from us at cost plus a fixed margin, which varies depending on the nature of the equipment purchased. EchoStar may terminate the remanufactured receiver agreement for any reason upon sixty days written notice to us. We may also terminate this agreement if certain entities acquire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“Transitional services and other revenue — EchoStar”</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Transition Services Agreement. </w:t>
      </w:r>
      <w:r>
        <w:rPr>
          <w:rFonts w:ascii="Arial" w:cs="Arial" w:eastAsia="Arial" w:hAnsi="Arial"/>
          <w:sz w:val="17"/>
          <w:szCs w:val="17"/>
          <w:color w:val="auto"/>
        </w:rPr>
        <w:t>DISH entered into a transition services agreement with EchoStar pursuant to which EchoStar has the right, but not the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to receive the following services from DISH: finance, information technology, benefits administration, travel and event coordination, human resources, human resources development (training), program management, internal audit and corporate quality, legal, accounting and tax, and other support services. The fees for the services provided under the transition services agreement are cost plus a fixed margin, which varies depending on the nature of the services provided. The transition services agreement has a term of two years ending on January 1, 2010. EchoStar may terminate the transition services agreement with respect to a particular service for any reason upon thirty days prior written notice.</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Management Services Agreement. </w:t>
      </w:r>
      <w:r>
        <w:rPr>
          <w:rFonts w:ascii="Arial" w:cs="Arial" w:eastAsia="Arial" w:hAnsi="Arial"/>
          <w:sz w:val="16"/>
          <w:szCs w:val="16"/>
          <w:color w:val="auto"/>
        </w:rPr>
        <w:t>DISH entered into a management services agreement with EchoStar pursuant to which DISH makes certain of its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provide services (which are primarily legal and accounting services) to EchoStar. Specifically, Bernard L. Han, R. Stanton Dodge and Paul W. Orban remain employed by DISH, but also serve as EchoStar’s Executive Vice President and Chief Financial Officer, Executive Vice President and General Counsel, and Senior Vice President and Controller, respectively. EchoStar makes payments to DISH based upon an allocable portion of the personnel costs and expenses incurred by DISH with respect to such officers (taking into account wages and fringe benefits). These allocations are based upon the estimated percentages of time to be spent by DISH's executive officers performing services for EchoStar under the management services agreement. EchoStar also reimburses DISH for direct out-of-pocket costs incurred by DISH for management services provided to EchoStar. DISH and EchoStar evaluate all charges for reasonableness at least annually and make any adjustments to these charges as DISH and EchoStar mutually agree upon.</w:t>
      </w:r>
    </w:p>
    <w:p>
      <w:pPr>
        <w:spacing w:after="0" w:line="5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management services agreement is for a one year period commencing on January 1, 2008, and will be renewed automatically for successive one-year periods thereafter, unless terminated earlier (i) by EchoStar at any time upon at least 30 days’ prior written notice, (ii) by DISH at the end of any renewal term, upon at least 180 days’ prior notice; or (iii) by DISH upon written notice to EchoStar, following certain changes in control.</w:t>
      </w:r>
    </w:p>
    <w:p>
      <w:pPr>
        <w:spacing w:after="0" w:line="5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Real Estate Lease Agreement</w:t>
      </w:r>
      <w:r>
        <w:rPr>
          <w:rFonts w:ascii="Arial" w:cs="Arial" w:eastAsia="Arial" w:hAnsi="Arial"/>
          <w:sz w:val="16"/>
          <w:szCs w:val="16"/>
          <w:color w:val="auto"/>
        </w:rPr>
        <w:t>. During 2008, DISH subleased space at 185 Varick Street, New York, New York to EchoStar for a period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seven years. The rent on a per square foot basis for this sublease was comparable to per square foot rental rates of similar commercial property in the same geographic area at the time of the sublease, and EchoStar is responsible for its portion of the taxes, insurance, utilities and maintenance of the premises.</w:t>
      </w:r>
    </w:p>
    <w:p>
      <w:pPr>
        <w:spacing w:after="0" w:line="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Packout Services Agreement. </w:t>
      </w:r>
      <w:r>
        <w:rPr>
          <w:rFonts w:ascii="Arial" w:cs="Arial" w:eastAsia="Arial" w:hAnsi="Arial"/>
          <w:sz w:val="18"/>
          <w:szCs w:val="18"/>
          <w:color w:val="auto"/>
        </w:rPr>
        <w:t>We entered into a packout services agreement with EchoStar, whereby EchoStar has the right, but not the obligation, to engage</w:t>
      </w:r>
      <w:r>
        <w:rPr>
          <w:rFonts w:ascii="Arial" w:cs="Arial" w:eastAsia="Arial" w:hAnsi="Arial"/>
          <w:sz w:val="18"/>
          <w:szCs w:val="18"/>
          <w:i w:val="1"/>
          <w:iCs w:val="1"/>
          <w:color w:val="auto"/>
        </w:rPr>
        <w:t xml:space="preserve"> </w:t>
      </w:r>
      <w:r>
        <w:rPr>
          <w:rFonts w:ascii="Arial" w:cs="Arial" w:eastAsia="Arial" w:hAnsi="Arial"/>
          <w:sz w:val="18"/>
          <w:szCs w:val="18"/>
          <w:color w:val="auto"/>
        </w:rPr>
        <w:t>us to package and ship satellite receivers to customers that are not associated with us. The fees charged by us for the services provided under the packout services agreement are equal to our cost plus a fixed margin, which varies depending on the nature of the products and services provided. The original one year term of the packout services agreement was extended for an additional one year term and expires on December 31, 2009. EchoStar may terminate this agreement for any reason upon sixty days’ prior written notice to us. In the event of an early termination of this agreement, EchoStar will be entitled to a refund of any unearned fees paid to us for the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and transmission expenses — EchoStar”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Broadcast Agreement. </w:t>
      </w:r>
      <w:r>
        <w:rPr>
          <w:rFonts w:ascii="Arial" w:cs="Arial" w:eastAsia="Arial" w:hAnsi="Arial"/>
          <w:sz w:val="18"/>
          <w:szCs w:val="18"/>
          <w:color w:val="auto"/>
        </w:rPr>
        <w:t>We entered into a broadcast agreement pursuant to which EchoStar provides us broadcast services, including teleport services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and downlinking, channel origination, and channel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management services for a two year period ending on January 1, 2010. We have the right, but not the obligation, to extend the broadcast agreement annually for up to two years. We have exercised our right to renew this agreement for an additional year. We may terminate channel origination services and channel management services for any reason and without any liability upon sixty days written notice to EchoStar. If we terminate teleport services for a reason other than EchoStar’s breach, we must pay EchoStar the aggregate amount of the remainder of the expected cost of providing the teleport services.</w:t>
      </w:r>
    </w:p>
    <w:p>
      <w:pPr>
        <w:spacing w:after="0" w:line="4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color w:val="auto"/>
        </w:rPr>
        <w:t xml:space="preserve">Satellite Capacity Agreements. </w:t>
      </w:r>
      <w:r>
        <w:rPr>
          <w:rFonts w:ascii="Arial" w:cs="Arial" w:eastAsia="Arial" w:hAnsi="Arial"/>
          <w:sz w:val="17"/>
          <w:szCs w:val="17"/>
          <w:color w:val="auto"/>
        </w:rPr>
        <w:t>We entered into satellite capacity agreements pursuant to which we lease satellite capacity on satellites owned or leased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The fees for the services to be provided under the satellite capacity agreements are based on spot market prices for similar satellite capacity and depend, among other things, upon the orbital location of the satellite and the frequency on which the satellite provides services. Generally, each satellite capacity agreement will terminate upon the earlier of: (i) the end of life or replacement of the satellite; (ii) the date the satellite fails; (iii) the date that the transponder on which service is being provided under the agreement fails; or (iv) January 1, 2010.</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Nimiq 5 Lease Agreement. </w:t>
      </w:r>
      <w:r>
        <w:rPr>
          <w:rFonts w:ascii="Arial" w:cs="Arial" w:eastAsia="Arial" w:hAnsi="Arial"/>
          <w:sz w:val="18"/>
          <w:szCs w:val="18"/>
          <w:color w:val="auto"/>
        </w:rPr>
        <w:t>During March 2008, EchoStar entered into a fifteen-year satellite service agreement with Bell TV, to receive service on 16 DBS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transponders on the Nimiq 5 satellite at the 72.7 degree orbital location. The Nimiq 5 satellite is expected to be launched in the second half of 2009. Bell TV currently has the right to receive service on the entire communications capacity of the Nimiq 5 satellite pursuant to an agreement with Telesat Canada. During March 2008, EchoStar also entered into a transponder service agreement (“Nimiq 5 Transponder Agreement”) with us, pursuant to which we will receive service from EchoStar on all of the DBS transponders covered by EchoStar’s satellite service agreement with Bell TV. DISH has guaranteed certain obligations of EchoStar under the Nimiq 5 Transponder Agreement.</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the terms of the Nimiq 5 Transponder Agreement, we will make certain monthly payments to EchoStar commencing when the Nimiq 5 satellite is placed into service and continuing through the service term. Unless earlier terminated under the terms and conditions of the Nimiq 5 Transponder Agreement, the service term will expire ten years following the date it is placed in service. Upon expiration of the initial term we have the option to renew the Nimiq 5 Transponder Agreement on a year-to-year basis through the end-of-life of the Nimiq 5 satellite. Upon a launch failure, in-orbit failure or end-of-life of the Nimiq 5 satellite, and in certain other circumstances, we have certain rights to receive service from EchoStar on a replacement satellite.</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QuetzSat-1 Lease Agreement. </w:t>
      </w:r>
      <w:r>
        <w:rPr>
          <w:rFonts w:ascii="Arial" w:cs="Arial" w:eastAsia="Arial" w:hAnsi="Arial"/>
          <w:sz w:val="18"/>
          <w:szCs w:val="18"/>
          <w:color w:val="auto"/>
        </w:rPr>
        <w:t>During November 2008, EchoStar entered into a ten-year satellite service agreement with SES, which provides,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for the provision by SES to EchoStar of service on 32 DBS transponders on the QuetzSat-1 satellite expected to be placed in service at the 77 degree orbital location. During November 2008, EchoStar also entered into a transponder service agreement (“QuetzSat-1 Transponder Agreement”) with us pursuant to which we will receive service from EchoStar on 24 of the DBS transponders.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the QuetzSat-1 Transponder Agreement, we will make certain monthly payments to EchoStar commencing when the QuetzSat-1 satellite is placed into service and continuing through the service term. Unless earlier terminated under the terms and conditions of the QuetzSat-1 Transponder Agreement, the service term will expire ten years following the actual service commencement date. Upon expiration of the initial term, we have the option to renew the QuetzSat-1 Transponder Agreement on a year-to-year basis through the end-of-life of the QuetzSat-1 satellite. Upon a launch failure, in-orbit failure or end-of-life of the QuetzSat-1 satellite, and in certain other circumstances, we have certain rights to receive service from EchoStar on a replacement satellite.</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TT&amp;C Agreement. </w:t>
      </w:r>
      <w:r>
        <w:rPr>
          <w:rFonts w:ascii="Arial" w:cs="Arial" w:eastAsia="Arial" w:hAnsi="Arial"/>
          <w:sz w:val="17"/>
          <w:szCs w:val="17"/>
          <w:color w:val="auto"/>
        </w:rPr>
        <w:t>We entered into a telemetry, tracking and control (“TT&amp;C”) agreement pursuant to which we receive TT&amp;C services from EchoStar for a</w:t>
      </w:r>
      <w:r>
        <w:rPr>
          <w:rFonts w:ascii="Arial" w:cs="Arial" w:eastAsia="Arial" w:hAnsi="Arial"/>
          <w:sz w:val="17"/>
          <w:szCs w:val="17"/>
          <w:i w:val="1"/>
          <w:iCs w:val="1"/>
          <w:color w:val="auto"/>
        </w:rPr>
        <w:t xml:space="preserve"> </w:t>
      </w:r>
      <w:r>
        <w:rPr>
          <w:rFonts w:ascii="Arial" w:cs="Arial" w:eastAsia="Arial" w:hAnsi="Arial"/>
          <w:sz w:val="17"/>
          <w:szCs w:val="17"/>
          <w:color w:val="auto"/>
        </w:rPr>
        <w:t>two year period ending on January 1, 2010. DISH Network has the right, but not the obligation, to extend the agreement annually for up to two years. We have exercised our right to renew this agreement for an additional year. The fees for the services provided under the TT&amp;C agreement are cost plus a fixed margin. We may terminate the TT&amp;C agreement for any reason upon sixty days prior written notice.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Satellite Procurement Agreement. </w:t>
      </w:r>
      <w:r>
        <w:rPr>
          <w:rFonts w:ascii="Arial" w:cs="Arial" w:eastAsia="Arial" w:hAnsi="Arial"/>
          <w:sz w:val="16"/>
          <w:szCs w:val="16"/>
          <w:color w:val="auto"/>
        </w:rPr>
        <w:t>We entered into a satellite procurement agreement pursuant to which we have the right, but not the obligation, to engage</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to manage the process of procuring new satellite capacity for DISH Network. The satellite procurement agreement has a two year term expiring on January 1, 2010. The fees for the services to be provided under the satellite procurement agreement are cost plus a fixed margin, which varies depending on the nature of the services provided. We may terminate the satellite procurement agreement for any reason upon sixty days prior written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subscriber promotion subsidies — EchoStar”</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Receiver Agreement. </w:t>
      </w:r>
      <w:r>
        <w:rPr>
          <w:rFonts w:ascii="Arial" w:cs="Arial" w:eastAsia="Arial" w:hAnsi="Arial"/>
          <w:sz w:val="18"/>
          <w:szCs w:val="18"/>
          <w:color w:val="auto"/>
        </w:rPr>
        <w:t>EchoStar is currently our sole supplier of set-top box receivers. During the three months ended March 31, 2009 and 2008, we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set-top box and other equipment from EchoStar totaling $320 million and $372 million, respectively. Of these amounts, $24 million and $31 million are included in “Cost of sales — subscriber promotion subsidies — EchoStar” on our Condensed Consolidated Statements of Operations and Comprehensive Income (Loss) for the three months ended March 31, 2009 and 2008, respectively. The remaining amount is included in “Inventories, net” and “Property and equipment, net” on our Condensed Consolidated Balance Sheets.</w:t>
      </w:r>
    </w:p>
    <w:p>
      <w:pPr>
        <w:spacing w:after="0" w:line="8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Under our receiver agreement with EchoStar, we have the right but not the obligation to purchase digital set-top boxes and related accessories, and other equipment from EchoStar for a two year period ending on January 1, 2010. We also have the right, but not the obligation, to extend the receiver agreement annually for up to two years. We have exercised our right to renew this agreement for an additional year. The receiver agreement allows us to purchase receivers and accessories from EchoStar at cost plus a fixed margin, which varies depending on the nature of the equipment purchased. Additionally, EchoStar provides us with standard manufacturer warranties for the goods sold under the receiver agreement. We may terminate the receiver agreement for any reason upon sixty days written notice to EchoStar. EchoStar may terminate the receiver agreement if certain entities were to acquire us. The receiver agreement also includes an indemnification provision, whereby the parties indemnify each other for certain intellectual property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 EchoStar”</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Product Support Agreement. </w:t>
      </w:r>
      <w:r>
        <w:rPr>
          <w:rFonts w:ascii="Arial" w:cs="Arial" w:eastAsia="Arial" w:hAnsi="Arial"/>
          <w:sz w:val="17"/>
          <w:szCs w:val="17"/>
          <w:color w:val="auto"/>
        </w:rPr>
        <w:t>We entered into a product support agreement pursuant to which we have the right, but not the obligation to receive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from EchoStar (including certain engineering and technical support services) for all digital set-top boxes and related accessories that EchoStar has previously sold and in the future sells to us. The fees for the services provided under the product support agreement are cost plus a fixed margin, which varies depending on the nature of the services provided. The term of the product support agreement is the economic life of such receivers and related accessories, unless terminated earlier. We may terminate the product support agreement for any reason upon sixty days prior written notice. In the event of an early termination of this agreement, we are entitled to a refund of any unearned fees paid to EchoStar for the services.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entered into certain lease agreements with EchoStar. The rent on a per square foot basis for each of the leases is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per square foot rental rates of similar commercial property in the same geographic area, and EchoStar is responsible for its portion of the taxes, insurance, utilities and maintenance of the premises. The term of each of the leases is set forth below:</w:t>
      </w:r>
    </w:p>
    <w:p>
      <w:pPr>
        <w:spacing w:after="0" w:line="73"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i w:val="1"/>
          <w:iCs w:val="1"/>
          <w:color w:val="auto"/>
        </w:rPr>
        <w:t xml:space="preserve">Inverness Lease Agreement. </w:t>
      </w:r>
      <w:r>
        <w:rPr>
          <w:rFonts w:ascii="Arial" w:cs="Arial" w:eastAsia="Arial" w:hAnsi="Arial"/>
          <w:sz w:val="18"/>
          <w:szCs w:val="18"/>
          <w:color w:val="auto"/>
        </w:rPr>
        <w:t>The lease for certain space at 90 Inverness Circle East in Englewood, Colorado, is for a period of two years ending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2010.</w:t>
      </w:r>
    </w:p>
    <w:p>
      <w:pPr>
        <w:spacing w:after="0" w:line="62"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all of 9601 S. Meridian Blvd. in Englewood, Colorado, is for a period of two years ending on January 1, 2010</w:t>
      </w:r>
      <w:r>
        <w:rPr>
          <w:rFonts w:ascii="Arial" w:cs="Arial" w:eastAsia="Arial" w:hAnsi="Arial"/>
          <w:sz w:val="18"/>
          <w:szCs w:val="18"/>
          <w:i w:val="1"/>
          <w:iCs w:val="1"/>
          <w:color w:val="auto"/>
        </w:rPr>
        <w:t xml:space="preserve"> </w:t>
      </w:r>
      <w:r>
        <w:rPr>
          <w:rFonts w:ascii="Arial" w:cs="Arial" w:eastAsia="Arial" w:hAnsi="Arial"/>
          <w:sz w:val="18"/>
          <w:szCs w:val="18"/>
          <w:color w:val="auto"/>
        </w:rPr>
        <w:t>with annual renewal options for up to three additional years.</w:t>
      </w:r>
    </w:p>
    <w:p>
      <w:pPr>
        <w:spacing w:after="0" w:line="62"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i w:val="1"/>
          <w:iCs w:val="1"/>
          <w:color w:val="auto"/>
        </w:rPr>
        <w:t xml:space="preserve">Santa Fe Lease Agreement. </w:t>
      </w:r>
      <w:r>
        <w:rPr>
          <w:rFonts w:ascii="Arial" w:cs="Arial" w:eastAsia="Arial" w:hAnsi="Arial"/>
          <w:sz w:val="18"/>
          <w:szCs w:val="18"/>
          <w:color w:val="auto"/>
        </w:rPr>
        <w:t>The lease for all of 5701 S. Santa Fe Dr. in Littleton, Colorado, is for a period of two years ending on January 1, 2010 with</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renewal options for up to three additional years.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The lease for certain space at 801 N. DISH Dr. in Gilbert, Arizona, is for a period of two years ending on January 1, 2010 with</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renewal options for up to three additional years.</w:t>
      </w:r>
    </w:p>
    <w:p>
      <w:pPr>
        <w:spacing w:after="0" w:line="62"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i w:val="1"/>
          <w:iCs w:val="1"/>
          <w:color w:val="auto"/>
        </w:rPr>
        <w:t>EDN Sublease Agreement</w:t>
      </w:r>
      <w:r>
        <w:rPr>
          <w:rFonts w:ascii="Arial" w:cs="Arial" w:eastAsia="Arial" w:hAnsi="Arial"/>
          <w:sz w:val="18"/>
          <w:szCs w:val="18"/>
          <w:color w:val="auto"/>
        </w:rPr>
        <w:t>. The sublease for certain space at 211 Perimeter Center in Atlanta, Georgia, is for a period of three years, ending on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Services Agreement. </w:t>
      </w:r>
      <w:r>
        <w:rPr>
          <w:rFonts w:ascii="Arial" w:cs="Arial" w:eastAsia="Arial" w:hAnsi="Arial"/>
          <w:sz w:val="18"/>
          <w:szCs w:val="18"/>
          <w:color w:val="auto"/>
        </w:rPr>
        <w:t>DISH entered into a services agreement pursuant to which it has the right, but not the obligation, to receive logistics, procurement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assurance services from EchoStar. The fees for the services provided under this services agreement are cost plus a fixed margin, which varies depending on the nature of the services provided. This agreement has a term of two years ending on January 1, 2010. DISH may terminate the services agreement with respect to a particular service for any reason upon sixty days prior written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Tax Sharing Agreement. </w:t>
      </w:r>
      <w:r>
        <w:rPr>
          <w:rFonts w:ascii="Arial" w:cs="Arial" w:eastAsia="Arial" w:hAnsi="Arial"/>
          <w:sz w:val="16"/>
          <w:szCs w:val="16"/>
          <w:color w:val="auto"/>
        </w:rPr>
        <w:t>DISH entered into a tax sharing agreement with EchoStar which governs our respective rights, responsibilities and obligations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Spin-off with respect to taxes for the periods ending on or before the Spin-off. Generally, all pre-Spin-off taxes, including any taxes that are incurred as a result of restructuring activities undertaken to implement the Spin-off, will be borne by DISH, and DISH will indemnify EchoStar for such taxes. However, DISH will not be liable for and will not indemnify EchoStar for any taxes that are incurred as a result of the Spin-off or certain related transactions failing to qualify as tax-free distributions pursuant to any provision of Section 355 or Section 361 of the Code because of (i) a direct or indirect acquisition of any of EchoStar’s stock, stock 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for, any resulting taxes, as well as any losses, claims and expenses. The tax sharing agreement terminates after the later of the full period of all applicable statutes of limitations including extensions or once all rights and obligations are fully effectuated or performed.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You should read the following narrative analysis of our financial condition and results of operations together with the condensed consolidated financial statements and notes to the financial statements included elsewhere in this quarterly report.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Amendment Number 1 of our Annual Report on Form 10-K for the year ended December 31, 2008, under the caption “Item 1A.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DISH Network’s subscriber base decreased by 94,000 subscribers during the three months ended March 31, 2009. Factors common to the pay-TV industry, as well as factors that were specific to DISH Network, each continued to contribute to this decline.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current overall economic environment has negatively impacted many industries including ours. In addition, the overall growth rate in the pay-TV industry has slowed in recent years as the penetration of pay-TV households approaches 90%. Within this maturing industry, competition has intensified with the rapid growth of fiber-based pay-TV services offered by telecommunications companies. Furthermore, new internet protocol television (“IPTV”) products/services have begun to impact the pay-TV industry and such products/services will become more viable competition over time as their quality improves. In spite of these factors that have impacted the entire pay-TV industry, certain of our competitors have been able to achieve relatively strong results in the current environment.</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While economic factors have impacted the entire pay-TV industry, our relative performance has been mostly driven by issues specific to DISH Network. In recent years, DISH Network’s position as the low cost provider in the pay-TV industry has been eroded by increasingly aggressive promotional pricing used by our competitors to attract new subscribers and similarly aggressive promotions and tactics used to retain existing subscribers. Some competitors have been especially aggressive and effective in marketing the value and quality of their service. Furthermore, our subscriber growth has been adversely affected by signal theft and other forms of fraud and by operational inefficiencies at DISH Network. We have not always met our own standards for performing high quality installations, effectively resolving customer issues when they arise, answering customer calls in an acceptable timeframe, effectively communicating with our subscriber base, reducing calls driven by the complexity of our business, improving the reliability of certain systems and subscriber equipment, and aligning the interests of certain third party retailers and installers to provide high quality service.</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distribution relationship with AT&amp;T was a substantial contributor to our gross and net subscriber additions over the past several years, accounting for approximately 17% of our gross subscriber additions for the year ended December 31, 2008. This distribution relationship ended on January 31, 2009. During the three months ended March 31, 2009, AT&amp;T contributed 5% of our gross subscriber additions. AT&amp;T has entered into a new distribution relationship with DirecTV. It may be difficult for us to develop alternative distribution channels that will fully replace AT&amp;T and if we are unable to do so, our gross and net subscriber additions may be further impacted, our subscriber churn may increase, and our results of operations may be adversely affected. In addition, approximately one million of our current subscribers were acquired through our distribution relationship with AT&amp;T and subscribers acquired through this channel have historically churned at a higher rate than our overall subscriber base. Although AT&amp;T is not permitted to target these subscribers for transition to another pay-TV service and we and AT&amp;T are required to maintain bundled billing and cooperative customer service for these subscribers, these subscribers may still churn at higher than historical rates following termination of the AT&amp;T distribution relationship.</w:t>
      </w:r>
    </w:p>
    <w:p>
      <w:pPr>
        <w:spacing w:after="0" w:line="5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been investing more in advanced technology equipment as part of our subscriber acquisition and retention efforts. Recent initiatives to transmit certain programming only in MPEG-4 and to activate certain new subscribers only with MPEG-4 receivers have accelerated our deployment of MPEG-4 receivers. To meet current demand, we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have increased the rate at which we upgrade existing subscribers to HD and DVR receivers. While these efforts may increase our subscriber acquisition and retention costs, we believe that they will help reduce subscriber churn and costs over the long run.</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also been changing equipment for certain subscribers to free up satellite bandwidth in support of HD and other initiatives. We expect to implement these initiatives at least through the first half of 2009. We believe that the benefit from the increase in available satellite bandwidth outweighs the short-term cost of these equipment changes.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combat signal theft and improve the security of our broadcast system, we are in the process of replacing our security access devices and expect this initiative to last through the first half of 2009. To combat other forms of fraud, we have taken a wide range of actions including terminating retailers that we believe were in violation of DISH Network’s business rules. While these initiatives may inconvenience our subscribers and disrupt our distribution channels in the short term, we believe that the long-term benefits will outweigh the costs.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address our operational inefficiency, we continue to make significant investments in staffing, training, information systems, and other initiatives, primarily in our call center and in-home service businesses. These investments are intended to help combat inefficiencies introduced by the increasing complexity of our business, improve customer satisfaction, reduce churn, increase productivity, and allow us to scale better over the long run. We cannot, however, be certain that our increased spending will ultimately be successful in yielding such returns. In the meantime, we may continue to incur higher costs as a result of both our operational inefficiencies and increased spending.</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Over the long run, we will use Slingbox “placeshifting” technology and other technologies to maintain and enhance our competitiveness. We may also partner with or acquire companies whose lines of business are complementary to ours should attractive opportunities arise.</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adoption of the above measures has contributed to higher expenses and lower margins. While we believe that the increased costs will be outweighed by longer-term benefits, there can be no assurance when or if we will realize these benefits at all. Programming costs represent a large percentage of our “Subscriber-related expenses.” As a result, our margins may face further downward pressure from price escalations in current contracts and the renewal of long-term programming contracts on less favorable pricing terms.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Drivers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Like many companies, we make general investments in property such as satellites, information technology, and facilities that support our overall business. As a subscriber-based company, however, we also make customer-specific investments to acquire new subscribers and retain existing subscribers. While the general investments may be deferred without impacting the business in the short-term, the customer-specific investments are less discretionary. Our overall objective is to generate sufficient cash flow over the life of each subscriber in order to provide an adequate return against the upfront investment. Once the upfront investment has been made for each subscriber, the subsequent cash flow is generally positive.</w:t>
      </w:r>
    </w:p>
    <w:p>
      <w:pPr>
        <w:spacing w:after="0" w:line="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From a company standpoint, there are a number of factors that impact our future cash flow compared to the cash flow we generate at a given point in time. The first factor is how successful we are at retaining our current subscribers. As we lose subscribers from our existing base, the positive cash flow from that base is correspondingly reduced. The second factor is how successful we are at maintaining our subscriber-related margins. To the extent our “Subscriber-related expenses” grow faster than our “Subscriber-related revenue,” the amount of cash flow that is generated per existing subscriber is reduced. The third factor is the rate at which we acquire new subscribers. The faster we acquire new subscribers, the more our positive ongoing cash flow from existing subscribers is offset by the negative upfront cash flow associated with new subscribers. Finally, our future cash flow is impacted by the rate at which we make general investments and any cash flow from financing activities.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our business has slowed due to the external and internal factors previously discussed, the biggest impact to our cash flow has been a reduction in customer-specific investments to acquire new subscribers. While fewer subscribers might translate into lower ongoing cash flow in the long-term, cash flow is actually aided in the short-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term by the reduction in customer-specific investment spending. As a result, a slow down in our business due to external or internal factors does not introduce the same level of short-term liquidity risk as it might in other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While the ability to raise capital has generally existed for DISH even during the recent market turmoil, the cost of such capital has not been as attractive as in prior periods. Because of the cash flow situation of our company and the absence of any material debt payments over the next two years, the higher cost of capital will not impact our current operations. However, we might be less likely than we would otherwise be to pursue initiatives which could increase shareholder value over the long run, such as making strategic investments, or prepaying debt. Alternatively, if we decided to still pursue such initiatives, the cost of doing so would be greater. Currently, we have no existing lines of credit, nor have we historically.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most material trends that we experienced in 2008, being the net loss of subscribers and the reduction in subscriber-related margins, have continued into the first quarter of 2009. We lost 102,000 net subscribers in 2008 and an additional 94,000 net subscribers in the first quarter of 2009. Our AT&amp;T agreement expired on February 1, 2009 but we continued to activate new subscribers that had ordered DISH Network service through AT&amp;T prior to February 1</w:t>
      </w:r>
      <w:r>
        <w:rPr>
          <w:rFonts w:ascii="Arial" w:cs="Arial" w:eastAsia="Arial" w:hAnsi="Arial"/>
          <w:sz w:val="14"/>
          <w:szCs w:val="14"/>
          <w:color w:val="auto"/>
        </w:rPr>
        <w:t>st</w:t>
      </w:r>
      <w:r>
        <w:rPr>
          <w:rFonts w:ascii="Arial" w:cs="Arial" w:eastAsia="Arial" w:hAnsi="Arial"/>
          <w:sz w:val="17"/>
          <w:szCs w:val="17"/>
          <w:color w:val="auto"/>
        </w:rPr>
        <w:t xml:space="preserve"> through the end of February. Our “Subscriber-related expenses” as a percentage of “Subscriber-related revenue” grew from 51.4% to 52.2% in 2008 and reached 54.1% in the first quarter of 2009. Our “Subscriber-related expenses” continued to be negatively impacted by initiatives to retain subscribers, free up transponder capacity, and improve customer service. Uncertainties about these trends may impact our cash flow and results of operations but, as discussed above, are unlikely to impact current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1, 2008, DISH completed the separation of the assets and businesses, certain of which we historically owned and operated, into two companies (the “Spin-off”):</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DISH Network Corporation </w:t>
      </w:r>
      <w:r>
        <w:rPr>
          <w:rFonts w:ascii="Arial" w:cs="Arial" w:eastAsia="Arial" w:hAnsi="Arial"/>
          <w:sz w:val="18"/>
          <w:szCs w:val="18"/>
          <w:color w:val="auto"/>
        </w:rPr>
        <w:t>— which retained its DISH Network</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television business, and</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EchoStar Corporation </w:t>
      </w:r>
      <w:r>
        <w:rPr>
          <w:rFonts w:ascii="Arial" w:cs="Arial" w:eastAsia="Arial" w:hAnsi="Arial"/>
          <w:sz w:val="18"/>
          <w:szCs w:val="18"/>
          <w:color w:val="auto"/>
        </w:rPr>
        <w:t>(“EchoStar”) — which sells equipment, including set-top boxes and related components, to DISH Network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provides digital broadcast operations and satellite services to DISH Network and other customers.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DISH and EchoStar now operate as separate publicly traded companies, and neither entity has any ownership interest in the other. However, a majority of the voting power of both companies is owned beneficially by Charles W. Ergen, our Chairman, President and Chief Executive Officer. In connection with the Spin-off, DISH entered into certain agreements with EchoStar to define responsibility for obligations relating to, among other things, set-top box sales, transition services, taxes, employees and intellectual property, which impact several of our key operating metrics. Subsequent to the Spin-off, DISH has entered into certain other agreements with EchoStar and may enter into additional agreements with EchoStar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17"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i w:val="1"/>
          <w:iCs w:val="1"/>
          <w:color w:val="auto"/>
        </w:rPr>
        <w:t>Subscriber-related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“Subscriber-related revenue” consists principally of revenue from basic, movie, local, pay-per-view, Latino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television services, equipment rental fees and other hardware related fees, including fees for DVRs and additional outlet fees from subscribers with multiple receivers, advertising services, fees earned from our DishHOME Protection Plan, equipment upgrade fees, HD programming and other subscriber revenue. Certain of the amounts included in “Subscriber-related revenue” are not recurring on a monthly basis.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unsubsidized sales of DBS accessories to retailers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third-party distributors of our equipment domestically and to DISH Network subscribers.</w:t>
      </w:r>
    </w:p>
    <w:p>
      <w:pPr>
        <w:spacing w:after="0" w:line="5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 xml:space="preserve">Equipment sales, transitional services and other revenue — EchoStar. </w:t>
      </w:r>
      <w:r>
        <w:rPr>
          <w:rFonts w:ascii="Arial" w:cs="Arial" w:eastAsia="Arial" w:hAnsi="Arial"/>
          <w:sz w:val="17"/>
          <w:szCs w:val="17"/>
          <w:color w:val="auto"/>
        </w:rPr>
        <w:t>“Equipment sales, transitional services and other revenue — EchoStar”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related to equipment sales, and transitional services and other agreements with EchoStar associated with the Spin-off.</w:t>
      </w:r>
    </w:p>
    <w:p>
      <w:pPr>
        <w:spacing w:after="0" w:line="3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Subscriber-related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“Subscriber-related expenses” principally include programming expenses, costs incurred in connection with our in-home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call center operations, billing costs, refurbishment and repair costs related to receiver systems, subscriber retention and other variable subscriber expenses.</w:t>
      </w:r>
    </w:p>
    <w:p>
      <w:pPr>
        <w:spacing w:after="0" w:line="68"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i w:val="1"/>
          <w:iCs w:val="1"/>
          <w:color w:val="auto"/>
        </w:rPr>
        <w:t>Satellite and transmission expenses — EchoStar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“Satellite and transmission expenses — EchoStar” includes the cost of digital broadcast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to us by EchoStar, including satellite uplinking/downlinking, signal processing, conditional access management, telemetry, tracking and control and other professional services. In addition, this category includes the cost of leasing satellite and transponder capacity on satellites from EchoStar.</w:t>
      </w:r>
    </w:p>
    <w:p>
      <w:pPr>
        <w:spacing w:after="0" w:line="3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Satellite and transmission expenses — 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and transmission expenses — other” includes executory costs associated with capital leases and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transponder leases and other related services.</w:t>
      </w:r>
    </w:p>
    <w:p>
      <w:pPr>
        <w:spacing w:after="0" w:line="5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 xml:space="preserve">Equipment, transitional services and other cost of sales. </w:t>
      </w:r>
      <w:r>
        <w:rPr>
          <w:rFonts w:ascii="Arial" w:cs="Arial" w:eastAsia="Arial" w:hAnsi="Arial"/>
          <w:sz w:val="16"/>
          <w:szCs w:val="16"/>
          <w:color w:val="auto"/>
        </w:rPr>
        <w:t>“Equipment, transitional services and other cost of sales” principally includes the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unsubsidized sales of DBS accessories to retailers and other distributors of our equipment domestically and to DISH Network subscribers. In addition, this category includes costs related to equipment sales, transitional services and other agreements with EchoStar associated with the Spin-off.</w:t>
      </w:r>
    </w:p>
    <w:p>
      <w:pPr>
        <w:spacing w:after="0" w:line="3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i w:val="1"/>
          <w:iCs w:val="1"/>
          <w:color w:val="auto"/>
        </w:rPr>
        <w:t>Subscriber acquisition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leasing receivers, we generally subsidize installation and all or a portion of the cost of our receiver systems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attract new DISH Network subscribers. Our “Subscriber acquisition costs” include the cost of these receiver systems sold to retailers and other distributors of our equipment, the cost of these receiver systems sold directly by us to subscribers, net costs related to our promotional incentives, and costs related to installation and acquisition advertising. We exclude the value of equipment capitalized under our lease program for new subscribers from “Subscriber acquisition costs.”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SAC. </w:t>
      </w:r>
      <w:r>
        <w:rPr>
          <w:rFonts w:ascii="Arial" w:cs="Arial" w:eastAsia="Arial" w:hAnsi="Arial"/>
          <w:sz w:val="18"/>
          <w:szCs w:val="18"/>
          <w:color w:val="auto"/>
        </w:rPr>
        <w:t>Management believes subscriber acquisition cost measures are commonly used by those evaluating companies in the pay-TV industry. We are not 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uniform standards for calculating the “average subscriber acquisition costs per new subscriber activation,” or SAC, and we believe presentations of SAC may not be calculated consistently by different companies in the same or similar businesses. Our SAC is calculated as “Subscriber acquisition costs,” plus the value of equipment capitalized under our lease program for new subscribers, divided by gross subscriber additions. We include all the costs of acquiring subscribers (e.g., subsidized and capitalized equipment) as our management believes it is a more comprehensive measure of how much we are spending to acquire subscribers. We also include all new DISH Network subscribers in our calculation, including DISH Network subscribers added with little or no subscriber acquisition costs.</w:t>
      </w:r>
    </w:p>
    <w:p>
      <w:pPr>
        <w:spacing w:after="0" w:line="77"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consists primarily of employee-related costs associated with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such as legal, information systems, accounting and finance, including non-cash, stock-based compensation expense. It also includes outside professional fees (e.g., legal, information systems and accounting services) and other items associated with facilities and administration.</w:t>
      </w:r>
    </w:p>
    <w:p>
      <w:pPr>
        <w:spacing w:after="0" w:line="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 includes interest expense, prepayment premiums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debt issuance costs associated with our senior debt (net of capitalized interest) and interest expense associated with our capital lease obligations.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equity in earnings and losses of our affiliates, gains and losses realized on the sale of investments,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of marketable and non-marketable investment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 income (loss)” plus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“Taxes” and “Depreciation and amortization.” This “non-GAAP measure” is reconciled to net income (loss) in our discussion of “Results of Operations” below.</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DISH Network subscribers. </w:t>
      </w:r>
      <w:r>
        <w:rPr>
          <w:rFonts w:ascii="Arial" w:cs="Arial" w:eastAsia="Arial" w:hAnsi="Arial"/>
          <w:sz w:val="16"/>
          <w:szCs w:val="16"/>
          <w:color w:val="auto"/>
        </w:rPr>
        <w:t>We include customers obtained through direct sales, and third-party retailers and other distribution relationships in our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subscriber count. We also provide DISH Network service to hotels, motels and other commercial accounts. For certain of these commercial accounts, we divide our total revenue for these commercial accounts by an amount approximately equal to the retail price of our Classic Bronze 100 programming package (but taking into account, periodically, price changes and other factors), and include the resulting number, which is substantially smaller than the actual number of commercial units served, in our DISH Network subscriber count. Previously, our end of period DISH Network subscriber count was rounded down to the nearest five thousand. However, beginning December 31, 2008, we round to the nearest one thousand.</w:t>
      </w:r>
    </w:p>
    <w:p>
      <w:pPr>
        <w:spacing w:after="0" w:line="5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i w:val="1"/>
          <w:iCs w:val="1"/>
          <w:color w:val="auto"/>
        </w:rPr>
        <w:t>Average monthly revenue per subscriber (“ARPU”)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not aware of any uniform standards for calculating ARPU and believe presentations of ARPU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be calculated consistently by other companies in the same or similar businesses. We calculate average monthly revenue per subscriber, or ARPU, by dividing average monthly “Subscriber-related revenue” for the period (total “Subscriber-related revenue” during the period divided by the number of months in the period) by our average DISH Network subscribers for the period. Average DISH Network subscribers are calculated for the period by adding the average DISH Network subscribers for each month and dividing by the number of months in the period. Average DISH Network subscribers for each month are calculated by adding the beginning and ending DISH Network subscribers for the month and dividing by two.</w:t>
      </w:r>
    </w:p>
    <w:p>
      <w:pPr>
        <w:spacing w:after="0" w:line="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Subscriber churn rate. </w:t>
      </w:r>
      <w:r>
        <w:rPr>
          <w:rFonts w:ascii="Arial" w:cs="Arial" w:eastAsia="Arial" w:hAnsi="Arial"/>
          <w:sz w:val="17"/>
          <w:szCs w:val="17"/>
          <w:color w:val="auto"/>
        </w:rPr>
        <w:t>We are not aware of any uniform standards for calculating subscriber churn rate and believe presentations of subscriber churn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not be calculated consistently by different companies in the same or similar businesses. We calculate subscriber churn rate for any period by dividing the number of DISH Network subscribers who terminated service during the period by the average monthly DISH Network subscribers during the period, and further dividing by the number of months in the period. When calculating subscriber churn, as is the case when calculating ARPU, the number of subscribers in a given month is based on the average of the beginning-of-month and the end-of-month subscriber counts.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Compared to the Three Months Ended March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Ended March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748"/>
              <w:spacing w:after="0" w:line="142"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Subscriber-related 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2,864,939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w w:val="89"/>
              </w:rPr>
              <w:t>2,810,426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54,513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and other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7,294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9"/>
              </w:rPr>
              <w:t>Equipment sales, transitional services and other revenue — EchoStar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8,036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(880)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2,905,320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2,844,393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60,927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Subscriber-related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1,550,078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1,444,641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89"/>
              </w:rPr>
              <w:t>105,437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b w:val="1"/>
                <w:bCs w:val="1"/>
                <w:color w:val="auto"/>
              </w:rPr>
              <w:t>% of Subscriber-related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51.4%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Satellite and transmission expenses — EchoStar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80,757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78,253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2,504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b w:val="1"/>
                <w:bCs w:val="1"/>
                <w:color w:val="auto"/>
              </w:rPr>
              <w:t>% of Subscriber-related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Satellite and transmission expenses —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7,664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b w:val="1"/>
                <w:bCs w:val="1"/>
                <w:color w:val="auto"/>
              </w:rPr>
              <w:t>% of Subscriber-related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Equipment, transitional services and other cost of sales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31,814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8,685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Subscriber acquisition costs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292,203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374,956</w:t>
            </w: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w w:val="95"/>
              </w:rPr>
              <w:t>(82,753)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136,696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128,726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7,970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b w:val="1"/>
                <w:bCs w:val="1"/>
                <w:color w:val="auto"/>
              </w:rPr>
              <w:t>% of Total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223,288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272,368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5"/>
              </w:rPr>
              <w:t>(49,080)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2,330,542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2,338,422</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574,778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505,971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68,807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43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13,822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5"/>
              </w:rPr>
              <w:t>(10,834)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 net of amounts capitalized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(87,107)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(87,841)</w:t>
            </w:r>
          </w:p>
        </w:tc>
        <w:tc>
          <w:tcPr>
            <w:tcW w:w="100" w:type="dxa"/>
            <w:vAlign w:val="bottom"/>
          </w:tcPr>
          <w:p>
            <w:pPr>
              <w:spacing w:after="0"/>
              <w:rPr>
                <w:sz w:val="18"/>
                <w:szCs w:val="18"/>
                <w:color w:val="auto"/>
              </w:rPr>
            </w:pP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734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2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(87,715)</w:t>
            </w:r>
          </w:p>
        </w:tc>
        <w:tc>
          <w:tcPr>
            <w:tcW w:w="4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(77,307)</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(10,408)</w:t>
            </w:r>
          </w:p>
        </w:tc>
        <w:tc>
          <w:tcPr>
            <w:tcW w:w="720" w:type="dxa"/>
            <w:vAlign w:val="bottom"/>
            <w:vMerge w:val="continue"/>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487,063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428,664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58,399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(provision) benefit,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(183,418)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(165,684)</w:t>
            </w: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w w:val="95"/>
              </w:rPr>
              <w:t>(17,734)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Effective tax rate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303,645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262,980</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40,665</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DISH Network subscribers, as of period end (in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13.584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(0.231)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DISH Network subscriber additions, gross (in millions)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(0.077)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DISH Network subscriber additions, net (in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0.035</w:t>
            </w: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(0.129)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subscriber churn rate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Average monthly revenue per subscriber (“ARPU”)</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70.03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67.93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2.10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Average subscriber acquisition cost per subscriber (“SAC”)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794,470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775,051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19,419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9"/>
              </w:rPr>
              <w:t>30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Revenue totaled $2.905 billion for the three months ended March 31, 2009, an increase of $61 million or 2.1%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Net income totaled $304 million, an increase of $41 million or 15.5%.</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DISH Network’s net new subscribers continued to decline during the quarter and “Subscriber-related expenses” have continued to increase, negatively impacting our subscriber-related margins. Factors common to the pay-TV industry, as well as factors that were specific to DISH Network, each continued to contribute to this decline. Our “Subscriber-related expenses” continued to be negatively impacted by initiatives to retain subscribers, free up transponder capacity, and improve customer service.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DISH Network subscribers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March 31, 2009, we had approximately 13.584 million DISH Network subscribers compared to approximately</w:t>
      </w:r>
    </w:p>
    <w:p>
      <w:pPr>
        <w:spacing w:after="0" w:line="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13.815 million subscribers at March 31, 2008, a decrease of 1.7%. DISH Network added approximately 653,000 gross new subscribers for the three months ended March 31, 2009, compared to approximately 730,000 gross new subscribers during the same period in 2008.</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DISH Network lost approximately 94,000 net new subscribers for the three months ended March 31, 2009, compared to adding approximately 35,000 net new subscribers during the same period in 2008. This decrease primarily resulted from the decrease in gross new subscribers discussed above and an increase in our subscriber churn rate. Our percentage monthly subscriber churn for the three months ended March 31, 2009 was 1.83%, compared to 1.68% for the same period in 2008. Given the increasingly competitive nature of our industry and the current weaker economic conditions, especially the downturn in the financial and consumer markets, we may not be able to reduce churn without significantly increasing our spending on customer retention incentives, which would have a negative effect on our results of operations and free cash flow.</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our gross and net subscriber additions as well as our subscriber churn have been negatively impacted by weaker economic conditions, aggressive promotional and retention offerings by our competition, the loss of our distribution relationship with AT&amp;T discussed below, the heavy marketing of HD service by our competition, the growth of fiber-based and Internet-based pay TV providers, signal theft and other forms of fraud, and operational inefficiencies at DISH Network. We have not always met our own standards for performing high quality installations, effectively resolving customer issues when they arise, answering customer calls in an acceptable timeframe, effectively communicating with our customer base, reducing calls driven by the complexity of our business, improving the reliability of certain systems and customer equipment, and aligning the interests of certain third party retailers and installers to provide high quality service.</w:t>
      </w:r>
    </w:p>
    <w:p>
      <w:pPr>
        <w:spacing w:after="0" w:line="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Most of these factors have affected both gross new subscriber additions as well as existing subscriber churn. Our future gross subscriber additions and subscriber churn may continue to be negatively impacted by these factors, which could in turn adversely affect our revenue growth.</w:t>
      </w:r>
    </w:p>
    <w:p>
      <w:pPr>
        <w:spacing w:after="0" w:line="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distribution relationship with AT&amp;T was a substantial contributor to our gross and net subscriber additions over the past several years, accounting for approximately 17% of our gross subscriber additions for the year ended December 31, 2008. This distribution relationship ended on January 31, 2009. During the three months ended March 31, 2009, AT&amp;T contributed 5% of our gross subscriber additions. AT&amp;T has entered into a new distribution relationship with DirecTV. It may be difficult for us to develop alternative distribution channels that will fully replace AT&amp;T and if we are unable to do so, our gross and net subscriber additions may be further impacted, our subscriber churn may increase, and our results of operations may be adversely affected. In addition, approximately one million of our current subscribers were acquired through our distribution relationship with AT&amp;T and subscribers acquired through this channel have historically churned at a higher rate than our overall subscriber base. Although AT&amp;T is not permitted to target these subscribers for transition to another pay-TV service and we and AT&amp;T are required to maintain bundled billing and cooperative customer service for these subscribers, these subscribers may still churn at higher than historical rates following termination of the AT&amp;T distribution relationship.</w:t>
      </w:r>
    </w:p>
    <w:p>
      <w:pPr>
        <w:spacing w:after="0" w:line="5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Subscriber-related revenue. </w:t>
      </w:r>
      <w:r>
        <w:rPr>
          <w:rFonts w:ascii="Arial" w:cs="Arial" w:eastAsia="Arial" w:hAnsi="Arial"/>
          <w:sz w:val="16"/>
          <w:szCs w:val="16"/>
          <w:color w:val="auto"/>
        </w:rPr>
        <w:t>DISH Network “Subscriber-related revenue” totaled $2.865 billion for the three months ended March 31, 2009,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$55 million or 1.9% compared to the same period in 2008. This increase was primarily related to the increase in “ARPU” discussed below.</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ARPU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Monthly average revenue per subscriber was $70.03 during the three months ended March 31, 2009 versus $67.93 during the same period in 2008.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ARPU is driven by a number of factors including, among other things, price increases and penetration rates of our programming and hardware offerings. The $2.10 or 3.1% increase in ARPU was primarily attributable to price increases in February 2009 and 2008 on some of our most popular programming packages and changes in the sales mix toward HD programming packages and advanced hardware offerings. As a result of our current promotions, which provide an incentive for subscribers to select HD programming packages and advanced hardware offerings, we continue to see increased penetration in our HD programming and hardware related fees, which include fees for DVRs, rental fees and fees earned from our DishHOME Protection Plan. These increases were partially offset by a decrease in pay-per-view buys and premium movie revenue.</w:t>
      </w:r>
    </w:p>
    <w:p>
      <w:pPr>
        <w:spacing w:after="0" w:line="6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totaled $32 million during the three months ended March 31, 2009,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 million or 29.1% compared to the same period during 2008. The increase in “Equipment sales and other revenue” primarily resulted from the sales of digital converter boxes, which is a product line developed to support the digital conversion scheduled for June 2009.</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Subscriber-related expenses. </w:t>
      </w:r>
      <w:r>
        <w:rPr>
          <w:rFonts w:ascii="Arial" w:cs="Arial" w:eastAsia="Arial" w:hAnsi="Arial"/>
          <w:sz w:val="16"/>
          <w:szCs w:val="16"/>
          <w:color w:val="auto"/>
        </w:rPr>
        <w:t>“Subscriber-related expenses” totaled $1.550 billion during the three months ended March 31, 2009, an increase of $105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7.3% compared to the same period 2008. The increase in “Subscriber-related expenses” was primarily attributable to higher costs for: (i) customer retention, (ii) call center and in-home service operations, and (iii) programming content, partially offset by a non-recurring programming expense adjustment of approximately $27 million. The increase in customer retention expense was primarily driven by more upgrading of existing customers to HD and DVR receivers and the changing of equipment for certain subscribers to free up satellite bandwidth in support of HD and other initiatives. We expect to implement the satellite bandwidth initiatives at least through the first half of 2009. We believe that the benefit from the increase in available satellite bandwidth outweighs the short-term cost of these equipment changes. The increases related to call center and in-home service operations were driven in part by our investments in staffing, training, information systems, and other initiatives. These investments are intended to help combat inefficiencies introduced by the increasing complexity of our business and technology, improve customer satisfaction, reduce churn, increase productivity, and allow us to better scale our business over the long run. We cannot, however, be certain that our increased spending will ultimately yield these benefits. In the meantime, we may continue to incur higher costs as a result of both our operational inefficiencies and increased spending. The increase in programming content costs was primarily related to annual price escalation clauses in certain of our programming contracts and the renewal of certain contracts at higher rates. “Subscriber-related expenses” represented 54.1% and 51.4% of “Subscriber-related revenue” during the three months ended March 31, 2009 and 2008, respectively. The increase in this expense to revenue ratio primarily resulted from the increase in “Subscriber-related expenses,” partially offset by an increase in ARPU.</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fully contingent on the number of subscribers to whom we provide the respective content. Our programming expenses will continue to increase to the extent we are successful growing our subscriber base. In addition, our “Subscriber-related expenses” may face further upward pressure from price escalations in current contracts and the renewal of long-term programming contracts on less favorable pricing terms.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Equipment, transitional services and other cost of sales. </w:t>
      </w:r>
      <w:r>
        <w:rPr>
          <w:rFonts w:ascii="Arial" w:cs="Arial" w:eastAsia="Arial" w:hAnsi="Arial"/>
          <w:sz w:val="17"/>
          <w:szCs w:val="17"/>
          <w:color w:val="auto"/>
        </w:rPr>
        <w:t>“Equipment, transitional services and other cost of sales” totaled $40 million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2009, an increase of $9 million or 27.3% compared to the same period in 2008. The increase primarily resulted from costs associated with the sales of digital converter boxes discussed above, and in charges for defective, slow moving and obsolete inventory.</w:t>
      </w:r>
    </w:p>
    <w:p>
      <w:pPr>
        <w:spacing w:after="0" w:line="5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 xml:space="preserve">Subscriber acquisition costs. </w:t>
      </w:r>
      <w:r>
        <w:rPr>
          <w:rFonts w:ascii="Arial" w:cs="Arial" w:eastAsia="Arial" w:hAnsi="Arial"/>
          <w:sz w:val="18"/>
          <w:szCs w:val="18"/>
          <w:color w:val="auto"/>
        </w:rPr>
        <w:t>“Subscriber acquisition costs” totaled $292 million for the three months ended March 31, 2009, a decrease of $83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22.1% compared to the same period in 2008. This decrease was primarily attributable to the decline in gross new subscribers and the decrease in SAC discussed below.</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SAC. </w:t>
      </w:r>
      <w:r>
        <w:rPr>
          <w:rFonts w:ascii="Arial" w:cs="Arial" w:eastAsia="Arial" w:hAnsi="Arial"/>
          <w:sz w:val="17"/>
          <w:szCs w:val="17"/>
          <w:color w:val="auto"/>
        </w:rPr>
        <w:t>SAC was $659 during the three months ended March 31, 2009 compared to $709 during the same period in 2008, a decrease of $50, or 7.1%.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was primarily attributable to a shift in the mix of sales from independent retailers to direct sales which resulted in lower incentives paid. In addition, we spent less in advertising costs per subscriber acquisition during the period. The increase in deployment of more advanced set-top boxes, such as HD receivers and HD DVRs, was in large part offset by lower hardware costs for the same receiver model.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2009 and 2008, the amount of equipment capitalized under our lease program for new subscribers totaled</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$138 million and $143 million, respectively. This decrease in capital expenditures under our lease program for new subscribers resulted primarily from lower subscriber growth.</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Capital expenditures resulting from our equipment lease program for new subscribers have been, and are expected to continue to be, partially mitigated by, among other things, the redeployment of equipment returned by disconnecting lease program subscribers. However, 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SAC reduction associated with redeployment of that returned lease equipment.</w:t>
      </w:r>
    </w:p>
    <w:p>
      <w:pPr>
        <w:spacing w:after="0" w:line="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SAC calculation does not reflect any benefit from payments we received in connection with equipment not returned to us from disconnecting lease subscribers and returned equipment that is made available for sale rather than being redeployed through our lease program. During the three months ended March 31, 2009 and 2008, these amounts totaled $38 million and $31 million, respectively.</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Several years ago, we began deploying receivers that utilize 8PSK modulation technology and receivers that utilize MPEG-4 compression technology. These technologies, when fully deployed, will allow more programming channels to be carried over our existing satellites. A majority of our customers today, however, do not have receivers that use MPEG-4 compression and a smaller but still significant percentage do not have receivers that use 8PSK modulation. We may choose to invest significant capital to accelerate the conversion of customers to MPEG-4 and/or 8PSK in order to realize the bandwidth benefits sooner. In addition, given that all of our HD content is broadcast in MPEG-4, any growth in HD penetration will naturally accelerate our transition to these newer technologies and may increase our subscriber acquisition and retention costs. All new receivers that we purchase from EchoStar now have MPEG-4 technology. Although we continue to refurbish and redeploy MPEG-2 receivers, as a result of our HD initiatives and current promotions, most new customers in certain markets will be required to activate higher priced MPEG-4 technology. This limits our ability to redeploy MPEG-2 receivers and, to the extent that our new promotion in certain markets are successful, will accelerate the transition to MPEG-4 technology, resulting in an adverse effect on our SAC.</w:t>
      </w:r>
    </w:p>
    <w:p>
      <w:pPr>
        <w:spacing w:after="0" w:line="5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“Subscriber acquisition costs” and “SAC” may materially increase in the future to the extent that we transition to newer technologies, introduce more aggressive promotions, or provide greater equipment subsidies.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totaled $137 million during the three months ended March 31, 2009,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$8 million or 6.2% compared to the same period in 2008. This increase was primarily attributable to an increase in personnel costs and professional fees to support the DISH Network. “General and administrative expenses” represented 4.7% and 4.5% of “Total revenue” during the three months ended March 31, 2009 and 2008, respectively. The increase in the ratio of the expenses to “Total revenue” was primarily attributable to the changes in expenses discussed above.</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$223 million during the three months ended March 31, 2009, a $49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18.0% decrease compared to the same period in 2008. The decrease in “Depreciation and amortization” expense was primarily due to the decline in depreciation expense related to set-top boxes used in our lease programs and the abandonment of a software development project designed to support our IT systems during the three months ended March 31, 2008. The decrease in expense related to set-top boxes resulted from an increase in the number of fully-depreciated set-top boxes still in service and in the capitalization of new advanced equipment which has a longer estimated useful life.</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totaled $3 million during the three months ended March 31, 2009, a decrease of $11 million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2008. This decrease principally resulted from lower cash and marketable investment securities balances and total percentage returns earned on our cash and marketable investment securities during the first quarter of 2009.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NARRATIVE ANALYSIS OF 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1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was $794 million during the three months ended March 31, 2009,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 million or 2.5% compared to the same period in 2008. The following table reconciles EBITDA to the accompanying financial statements.</w:t>
      </w:r>
    </w:p>
    <w:p>
      <w:pPr>
        <w:spacing w:after="0" w:line="11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Three Months</w:t>
      </w:r>
    </w:p>
    <w:p>
      <w:pPr>
        <w:jc w:val="center"/>
        <w:ind w:left="91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2180" w:type="dxa"/>
            <w:vAlign w:val="bottom"/>
            <w:gridSpan w:val="5"/>
          </w:tcPr>
          <w:p>
            <w:pPr>
              <w:ind w:left="62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$ 794,470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$ 775,051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84,119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74,019</w:t>
            </w: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183,418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165,684</w:t>
            </w: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223,288</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272,368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$ 303,645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$ 262,980</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EBITDA is not a measure determined in accordance with accounting principles generally accepted in the United States, or GAAP, and should not be considered a substitute for operating income, net income or any other measure determined in accordance with GAAP. EBITDA is used as a measurement of operating efficiency and overall financial performance and we believe it to be a helpful measure for those evaluating companies in the pay-TV industry.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5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$183 million during the three months ended March 31, 2009, an increase of $18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2008. The increase in the provision was primarily related to the increase in “Income (loss) before income taxes” partially offset by a decrease in the effective state tax rate due to changes in state apportionment percentages.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Net income was $304 million during the three months ended March 31, 2009, an increase of $41 million compared to $263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2008. The increase was primarily attributable to the changes in revenue and expenses discussed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connection with the Spin-off, DISH entered into a separation agreement with EchoStar, which provides for, among other things, the division of liability resulting from litigation. Under the terms of the separation agreement, EchoStar has assumed liability for any acts or omissions that relate to its business whether such acts or omissions occurred before or after the Spin-off. Certain exceptions are provided, including for intellectual property related claims generally, whereby EchoStar will only be liable for its acts or omissions that occurred following the Spin-off and DISH has indemnified EchoStar for any potential liability or damages resulting from intellectual property claims relating to the period prior to the effective date of the Spin-off.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Acacia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2004, Acacia Media Technologies (“Acacia”) filed a lawsuit against us and EchoStar in the United States District Court for the Northern District of California. The suit also named DirecTV, Comcast, Charter, Cox and a number of smaller cable companies as defendants. Acacia is an intellectual property holding company that seeks to license an acquired patent portfolio. The suit alleges infringement of United States Patent Nos. 5,132,992, 5,253,275, 5,550,863, 6,002,720 and 6,144,702, which relate to certain systems and methods for transmission of digital data. In March 2008, the Court issued an order outlining a schedule for filing dispositive invalidity motions based on its claim constructions. Acacia has agreed to stipulate to invalidity based on the Court’s claim constructions in order to proceed immediately to the Federal Circuit on appeal. The Court, however, has permitted us to file additional invalidity motions.</w:t>
      </w:r>
    </w:p>
    <w:p>
      <w:pPr>
        <w:spacing w:after="0" w:line="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Innovation, L.L.C.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2001, Broadcast Innovation, L.L.C. (“Broadcast Innovation”) filed a lawsuit against us, EchoStar, DirecTV, Thomson Consumer Electronics and others in United States District Court in Denver, Colorado. The suit alleges infringement of United States Patent Nos. 6,076,094 (the ‘094 patent) and 4,992,066 (the ‘066 patent). The ‘094 patent relates to certain methods and devices for transmitting and receiving data along with specific formatting information for the data. The ‘066 patent relates to certain methods and devices for providing the scrambling circuitry for a pay television system on removable cards. Subsequently, DirecTV and Thomson settled with Broadcast Innovation leaving us as the only defendant.</w:t>
      </w:r>
    </w:p>
    <w:p>
      <w:pPr>
        <w:spacing w:after="0" w:line="6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2004, the judge issued an order finding the ‘066 patent invalid. Also in 2004, the Court found the ‘094 patent invalid in a parallel case filed by Broadcast Innovation against Charter and Comcast. In 2005, the United States Court of Appeals for the Federal Circuit overturned the ‘094 patent finding of invalidity and remanded the Charter case back to the District Court. During June 2006, Charter filed a reexamination request with the United States Patent and Trademark Office. The Court has stayed the Charter case pending reexamination, and our case has been stayed pending resolution of the Charter case.</w:t>
      </w:r>
    </w:p>
    <w:p>
      <w:pPr>
        <w:spacing w:after="0" w:line="4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Channel Bundling Class Action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September 21, 2007, a purported class of cable and satellite subscribers filed an antitrust action against us in the United States District Court for the Central District of California. The suit also names as defendants DirecTV, Comcast, Cablevision, Cox, Charter, Time Warner, Inc., Time Warner Cable, NBC Universal, Viacom, Fox Entertainment Group, and Walt Disney Company. The suit alleges, among other things, that the defendants engaged in a conspiracy to provide customers with access only to bundled channel offerings as opposed to giving customers the ability to purchase channels on an “a la carte” basis. We filed a motion to dismiss, which the Court denied in July 2008. We intend to vigorously defend this case. We cannot predict with any degree of certainty the outcome of the suit or determine the extent of any potential liability or damages.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Enron Commercial Paper Investment</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October 2001, we received approximately $40 million from the sale of Enron commercial paper to a third party broker. That commercial paper was ultimately purchased by Enron. During November 2003, an action was commenced in the United States Bankruptcy Court for the Southern District of New York against approximately 100 defendants, including us, who invested in Enron’s commercial paper. The complaint alleges that Enron’s October 2001 purchase of its commercial paper was a fraudulent conveyance and voidable preference under bankruptcy laws. We dispute these allegations. We typically invest in commercial paper and notes that are rated in one of the four highest rating categories by at least two nationally recognized statistical rating organizations. At the time of our investment in Enron commercial paper, it was considered to be high quality and low risk. On April 7, 2009, we settled the litigation for an immaterial amount.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ESPN</w:t>
      </w:r>
    </w:p>
    <w:p>
      <w:pPr>
        <w:spacing w:after="0" w:line="117"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On January 30, 2008, we filed a lawsuit against ESPN, Inc., ESPN Classic, Inc., ABC Cable Networks Group, Soapnet L.L.C., and International Family Entertainment (collectively “ESPN”) for breach of contract in New York State Supreme Court. Our complaint alleges that ESPN failed to provide us with certain high-definition feeds of the Disney Channel, ESPN News, Toon, and ABC Family. ESPN asserted a counterclaim, and then filed a motion for summary judgment, alleging that we owed approximately $35 million under the applicable affiliation agreements. We brought a motion to amend our complaint to assert that ESPN was in breach of certain most-favored-nation provisions under the affiliation agreements. On April 15, 2009, the trial court granted our motion to amend the complaint, and granted, in part, ESPN’s motion on the counterclaim, finding that we are liable for some of the amount alleged to be owing but that the actual amount owing is disputed and will have to be determined at a later date. We will appeal the partial grant of ESPN’s motion. We intend to vigorously defend this case. We cannot predict with any degree of certainty the outcome of the suit or determine the extent of any potential liability or damages.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Finisar Corporation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Finisar Corporation (“Finisar”) obtained a $100 million verdict in the United States District Court for the Eastern District of Texas against DirecTV for patent infringement. Finisar alleged that DirecTV’s electronic program guide and other elements of its system infringe United States Patent No. 5,404,505 (the ‘505 patent).</w:t>
      </w:r>
    </w:p>
    <w:p>
      <w:pPr>
        <w:spacing w:after="0" w:line="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July 2006, we and EchoStar, together with NagraStar LLC, filed a Complaint for Declaratory Judgment in the United States District Court for the District of Delaware against Finisar that asks the Court to declare that we do not infringe, and have not infringed, any valid claim of the ‘505 patent. During April 2008, the Federal Circuit reversed the judgment against DirecTV and ordered a new trial. Our case is stayed until the DirecTV action is resolved.</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intend to vigorously prosecute this case. In the event that a Court ultimately determines that we infringe this patent, we may be subject to substantial damages, which may include treble damages, and/or an injunction that could require us to modify our system architecture. We cannot predict with any degree of certainty the outcome of the suit or determine the extent of any potential liability or damages.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Communications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19, 2007, Global Communications, Inc. (“Global”) filed a patent infringement action against us and EchoStar in the United States District Court for the Eastern District of Texas. The suit alleges infringement of United States Patent No. 6,947,702 (the ‘702 patent), which relates to satellite reception. On October 24, 2007, the United States Patent and Trademark Office granted our request for reexamination of the ‘702 patent and issued an Office Action finding that all of the claims of the ‘702 patent were invalid. At the request of the parties, the District Court stayed the litigation until the reexamination proceeding is concluded and/or other Global patent applications issue. We intend to vigorously defend this case. In the event that a Court ultimately determines that we infringe the ‘702 patent,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Guardian Media</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22, 2008, Guardian Media Technologies LTD (“Guardian”) filed suit against us, EchoStar, EchoStar Technologies L.L.C., DirecTV and several other defendants in the United States District Court for the Central District of California alleging infringement of United States Patent Nos. 4,930,158 and 4,930,160. Both patents are expired and relate to certain parental lock features.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We cannot predict with any degree of certainty the outcome of the suit or determine the extent of any potential liability or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Katz Communications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21, 2007, Ronald A. Katz Technology Licensing, L.P. (“Katz”) filed a patent infringement action against us in the United States District Court for the Northern District of California. The suit alleges infringement of 19 patents owned by Katz. The patents relate to interactive voice response, or IVR, technology. 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Multimedia Patent Trust</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February 13, 2009, Multimedia Patent Trust (“MPT”) filed suit against us, EchoStar, DirecTV and several other defendants in the United States District Court for the Southern District of California alleging infringement of United States Patent Nos. 4,958,226, 5,227,878, 5,136,377, 5,500,678 and 5,563,593, which relate to video encoding, decoding and compression technology.</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Personalized Media Communications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February 2008, Personalized Media Communications, Inc. filed suit against us, EchoStar and Motorola, Inc. in the United States District Court for the Eastern District of Texas alleging infringement of United States Patent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Nos. 4,694,490, 5,109,414, 4,965,825, 5,233,654, 5,335,277, and 5,887,243, which relate to satellite signal processing.</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Class Actions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2000, lawsuits were filed by retailers in Colorado state and federal courts attempting to certify nationwide classes on behalf of certain of our retailers. The plaintiffs are requesting the Courts declare certain provisions of, and changes to, alleged agreements between us and the retailers invalid and unenforceable, and to award damages for lost incentives and payments, charge backs, and other compensation. We have asserted a variety of counterclaims. The federal court action has been stayed during the pendency of the state court action. We filed a motion for summary judgment on all counts and against all plaintiffs. The plaintiffs filed a motion for additional time to conduct discovery to enable them to respond to our motion. The state court granted limited discovery which ended during 2004. The plaintiffs claimed we did not provide adequate disclosure during the discovery process. The state court agreed, and denied our motion for summary judgment as a result. In April 2008, the state court granted plaintiff’s class certification motion and in January 2009, the state court entered an order excluding certain evidence that we can present at trial based on the prior discovery issues. The state court also denied plaintiffs’ request to dismiss our counterclaims. The final impact of the court’s evidentiary ruling cannot be fully assessed at this time. We intend to vigorously defend this case. We cannot predict with any degree of certainty the outcome of the lawsuit or determine the extent of any potential liability or damages.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 Licensing</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January 22, 2009, Technology Development and Licensing LLC (“TechDev”) filed suit against us and EchoStar in the United States District Court for the Northern District of Illinois alleging infringement of United States Patent No. 35, 952, which relates to certain favorite channel features.</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cannot predict with any degree of certainty the outcome of the suit or determine the extent of any potential liability or damages.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Tivo Inc.</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31, 2008, the U.S. Court of Appeals for the Federal Circuit affirmed in part and reversed in part the April 2006 jury verdict concluding that certain of our digital video recorders, or DVRs, infringed a patent held by Tivo. In accordance with Statement of Financial Accounting Standards No. 5, “Accounting for Contingencies” (“SFAS 5”), we previously recorded a total reserve of $132 million on our Condensed Consolidated Balance Sheets to reflect the April 2006 jury verdict, supplemental damages and pre-judgment interest awarded by the Texas court. This amount also includes the estimated cost of any software infringement prior to implementation of our alternative technology, discussed below, plus interest subsequent to the jury verdict. In its January 2008 decision, the Federal Circuit affirmed the jury’s verdict of infringement on Tivo’s “software claims,” upheld the award of damages from the District Court, and ordered that the stay of the District Court’s injunction against us, which was issued pending appeal, be dissolved when the appeal becomes final. The Federal Circuit, however, found that we did not literally infringe Tivo’s “hardware claims,” and remanded such claims back to the District Court for further proceedings. On October 6, 2008, the Supreme Court denied our petition for certiorari. As a result, approximately $105 million of the total $132 million reserve was released from an escrow account to Tivo.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developed and deployed “next-generation” DVR software to our customers’ DVRs. This improved software is fully operational and has been automatically downloaded to current customers (our “alternative technology”). We have written legal opinions from outside counsel that conclude that our alternative technology does not infringe, literally or under the doctrine of equivalents, either the hardware or software claims of Tivo’s patent. Tivo has filed a motion for contempt alleging that we are in violation of the Court’s injunction. We have vigorously opposed the motion arguing that the Court’s injunction does not apply to DVRs that have received our alternative technology, that our alternative technology does not infringe Tivo’s patent, and that we are in compliance with the injunction. An evidentiary hearing on Tivo’s motion for contempt was held mid- February 2009, the parties’ have submitted their post-trial briefs and we are now awaiting a ruling from the Court. In January 2009, the Patent and Trademark Office (“PTO”) granted our Petition for Re-Examination of the software claims of Tivo’s ‘389 patent, which are the subject of Tivo’s current motion for contempt. The PTO found that there is a ‘substantial new question’ of patentability as to the software claims in light of prior patents that appear to render Tivo’s ‘389 patent invalid as obvious.</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are unsuccessful in defending against Tivo’s motion for contempt or any subsequent claim that our alternative technology infringes Tivo’s patent, we could be prohibited from distributing DVRs, or could be required to modify or eliminate certain user-friendly DVR features that we currently offer to consumers. In that event we would be at a significant disadvantage to our competitors who could offer this functionality and, while we would attempt to provide that functionality through other manufacturers, the adverse affect on our business could be material. We could also have to pay substantial additional damages.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Voom</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May 28, 2008, Voom HD Holdings (“Voom”) filed a complaint against us in New York Supreme Court. The suit alleges breach of contract arising from our termination of the affiliation agreement we had with Voom for the carriage of certain Voom HD channels on the DISH Network satellite television service. In January 2008, Voom sought a preliminary injunction to prevent us from terminating the agreement. The Court denied Voom’s motion, finding, among other things, that Voom was not likely to prevail on the merits of its case. Voom is claiming over $1.0 billion in damages. We intend to vigorously defend this case. We cannot predict with any degree of certainty the outcome of the suit or determine the extent of any potential liability or damages.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including among other things, disputes with programmers regarding fees. In our opinion, the amount of ultimate liability with respect to any of these actions is unlikely to materially affect our financial position, results of operations or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Item 1A, “Risk Factors,” of Amendment No. 1 to our Annual Report on Form 10-K for the year ended December 31, 2008 includes a detailed discussion of our risk factors. During the three months ended March 31, 2009, there were no material changes in risk factors as previously disclosed.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249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117"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31.1o</w:t>
      </w:r>
      <w:r>
        <w:rPr>
          <w:sz w:val="20"/>
          <w:szCs w:val="20"/>
          <w:color w:val="auto"/>
        </w:rPr>
        <w:tab/>
      </w:r>
      <w:r>
        <w:rPr>
          <w:rFonts w:ascii="Arial" w:cs="Arial" w:eastAsia="Arial" w:hAnsi="Arial"/>
          <w:sz w:val="16"/>
          <w:szCs w:val="16"/>
          <w:color w:val="auto"/>
        </w:rPr>
        <w:t>Section 302 Certification by Chairman and Chief Executive Officer.</w:t>
      </w:r>
    </w:p>
    <w:p>
      <w:pPr>
        <w:spacing w:after="0" w:line="131"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31.2o</w:t>
      </w:r>
      <w:r>
        <w:rPr>
          <w:sz w:val="20"/>
          <w:szCs w:val="20"/>
          <w:color w:val="auto"/>
        </w:rPr>
        <w:tab/>
      </w:r>
      <w:r>
        <w:rPr>
          <w:rFonts w:ascii="Arial" w:cs="Arial" w:eastAsia="Arial" w:hAnsi="Arial"/>
          <w:sz w:val="16"/>
          <w:szCs w:val="16"/>
          <w:color w:val="auto"/>
        </w:rPr>
        <w:t>Section 302 Certification by Executive Vice President and Chief Financial Officer.</w:t>
      </w:r>
    </w:p>
    <w:p>
      <w:pPr>
        <w:spacing w:after="0" w:line="131"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32.1o</w:t>
      </w:r>
      <w:r>
        <w:rPr>
          <w:sz w:val="20"/>
          <w:szCs w:val="20"/>
          <w:color w:val="auto"/>
        </w:rPr>
        <w:tab/>
      </w:r>
      <w:r>
        <w:rPr>
          <w:rFonts w:ascii="Arial" w:cs="Arial" w:eastAsia="Arial" w:hAnsi="Arial"/>
          <w:sz w:val="16"/>
          <w:szCs w:val="16"/>
          <w:color w:val="auto"/>
        </w:rPr>
        <w:t>Section 906 Certification by Chairman and Chief Executive Officer.</w:t>
      </w:r>
    </w:p>
    <w:p>
      <w:pPr>
        <w:spacing w:after="0" w:line="131"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32.2o</w:t>
      </w:r>
      <w:r>
        <w:rPr>
          <w:sz w:val="20"/>
          <w:szCs w:val="20"/>
          <w:color w:val="auto"/>
        </w:rPr>
        <w:tab/>
      </w:r>
      <w:r>
        <w:rPr>
          <w:rFonts w:ascii="Arial" w:cs="Arial" w:eastAsia="Arial" w:hAnsi="Arial"/>
          <w:sz w:val="16"/>
          <w:szCs w:val="16"/>
          <w:color w:val="auto"/>
        </w:rPr>
        <w:t>Section 906 Certification by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DISH DBS CORPORATION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Charles W. Ergen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-130810</wp:posOffset>
            </wp:positionV>
            <wp:extent cx="3361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(Duly Authorized Officer)</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Robert E. Olson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Robert E.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-130810</wp:posOffset>
            </wp:positionV>
            <wp:extent cx="3361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Bernard L. Han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Bernard L.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-130810</wp:posOffset>
            </wp:positionV>
            <wp:extent cx="3361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Executive Vice President and Chief Operating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 During the Quarter Ended March 31, 2009)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2009</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19"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Charles W. Ergen,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DBS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20" w:hanging="252"/>
        <w:spacing w:after="0" w:line="308"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E. Olson, certify that:</w:t>
      </w:r>
    </w:p>
    <w:p>
      <w:pPr>
        <w:spacing w:after="0" w:line="11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DBS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2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 Robert E.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18 U.S.C. § 1350, the undersigned officer of DISH DBS Corporation (the “Company”) hereby certifies that to the best of his knowledge the Company’s Quarterly Report on Form 10-Q for the three months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4060" w:type="dxa"/>
            <w:vAlign w:val="bottom"/>
          </w:tcPr>
          <w:p>
            <w:pPr>
              <w:spacing w:after="0"/>
              <w:rPr>
                <w:sz w:val="20"/>
                <w:szCs w:val="20"/>
                <w:color w:val="auto"/>
              </w:rPr>
            </w:pPr>
            <w:r>
              <w:rPr>
                <w:rFonts w:ascii="Arial" w:cs="Arial" w:eastAsia="Arial" w:hAnsi="Arial"/>
                <w:sz w:val="18"/>
                <w:szCs w:val="18"/>
                <w:color w:val="auto"/>
              </w:rPr>
              <w:t>May 15, 2009</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Charles W. Ergen</w:t>
            </w: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70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and Chief Executive Officer</w:t>
            </w: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18 U.S.C. § 1350, the undersigned officer of DISH DBS Corporation (the “Company”) hereby certifies that to the best of his knowledge the Company’s Quarterly Report on Form 10-Q for the three months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7" w:lineRule="exact"/>
        <w:rPr>
          <w:sz w:val="20"/>
          <w:szCs w:val="20"/>
          <w:color w:val="auto"/>
        </w:rPr>
      </w:pPr>
    </w:p>
    <w:p>
      <w:pPr>
        <w:ind w:left="6680"/>
        <w:spacing w:after="0"/>
        <w:tabs>
          <w:tab w:leader="none" w:pos="7360" w:val="left"/>
        </w:tabs>
        <w:rPr>
          <w:sz w:val="20"/>
          <w:szCs w:val="20"/>
          <w:color w:val="auto"/>
        </w:rPr>
      </w:pPr>
      <w:r>
        <w:rPr>
          <w:rFonts w:ascii="Arial" w:cs="Arial" w:eastAsia="Arial" w:hAnsi="Arial"/>
          <w:sz w:val="18"/>
          <w:szCs w:val="18"/>
          <w:color w:val="auto"/>
        </w:rPr>
        <w:t>Dated:</w:t>
        <w:tab/>
        <w:t>May 15, 2009</w:t>
      </w:r>
    </w:p>
    <w:p>
      <w:pPr>
        <w:spacing w:after="0" w:line="225" w:lineRule="exact"/>
        <w:rPr>
          <w:sz w:val="20"/>
          <w:szCs w:val="20"/>
          <w:color w:val="auto"/>
        </w:rPr>
      </w:pPr>
    </w:p>
    <w:p>
      <w:pPr>
        <w:ind w:left="6680"/>
        <w:spacing w:after="0"/>
        <w:tabs>
          <w:tab w:leader="none" w:pos="7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i w:val="1"/>
          <w:iCs w:val="1"/>
          <w:color w:val="auto"/>
        </w:rPr>
        <w:t>/s/ Robert E.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ind w:left="668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8"/>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o"/>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2019-12-10T16:07:07Z</dcterms:created>
  <dcterms:modified xsi:type="dcterms:W3CDTF">2019-12-10T16:07:07Z</dcterms:modified>
</cp:coreProperties>
</file>