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dbs-20250930x10q.htm"/>
        <w:bookmarkStart w:id="1" w:name="ksddbs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283"/>
        <w:ind w:left="0" w:right="0" w:hanging="0"/>
        <w:jc w:val="both"/>
        <w:rPr>
          <w:color w:val="000000"/>
        </w:rPr>
      </w:pPr>
      <w:bookmarkStart w:id="2" w:name="_3c43492f_5fe2_49ae_8a2c_a6f340e7eaf7"/>
      <w:bookmarkEnd w:id="2"/>
      <w:r>
        <w:rPr>
          <w:color w:val="000000"/>
        </w:rPr>
        <w:t>​</w:t>
      </w:r>
    </w:p>
    <w:p>
      <w:pPr>
        <w:pStyle w:val="TextBody"/>
        <w:pBdr>
          <w:top w:val="single" w:sz="18" w:space="1" w:color="000000"/>
          <w:bottom w:val="single" w:sz="2" w:space="1" w:color="000000"/>
        </w:pBdr>
        <w:bidi w:val="0"/>
        <w:spacing w:lineRule="atLeast" w:line="142"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UNITED STATES</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18"/>
        </w:rPr>
      </w:pPr>
      <w:r>
        <w:rPr>
          <w:rFonts w:ascii="Arial;Helvetica;sans-serif" w:hAnsi="Arial;Helvetica;sans-serif"/>
          <w:b/>
          <w:sz w:val="18"/>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BchScciqTkquK0-98x25LQ_1_1"/>
      <w:bookmarkStart w:id="4" w:name="_5da4ef95_7f79_4335_a407_99032e1d941c"/>
      <w:bookmarkStart w:id="5" w:name="Tc_BchScciqTkquK0-98x25LQ_1_1"/>
      <w:bookmarkStart w:id="6" w:name="_5da4ef95_7f79_4335_a407_99032e1d941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 FOR THE QUARTERLY PERIOD ENDED SEPTEMBER 30, 2025.</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f3BnnJN_Dka8ypJSlGySNg_1_1"/>
      <w:bookmarkStart w:id="8" w:name="_30b36ba3_9c0e_46bb_9546_88260abe3386"/>
      <w:bookmarkStart w:id="9" w:name="Tc_f3BnnJN_Dka8ypJSlGySNg_1_1"/>
      <w:bookmarkStart w:id="10" w:name="_30b36ba3_9c0e_46bb_9546_88260abe3386"/>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 FOR THE TRANSITION PERIOD FROM ______ TO______.</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Commission File Number: 333-31929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DISH DBS Corporation</w:t>
      </w:r>
    </w:p>
    <w:p>
      <w:pPr>
        <w:pStyle w:val="TextBody"/>
        <w:bidi w:val="0"/>
        <w:spacing w:before="0" w:after="0"/>
        <w:ind w:left="0" w:right="0" w:hanging="0"/>
        <w:jc w:val="center"/>
        <w:rPr>
          <w:rFonts w:ascii="Arial;Helvetica;sans-serif" w:hAnsi="Arial;Helvetica;sans-serif"/>
          <w:sz w:val="18"/>
        </w:rPr>
      </w:pPr>
      <w:r>
        <w:rPr>
          <w:rFonts w:ascii="Arial;Helvetica;sans-serif" w:hAnsi="Arial;Helvetica;sans-serif"/>
          <w:sz w:val="18"/>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S3HiNC96Y0m7Px2Z24Tvkw_6_1"/>
      <w:bookmarkStart w:id="12" w:name="Tc_7fr_La-FcEuPYhoEphKd7A_6_0"/>
      <w:bookmarkStart w:id="13" w:name="Tc_U_fgX9GjQ0GV30DKpf8ChA_5_0"/>
      <w:bookmarkStart w:id="14" w:name="Tc_875uxJOIa0-mdriwVzKrwg_2_1"/>
      <w:bookmarkStart w:id="15" w:name="Tc_DEgbQLyNfk2SqtqrZDMZmg_2_0"/>
      <w:bookmarkStart w:id="16" w:name="_625ae808_6187_480d_b582_bed852a25460"/>
      <w:bookmarkStart w:id="17" w:name="Tc_S3HiNC96Y0m7Px2Z24Tvkw_6_1"/>
      <w:bookmarkStart w:id="18" w:name="Tc_7fr_La-FcEuPYhoEphKd7A_6_0"/>
      <w:bookmarkStart w:id="19" w:name="Tc_U_fgX9GjQ0GV30DKpf8ChA_5_0"/>
      <w:bookmarkStart w:id="20" w:name="Tc_875uxJOIa0-mdriwVzKrwg_2_1"/>
      <w:bookmarkStart w:id="21" w:name="Tc_DEgbQLyNfk2SqtqrZDMZmg_2_0"/>
      <w:bookmarkStart w:id="22" w:name="_625ae808_6187_480d_b582_bed852a25460"/>
      <w:bookmarkEnd w:id="17"/>
      <w:bookmarkEnd w:id="18"/>
      <w:bookmarkEnd w:id="19"/>
      <w:bookmarkEnd w:id="20"/>
      <w:bookmarkEnd w:id="21"/>
      <w:bookmarkEnd w:id="22"/>
    </w:p>
    <w:tbl>
      <w:tblPr>
        <w:tblW w:w="7802" w:type="dxa"/>
        <w:jc w:val="left"/>
        <w:tblInd w:w="0" w:type="dxa"/>
        <w:tblLayout w:type="fixed"/>
        <w:tblCellMar>
          <w:top w:w="0" w:type="dxa"/>
          <w:left w:w="0" w:type="dxa"/>
          <w:bottom w:w="0" w:type="dxa"/>
          <w:right w:w="0" w:type="dxa"/>
        </w:tblCellMar>
      </w:tblPr>
      <w:tblGrid>
        <w:gridCol w:w="4861"/>
        <w:gridCol w:w="2941"/>
      </w:tblGrid>
      <w:tr>
        <w:trPr/>
        <w:tc>
          <w:tcPr>
            <w:tcW w:w="4861" w:type="dxa"/>
            <w:tcBorders/>
            <w:vAlign w:val="center"/>
          </w:tcPr>
          <w:p>
            <w:pPr>
              <w:pStyle w:val="TableContents"/>
              <w:bidi w:val="0"/>
              <w:spacing w:lineRule="atLeast" w:line="180" w:before="0" w:after="0"/>
              <w:ind w:left="0" w:right="0" w:hanging="0"/>
              <w:jc w:val="center"/>
              <w:rPr/>
            </w:pPr>
            <w:r>
              <w:rPr/>
              <w:t>​</w:t>
            </w:r>
          </w:p>
        </w:tc>
        <w:tc>
          <w:tcPr>
            <w:tcW w:w="2941" w:type="dxa"/>
            <w:tcBorders/>
            <w:vAlign w:val="center"/>
          </w:tcPr>
          <w:p>
            <w:pPr>
              <w:pStyle w:val="TableContents"/>
              <w:bidi w:val="0"/>
              <w:spacing w:lineRule="atLeast" w:line="180" w:before="0" w:after="0"/>
              <w:ind w:left="0" w:right="0" w:hanging="0"/>
              <w:jc w:val="center"/>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Colorado</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84-1328967</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(State or other jurisdiction of incorporation or organization)</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(I.R.S. Employer Identification No.)</w:t>
            </w:r>
          </w:p>
        </w:tc>
      </w:tr>
      <w:tr>
        <w:trPr/>
        <w:tc>
          <w:tcPr>
            <w:tcW w:w="4861" w:type="dxa"/>
            <w:tcBorders/>
            <w:vAlign w:val="center"/>
          </w:tcPr>
          <w:p>
            <w:pPr>
              <w:pStyle w:val="TableContents"/>
              <w:bidi w:val="0"/>
              <w:spacing w:lineRule="atLeast" w:line="180" w:before="0" w:after="0"/>
              <w:ind w:left="0" w:right="0" w:hanging="0"/>
              <w:jc w:val="both"/>
              <w:rPr/>
            </w:pPr>
            <w:r>
              <w:rPr/>
              <w:t>​</w:t>
            </w:r>
          </w:p>
        </w:tc>
        <w:tc>
          <w:tcPr>
            <w:tcW w:w="2941" w:type="dxa"/>
            <w:tcBorders/>
            <w:vAlign w:val="center"/>
          </w:tcPr>
          <w:p>
            <w:pPr>
              <w:pStyle w:val="TableContents"/>
              <w:bidi w:val="0"/>
              <w:spacing w:lineRule="atLeast" w:line="180" w:before="0" w:after="0"/>
              <w:ind w:left="0" w:right="0" w:hanging="0"/>
              <w:jc w:val="both"/>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9601 South Meridian Boulevard</w:t>
            </w:r>
          </w:p>
        </w:tc>
        <w:tc>
          <w:tcPr>
            <w:tcW w:w="2941" w:type="dxa"/>
            <w:tcBorders/>
            <w:vAlign w:val="center"/>
          </w:tcPr>
          <w:p>
            <w:pPr>
              <w:pStyle w:val="TableContents"/>
              <w:bidi w:val="0"/>
              <w:spacing w:lineRule="atLeast" w:line="180" w:before="0" w:after="0"/>
              <w:ind w:left="0" w:right="0" w:hanging="0"/>
              <w:jc w:val="center"/>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Englewood, Colorado</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80112</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(303) 723-1000</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Securities registered pursuant to Section 12(b) of the Act: 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w:t>
      </w:r>
      <w:r>
        <w:rPr>
          <w:rFonts w:ascii="Times New Roman;Times;serif" w:hAnsi="Times New Roman;Times;serif"/>
          <w:sz w:val="24"/>
        </w:rPr>
        <w:t xml:space="preserve"> </w:t>
      </w:r>
      <w:r>
        <w:rPr>
          <w:rFonts w:ascii="Arial;Helvetica;sans-serif" w:hAnsi="Arial;Helvetica;sans-serif"/>
          <w:sz w:val="16"/>
        </w:rPr>
        <w:t>Yes</w:t>
      </w:r>
      <w:r>
        <w:rPr>
          <w:rFonts w:ascii="Times New Roman;Times;serif" w:hAnsi="Times New Roman;Times;serif"/>
          <w:sz w:val="24"/>
        </w:rPr>
        <w:t xml:space="preserve"> ⌧ </w:t>
      </w:r>
      <w:r>
        <w:rPr>
          <w:rFonts w:ascii="Arial;Helvetica;sans-serif" w:hAnsi="Arial;Helvetica;sans-serif"/>
          <w:sz w:val="16"/>
        </w:rPr>
        <w:t>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Arial;Helvetica;sans-serif" w:hAnsi="Arial;Helvetica;sans-serif"/>
          <w:sz w:val="16"/>
        </w:rPr>
        <w:t>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spacing w:val="-2"/>
        </w:rPr>
      </w:pPr>
      <w:r>
        <w:rPr>
          <w:spacing w:val="-2"/>
        </w:rPr>
        <w:t>​</w:t>
      </w:r>
    </w:p>
    <w:tbl>
      <w:tblPr>
        <w:tblW w:w="3925" w:type="dxa"/>
        <w:jc w:val="left"/>
        <w:tblInd w:w="0" w:type="dxa"/>
        <w:tblLayout w:type="fixed"/>
        <w:tblCellMar>
          <w:top w:w="0" w:type="dxa"/>
          <w:left w:w="0" w:type="dxa"/>
          <w:bottom w:w="0" w:type="dxa"/>
          <w:right w:w="0" w:type="dxa"/>
        </w:tblCellMar>
      </w:tblPr>
      <w:tblGrid>
        <w:gridCol w:w="1666"/>
        <w:gridCol w:w="109"/>
        <w:gridCol w:w="1996"/>
        <w:gridCol w:w="154"/>
      </w:tblGrid>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Large accelerated filer </w:t>
            </w:r>
            <w:r>
              <w:rPr>
                <w:rFonts w:ascii="Times New Roman;Times;serif" w:hAnsi="Times New Roman;Times;serif"/>
                <w:sz w:val="14"/>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Accelerated filer </w:t>
            </w:r>
            <w:r>
              <w:rPr>
                <w:rFonts w:ascii="Times New Roman;Times;serif" w:hAnsi="Times New Roman;Times;serif"/>
                <w:sz w:val="14"/>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Non-accelerated filer</w:t>
            </w:r>
            <w:r>
              <w:rPr>
                <w:rFonts w:ascii="Times New Roman;Times;serif" w:hAnsi="Times New Roman;Times;serif"/>
                <w:sz w:val="24"/>
              </w:rPr>
              <w:t xml:space="preserve"> ⌧</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Smaller reporting company </w:t>
            </w:r>
            <w:r>
              <w:rPr>
                <w:rFonts w:ascii="Times New Roman;Times;serif" w:hAnsi="Times New Roman;Times;serif"/>
                <w:sz w:val="24"/>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Emerging growth company </w:t>
            </w:r>
            <w:r>
              <w:rPr>
                <w:rFonts w:ascii="Times New Roman;Times;serif" w:hAnsi="Times New Roman;Times;serif"/>
                <w:sz w:val="24"/>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Indicate by check mark whether the registrant is a shell company (as defined in Rule 12b-2 of the Exchange Act). Yes </w:t>
      </w:r>
      <w:r>
        <w:rPr>
          <w:rFonts w:ascii="Times New Roman;Times;serif" w:hAnsi="Times New Roman;Times;serif"/>
          <w:sz w:val="24"/>
        </w:rPr>
        <w:t>☐ </w:t>
      </w:r>
      <w:r>
        <w:rPr>
          <w:rFonts w:ascii="Arial;Helvetica;sans-serif" w:hAnsi="Arial;Helvetica;sans-serif"/>
          <w:sz w:val="14"/>
        </w:rPr>
        <w:t xml:space="preserve">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Arial;Helvetica;sans-serif" w:hAnsi="Arial;Helvetica;sans-serif"/>
          <w:sz w:val="14"/>
        </w:rPr>
        <w:t>As of November 1, 2025, the registrant’s outstanding common stock consisted of 1,015</w:t>
      </w:r>
      <w:r>
        <w:rPr>
          <w:rFonts w:ascii="Times New Roman;Times;serif" w:hAnsi="Times New Roman;Times;serif"/>
          <w:sz w:val="14"/>
        </w:rPr>
        <w:t> </w:t>
      </w:r>
      <w:r>
        <w:rPr>
          <w:rFonts w:ascii="Arial;Helvetica;sans-serif" w:hAnsi="Arial;Helvetica;sans-serif"/>
          <w:sz w:val="14"/>
        </w:rPr>
        <w:t>shares of common stock, $0.01 par value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14"/>
        </w:rPr>
      </w:pPr>
      <w:r>
        <w:rPr>
          <w:rFonts w:ascii="Arial;Helvetica;sans-serif" w:hAnsi="Arial;Helvetica;sans-serif"/>
          <w:sz w:val="14"/>
        </w:rPr>
        <w:t>The registrant meets the conditions set forth in General Instructions (H)(1)(a) and (b) of Form 10-Q and is therefore filing this Form 10-Q with the reduced disclosure format.</w:t>
      </w:r>
    </w:p>
    <w:p>
      <w:pPr>
        <w:pStyle w:val="TextBody"/>
        <w:bidi w:val="0"/>
        <w:spacing w:before="0" w:after="0"/>
        <w:ind w:left="0" w:right="0" w:hanging="0"/>
        <w:jc w:val="both"/>
        <w:rPr/>
      </w:pPr>
      <w:r>
        <w:rPr/>
        <w:t>​</w:t>
      </w:r>
    </w:p>
    <w:p>
      <w:pPr>
        <w:pStyle w:val="TextBody"/>
        <w:pBdr>
          <w:top w:val="single" w:sz="2" w:space="1" w:color="000000"/>
          <w:bottom w:val="single" w:sz="18"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0"/>
        </w:rPr>
      </w:pPr>
      <w:bookmarkStart w:id="23" w:name="Toc"/>
      <w:bookmarkStart w:id="24" w:name="_a4fbf6ce_112a_466e_89cb_3e6283386775"/>
      <w:bookmarkEnd w:id="23"/>
      <w:bookmarkEnd w:id="24"/>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9292" w:type="dxa"/>
        <w:jc w:val="left"/>
        <w:tblInd w:w="0" w:type="dxa"/>
        <w:tblLayout w:type="fixed"/>
        <w:tblCellMar>
          <w:top w:w="0" w:type="dxa"/>
          <w:left w:w="0" w:type="dxa"/>
          <w:bottom w:w="0" w:type="dxa"/>
          <w:right w:w="0" w:type="dxa"/>
        </w:tblCellMar>
      </w:tblPr>
      <w:tblGrid>
        <w:gridCol w:w="871"/>
        <w:gridCol w:w="7711"/>
        <w:gridCol w:w="109"/>
        <w:gridCol w:w="601"/>
      </w:tblGrid>
      <w:tr>
        <w:trPr/>
        <w:tc>
          <w:tcPr>
            <w:tcW w:w="871" w:type="dxa"/>
            <w:tcBorders/>
            <w:vAlign w:val="center"/>
          </w:tcPr>
          <w:p>
            <w:pPr>
              <w:pStyle w:val="TableContents"/>
              <w:bidi w:val="0"/>
              <w:spacing w:before="0" w:after="0"/>
              <w:ind w:left="0" w:right="0" w:hanging="0"/>
              <w:jc w:val="center"/>
              <w:rPr/>
            </w:pPr>
            <w:r>
              <w:rPr/>
              <w:t>​</w:t>
            </w:r>
          </w:p>
        </w:tc>
        <w:tc>
          <w:tcPr>
            <w:tcW w:w="77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81635" cy="175260"/>
                      <wp:effectExtent l="0" t="0" r="0" b="0"/>
                      <wp:wrapNone/>
                      <wp:docPr id="1" name="Frame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9292" w:type="dxa"/>
            <w:gridSpan w:val="4"/>
            <w:tcBorders/>
            <w:vAlign w:val="center"/>
          </w:tcPr>
          <w:p>
            <w:pPr>
              <w:pStyle w:val="TableContents"/>
              <w:bidi w:val="0"/>
              <w:spacing w:lineRule="auto" w:line="328" w:before="0" w:after="0"/>
              <w:ind w:left="0" w:right="0" w:hanging="0"/>
              <w:jc w:val="center"/>
              <w:rPr/>
            </w:pPr>
            <w:hyperlink w:anchor="PARTIFINANCIALINFORMATION_366237">
              <w:r>
                <w:rPr>
                  <w:rStyle w:val="InternetLink"/>
                  <w:rFonts w:ascii="Arial;Helvetica;sans-serif" w:hAnsi="Arial;Helvetica;sans-serif"/>
                  <w:b/>
                  <w:i w:val="false"/>
                  <w:caps w:val="false"/>
                  <w:smallCaps w:val="false"/>
                  <w:sz w:val="20"/>
                </w:rPr>
                <w:t>PART I — FINANCIAL INFORMATION</w:t>
              </w:r>
            </w:hyperlink>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DISCLOSUREREGARDINGFORWARDLOOKINGSTATEME">
              <w:r>
                <w:rPr>
                  <w:rStyle w:val="InternetLink"/>
                  <w:rFonts w:ascii="Arial;Helvetica;sans-serif" w:hAnsi="Arial;Helvetica;sans-serif"/>
                  <w:b w:val="false"/>
                  <w:i w:val="false"/>
                  <w:caps w:val="false"/>
                  <w:smallCaps w:val="false"/>
                  <w:sz w:val="20"/>
                </w:rPr>
                <w:t>Disclosure Regarding Forward-Looking Statements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FINANCIALSTATEMENTS_261159">
              <w:r>
                <w:rPr>
                  <w:rStyle w:val="InternetLink"/>
                  <w:rFonts w:ascii="Arial;Helvetica;sans-serif" w:hAnsi="Arial;Helvetica;sans-serif"/>
                  <w:b w:val="false"/>
                  <w:i w:val="false"/>
                  <w:caps w:val="false"/>
                  <w:smallCaps w:val="false"/>
                  <w:sz w:val="20"/>
                </w:rPr>
                <w:t>Item 1.</w:t>
              </w:r>
            </w:hyperlink>
          </w:p>
        </w:tc>
        <w:tc>
          <w:tcPr>
            <w:tcW w:w="7711" w:type="dxa"/>
            <w:tcBorders/>
            <w:vAlign w:val="center"/>
          </w:tcPr>
          <w:p>
            <w:pPr>
              <w:pStyle w:val="TableContents"/>
              <w:bidi w:val="0"/>
              <w:spacing w:lineRule="auto" w:line="328" w:before="0" w:after="0"/>
              <w:ind w:left="0" w:right="0" w:hanging="0"/>
              <w:jc w:val="both"/>
              <w:rPr/>
            </w:pPr>
            <w:hyperlink w:anchor="Item1FINANCIALSTATEMENTS_261159">
              <w:r>
                <w:rPr>
                  <w:rStyle w:val="InternetLink"/>
                  <w:rFonts w:ascii="Arial;Helvetica;sans-serif" w:hAnsi="Arial;Helvetica;sans-serif"/>
                  <w:b w:val="false"/>
                  <w:i w:val="false"/>
                  <w:caps w:val="false"/>
                  <w:smallCaps w:val="false"/>
                  <w:sz w:val="20"/>
                </w:rPr>
                <w:t>Financial Statements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BALANCESHEETS_60502">
              <w:r>
                <w:rPr>
                  <w:rStyle w:val="InternetLink"/>
                  <w:rFonts w:ascii="Arial;Helvetica;sans-serif" w:hAnsi="Arial;Helvetica;sans-serif"/>
                  <w:b w:val="false"/>
                  <w:i w:val="false"/>
                  <w:caps w:val="false"/>
                  <w:smallCaps w:val="false"/>
                  <w:sz w:val="20"/>
                </w:rPr>
                <w:t xml:space="preserve">Condensed Consolidated Balance Sheets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1</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STATEMENTSOFOPERATI">
              <w:r>
                <w:rPr>
                  <w:rStyle w:val="InternetLink"/>
                  <w:rFonts w:ascii="Arial;Helvetica;sans-serif" w:hAnsi="Arial;Helvetica;sans-serif"/>
                  <w:b w:val="false"/>
                  <w:i w:val="false"/>
                  <w:caps w:val="false"/>
                  <w:smallCaps w:val="false"/>
                  <w:sz w:val="20"/>
                </w:rPr>
                <w:t xml:space="preserve">Condensed Consolidated Statements of Operations and Comprehensive Income (Loss)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2</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EQUITYSTATEMENT">
              <w:r>
                <w:rPr>
                  <w:rStyle w:val="InternetLink"/>
                  <w:rFonts w:ascii="Arial;Helvetica;sans-serif" w:hAnsi="Arial;Helvetica;sans-serif"/>
                  <w:b w:val="false"/>
                  <w:i w:val="false"/>
                  <w:caps w:val="false"/>
                  <w:smallCaps w:val="false"/>
                  <w:sz w:val="20"/>
                </w:rPr>
                <w:t xml:space="preserve">Condensed Consolidated Statements of Changes in Stockholder’s Equity (Deficit)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3</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STATEMENTSOFCASHFLO">
              <w:r>
                <w:rPr>
                  <w:rStyle w:val="InternetLink"/>
                  <w:rFonts w:ascii="Arial;Helvetica;sans-serif" w:hAnsi="Arial;Helvetica;sans-serif"/>
                  <w:b w:val="false"/>
                  <w:i w:val="false"/>
                  <w:caps w:val="false"/>
                  <w:smallCaps w:val="false"/>
                  <w:sz w:val="20"/>
                </w:rPr>
                <w:t xml:space="preserve">Condensed Consolidated Statements of Cash Flows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a1OrganizationandBusinessActivities_7749">
              <w:r>
                <w:rPr>
                  <w:rStyle w:val="InternetLink"/>
                  <w:rFonts w:ascii="Arial;Helvetica;sans-serif" w:hAnsi="Arial;Helvetica;sans-serif"/>
                  <w:b w:val="false"/>
                  <w:i w:val="false"/>
                  <w:caps w:val="false"/>
                  <w:smallCaps w:val="false"/>
                  <w:sz w:val="20"/>
                </w:rPr>
                <w:t xml:space="preserve">Notes to Condensed Consolidated Financial Statements </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5</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z w:val="20"/>
                </w:rPr>
                <w:t>Item 2.</w:t>
              </w:r>
            </w:hyperlink>
          </w:p>
        </w:tc>
        <w:tc>
          <w:tcPr>
            <w:tcW w:w="7711" w:type="dxa"/>
            <w:tcBorders/>
            <w:vAlign w:val="center"/>
          </w:tcPr>
          <w:p>
            <w:pPr>
              <w:pStyle w:val="TableContents"/>
              <w:bidi w:val="0"/>
              <w:spacing w:lineRule="auto" w:line="328"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z w:val="20"/>
                </w:rPr>
                <w:t>Management’s Narrative Analysis of Results of Operations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45</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3.</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Quantitative and Qualitative Disclosures About Market Risk</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4CONTROLSANDPROCEDURES_789267">
              <w:r>
                <w:rPr>
                  <w:rStyle w:val="InternetLink"/>
                  <w:rFonts w:ascii="Arial;Helvetica;sans-serif" w:hAnsi="Arial;Helvetica;sans-serif"/>
                  <w:b w:val="false"/>
                  <w:i w:val="false"/>
                  <w:caps w:val="false"/>
                  <w:smallCaps w:val="false"/>
                  <w:sz w:val="20"/>
                </w:rPr>
                <w:t>Item 4.</w:t>
              </w:r>
            </w:hyperlink>
          </w:p>
        </w:tc>
        <w:tc>
          <w:tcPr>
            <w:tcW w:w="7711" w:type="dxa"/>
            <w:tcBorders/>
            <w:vAlign w:val="center"/>
          </w:tcPr>
          <w:p>
            <w:pPr>
              <w:pStyle w:val="TableContents"/>
              <w:bidi w:val="0"/>
              <w:spacing w:lineRule="auto" w:line="328" w:before="0" w:after="0"/>
              <w:ind w:left="0" w:right="0" w:hanging="0"/>
              <w:jc w:val="both"/>
              <w:rPr/>
            </w:pPr>
            <w:hyperlink w:anchor="Item4CONTROLSANDPROCEDURES_789267">
              <w:r>
                <w:rPr>
                  <w:rStyle w:val="InternetLink"/>
                  <w:rFonts w:ascii="Arial;Helvetica;sans-serif" w:hAnsi="Arial;Helvetica;sans-serif"/>
                  <w:b w:val="false"/>
                  <w:i w:val="false"/>
                  <w:caps w:val="false"/>
                  <w:smallCaps w:val="false"/>
                  <w:sz w:val="20"/>
                </w:rPr>
                <w:t>Controls and Procedures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64</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9292" w:type="dxa"/>
            <w:gridSpan w:val="4"/>
            <w:tcBorders/>
            <w:vAlign w:val="center"/>
          </w:tcPr>
          <w:p>
            <w:pPr>
              <w:pStyle w:val="TableContents"/>
              <w:bidi w:val="0"/>
              <w:spacing w:lineRule="auto" w:line="328" w:before="0" w:after="0"/>
              <w:ind w:left="0" w:right="0" w:hanging="0"/>
              <w:jc w:val="center"/>
              <w:rPr/>
            </w:pPr>
            <w:hyperlink w:anchor="PARTIIOTHERINFORMATION_502540">
              <w:r>
                <w:rPr>
                  <w:rStyle w:val="InternetLink"/>
                  <w:rFonts w:ascii="Arial;Helvetica;sans-serif" w:hAnsi="Arial;Helvetica;sans-serif"/>
                  <w:b/>
                  <w:i w:val="false"/>
                  <w:caps w:val="false"/>
                  <w:smallCaps w:val="false"/>
                  <w:sz w:val="20"/>
                </w:rPr>
                <w:t>PART II — OTHER INFORMATION</w:t>
              </w:r>
            </w:hyperlink>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LEGALPROCEEDINGS_610706">
              <w:r>
                <w:rPr>
                  <w:rStyle w:val="InternetLink"/>
                  <w:rFonts w:ascii="Arial;Helvetica;sans-serif" w:hAnsi="Arial;Helvetica;sans-serif"/>
                  <w:b w:val="false"/>
                  <w:i w:val="false"/>
                  <w:caps w:val="false"/>
                  <w:smallCaps w:val="false"/>
                  <w:sz w:val="20"/>
                </w:rPr>
                <w:t>Item 1.</w:t>
              </w:r>
            </w:hyperlink>
          </w:p>
        </w:tc>
        <w:tc>
          <w:tcPr>
            <w:tcW w:w="7711" w:type="dxa"/>
            <w:tcBorders/>
            <w:vAlign w:val="center"/>
          </w:tcPr>
          <w:p>
            <w:pPr>
              <w:pStyle w:val="TableContents"/>
              <w:bidi w:val="0"/>
              <w:spacing w:lineRule="auto" w:line="328" w:before="0" w:after="0"/>
              <w:ind w:left="0" w:right="0" w:hanging="0"/>
              <w:jc w:val="both"/>
              <w:rPr/>
            </w:pPr>
            <w:hyperlink w:anchor="Item1LEGALPROCEEDINGS_610706">
              <w:r>
                <w:rPr>
                  <w:rStyle w:val="InternetLink"/>
                  <w:rFonts w:ascii="Arial;Helvetica;sans-serif" w:hAnsi="Arial;Helvetica;sans-serif"/>
                  <w:b w:val="false"/>
                  <w:i w:val="false"/>
                  <w:caps w:val="false"/>
                  <w:smallCaps w:val="false"/>
                  <w:sz w:val="20"/>
                </w:rPr>
                <w:t>Legal Proceedings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64</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ARISKFACTORS_237900">
              <w:r>
                <w:rPr>
                  <w:rStyle w:val="InternetLink"/>
                  <w:rFonts w:ascii="Arial;Helvetica;sans-serif" w:hAnsi="Arial;Helvetica;sans-serif"/>
                  <w:b w:val="false"/>
                  <w:i w:val="false"/>
                  <w:caps w:val="false"/>
                  <w:smallCaps w:val="false"/>
                  <w:sz w:val="20"/>
                </w:rPr>
                <w:t>Item 1A.</w:t>
              </w:r>
            </w:hyperlink>
          </w:p>
        </w:tc>
        <w:tc>
          <w:tcPr>
            <w:tcW w:w="7711" w:type="dxa"/>
            <w:tcBorders/>
            <w:vAlign w:val="center"/>
          </w:tcPr>
          <w:p>
            <w:pPr>
              <w:pStyle w:val="TableContents"/>
              <w:bidi w:val="0"/>
              <w:spacing w:lineRule="auto" w:line="328" w:before="0" w:after="0"/>
              <w:ind w:left="0" w:right="0" w:hanging="0"/>
              <w:jc w:val="both"/>
              <w:rPr/>
            </w:pPr>
            <w:hyperlink w:anchor="Item1ARISKFACTORS_237900">
              <w:r>
                <w:rPr>
                  <w:rStyle w:val="InternetLink"/>
                  <w:rFonts w:ascii="Arial;Helvetica;sans-serif" w:hAnsi="Arial;Helvetica;sans-serif"/>
                  <w:b w:val="false"/>
                  <w:i w:val="false"/>
                  <w:caps w:val="false"/>
                  <w:smallCaps w:val="false"/>
                  <w:sz w:val="20"/>
                </w:rPr>
                <w:t>Risk Factors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64</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2.</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Unregistered Sales of Equity Securities and Use of Proceeds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3.</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Defaults Upon Senior Securities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4.</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Mine Safety Disclosures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5.</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Other Information</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6EXHIBITS_631479">
              <w:r>
                <w:rPr>
                  <w:rStyle w:val="InternetLink"/>
                  <w:rFonts w:ascii="Arial;Helvetica;sans-serif" w:hAnsi="Arial;Helvetica;sans-serif"/>
                  <w:b w:val="false"/>
                  <w:i w:val="false"/>
                  <w:caps w:val="false"/>
                  <w:smallCaps w:val="false"/>
                  <w:sz w:val="20"/>
                </w:rPr>
                <w:t>Item 6.</w:t>
              </w:r>
            </w:hyperlink>
          </w:p>
        </w:tc>
        <w:tc>
          <w:tcPr>
            <w:tcW w:w="7711" w:type="dxa"/>
            <w:tcBorders/>
            <w:vAlign w:val="center"/>
          </w:tcPr>
          <w:p>
            <w:pPr>
              <w:pStyle w:val="TableContents"/>
              <w:bidi w:val="0"/>
              <w:spacing w:lineRule="auto" w:line="328" w:before="0" w:after="0"/>
              <w:ind w:left="0" w:right="0" w:hanging="0"/>
              <w:jc w:val="both"/>
              <w:rPr/>
            </w:pPr>
            <w:hyperlink w:anchor="Item6EXHIBITS_631479">
              <w:r>
                <w:rPr>
                  <w:rStyle w:val="InternetLink"/>
                  <w:rFonts w:ascii="Arial;Helvetica;sans-serif" w:hAnsi="Arial;Helvetica;sans-serif"/>
                  <w:b w:val="false"/>
                  <w:i w:val="false"/>
                  <w:caps w:val="false"/>
                  <w:smallCaps w:val="false"/>
                  <w:sz w:val="20"/>
                </w:rPr>
                <w:t>Exhibits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67</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SIGNATURES_672987">
              <w:r>
                <w:rPr>
                  <w:rStyle w:val="InternetLink"/>
                  <w:rFonts w:ascii="Arial;Helvetica;sans-serif" w:hAnsi="Arial;Helvetica;sans-serif"/>
                  <w:b w:val="false"/>
                  <w:i w:val="false"/>
                  <w:caps w:val="false"/>
                  <w:smallCaps w:val="false"/>
                  <w:sz w:val="20"/>
                </w:rPr>
                <w:t>Signatures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10009"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This item has been omitted pursuant to the reduced disclosure format as set forth in General Instructions (H)(2) of Form 10-Q.</w:t>
            </w:r>
          </w:p>
        </w:tc>
      </w:tr>
    </w:tbl>
    <w:p>
      <w:pPr>
        <w:pStyle w:val="TextBody"/>
        <w:pBdr/>
        <w:bidi w:val="0"/>
        <w:spacing w:before="0" w:after="0"/>
        <w:ind w:left="0" w:right="0" w:hanging="432"/>
        <w:jc w:val="both"/>
        <w:rPr/>
      </w:pPr>
      <w:r>
        <w:rPr/>
        <w:t>​</w:t>
      </w:r>
    </w:p>
    <w:p>
      <w:pPr>
        <w:pStyle w:val="TextBody"/>
        <w:pBdr/>
        <w:bidi w:val="0"/>
        <w:spacing w:before="0" w:after="0"/>
        <w:ind w:left="0" w:right="0" w:hanging="432"/>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5" w:name="PARTIFINANCIALINFORMATION_366237"/>
      <w:bookmarkStart w:id="26" w:name="_82c10d4a_ee3b_4c56_90fa_0a0bcae8cd5f"/>
      <w:bookmarkEnd w:id="25"/>
      <w:bookmarkEnd w:id="26"/>
      <w:r>
        <w:rPr>
          <w:rFonts w:ascii="Arial;Helvetica;sans-serif" w:hAnsi="Arial;Helvetica;san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27" w:name="DISCLOSUREREGARDINGFORWARDLOOKINGSTATEME"/>
      <w:bookmarkEnd w:id="27"/>
      <w:r>
        <w:rPr>
          <w:rFonts w:ascii="Arial;Helvetica;sans-serif" w:hAnsi="Arial;Helvetica;sans-serif"/>
          <w:b/>
          <w:sz w:val="20"/>
        </w:rPr>
        <w:t>DISCLOSURE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Unless otherwise required by the context, in this report, the words “DISH DBS,” “DDBS,” the “Company,” “we,” “our” and “us” refer to DISH DBS Corporation and its subsidiaries, “DISH Network” refers to DISH Network Corporation, our parent company, and its subsidiaries, including us, and “EchoStar” refers to EchoStar Corporation and its subsidiaries, our ultimate parent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SUMMARY OF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Relating to Pending Transactions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closing of the AT&amp;T Transactions are not certain, and are subject to certain conditions, some of which we and our ultimate parent, EchoStar, cannot control, which could result in the AT&amp;T Transactions not being completed or being completed later than expected, which could have a material adverse impact on our expected leverage and available cash-on-hand, as well as costs and revenues, or otherwise reducing the anticipated benefits to us of the AT&amp;T Transactions.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Competition and Economic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video, broadband and/or wireless services. Changing consumer behavior and new technologies in our Pay-TV business may reduce our subscriber activations and may cause our subscribers to purchase fewer services from us or to cancel our services altogether, resulting in less revenue to us.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 w:name="_cp_change_51"/>
      <w:bookmarkStart w:id="29" w:name="_cp_change_51"/>
      <w:bookmarkEnd w:id="2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and Service Delivery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a single vendor or a limited number of vendors to provide certain key products or services to us, and the inability of these key vendors to meet our needs could have a material adverse effect on our business.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increase, among other things, our costs, disrupt our supply chain and negatively affect our business, operations and financial condition.</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Human Capital</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highly skilled personnel for our business, and any inability to hire and retain key personnel or to hire qualified personnel may negatively affect our business, financial condition and results of operations.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Products and Technology</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business depends on certain intellectual property rights and on not infringing the intellectual property rights of others.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Cybersecurity</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_cp_change_158"/>
      <w:bookmarkStart w:id="31" w:name="_cp_change_158"/>
      <w:bookmarkEnd w:id="3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2"/>
                <w:sz w:val="20"/>
              </w:rPr>
            </w:pPr>
            <w:r>
              <w:rPr>
                <w:rFonts w:ascii="Arial;Helvetica;sans-serif" w:hAnsi="Arial;Helvetica;sans-serif"/>
                <w:b w:val="false"/>
                <w:i w:val="false"/>
                <w:caps w:val="false"/>
                <w:smallCaps w:val="false"/>
                <w:spacing w:val="-2"/>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Acquisition and Capital Structure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do not have the necessary cash on hand, projected future cash flows or committed financing to fund our obligations over the next twelve months, which raises substantial doubt about our ability to continue as a going concern.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p>
      <w:pPr>
        <w:pStyle w:val="TextBody"/>
        <w:bidi w:val="0"/>
        <w:spacing w:before="0" w:after="0"/>
        <w:ind w:left="720" w:right="0" w:hanging="0"/>
        <w:jc w:val="left"/>
        <w:rPr/>
      </w:pPr>
      <w:r>
        <w:rPr/>
        <w:t>​</w:t>
      </w:r>
    </w:p>
    <w:p>
      <w:pPr>
        <w:pStyle w:val="Normal"/>
        <w:bidi w:val="0"/>
        <w:spacing w:before="0" w:after="0"/>
        <w:jc w:val="left"/>
        <w:rPr>
          <w:sz w:val="4"/>
          <w:szCs w:val="4"/>
        </w:rPr>
      </w:pPr>
      <w:r>
        <w:rPr>
          <w:sz w:val="4"/>
          <w:szCs w:val="4"/>
        </w:rPr>
      </w:r>
      <w:bookmarkStart w:id="32" w:name="_cp_change_258"/>
      <w:bookmarkStart w:id="33" w:name="_cp_change_255"/>
      <w:bookmarkStart w:id="34" w:name="_cp_change_253"/>
      <w:bookmarkStart w:id="35" w:name="_cp_change_251"/>
      <w:bookmarkStart w:id="36" w:name="_cp_change_258"/>
      <w:bookmarkStart w:id="37" w:name="_cp_change_255"/>
      <w:bookmarkStart w:id="38" w:name="_cp_change_253"/>
      <w:bookmarkStart w:id="39" w:name="_cp_change_251"/>
      <w:bookmarkEnd w:id="36"/>
      <w:bookmarkEnd w:id="37"/>
      <w:bookmarkEnd w:id="38"/>
      <w:bookmarkEnd w:id="3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w:t>
            </w:r>
            <w:r>
              <w:rPr>
                <w:caps w:val="false"/>
                <w:smallCaps w:val="false"/>
              </w:rPr>
              <w:t xml:space="preserve"> </w:t>
            </w:r>
            <w:r>
              <w:rPr>
                <w:rFonts w:ascii="Arial;Helvetica;sans-serif" w:hAnsi="Arial;Helvetica;sans-serif"/>
                <w:b w:val="false"/>
                <w:i w:val="false"/>
                <w:caps w:val="false"/>
                <w:smallCaps w:val="false"/>
                <w:sz w:val="20"/>
              </w:rPr>
              <w:t>and other strategic</w:t>
            </w:r>
            <w:r>
              <w:rPr>
                <w:caps w:val="false"/>
                <w:smallCaps w:val="false"/>
              </w:rPr>
              <w:t xml:space="preserve"> </w:t>
            </w:r>
            <w:r>
              <w:rPr>
                <w:rFonts w:ascii="Arial;Helvetica;sans-serif" w:hAnsi="Arial;Helvetica;sans-serif"/>
                <w:b w:val="false"/>
                <w:i w:val="false"/>
                <w:caps w:val="false"/>
                <w:smallCaps w:val="false"/>
                <w:sz w:val="20"/>
              </w:rPr>
              <w:t>initiatives</w:t>
            </w:r>
            <w:r>
              <w:rPr>
                <w:caps w:val="false"/>
                <w:smallCaps w:val="false"/>
              </w:rPr>
              <w:t xml:space="preserve"> </w:t>
            </w:r>
            <w:r>
              <w:rPr>
                <w:rFonts w:ascii="Arial;Helvetica;sans-serif" w:hAnsi="Arial;Helvetica;sans-serif"/>
                <w:b w:val="false"/>
                <w:i w:val="false"/>
                <w:caps w:val="false"/>
                <w:smallCaps w:val="false"/>
                <w:sz w:val="20"/>
              </w:rPr>
              <w:t>to complement or expand our business, which</w:t>
            </w:r>
            <w:r>
              <w:rPr>
                <w:caps w:val="false"/>
                <w:smallCaps w:val="false"/>
              </w:rPr>
              <w:t xml:space="preserve"> </w:t>
            </w:r>
            <w:r>
              <w:rPr>
                <w:rFonts w:ascii="Arial;Helvetica;sans-serif" w:hAnsi="Arial;Helvetica;sans-serif"/>
                <w:b w:val="false"/>
                <w:i w:val="false"/>
                <w:caps w:val="false"/>
                <w:smallCaps w:val="false"/>
                <w:sz w:val="20"/>
              </w:rPr>
              <w:t>may not be successful and we may lose a portion or all</w:t>
            </w:r>
            <w:r>
              <w:rPr>
                <w:caps w:val="false"/>
                <w:smallCaps w:val="false"/>
              </w:rPr>
              <w:t xml:space="preserve"> </w:t>
            </w:r>
            <w:r>
              <w:rPr>
                <w:rFonts w:ascii="Arial;Helvetica;sans-serif" w:hAnsi="Arial;Helvetica;sans-serif"/>
                <w:b w:val="false"/>
                <w:i w:val="false"/>
                <w:caps w:val="false"/>
                <w:smallCaps w:val="false"/>
                <w:sz w:val="20"/>
              </w:rPr>
              <w:t>of our investment in these acquisitions and transactions.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Our Senior Secured Notes (defined herein) are subordinated to our existing unsecured notes and certain future unsecured notes with respect to certain realizations under the Intercompany Loan – DISH Network</w:t>
            </w:r>
            <w:r>
              <w:rPr>
                <w:caps w:val="false"/>
                <w:smallCaps w:val="false"/>
              </w:rPr>
              <w:t xml:space="preserve"> </w:t>
            </w:r>
            <w:r>
              <w:rPr>
                <w:rFonts w:ascii="Arial;Helvetica;sans-serif" w:hAnsi="Arial;Helvetica;sans-serif"/>
                <w:b w:val="false"/>
                <w:i w:val="false"/>
                <w:caps w:val="false"/>
                <w:smallCaps w:val="false"/>
                <w:sz w:val="20"/>
              </w:rPr>
              <w:t>(defined herein) and any collateral pledged as security therefor.</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will need additional capital, which may not be available on favorable terms or at all, to fund current obligations, to continue investing in our business and to finance acquisitions and other strategic transactions. </w:t>
            </w:r>
          </w:p>
        </w:tc>
      </w:tr>
    </w:tbl>
    <w:p>
      <w:pPr>
        <w:pStyle w:val="TextBody"/>
        <w:bidi w:val="0"/>
        <w:spacing w:before="0" w:after="0"/>
        <w:ind w:left="720" w:right="0" w:hanging="0"/>
        <w:jc w:val="left"/>
        <w:rPr/>
      </w:pPr>
      <w:r>
        <w:rPr/>
        <w:t>​</w:t>
      </w:r>
    </w:p>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ultimate parent, EchoStar, is controlled by one principal stockholder, who is also our Chairman. </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the Regulation of Our Business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services depend on FCC licenses that can expire or be revoked or modified and applications for FCC licenses that may not be granted.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w:t>
      </w:r>
      <w:r>
        <w:rPr>
          <w:rFonts w:ascii="Times New Roman;Times;serif" w:hAnsi="Times New Roman;Times;serif"/>
          <w:sz w:val="20"/>
        </w:rPr>
        <w:t>“</w:t>
      </w:r>
      <w:r>
        <w:rPr>
          <w:rFonts w:ascii="Arial;Helvetica;sans-serif" w:hAnsi="Arial;Helvetica;sans-serif"/>
          <w:sz w:val="20"/>
        </w:rPr>
        <w:t>SEC</w:t>
      </w:r>
      <w:r>
        <w:rPr>
          <w:rFonts w:ascii="Times New Roman;Times;serif" w:hAnsi="Times New Roman;Times;serif"/>
          <w:sz w:val="20"/>
        </w:rPr>
        <w:t>”</w:t>
      </w:r>
      <w:r>
        <w:rPr>
          <w:rFonts w:ascii="Arial;Helvetica;sans-serif" w:hAnsi="Arial;Helvetica;sans-serif"/>
          <w:sz w:val="20"/>
        </w:rPr>
        <w:t>),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40" w:name="Item1FINANCIALSTATEMENTS_261159"/>
      <w:bookmarkStart w:id="41" w:name="_f157437f_153b_4dc9_8ac1_0fc881664d60"/>
      <w:bookmarkEnd w:id="40"/>
      <w:bookmarkEnd w:id="41"/>
      <w:r>
        <w:rPr>
          <w:rFonts w:ascii="Arial;Helvetica;sans-serif" w:hAnsi="Arial;Helvetica;san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42" w:name="CONDENSEDCONSOLIDATEDBALANCESHEETS_60502"/>
      <w:bookmarkEnd w:id="42"/>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share amounts)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43" w:name="Tc_-g-DzJSy8kGTb3a2ATAmXw_52_5"/>
      <w:bookmarkStart w:id="44" w:name="Tc_y4JO5beWqU6jZ6QZv4Lu1w_52_2"/>
      <w:bookmarkStart w:id="45" w:name="Tc_JcymvIg5iEuJ8t39azQ6zA_52_0"/>
      <w:bookmarkStart w:id="46" w:name="Tc_SSAz9roWTEqvc_PcJj8TiA_51_0"/>
      <w:bookmarkStart w:id="47" w:name="Tc_sHKSheHBukOzfHbw9hf57A_50_0"/>
      <w:bookmarkStart w:id="48" w:name="Tc_1RdI_MkiIE60r67zx52boQ_49_0"/>
      <w:bookmarkStart w:id="49" w:name="Tc_5vAH5eJlT0WxbRgvUZJ24A_48_0"/>
      <w:bookmarkStart w:id="50" w:name="Tc_EZgwwzwTaUiTC9SM9K4I0Q_47_6"/>
      <w:bookmarkStart w:id="51" w:name="Tc_U--UlJMCrEinAmz98cZxPg_47_3"/>
      <w:bookmarkStart w:id="52" w:name="Tc_R83YrgV_JkWxg4xvyYDBwQ_47_0"/>
      <w:bookmarkStart w:id="53" w:name="Tc_77dHV9zcikyZirbWfV6MtA_46_0"/>
      <w:bookmarkStart w:id="54" w:name="Tc_sJp0h1AEak6WPelCp7mM7g_44_0"/>
      <w:bookmarkStart w:id="55" w:name="Tc_WTHnGK_ZzUqNAij8EFzPOQ_42_0"/>
      <w:bookmarkStart w:id="56" w:name="Tc_GmiiaU2Ue0aVDTUpswbR3g_41_0"/>
      <w:bookmarkStart w:id="57" w:name="Tc_zR1KmbLfhkClMoYKRqIxpg_40_0"/>
      <w:bookmarkStart w:id="58" w:name="Tc_GgNmcjT63kqx86fvvIxnqA_39_0"/>
      <w:bookmarkStart w:id="59" w:name="Tc_DhCAVhX1nUiL-JBFptoH0Q_38_0"/>
      <w:bookmarkStart w:id="60" w:name="Tc_AgcsAAzyvE-h7YOywKGAZw_37_0"/>
      <w:bookmarkStart w:id="61" w:name="Tc_cYxPge6KVkCCmE7SwJea2Q_36_0"/>
      <w:bookmarkStart w:id="62" w:name="Tc_G-oYGe90IUyiuJQSO1qyCA_34_0"/>
      <w:bookmarkStart w:id="63" w:name="Tc_4QF89ILxI0626iGfq6GnZA_33_0"/>
      <w:bookmarkStart w:id="64" w:name="Tc_NgLX-paFaky2eX-EDjqw_Q_32_0"/>
      <w:bookmarkStart w:id="65" w:name="Tc_57H0tGzAxkqcWEDzOzyweg_31_0"/>
      <w:bookmarkStart w:id="66" w:name="Tc_VNEa5zGn00OqVm_KUmu1nQ_30_0"/>
      <w:bookmarkStart w:id="67" w:name="Tc_fg5wjjHC4EacwAq2ME2Szw_29_0"/>
      <w:bookmarkStart w:id="68" w:name="Tc_NUAVnaHnwkqk5nbP-kNZ9g_28_5"/>
      <w:bookmarkStart w:id="69" w:name="Tc_73B9aGYUjEmnj7SvpzatKg_28_2"/>
      <w:bookmarkStart w:id="70" w:name="Tc_2eM_tnoJY0-xEdTgxNbEkA_28_0"/>
      <w:bookmarkStart w:id="71" w:name="Tc_sKLjeLBOnEuIyEznLjp1Fw_27_0"/>
      <w:bookmarkStart w:id="72" w:name="Tc_wPueAZHWCkWLDSakh1TS3Q_26_0"/>
      <w:bookmarkStart w:id="73" w:name="Tc_s5nSzrvdEEWkvKoY5-PQ7w_24_5"/>
      <w:bookmarkStart w:id="74" w:name="Tc_FjeM4ASvi02y5orMg6x_dQ_24_2"/>
      <w:bookmarkStart w:id="75" w:name="Tc_a9146nyiNk-SL7wkrR7tqQ_24_0"/>
      <w:bookmarkStart w:id="76" w:name="Tc_v4IR3HHuYUenb1ERBjC52Q_23_0"/>
      <w:bookmarkStart w:id="77" w:name="Tc_oMq0k5hgVUGzuxep97u0fw_22_0"/>
      <w:bookmarkStart w:id="78" w:name="Tc_CVrRa0iMrUWLHzcX2_Kx5A_20_0"/>
      <w:bookmarkStart w:id="79" w:name="Tc_jUV57iG0FkebsZcLkdBeWQ_19_0"/>
      <w:bookmarkStart w:id="80" w:name="Tc_1QSDoXVRdUadyUQ6ffJ2hw_18_0"/>
      <w:bookmarkStart w:id="81" w:name="Tc_KBirDJMsj0qxxILLtvbVKg_17_0"/>
      <w:bookmarkStart w:id="82" w:name="Tc_IvrHCmaPHkW2nNdA9_M--w_16_0"/>
      <w:bookmarkStart w:id="83" w:name="Tc_lWMA8pF1jUq-AumReOPFhQ_15_0"/>
      <w:bookmarkStart w:id="84" w:name="Tc_X8xYJZzGjUWH4nLhUtcd9A_13_0"/>
      <w:bookmarkStart w:id="85" w:name="Tc_-0tufs6Qt0GQIcoUZJ2uYg_12_0"/>
      <w:bookmarkStart w:id="86" w:name="Tc_xu_85GoP70GqKce2-Fv7FA_11_0"/>
      <w:bookmarkStart w:id="87" w:name="Tc_4Lcy06V4qE6rG6-YJ-Dr0Q_9_0"/>
      <w:bookmarkStart w:id="88" w:name="Tc_XhAlTm1RDECmxxZ8AOQtNg_8_0"/>
      <w:bookmarkStart w:id="89" w:name="Tc_gE8ov-M_UEWjsreC2s8pCA_7_0"/>
      <w:bookmarkStart w:id="90" w:name="Tc_nVE_H3KcRUCSNzu1o1QRUw_6_5"/>
      <w:bookmarkStart w:id="91" w:name="Tc_M4rOL6kpVkytUgiFpTuPfw_6_2"/>
      <w:bookmarkStart w:id="92" w:name="Tc_bjE8_9Bx5kq-IHfopHQiYw_6_0"/>
      <w:bookmarkStart w:id="93" w:name="Tc_1dqtE8COVE-QtbfT25VnHA_5_0"/>
      <w:bookmarkStart w:id="94" w:name="Tc_MulsYYfphkCQwbE-G28EPA_4_0"/>
      <w:bookmarkStart w:id="95" w:name="Tc_WhIuiqyf3kSXP_q6Xg5EAA_3_5"/>
      <w:bookmarkStart w:id="96" w:name="Tc_oEKPHrRHTE29RHeOB5eK6w_3_2"/>
      <w:bookmarkStart w:id="97" w:name="Tc_t4hlG_LDc0u2e1Wl3sDLEA_2_5"/>
      <w:bookmarkStart w:id="98" w:name="Tc_btHT_um-kkOPolM5bP10vg_2_2"/>
      <w:bookmarkStart w:id="99" w:name="Tc_z0vouq_uH0qNDtPnCZ1haQ_1_2"/>
      <w:bookmarkStart w:id="100" w:name="_6e562735_3227_4eb1_bcbe_43f46e6d58fa"/>
      <w:bookmarkStart w:id="101" w:name="Tc_-g-DzJSy8kGTb3a2ATAmXw_52_5"/>
      <w:bookmarkStart w:id="102" w:name="Tc_y4JO5beWqU6jZ6QZv4Lu1w_52_2"/>
      <w:bookmarkStart w:id="103" w:name="Tc_JcymvIg5iEuJ8t39azQ6zA_52_0"/>
      <w:bookmarkStart w:id="104" w:name="Tc_SSAz9roWTEqvc_PcJj8TiA_51_0"/>
      <w:bookmarkStart w:id="105" w:name="Tc_sHKSheHBukOzfHbw9hf57A_50_0"/>
      <w:bookmarkStart w:id="106" w:name="Tc_1RdI_MkiIE60r67zx52boQ_49_0"/>
      <w:bookmarkStart w:id="107" w:name="Tc_5vAH5eJlT0WxbRgvUZJ24A_48_0"/>
      <w:bookmarkStart w:id="108" w:name="Tc_EZgwwzwTaUiTC9SM9K4I0Q_47_6"/>
      <w:bookmarkStart w:id="109" w:name="Tc_U--UlJMCrEinAmz98cZxPg_47_3"/>
      <w:bookmarkStart w:id="110" w:name="Tc_R83YrgV_JkWxg4xvyYDBwQ_47_0"/>
      <w:bookmarkStart w:id="111" w:name="Tc_77dHV9zcikyZirbWfV6MtA_46_0"/>
      <w:bookmarkStart w:id="112" w:name="Tc_sJp0h1AEak6WPelCp7mM7g_44_0"/>
      <w:bookmarkStart w:id="113" w:name="Tc_WTHnGK_ZzUqNAij8EFzPOQ_42_0"/>
      <w:bookmarkStart w:id="114" w:name="Tc_GmiiaU2Ue0aVDTUpswbR3g_41_0"/>
      <w:bookmarkStart w:id="115" w:name="Tc_zR1KmbLfhkClMoYKRqIxpg_40_0"/>
      <w:bookmarkStart w:id="116" w:name="Tc_GgNmcjT63kqx86fvvIxnqA_39_0"/>
      <w:bookmarkStart w:id="117" w:name="Tc_DhCAVhX1nUiL-JBFptoH0Q_38_0"/>
      <w:bookmarkStart w:id="118" w:name="Tc_AgcsAAzyvE-h7YOywKGAZw_37_0"/>
      <w:bookmarkStart w:id="119" w:name="Tc_cYxPge6KVkCCmE7SwJea2Q_36_0"/>
      <w:bookmarkStart w:id="120" w:name="Tc_G-oYGe90IUyiuJQSO1qyCA_34_0"/>
      <w:bookmarkStart w:id="121" w:name="Tc_4QF89ILxI0626iGfq6GnZA_33_0"/>
      <w:bookmarkStart w:id="122" w:name="Tc_NgLX-paFaky2eX-EDjqw_Q_32_0"/>
      <w:bookmarkStart w:id="123" w:name="Tc_57H0tGzAxkqcWEDzOzyweg_31_0"/>
      <w:bookmarkStart w:id="124" w:name="Tc_VNEa5zGn00OqVm_KUmu1nQ_30_0"/>
      <w:bookmarkStart w:id="125" w:name="Tc_fg5wjjHC4EacwAq2ME2Szw_29_0"/>
      <w:bookmarkStart w:id="126" w:name="Tc_NUAVnaHnwkqk5nbP-kNZ9g_28_5"/>
      <w:bookmarkStart w:id="127" w:name="Tc_73B9aGYUjEmnj7SvpzatKg_28_2"/>
      <w:bookmarkStart w:id="128" w:name="Tc_2eM_tnoJY0-xEdTgxNbEkA_28_0"/>
      <w:bookmarkStart w:id="129" w:name="Tc_sKLjeLBOnEuIyEznLjp1Fw_27_0"/>
      <w:bookmarkStart w:id="130" w:name="Tc_wPueAZHWCkWLDSakh1TS3Q_26_0"/>
      <w:bookmarkStart w:id="131" w:name="Tc_s5nSzrvdEEWkvKoY5-PQ7w_24_5"/>
      <w:bookmarkStart w:id="132" w:name="Tc_FjeM4ASvi02y5orMg6x_dQ_24_2"/>
      <w:bookmarkStart w:id="133" w:name="Tc_a9146nyiNk-SL7wkrR7tqQ_24_0"/>
      <w:bookmarkStart w:id="134" w:name="Tc_v4IR3HHuYUenb1ERBjC52Q_23_0"/>
      <w:bookmarkStart w:id="135" w:name="Tc_oMq0k5hgVUGzuxep97u0fw_22_0"/>
      <w:bookmarkStart w:id="136" w:name="Tc_CVrRa0iMrUWLHzcX2_Kx5A_20_0"/>
      <w:bookmarkStart w:id="137" w:name="Tc_jUV57iG0FkebsZcLkdBeWQ_19_0"/>
      <w:bookmarkStart w:id="138" w:name="Tc_1QSDoXVRdUadyUQ6ffJ2hw_18_0"/>
      <w:bookmarkStart w:id="139" w:name="Tc_KBirDJMsj0qxxILLtvbVKg_17_0"/>
      <w:bookmarkStart w:id="140" w:name="Tc_IvrHCmaPHkW2nNdA9_M--w_16_0"/>
      <w:bookmarkStart w:id="141" w:name="Tc_lWMA8pF1jUq-AumReOPFhQ_15_0"/>
      <w:bookmarkStart w:id="142" w:name="Tc_X8xYJZzGjUWH4nLhUtcd9A_13_0"/>
      <w:bookmarkStart w:id="143" w:name="Tc_-0tufs6Qt0GQIcoUZJ2uYg_12_0"/>
      <w:bookmarkStart w:id="144" w:name="Tc_xu_85GoP70GqKce2-Fv7FA_11_0"/>
      <w:bookmarkStart w:id="145" w:name="Tc_4Lcy06V4qE6rG6-YJ-Dr0Q_9_0"/>
      <w:bookmarkStart w:id="146" w:name="Tc_XhAlTm1RDECmxxZ8AOQtNg_8_0"/>
      <w:bookmarkStart w:id="147" w:name="Tc_gE8ov-M_UEWjsreC2s8pCA_7_0"/>
      <w:bookmarkStart w:id="148" w:name="Tc_nVE_H3KcRUCSNzu1o1QRUw_6_5"/>
      <w:bookmarkStart w:id="149" w:name="Tc_M4rOL6kpVkytUgiFpTuPfw_6_2"/>
      <w:bookmarkStart w:id="150" w:name="Tc_bjE8_9Bx5kq-IHfopHQiYw_6_0"/>
      <w:bookmarkStart w:id="151" w:name="Tc_1dqtE8COVE-QtbfT25VnHA_5_0"/>
      <w:bookmarkStart w:id="152" w:name="Tc_MulsYYfphkCQwbE-G28EPA_4_0"/>
      <w:bookmarkStart w:id="153" w:name="Tc_WhIuiqyf3kSXP_q6Xg5EAA_3_5"/>
      <w:bookmarkStart w:id="154" w:name="Tc_oEKPHrRHTE29RHeOB5eK6w_3_2"/>
      <w:bookmarkStart w:id="155" w:name="Tc_t4hlG_LDc0u2e1Wl3sDLEA_2_5"/>
      <w:bookmarkStart w:id="156" w:name="Tc_btHT_um-kkOPolM5bP10vg_2_2"/>
      <w:bookmarkStart w:id="157" w:name="Tc_z0vouq_uH0qNDtPnCZ1haQ_1_2"/>
      <w:bookmarkStart w:id="158" w:name="_6e562735_3227_4eb1_bcbe_43f46e6d58fa"/>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033"/>
        <w:gridCol w:w="326"/>
        <w:gridCol w:w="216"/>
        <w:gridCol w:w="1048"/>
        <w:gridCol w:w="326"/>
        <w:gridCol w:w="207"/>
        <w:gridCol w:w="1049"/>
      </w:tblGrid>
      <w:tr>
        <w:trPr/>
        <w:tc>
          <w:tcPr>
            <w:tcW w:w="7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465955" cy="175260"/>
                      <wp:effectExtent l="0" t="0" r="0" b="0"/>
                      <wp:wrapNone/>
                      <wp:docPr id="2" name="Frame2"/>
                      <a:graphic xmlns:a="http://schemas.openxmlformats.org/drawingml/2006/main">
                        <a:graphicData uri="http://schemas.microsoft.com/office/word/2010/wordprocessingShape">
                          <wps:wsp>
                            <wps:cNvSpPr txBox="1"/>
                            <wps:spPr>
                              <a:xfrm>
                                <a:off x="0" y="0"/>
                                <a:ext cx="446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7160" cy="175260"/>
                      <wp:effectExtent l="0" t="0" r="0" b="0"/>
                      <wp:wrapNone/>
                      <wp:docPr id="4" name="Frame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5480" cy="175260"/>
                      <wp:effectExtent l="0" t="0" r="0" b="0"/>
                      <wp:wrapNone/>
                      <wp:docPr id="5" name="Frame5"/>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1445" cy="175260"/>
                      <wp:effectExtent l="0" t="0" r="0" b="0"/>
                      <wp:wrapNone/>
                      <wp:docPr id="7" name="Frame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6115" cy="175260"/>
                      <wp:effectExtent l="0" t="0" r="0" b="0"/>
                      <wp:wrapNone/>
                      <wp:docPr id="8" name="Frame8"/>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4"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2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December 31, </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center"/>
              <w:rPr/>
            </w:pPr>
            <w:r>
              <w:rPr/>
              <w:t>​</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Assets: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946,640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419,087</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Current restricted cash, cash equivalents and marketable investment securities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128,826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150,898</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Trade accounts receivable, net of allowance for credit losses of $53,080</w:t>
            </w:r>
            <w:r>
              <w:rPr>
                <w:rFonts w:ascii="Times New Roman;Times;serif" w:hAnsi="Times New Roman;Times;serif"/>
                <w:sz w:val="16"/>
              </w:rPr>
              <w:t xml:space="preserve"> </w:t>
            </w:r>
            <w:r>
              <w:rPr>
                <w:rFonts w:ascii="Arial;Helvetica;sans-serif" w:hAnsi="Arial;Helvetica;sans-serif"/>
                <w:sz w:val="16"/>
              </w:rPr>
              <w:t>and $42,270,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465,193</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592,355</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Inventory</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125,309</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183,202</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Interest receivable - DISH Network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56,888</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14,222</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Prepaids and other assets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113,001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118,070</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2,583</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1,588</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1,838,440</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1,479,422</w:t>
            </w:r>
          </w:p>
        </w:tc>
      </w:tr>
      <w:tr>
        <w:trPr/>
        <w:tc>
          <w:tcPr>
            <w:tcW w:w="70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Noncurrent Assets: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Restricted cash, cash equivalents and marketable investment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60,471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58,676</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575,514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624,769</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Regulatory authorizations, 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611,794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611,794</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investments, net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17,344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22,641</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96,395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81,024</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Notes Receivable - DISH Network (Note 11)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5,021,703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4,913,689</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noncurrent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90,235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99,908</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6,473,456</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6,412,501</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8,311,896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7,891,923</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Liabilities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Trade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151,031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207,531</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 and other</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404,647</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416,156</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Accrued programming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1,222,607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1,339,072</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Accrued interest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185,878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153,409</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accrued expenses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417,563</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373,915</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portion of debt, finance lease and other obligations (Note 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2,911,440</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744,556</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5,293,166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3,234,639</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Long-Term Obligations,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debt, finance lease and other obligations, net of current portion (Note 7)</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8,790,219</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11,402,894</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184,566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205,064</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Operating lease liabilities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64,630</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52,156</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deferred revenue and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231,454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203,190</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long-term obligations, net of current portion</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9,270,869</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11,863,304</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14,564,035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15,097,943</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Commitments and Contingencies (Note 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Common stock, $0.01</w:t>
            </w:r>
            <w:r>
              <w:rPr>
                <w:rFonts w:ascii="Times New Roman;Times;serif" w:hAnsi="Times New Roman;Times;serif"/>
                <w:sz w:val="16"/>
              </w:rPr>
              <w:t xml:space="preserve"> </w:t>
            </w:r>
            <w:r>
              <w:rPr>
                <w:rFonts w:ascii="Arial;Helvetica;sans-serif" w:hAnsi="Arial;Helvetica;sans-serif"/>
                <w:sz w:val="16"/>
              </w:rPr>
              <w:t>par value, 1,000,000</w:t>
            </w:r>
            <w:r>
              <w:rPr>
                <w:rFonts w:ascii="Times New Roman;Times;serif" w:hAnsi="Times New Roman;Times;serif"/>
                <w:sz w:val="16"/>
              </w:rPr>
              <w:t xml:space="preserve"> </w:t>
            </w:r>
            <w:r>
              <w:rPr>
                <w:rFonts w:ascii="Arial;Helvetica;sans-serif" w:hAnsi="Arial;Helvetica;sans-serif"/>
                <w:sz w:val="16"/>
              </w:rPr>
              <w:t>shares authorized, 1,015</w:t>
            </w:r>
            <w:r>
              <w:rPr>
                <w:rFonts w:ascii="Times New Roman;Times;serif" w:hAnsi="Times New Roman;Times;serif"/>
                <w:sz w:val="16"/>
              </w:rPr>
              <w:t xml:space="preserve"> </w:t>
            </w:r>
            <w:r>
              <w:rPr>
                <w:rFonts w:ascii="Arial;Helvetica;sans-serif" w:hAnsi="Arial;Helvetica;sans-serif"/>
                <w:sz w:val="16"/>
              </w:rPr>
              <w:t>shares issued and outstanding</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pPr>
            <w:r>
              <w:rPr/>
              <w:t>—</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1,565,114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1,558,325</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(3,047)</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earnings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(7,813,302)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(8,761,298)</w:t>
            </w:r>
          </w:p>
        </w:tc>
      </w:tr>
      <w:tr>
        <w:trPr/>
        <w:tc>
          <w:tcPr>
            <w:tcW w:w="70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stockholder’s equity (deficit)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(6,252,139)</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(7,206,020)</w:t>
            </w:r>
          </w:p>
        </w:tc>
      </w:tr>
      <w:tr>
        <w:trPr/>
        <w:tc>
          <w:tcPr>
            <w:tcW w:w="703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8,311,896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7,891,923</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59" w:name="_3ee8249a_213a_4b45_8070_25c8ed4dffc2"/>
      <w:bookmarkEnd w:id="159"/>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160" w:name="CONDENSEDCONSOLIDATEDSTATEMENTSOFOPERATI"/>
      <w:bookmarkEnd w:id="160"/>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AND COMPREHENSIVE INCOME (LOSS)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61" w:name="Tc_tLUuoRHfokuwuxdTmO2Nww_35_11"/>
      <w:bookmarkStart w:id="162" w:name="Tc_FoFDnHlabEiHi74iOYgiXw_35_8"/>
      <w:bookmarkStart w:id="163" w:name="Tc_WB0ue_aKgUqcegOZhM92tA_35_5"/>
      <w:bookmarkStart w:id="164" w:name="Tc_KZPOafYAMk6w2Y-CaUFipQ_35_2"/>
      <w:bookmarkStart w:id="165" w:name="Tc_ZJhWE9KQ50KXg1tW5JyHdw_35_0"/>
      <w:bookmarkStart w:id="166" w:name="Tc_QiIwnUANn0KDmJnJ-G1ivQ_34_0"/>
      <w:bookmarkStart w:id="167" w:name="Tc_iGsWT_IPlEOkRgl629yk1w_33_9"/>
      <w:bookmarkStart w:id="168" w:name="Tc_DxENPncFQ0iypRZzYxv-bw_33_3"/>
      <w:bookmarkStart w:id="169" w:name="Tc__Jqp-pPkiUK2f81bLy4nWA_33_0"/>
      <w:bookmarkStart w:id="170" w:name="Tc_UysBoZifk0q7HEwPPXRtUQ_32_12"/>
      <w:bookmarkStart w:id="171" w:name="Tc_T4xXHAAs8kWZZ0Wv2ue8-g_32_6"/>
      <w:bookmarkStart w:id="172" w:name="Tc__SU0FKNXB0mMzP1gkZK2UA_32_0"/>
      <w:bookmarkStart w:id="173" w:name="Tc_nOq_d5kd30Kh5BUWxXpivw_31_0"/>
      <w:bookmarkStart w:id="174" w:name="Tc_TFgT8Oe3RkSxRcA0UxoVKQ_30_0"/>
      <w:bookmarkStart w:id="175" w:name="Tc_79aeXa_Lu0-gNC3m7dd1MQ_29_11"/>
      <w:bookmarkStart w:id="176" w:name="Tc_GBXV28ZtAEiUGx3CKtEjow_29_8"/>
      <w:bookmarkStart w:id="177" w:name="Tc_QKWvnCsIRk-wO0YpvBEuGw_29_5"/>
      <w:bookmarkStart w:id="178" w:name="Tc_kxxRGEduJUWeRqPGlT21wQ_29_2"/>
      <w:bookmarkStart w:id="179" w:name="Tc_05-rNB9N7E-WDMDRa_Z_Ug_29_0"/>
      <w:bookmarkStart w:id="180" w:name="Tc_VyTwrNRtTkaohF8mikjv7w_28_0"/>
      <w:bookmarkStart w:id="181" w:name="Tc_GHBrL8gomEK92PcAQpLvpA_26_11"/>
      <w:bookmarkStart w:id="182" w:name="Tc_MlWKRY8ZKECQPuCxWNtgOw_26_8"/>
      <w:bookmarkStart w:id="183" w:name="Tc_1UC-iuXx50OjUcrxEO55Ng_26_5"/>
      <w:bookmarkStart w:id="184" w:name="Tc_QTnrFCnLFUq-cxWYdv5qsg_26_2"/>
      <w:bookmarkStart w:id="185" w:name="Tc_B4XiL2kGOk2IJiIBVgxaeQ_26_0"/>
      <w:bookmarkStart w:id="186" w:name="Tc_JISzVyVOpUq4cCG9fKbYrg_25_0"/>
      <w:bookmarkStart w:id="187" w:name="Tc_9JPLOpE0S0W8dqnHJiZDJw_24_0"/>
      <w:bookmarkStart w:id="188" w:name="Tc_li7xKjTm9UapSZezt5_QdQ_22_0"/>
      <w:bookmarkStart w:id="189" w:name="Tc_-0V2Cj6MF06GF3Y-ZF4Pdw_21_0"/>
      <w:bookmarkStart w:id="190" w:name="Tc_9hXNrdA-0EyzLVeiQX1Z1w_20_0"/>
      <w:bookmarkStart w:id="191" w:name="Tc_rKhbKUthCkat2Rttjjoajg_19_0"/>
      <w:bookmarkStart w:id="192" w:name="Tc_Zyb1rCoMNEqvXf4rPW9PnQ_18_0"/>
      <w:bookmarkStart w:id="193" w:name="Tc_V2NQTT2MbUGgxrmMG5_o1Q_16_0"/>
      <w:bookmarkStart w:id="194" w:name="Tc_T57GYVMmlkqIVa8ZzQT5Gw_14_0"/>
      <w:bookmarkStart w:id="195" w:name="Tc_hgoM0CzeN0K3okn1CIsMHw_13_0"/>
      <w:bookmarkStart w:id="196" w:name="Tc_Y64Sx_qHkkiCYDilgrUqag_12_0"/>
      <w:bookmarkStart w:id="197" w:name="Tc_sHQszKQZ-kCWLESySna-TQ_11_0"/>
      <w:bookmarkStart w:id="198" w:name="Tc_nm8a8HOKCUGkQDXyi6ZgKA_10_0"/>
      <w:bookmarkStart w:id="199" w:name="Tc_ebImZillvkCNFy8DSn9cjw_9_0"/>
      <w:bookmarkStart w:id="200" w:name="Tc_3yNgJBWQlkKJ30DzD45u-Q_7_0"/>
      <w:bookmarkStart w:id="201" w:name="Tc_Q5cGl9gjdUSe7xyKTsiiUg_6_0"/>
      <w:bookmarkStart w:id="202" w:name="Tc_ooeaIOBGLkihttW2gfMbjA_5_11"/>
      <w:bookmarkStart w:id="203" w:name="Tc_jdb3YKHN10GO_0l9RiVQ0g_5_8"/>
      <w:bookmarkStart w:id="204" w:name="Tc_c0sZPMuUXEmXXz7CFAkAQg_5_5"/>
      <w:bookmarkStart w:id="205" w:name="Tc_JKDLIdNIfUqwpwg4fIk3xQ_5_2"/>
      <w:bookmarkStart w:id="206" w:name="Tc_nJnbABKDsEm1pN-q4ppzGQ_5_0"/>
      <w:bookmarkStart w:id="207" w:name="Tc_dujgVbQKtEOlkEUeKuUQhg_4_0"/>
      <w:bookmarkStart w:id="208" w:name="Tc_wmZrXvW_TUGqnnVBSTY9Ew_3_11"/>
      <w:bookmarkStart w:id="209" w:name="Tc_qfOgPV52xUqQB828DJ6COQ_3_8"/>
      <w:bookmarkStart w:id="210" w:name="Tc_lQUADo97kke6x3QQfF8emw_3_5"/>
      <w:bookmarkStart w:id="211" w:name="Tc_r5xJ7JJglkeGDzFeyzFtMA_3_2"/>
      <w:bookmarkStart w:id="212" w:name="Tc_Bu5H0KCVGkKT1yPOPcUpAQ_2_8"/>
      <w:bookmarkStart w:id="213" w:name="Tc_TVJukCMPHUGy-babMw9LIA_2_2"/>
      <w:bookmarkStart w:id="214" w:name="Tc_mlXecbQq1U6UBtA3cc9qYw_1_8"/>
      <w:bookmarkStart w:id="215" w:name="Tc_7dbY7OZNNUuimu1hUhvlpA_1_2"/>
      <w:bookmarkStart w:id="216" w:name="_b990ef10_2726_4a0e_b8eb_6d33e1e6b4ea"/>
      <w:bookmarkStart w:id="217" w:name="Tc_tLUuoRHfokuwuxdTmO2Nww_35_11"/>
      <w:bookmarkStart w:id="218" w:name="Tc_FoFDnHlabEiHi74iOYgiXw_35_8"/>
      <w:bookmarkStart w:id="219" w:name="Tc_WB0ue_aKgUqcegOZhM92tA_35_5"/>
      <w:bookmarkStart w:id="220" w:name="Tc_KZPOafYAMk6w2Y-CaUFipQ_35_2"/>
      <w:bookmarkStart w:id="221" w:name="Tc_ZJhWE9KQ50KXg1tW5JyHdw_35_0"/>
      <w:bookmarkStart w:id="222" w:name="Tc_QiIwnUANn0KDmJnJ-G1ivQ_34_0"/>
      <w:bookmarkStart w:id="223" w:name="Tc_iGsWT_IPlEOkRgl629yk1w_33_9"/>
      <w:bookmarkStart w:id="224" w:name="Tc_DxENPncFQ0iypRZzYxv-bw_33_3"/>
      <w:bookmarkStart w:id="225" w:name="Tc__Jqp-pPkiUK2f81bLy4nWA_33_0"/>
      <w:bookmarkStart w:id="226" w:name="Tc_UysBoZifk0q7HEwPPXRtUQ_32_12"/>
      <w:bookmarkStart w:id="227" w:name="Tc_T4xXHAAs8kWZZ0Wv2ue8-g_32_6"/>
      <w:bookmarkStart w:id="228" w:name="Tc__SU0FKNXB0mMzP1gkZK2UA_32_0"/>
      <w:bookmarkStart w:id="229" w:name="Tc_nOq_d5kd30Kh5BUWxXpivw_31_0"/>
      <w:bookmarkStart w:id="230" w:name="Tc_TFgT8Oe3RkSxRcA0UxoVKQ_30_0"/>
      <w:bookmarkStart w:id="231" w:name="Tc_79aeXa_Lu0-gNC3m7dd1MQ_29_11"/>
      <w:bookmarkStart w:id="232" w:name="Tc_GBXV28ZtAEiUGx3CKtEjow_29_8"/>
      <w:bookmarkStart w:id="233" w:name="Tc_QKWvnCsIRk-wO0YpvBEuGw_29_5"/>
      <w:bookmarkStart w:id="234" w:name="Tc_kxxRGEduJUWeRqPGlT21wQ_29_2"/>
      <w:bookmarkStart w:id="235" w:name="Tc_05-rNB9N7E-WDMDRa_Z_Ug_29_0"/>
      <w:bookmarkStart w:id="236" w:name="Tc_VyTwrNRtTkaohF8mikjv7w_28_0"/>
      <w:bookmarkStart w:id="237" w:name="Tc_GHBrL8gomEK92PcAQpLvpA_26_11"/>
      <w:bookmarkStart w:id="238" w:name="Tc_MlWKRY8ZKECQPuCxWNtgOw_26_8"/>
      <w:bookmarkStart w:id="239" w:name="Tc_1UC-iuXx50OjUcrxEO55Ng_26_5"/>
      <w:bookmarkStart w:id="240" w:name="Tc_QTnrFCnLFUq-cxWYdv5qsg_26_2"/>
      <w:bookmarkStart w:id="241" w:name="Tc_B4XiL2kGOk2IJiIBVgxaeQ_26_0"/>
      <w:bookmarkStart w:id="242" w:name="Tc_JISzVyVOpUq4cCG9fKbYrg_25_0"/>
      <w:bookmarkStart w:id="243" w:name="Tc_9JPLOpE0S0W8dqnHJiZDJw_24_0"/>
      <w:bookmarkStart w:id="244" w:name="Tc_li7xKjTm9UapSZezt5_QdQ_22_0"/>
      <w:bookmarkStart w:id="245" w:name="Tc_-0V2Cj6MF06GF3Y-ZF4Pdw_21_0"/>
      <w:bookmarkStart w:id="246" w:name="Tc_9hXNrdA-0EyzLVeiQX1Z1w_20_0"/>
      <w:bookmarkStart w:id="247" w:name="Tc_rKhbKUthCkat2Rttjjoajg_19_0"/>
      <w:bookmarkStart w:id="248" w:name="Tc_Zyb1rCoMNEqvXf4rPW9PnQ_18_0"/>
      <w:bookmarkStart w:id="249" w:name="Tc_V2NQTT2MbUGgxrmMG5_o1Q_16_0"/>
      <w:bookmarkStart w:id="250" w:name="Tc_T57GYVMmlkqIVa8ZzQT5Gw_14_0"/>
      <w:bookmarkStart w:id="251" w:name="Tc_hgoM0CzeN0K3okn1CIsMHw_13_0"/>
      <w:bookmarkStart w:id="252" w:name="Tc_Y64Sx_qHkkiCYDilgrUqag_12_0"/>
      <w:bookmarkStart w:id="253" w:name="Tc_sHQszKQZ-kCWLESySna-TQ_11_0"/>
      <w:bookmarkStart w:id="254" w:name="Tc_nm8a8HOKCUGkQDXyi6ZgKA_10_0"/>
      <w:bookmarkStart w:id="255" w:name="Tc_ebImZillvkCNFy8DSn9cjw_9_0"/>
      <w:bookmarkStart w:id="256" w:name="Tc_3yNgJBWQlkKJ30DzD45u-Q_7_0"/>
      <w:bookmarkStart w:id="257" w:name="Tc_Q5cGl9gjdUSe7xyKTsiiUg_6_0"/>
      <w:bookmarkStart w:id="258" w:name="Tc_ooeaIOBGLkihttW2gfMbjA_5_11"/>
      <w:bookmarkStart w:id="259" w:name="Tc_jdb3YKHN10GO_0l9RiVQ0g_5_8"/>
      <w:bookmarkStart w:id="260" w:name="Tc_c0sZPMuUXEmXXz7CFAkAQg_5_5"/>
      <w:bookmarkStart w:id="261" w:name="Tc_JKDLIdNIfUqwpwg4fIk3xQ_5_2"/>
      <w:bookmarkStart w:id="262" w:name="Tc_nJnbABKDsEm1pN-q4ppzGQ_5_0"/>
      <w:bookmarkStart w:id="263" w:name="Tc_dujgVbQKtEOlkEUeKuUQhg_4_0"/>
      <w:bookmarkStart w:id="264" w:name="Tc_wmZrXvW_TUGqnnVBSTY9Ew_3_11"/>
      <w:bookmarkStart w:id="265" w:name="Tc_qfOgPV52xUqQB828DJ6COQ_3_8"/>
      <w:bookmarkStart w:id="266" w:name="Tc_lQUADo97kke6x3QQfF8emw_3_5"/>
      <w:bookmarkStart w:id="267" w:name="Tc_r5xJ7JJglkeGDzFeyzFtMA_3_2"/>
      <w:bookmarkStart w:id="268" w:name="Tc_Bu5H0KCVGkKT1yPOPcUpAQ_2_8"/>
      <w:bookmarkStart w:id="269" w:name="Tc_TVJukCMPHUGy-babMw9LIA_2_2"/>
      <w:bookmarkStart w:id="270" w:name="Tc_mlXecbQq1U6UBtA3cc9qYw_1_8"/>
      <w:bookmarkStart w:id="271" w:name="Tc_7dbY7OZNNUuimu1hUhvlpA_1_2"/>
      <w:bookmarkStart w:id="272" w:name="_b990ef10_2726_4a0e_b8eb_6d33e1e6b4ea"/>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10205" w:type="dxa"/>
        <w:jc w:val="left"/>
        <w:tblInd w:w="0" w:type="dxa"/>
        <w:tblLayout w:type="fixed"/>
        <w:tblCellMar>
          <w:top w:w="0" w:type="dxa"/>
          <w:left w:w="0" w:type="dxa"/>
          <w:bottom w:w="0" w:type="dxa"/>
          <w:right w:w="0" w:type="dxa"/>
        </w:tblCellMar>
      </w:tblPr>
      <w:tblGrid>
        <w:gridCol w:w="4683"/>
        <w:gridCol w:w="326"/>
        <w:gridCol w:w="197"/>
        <w:gridCol w:w="834"/>
        <w:gridCol w:w="329"/>
        <w:gridCol w:w="197"/>
        <w:gridCol w:w="834"/>
        <w:gridCol w:w="326"/>
        <w:gridCol w:w="196"/>
        <w:gridCol w:w="826"/>
        <w:gridCol w:w="326"/>
        <w:gridCol w:w="196"/>
        <w:gridCol w:w="935"/>
      </w:tblGrid>
      <w:tr>
        <w:trPr/>
        <w:tc>
          <w:tcPr>
            <w:tcW w:w="4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973705" cy="175260"/>
                      <wp:effectExtent l="0" t="0" r="0" b="0"/>
                      <wp:wrapNone/>
                      <wp:docPr id="9" name="Frame9"/>
                      <a:graphic xmlns:a="http://schemas.openxmlformats.org/drawingml/2006/main">
                        <a:graphicData uri="http://schemas.microsoft.com/office/word/2010/wordprocessingShape">
                          <wps:wsp>
                            <wps:cNvSpPr txBox="1"/>
                            <wps:spPr>
                              <a:xfrm>
                                <a:off x="0" y="0"/>
                                <a:ext cx="297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5095" cy="175260"/>
                      <wp:effectExtent l="0" t="0" r="0" b="0"/>
                      <wp:wrapNone/>
                      <wp:docPr id="11" name="Frame1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9590" cy="175260"/>
                      <wp:effectExtent l="0" t="0" r="0" b="0"/>
                      <wp:wrapNone/>
                      <wp:docPr id="12" name="Frame1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8915" cy="175260"/>
                      <wp:effectExtent l="0" t="0" r="0" b="0"/>
                      <wp:wrapNone/>
                      <wp:docPr id="13" name="Frame1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5095" cy="175260"/>
                      <wp:effectExtent l="0" t="0" r="0" b="0"/>
                      <wp:wrapNone/>
                      <wp:docPr id="14" name="Frame1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9590" cy="175260"/>
                      <wp:effectExtent l="0" t="0" r="0" b="0"/>
                      <wp:wrapNone/>
                      <wp:docPr id="15" name="Frame1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3725" cy="175260"/>
                      <wp:effectExtent l="0" t="0" r="0" b="0"/>
                      <wp:wrapNone/>
                      <wp:docPr id="21" name="Frame21"/>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1" w:type="dxa"/>
            <w:gridSpan w:val="5"/>
            <w:tcBorders/>
            <w:vAlign w:val="center"/>
          </w:tcPr>
          <w:p>
            <w:pPr>
              <w:pStyle w:val="TableContents"/>
              <w:bidi w:val="0"/>
              <w:spacing w:before="240" w:after="0"/>
              <w:ind w:left="0" w:right="0" w:hanging="0"/>
              <w:jc w:val="center"/>
              <w:rPr>
                <w:rFonts w:ascii="Arial;Helvetica;sans-serif" w:hAnsi="Arial;Helvetica;sans-serif"/>
                <w:b/>
                <w:sz w:val="16"/>
              </w:rPr>
            </w:pPr>
            <w:r>
              <w:rPr>
                <w:rFonts w:ascii="Arial;Helvetica;sans-serif" w:hAnsi="Arial;Helvetica;san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79"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Nine Months Ended </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47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9" w:type="dxa"/>
            <w:tcBorders/>
            <w:vAlign w:val="center"/>
          </w:tcPr>
          <w:p>
            <w:pPr>
              <w:pStyle w:val="TableContents"/>
              <w:bidi w:val="0"/>
              <w:spacing w:before="0" w:after="0"/>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2,323,402</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2,590,379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7,277,622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7,922,880</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10,551</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45,417</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2,333,953</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2,601,802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7,313,638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7,968,297</w:t>
            </w:r>
          </w:p>
        </w:tc>
      </w:tr>
      <w:tr>
        <w:trPr/>
        <w:tc>
          <w:tcPr>
            <w:tcW w:w="468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Costs and Expenses (exclusive of depreciation and amortization):</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1,505,923</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1,675,206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4,691,543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5,049,403</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sales - equipment and other</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8,478</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18,157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27,231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48,963</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256,143</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273,792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736,212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821,486</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Depreciation and amortization </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50,223</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73,290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162,296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214,309</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1,820,767</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2,040,445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5,617,282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6,134,161</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513,186</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561,357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1,696,356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1,834,136</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91,356</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267,467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210,678</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(229,670)</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(184,543)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(709,508)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(554,184)</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 (Note 4)</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1,222</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(68,135)</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(137,092)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(108,501)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(441,100)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(411,641)</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376,094</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452,856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1,255,256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1,422,495</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(92,682)</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(113,029)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(307,260)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(366,203)</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283,412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339,827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947,996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1,056,292</w:t>
            </w:r>
          </w:p>
        </w:tc>
      </w:tr>
      <w:tr>
        <w:trPr/>
        <w:tc>
          <w:tcPr>
            <w:tcW w:w="46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283,412</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339,827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947,996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1,056,292</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(839)</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holding gains (losses) on available-for-sale debt securities included in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income tax (expense) benefit,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r>
      <w:tr>
        <w:trPr/>
        <w:tc>
          <w:tcPr>
            <w:tcW w:w="4683"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(837)</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w:t>
            </w:r>
          </w:p>
        </w:tc>
      </w:tr>
      <w:tr>
        <w:trPr/>
        <w:tc>
          <w:tcPr>
            <w:tcW w:w="468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282,575</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339,711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947,092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35"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1,056,169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bookmarkStart w:id="273" w:name="EquityRollforward"/>
      <w:bookmarkEnd w:id="273"/>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4" w:name="_8b18a6d2_2e4e_433f_85f6_3959cdb213b5"/>
      <w:bookmarkEnd w:id="274"/>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275" w:name="EQUITYSTATEMENT"/>
      <w:bookmarkEnd w:id="275"/>
      <w:r>
        <w:rPr>
          <w:rFonts w:ascii="Arial;Helvetica;sans-serif" w:hAnsi="Arial;Helvetica;sans-serif"/>
          <w:b/>
          <w:sz w:val="20"/>
        </w:rPr>
        <w:t>CONDENSED CONSOLIDATED STATEMENTS OF CHANGES IN STOCKHOLDER’S EQUITY (DEFICIT)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276" w:name="Tc_JNQL2JFRb0Oy7ViLJuyq-Q_18_14"/>
      <w:bookmarkStart w:id="277" w:name="Tc_bjWdFomYC0mrm3fbr_nPJA_18_11"/>
      <w:bookmarkStart w:id="278" w:name="Tc_qBATYd9nJka363yICxoLNg_18_8"/>
      <w:bookmarkStart w:id="279" w:name="Tc_fDlFh8zyKUqJG9Yf1s5Wng_18_5"/>
      <w:bookmarkStart w:id="280" w:name="Tc__loYZNUVY0GIr-PyLVTNVQ_18_3"/>
      <w:bookmarkStart w:id="281" w:name="Tc_t9A_lAUpEUKbzua9ZVcL2g_18_2"/>
      <w:bookmarkStart w:id="282" w:name="Tc_7o5vKZftNkqGnnjvS4mymQ_18_0"/>
      <w:bookmarkStart w:id="283" w:name="Tc_J9_d4WVNE025twqAkAfRzQ_17_9"/>
      <w:bookmarkStart w:id="284" w:name="Tc_54i0NtopA0OY5XdF7Bs_sQ_17_6"/>
      <w:bookmarkStart w:id="285" w:name="Tc_84md1YTY906rWBU1hZ72Yw_17_3"/>
      <w:bookmarkStart w:id="286" w:name="Tc_zQ0Kflinn06vCE1V7gsTrg_17_0"/>
      <w:bookmarkStart w:id="287" w:name="Tc_W-rxP7Dc1UeDuqHUa0SQkA_16_12"/>
      <w:bookmarkStart w:id="288" w:name="Tc_GU-Yk0R8LEKxjnSn7jDIUg_16_6"/>
      <w:bookmarkStart w:id="289" w:name="Tc_KYsYcVQhy0Ohwe8OWrwX_w_16_3"/>
      <w:bookmarkStart w:id="290" w:name="Tc_K8Lvqh75R0GHyyLlLEv60Q_16_0"/>
      <w:bookmarkStart w:id="291" w:name="Tc_9TQE6Pm75USZyWbm5eGv3g_15_12"/>
      <w:bookmarkStart w:id="292" w:name="Tc_wXSPQHTUU0mlIrKPhKK2hA_15_9"/>
      <w:bookmarkStart w:id="293" w:name="Tc_XGVMRBG2UkqA2Ii1aZE0eA_15_3"/>
      <w:bookmarkStart w:id="294" w:name="Tc_RikakFhhvEaEJRX2wZIpRg_15_0"/>
      <w:bookmarkStart w:id="295" w:name="Tc_V13cZgz9MUa2xoGGyD7URg_14_14"/>
      <w:bookmarkStart w:id="296" w:name="Tc_vTG2qADScEGO4vlYRaSuoQ_14_11"/>
      <w:bookmarkStart w:id="297" w:name="Tc_Oj5_VRNWiEerbqxFs3P7Dw_14_8"/>
      <w:bookmarkStart w:id="298" w:name="Tc_HvvVB-La3UiEXL7Bdiv9mA_14_5"/>
      <w:bookmarkStart w:id="299" w:name="Tc_a2G0AFIf8ka13312scLl2A_14_3"/>
      <w:bookmarkStart w:id="300" w:name="Tc_RgtPgoGG7U65XL6YDg46cg_14_2"/>
      <w:bookmarkStart w:id="301" w:name="Tc_7GgAPXit7EmvjW3-sD6VaQ_14_0"/>
      <w:bookmarkStart w:id="302" w:name="Tc_F1IT2Kuu_EqhbI9w4bD7Ig_13_9"/>
      <w:bookmarkStart w:id="303" w:name="Tc_lu8t_ovnGUq52eoPVx3kgg_13_6"/>
      <w:bookmarkStart w:id="304" w:name="Tc_of4VLNQKy0yMU5hsyXMDog_13_3"/>
      <w:bookmarkStart w:id="305" w:name="Tc_vdhdX96k2EWPMnyAIn-t9Q_13_0"/>
      <w:bookmarkStart w:id="306" w:name="Tc_Fq9_p_3O_kCIAT6skk34pQ_12_12"/>
      <w:bookmarkStart w:id="307" w:name="Tc_ecplaTQFyUe1Go3m7cIWXQ_12_6"/>
      <w:bookmarkStart w:id="308" w:name="Tc_eC4gql7ZHE60sitsid7u5A_12_3"/>
      <w:bookmarkStart w:id="309" w:name="Tc_aD1BdKzzd0mm9SBDqLxo-A_12_0"/>
      <w:bookmarkStart w:id="310" w:name="Tc_kyDIv6BsWEeWq76xagNg1Q_11_12"/>
      <w:bookmarkStart w:id="311" w:name="Tc_z3NnxYJl00-bRJW2Lhh4QA_11_9"/>
      <w:bookmarkStart w:id="312" w:name="Tc_8_mynNPECkGNQdZuA8TdPw_11_3"/>
      <w:bookmarkStart w:id="313" w:name="Tc_hIq7mq-LDUKWHUS45yzeoA_11_0"/>
      <w:bookmarkStart w:id="314" w:name="Tc_iT2izPmWcEGpKT9uFyjROw_10_14"/>
      <w:bookmarkStart w:id="315" w:name="Tc__tlc3q7CFE26Km1hGYqYxQ_10_11"/>
      <w:bookmarkStart w:id="316" w:name="Tc_Yg2-oRs_B02Tm7B1Hakrzg_10_8"/>
      <w:bookmarkStart w:id="317" w:name="Tc_Jy0yXplT2EeUgCyxc675Lg_10_5"/>
      <w:bookmarkStart w:id="318" w:name="Tc_IYFbB_ouP0yZvosfRxiTeA_10_3"/>
      <w:bookmarkStart w:id="319" w:name="Tc_ld6ffKXvfEWTWSBv55Ua6g_10_2"/>
      <w:bookmarkStart w:id="320" w:name="Tc_nzoTVIND3E6m2R2UN2jAqQ_10_0"/>
      <w:bookmarkStart w:id="321" w:name="Tc_8jvS9k_mQUa491RoM25YSQ_9_9"/>
      <w:bookmarkStart w:id="322" w:name="Tc_hCjTcpZJiE2o_92Gb1k2Vw_9_6"/>
      <w:bookmarkStart w:id="323" w:name="Tc_UqVVdbn2lkuDsmeSQdbvzg_9_3"/>
      <w:bookmarkStart w:id="324" w:name="Tc_UD-_Dk3JckyaEPIyUbKxMQ_9_0"/>
      <w:bookmarkStart w:id="325" w:name="Tc_lQZvdO00xE6v9sSJfP7mnw_8_9"/>
      <w:bookmarkStart w:id="326" w:name="Tc_y1PWT09SnkW6yft3zbgIsA_8_6"/>
      <w:bookmarkStart w:id="327" w:name="Tc_Q5rBhKgSz0aVp6NRjJtXcw_8_3"/>
      <w:bookmarkStart w:id="328" w:name="Tc_2VcKfLIL-keUdpaLYdHphA_8_0"/>
      <w:bookmarkStart w:id="329" w:name="Tc_pze2302iOkOuSIJYE4y3Yg_7_12"/>
      <w:bookmarkStart w:id="330" w:name="Tc_gjhfJkoso0SUrCZ4_fqA_w_7_6"/>
      <w:bookmarkStart w:id="331" w:name="Tc_T4DEiB8ERE2Ljt2M89Nijw_7_3"/>
      <w:bookmarkStart w:id="332" w:name="Tc_OVZyZiVoekGOTznH7SaQ4g_7_0"/>
      <w:bookmarkStart w:id="333" w:name="Tc_0wtOk9fATkmnO-TBG-wEbQ_6_12"/>
      <w:bookmarkStart w:id="334" w:name="Tc_GZdAPHGDIUKUF1Io159hXg_6_9"/>
      <w:bookmarkStart w:id="335" w:name="Tc_rh3BbTApvU6yArokTv0R9g_6_3"/>
      <w:bookmarkStart w:id="336" w:name="Tc_vHvTJ9p2b0qZY9yS8rpjSg_6_0"/>
      <w:bookmarkStart w:id="337" w:name="Tc_82CISPxNe06zLijoRZjOYg_5_14"/>
      <w:bookmarkStart w:id="338" w:name="Tc_zob8CL_KakmTSYkK7wyrjQ_5_11"/>
      <w:bookmarkStart w:id="339" w:name="Tc_S3fQ_UfBqEO2-eBvBKAimQ_5_8"/>
      <w:bookmarkStart w:id="340" w:name="Tc_sTKuNrOZVEmRvCcpPZ_EYw_5_5"/>
      <w:bookmarkStart w:id="341" w:name="Tc_8HGy5RaYn06_uEw_mDAJzg_5_3"/>
      <w:bookmarkStart w:id="342" w:name="Tc_jNvuncBCfkaE0tukXbO5jw_5_2"/>
      <w:bookmarkStart w:id="343" w:name="Tc_gGvPLvB4sEGcMSnE2QSBaQ_5_0"/>
      <w:bookmarkStart w:id="344" w:name="Tc_HnPZ-Tdo90a2_FyQ2xIShw_4_14"/>
      <w:bookmarkStart w:id="345" w:name="Tc_qKC2oyGJg0CBF8UCx2ntYA_4_11"/>
      <w:bookmarkStart w:id="346" w:name="Tc_41N6i2lK6kKOsZLFQSegig_4_8"/>
      <w:bookmarkStart w:id="347" w:name="Tc_OCQZ9w0SWEqGmS9yyn5Kqw_4_5"/>
      <w:bookmarkStart w:id="348" w:name="Tc_RA3H9qq6EkSGZ3o0gBQe5A_4_2"/>
      <w:bookmarkStart w:id="349" w:name="Tc_B70k3fIwDEudxoK1sYCGdw_3_11"/>
      <w:bookmarkStart w:id="350" w:name="Tc_arA14vbkR0KQmekJxnBL2A_3_8"/>
      <w:bookmarkStart w:id="351" w:name="Tc_aDf0esB-G0yGCShou5VF1Q_3_5"/>
      <w:bookmarkStart w:id="352" w:name="Tc_rXLVmtrD4kSdaofnJsioxQ_3_2"/>
      <w:bookmarkStart w:id="353" w:name="Tc_sA7ihEjStkOd2tBnddwnuw_2_11"/>
      <w:bookmarkStart w:id="354" w:name="Tc_73w3OILeokymd-m0gUceRA_2_8"/>
      <w:bookmarkStart w:id="355" w:name="Tc_QD-8WPyfD0-1vKrYxedFNg_2_5"/>
      <w:bookmarkStart w:id="356" w:name="Tc_qN_Qr2PTa0Saha1th5ECIw_1_8"/>
      <w:bookmarkStart w:id="357" w:name="_61c6a520_cc02_42bd_83b3_b41862427ff6"/>
      <w:bookmarkStart w:id="358" w:name="Tc_JNQL2JFRb0Oy7ViLJuyq-Q_18_14"/>
      <w:bookmarkStart w:id="359" w:name="Tc_bjWdFomYC0mrm3fbr_nPJA_18_11"/>
      <w:bookmarkStart w:id="360" w:name="Tc_qBATYd9nJka363yICxoLNg_18_8"/>
      <w:bookmarkStart w:id="361" w:name="Tc_fDlFh8zyKUqJG9Yf1s5Wng_18_5"/>
      <w:bookmarkStart w:id="362" w:name="Tc__loYZNUVY0GIr-PyLVTNVQ_18_3"/>
      <w:bookmarkStart w:id="363" w:name="Tc_t9A_lAUpEUKbzua9ZVcL2g_18_2"/>
      <w:bookmarkStart w:id="364" w:name="Tc_7o5vKZftNkqGnnjvS4mymQ_18_0"/>
      <w:bookmarkStart w:id="365" w:name="Tc_J9_d4WVNE025twqAkAfRzQ_17_9"/>
      <w:bookmarkStart w:id="366" w:name="Tc_54i0NtopA0OY5XdF7Bs_sQ_17_6"/>
      <w:bookmarkStart w:id="367" w:name="Tc_84md1YTY906rWBU1hZ72Yw_17_3"/>
      <w:bookmarkStart w:id="368" w:name="Tc_zQ0Kflinn06vCE1V7gsTrg_17_0"/>
      <w:bookmarkStart w:id="369" w:name="Tc_W-rxP7Dc1UeDuqHUa0SQkA_16_12"/>
      <w:bookmarkStart w:id="370" w:name="Tc_GU-Yk0R8LEKxjnSn7jDIUg_16_6"/>
      <w:bookmarkStart w:id="371" w:name="Tc_KYsYcVQhy0Ohwe8OWrwX_w_16_3"/>
      <w:bookmarkStart w:id="372" w:name="Tc_K8Lvqh75R0GHyyLlLEv60Q_16_0"/>
      <w:bookmarkStart w:id="373" w:name="Tc_9TQE6Pm75USZyWbm5eGv3g_15_12"/>
      <w:bookmarkStart w:id="374" w:name="Tc_wXSPQHTUU0mlIrKPhKK2hA_15_9"/>
      <w:bookmarkStart w:id="375" w:name="Tc_XGVMRBG2UkqA2Ii1aZE0eA_15_3"/>
      <w:bookmarkStart w:id="376" w:name="Tc_RikakFhhvEaEJRX2wZIpRg_15_0"/>
      <w:bookmarkStart w:id="377" w:name="Tc_V13cZgz9MUa2xoGGyD7URg_14_14"/>
      <w:bookmarkStart w:id="378" w:name="Tc_vTG2qADScEGO4vlYRaSuoQ_14_11"/>
      <w:bookmarkStart w:id="379" w:name="Tc_Oj5_VRNWiEerbqxFs3P7Dw_14_8"/>
      <w:bookmarkStart w:id="380" w:name="Tc_HvvVB-La3UiEXL7Bdiv9mA_14_5"/>
      <w:bookmarkStart w:id="381" w:name="Tc_a2G0AFIf8ka13312scLl2A_14_3"/>
      <w:bookmarkStart w:id="382" w:name="Tc_RgtPgoGG7U65XL6YDg46cg_14_2"/>
      <w:bookmarkStart w:id="383" w:name="Tc_7GgAPXit7EmvjW3-sD6VaQ_14_0"/>
      <w:bookmarkStart w:id="384" w:name="Tc_F1IT2Kuu_EqhbI9w4bD7Ig_13_9"/>
      <w:bookmarkStart w:id="385" w:name="Tc_lu8t_ovnGUq52eoPVx3kgg_13_6"/>
      <w:bookmarkStart w:id="386" w:name="Tc_of4VLNQKy0yMU5hsyXMDog_13_3"/>
      <w:bookmarkStart w:id="387" w:name="Tc_vdhdX96k2EWPMnyAIn-t9Q_13_0"/>
      <w:bookmarkStart w:id="388" w:name="Tc_Fq9_p_3O_kCIAT6skk34pQ_12_12"/>
      <w:bookmarkStart w:id="389" w:name="Tc_ecplaTQFyUe1Go3m7cIWXQ_12_6"/>
      <w:bookmarkStart w:id="390" w:name="Tc_eC4gql7ZHE60sitsid7u5A_12_3"/>
      <w:bookmarkStart w:id="391" w:name="Tc_aD1BdKzzd0mm9SBDqLxo-A_12_0"/>
      <w:bookmarkStart w:id="392" w:name="Tc_kyDIv6BsWEeWq76xagNg1Q_11_12"/>
      <w:bookmarkStart w:id="393" w:name="Tc_z3NnxYJl00-bRJW2Lhh4QA_11_9"/>
      <w:bookmarkStart w:id="394" w:name="Tc_8_mynNPECkGNQdZuA8TdPw_11_3"/>
      <w:bookmarkStart w:id="395" w:name="Tc_hIq7mq-LDUKWHUS45yzeoA_11_0"/>
      <w:bookmarkStart w:id="396" w:name="Tc_iT2izPmWcEGpKT9uFyjROw_10_14"/>
      <w:bookmarkStart w:id="397" w:name="Tc__tlc3q7CFE26Km1hGYqYxQ_10_11"/>
      <w:bookmarkStart w:id="398" w:name="Tc_Yg2-oRs_B02Tm7B1Hakrzg_10_8"/>
      <w:bookmarkStart w:id="399" w:name="Tc_Jy0yXplT2EeUgCyxc675Lg_10_5"/>
      <w:bookmarkStart w:id="400" w:name="Tc_IYFbB_ouP0yZvosfRxiTeA_10_3"/>
      <w:bookmarkStart w:id="401" w:name="Tc_ld6ffKXvfEWTWSBv55Ua6g_10_2"/>
      <w:bookmarkStart w:id="402" w:name="Tc_nzoTVIND3E6m2R2UN2jAqQ_10_0"/>
      <w:bookmarkStart w:id="403" w:name="Tc_8jvS9k_mQUa491RoM25YSQ_9_9"/>
      <w:bookmarkStart w:id="404" w:name="Tc_hCjTcpZJiE2o_92Gb1k2Vw_9_6"/>
      <w:bookmarkStart w:id="405" w:name="Tc_UqVVdbn2lkuDsmeSQdbvzg_9_3"/>
      <w:bookmarkStart w:id="406" w:name="Tc_UD-_Dk3JckyaEPIyUbKxMQ_9_0"/>
      <w:bookmarkStart w:id="407" w:name="Tc_lQZvdO00xE6v9sSJfP7mnw_8_9"/>
      <w:bookmarkStart w:id="408" w:name="Tc_y1PWT09SnkW6yft3zbgIsA_8_6"/>
      <w:bookmarkStart w:id="409" w:name="Tc_Q5rBhKgSz0aVp6NRjJtXcw_8_3"/>
      <w:bookmarkStart w:id="410" w:name="Tc_2VcKfLIL-keUdpaLYdHphA_8_0"/>
      <w:bookmarkStart w:id="411" w:name="Tc_pze2302iOkOuSIJYE4y3Yg_7_12"/>
      <w:bookmarkStart w:id="412" w:name="Tc_gjhfJkoso0SUrCZ4_fqA_w_7_6"/>
      <w:bookmarkStart w:id="413" w:name="Tc_T4DEiB8ERE2Ljt2M89Nijw_7_3"/>
      <w:bookmarkStart w:id="414" w:name="Tc_OVZyZiVoekGOTznH7SaQ4g_7_0"/>
      <w:bookmarkStart w:id="415" w:name="Tc_0wtOk9fATkmnO-TBG-wEbQ_6_12"/>
      <w:bookmarkStart w:id="416" w:name="Tc_GZdAPHGDIUKUF1Io159hXg_6_9"/>
      <w:bookmarkStart w:id="417" w:name="Tc_rh3BbTApvU6yArokTv0R9g_6_3"/>
      <w:bookmarkStart w:id="418" w:name="Tc_vHvTJ9p2b0qZY9yS8rpjSg_6_0"/>
      <w:bookmarkStart w:id="419" w:name="Tc_82CISPxNe06zLijoRZjOYg_5_14"/>
      <w:bookmarkStart w:id="420" w:name="Tc_zob8CL_KakmTSYkK7wyrjQ_5_11"/>
      <w:bookmarkStart w:id="421" w:name="Tc_S3fQ_UfBqEO2-eBvBKAimQ_5_8"/>
      <w:bookmarkStart w:id="422" w:name="Tc_sTKuNrOZVEmRvCcpPZ_EYw_5_5"/>
      <w:bookmarkStart w:id="423" w:name="Tc_8HGy5RaYn06_uEw_mDAJzg_5_3"/>
      <w:bookmarkStart w:id="424" w:name="Tc_jNvuncBCfkaE0tukXbO5jw_5_2"/>
      <w:bookmarkStart w:id="425" w:name="Tc_gGvPLvB4sEGcMSnE2QSBaQ_5_0"/>
      <w:bookmarkStart w:id="426" w:name="Tc_HnPZ-Tdo90a2_FyQ2xIShw_4_14"/>
      <w:bookmarkStart w:id="427" w:name="Tc_qKC2oyGJg0CBF8UCx2ntYA_4_11"/>
      <w:bookmarkStart w:id="428" w:name="Tc_41N6i2lK6kKOsZLFQSegig_4_8"/>
      <w:bookmarkStart w:id="429" w:name="Tc_OCQZ9w0SWEqGmS9yyn5Kqw_4_5"/>
      <w:bookmarkStart w:id="430" w:name="Tc_RA3H9qq6EkSGZ3o0gBQe5A_4_2"/>
      <w:bookmarkStart w:id="431" w:name="Tc_B70k3fIwDEudxoK1sYCGdw_3_11"/>
      <w:bookmarkStart w:id="432" w:name="Tc_arA14vbkR0KQmekJxnBL2A_3_8"/>
      <w:bookmarkStart w:id="433" w:name="Tc_aDf0esB-G0yGCShou5VF1Q_3_5"/>
      <w:bookmarkStart w:id="434" w:name="Tc_rXLVmtrD4kSdaofnJsioxQ_3_2"/>
      <w:bookmarkStart w:id="435" w:name="Tc_sA7ihEjStkOd2tBnddwnuw_2_11"/>
      <w:bookmarkStart w:id="436" w:name="Tc_73w3OILeokymd-m0gUceRA_2_8"/>
      <w:bookmarkStart w:id="437" w:name="Tc_QD-8WPyfD0-1vKrYxedFNg_2_5"/>
      <w:bookmarkStart w:id="438" w:name="Tc_qN_Qr2PTa0Saha1th5ECIw_1_8"/>
      <w:bookmarkStart w:id="439" w:name="_61c6a520_cc02_42bd_83b3_b41862427ff6"/>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tbl>
      <w:tblPr>
        <w:tblW w:w="9881" w:type="dxa"/>
        <w:jc w:val="left"/>
        <w:tblInd w:w="0" w:type="dxa"/>
        <w:tblLayout w:type="fixed"/>
        <w:tblCellMar>
          <w:top w:w="0" w:type="dxa"/>
          <w:left w:w="0" w:type="dxa"/>
          <w:bottom w:w="0" w:type="dxa"/>
          <w:right w:w="0" w:type="dxa"/>
        </w:tblCellMar>
      </w:tblPr>
      <w:tblGrid>
        <w:gridCol w:w="2911"/>
        <w:gridCol w:w="109"/>
        <w:gridCol w:w="304"/>
        <w:gridCol w:w="537"/>
        <w:gridCol w:w="326"/>
        <w:gridCol w:w="196"/>
        <w:gridCol w:w="826"/>
        <w:gridCol w:w="326"/>
        <w:gridCol w:w="344"/>
        <w:gridCol w:w="1007"/>
        <w:gridCol w:w="326"/>
        <w:gridCol w:w="209"/>
        <w:gridCol w:w="947"/>
        <w:gridCol w:w="326"/>
        <w:gridCol w:w="196"/>
        <w:gridCol w:w="9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48485" cy="175260"/>
                      <wp:effectExtent l="0" t="0" r="0" b="0"/>
                      <wp:wrapNone/>
                      <wp:docPr id="22" name="Frame2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3040" cy="175260"/>
                      <wp:effectExtent l="0" t="0" r="0" b="0"/>
                      <wp:wrapNone/>
                      <wp:docPr id="24" name="Frame2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40995" cy="175260"/>
                      <wp:effectExtent l="0" t="0" r="0" b="0"/>
                      <wp:wrapNone/>
                      <wp:docPr id="25" name="Frame25"/>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8440" cy="175260"/>
                      <wp:effectExtent l="0" t="0" r="0" b="0"/>
                      <wp:wrapNone/>
                      <wp:docPr id="30" name="Frame3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39445" cy="175260"/>
                      <wp:effectExtent l="0" t="0" r="0" b="0"/>
                      <wp:wrapNone/>
                      <wp:docPr id="31" name="Frame31"/>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2715" cy="175260"/>
                      <wp:effectExtent l="0" t="0" r="0" b="0"/>
                      <wp:wrapNone/>
                      <wp:docPr id="33" name="Frame3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1345" cy="175260"/>
                      <wp:effectExtent l="0" t="0" r="0" b="0"/>
                      <wp:wrapNone/>
                      <wp:docPr id="34" name="Frame3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29285" cy="175260"/>
                      <wp:effectExtent l="0" t="0" r="0" b="0"/>
                      <wp:wrapNone/>
                      <wp:docPr id="37" name="Frame3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24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Other </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Earnings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1,547,164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(2,501)</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(5,490,361)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(3,945,698)</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Intercompany Loan - 2026 Tranche</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(4,718,517)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(4,718,517)</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385,541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385,541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1,549,151</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(2,485)</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(9,823,337)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(8,276,671)</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4,026</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1,553,177</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(2,508)</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(9,492,413)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(7,941,744)</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2,642</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2,642</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339,827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339,827</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September 30, 2024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1,555,819</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(2,624)</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(9,152,586)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(7,599,391)</w:t>
            </w:r>
          </w:p>
        </w:tc>
      </w:tr>
    </w:tbl>
    <w:p>
      <w:pPr>
        <w:pStyle w:val="TextBody"/>
        <w:bidi w:val="0"/>
        <w:spacing w:before="0" w:after="0"/>
        <w:ind w:left="0" w:right="0" w:hanging="0"/>
        <w:jc w:val="both"/>
        <w:rPr/>
      </w:pPr>
      <w:r>
        <w:rPr/>
        <w:t>​</w:t>
      </w:r>
    </w:p>
    <w:tbl>
      <w:tblPr>
        <w:tblW w:w="2022"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8740" cy="175260"/>
                      <wp:effectExtent l="0" t="0" r="0" b="0"/>
                      <wp:wrapNone/>
                      <wp:docPr id="38" name="Frame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7790" cy="175260"/>
                      <wp:effectExtent l="0" t="0" r="0" b="0"/>
                      <wp:wrapNone/>
                      <wp:docPr id="55" name="Frame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40" w:name="Tc_RHovT699vEuvy8OebqFdZA_17_14"/>
      <w:bookmarkStart w:id="441" w:name="Tc_Tx__vplWO0y9HgLl08NvyA_17_11"/>
      <w:bookmarkStart w:id="442" w:name="Tc_gl1B-lHPC0e30WFhgC6Z7g_17_8"/>
      <w:bookmarkStart w:id="443" w:name="Tc_GjWrZ6o7qk-l_ytotzQWUQ_17_5"/>
      <w:bookmarkStart w:id="444" w:name="Tc_0v7SKRF22UCtmXYjrrpmIA_17_3"/>
      <w:bookmarkStart w:id="445" w:name="Tc_3PF6xui1p06BZpt_5V-cHg_17_2"/>
      <w:bookmarkStart w:id="446" w:name="Tc_r4INLj7tfE2sqqEZYagLRw_17_0"/>
      <w:bookmarkStart w:id="447" w:name="Tc_a1eKSjvcw0yU27Li9B_hLw_16_9"/>
      <w:bookmarkStart w:id="448" w:name="Tc_6V3BldbB9UGqAHrVoGzfqA_16_6"/>
      <w:bookmarkStart w:id="449" w:name="Tc_9v3XzR6usEWYrxOZAXyVUg_16_3"/>
      <w:bookmarkStart w:id="450" w:name="Tc_j9EGoKpggkms0y6RqDF1Sg_16_0"/>
      <w:bookmarkStart w:id="451" w:name="Tc_wEFgEq20QkuVk1drYHI9qg_15_12"/>
      <w:bookmarkStart w:id="452" w:name="Tc_JIDwB8cNQ0KtlNNHAeCwdw_15_6"/>
      <w:bookmarkStart w:id="453" w:name="Tc_ZOKZasU0PE-wZtYHNUfH-A_15_3"/>
      <w:bookmarkStart w:id="454" w:name="Tc_61fav56n6EC_MXS3Ukt79A_15_0"/>
      <w:bookmarkStart w:id="455" w:name="Tc_7jmBkg1SBEum40G1na6TKQ_14_12"/>
      <w:bookmarkStart w:id="456" w:name="Tc_GNihViQMfUyC-dEhleQ6nw_14_9"/>
      <w:bookmarkStart w:id="457" w:name="Tc_cbR2_5r6YESdNf-bIG6ENg_14_3"/>
      <w:bookmarkStart w:id="458" w:name="Tc_9xkY7AAoSUK8BUL8A7aBZw_14_0"/>
      <w:bookmarkStart w:id="459" w:name="Tc_merEPYmtN0qulNO6NH8iBQ_13_14"/>
      <w:bookmarkStart w:id="460" w:name="Tc_r6RYAjU0L0iatAvWH4PlDA_13_11"/>
      <w:bookmarkStart w:id="461" w:name="Tc_PE6zpTTOYECd2BAr7qx5JQ_13_8"/>
      <w:bookmarkStart w:id="462" w:name="Tc_Wbm1bpNPGUeUOW--bxPF1w_13_5"/>
      <w:bookmarkStart w:id="463" w:name="Tc_JFN8B2QKiU-D8FPvyDoBqQ_13_3"/>
      <w:bookmarkStart w:id="464" w:name="Tc_YTybShyNUEKVAb9qzOxKww_13_2"/>
      <w:bookmarkStart w:id="465" w:name="Tc_3bIdUBRO-kemTVWUU7nh8g_13_0"/>
      <w:bookmarkStart w:id="466" w:name="Tc_V4cpb1Qot0eeP9Vvlvaxkw_12_9"/>
      <w:bookmarkStart w:id="467" w:name="Tc_EY40STErnUGwnc-FLs73IQ_12_6"/>
      <w:bookmarkStart w:id="468" w:name="Tc_HQHWPXrybkSiF7xy86vIOQ_12_3"/>
      <w:bookmarkStart w:id="469" w:name="Tc_qgISyK6F90K0yYN4vihfXw_12_0"/>
      <w:bookmarkStart w:id="470" w:name="Tc_Q0zo_5uN1Uq3sC-kKP--fg_11_12"/>
      <w:bookmarkStart w:id="471" w:name="Tc_gkPkY07fNk-DVviQt58owQ_11_6"/>
      <w:bookmarkStart w:id="472" w:name="Tc_0vHe56AiMUKRTMGjAk4QwA_11_3"/>
      <w:bookmarkStart w:id="473" w:name="Tc_mFW-PNC4yECRB3jC1fiaTA_11_0"/>
      <w:bookmarkStart w:id="474" w:name="Tc_M81C3StGZ0CwFPg3ULjcbQ_10_12"/>
      <w:bookmarkStart w:id="475" w:name="Tc_a_PmDgtQGkSU7NX4wq0mog_10_9"/>
      <w:bookmarkStart w:id="476" w:name="Tc_bk2vNR2ED0m7DMcJkhsV6w_10_3"/>
      <w:bookmarkStart w:id="477" w:name="Tc_Dc9VM5S_1kKntBoabV938A_10_0"/>
      <w:bookmarkStart w:id="478" w:name="Tc_bObulLuQCkC44SpN-3uoVg_9_14"/>
      <w:bookmarkStart w:id="479" w:name="Tc_0AuytqBIZEmWcPkcDpfcFg_9_11"/>
      <w:bookmarkStart w:id="480" w:name="Tc_TEbNn8Tbv06mZ3qnSQS3aA_9_8"/>
      <w:bookmarkStart w:id="481" w:name="Tc_esRa6E4BwUq0Y67JfZaVpQ_9_5"/>
      <w:bookmarkStart w:id="482" w:name="Tc_u_3nv3Mg3UK7Sl5YFaUoIw_9_3"/>
      <w:bookmarkStart w:id="483" w:name="Tc_2Dy82Rpa1k-3huR0E3_jxA_9_2"/>
      <w:bookmarkStart w:id="484" w:name="Tc_H6q9IL4sy0enuJJwn46WuA_9_0"/>
      <w:bookmarkStart w:id="485" w:name="Tc_cszw8p6AH0aWjazO_TNYIA_8_9"/>
      <w:bookmarkStart w:id="486" w:name="Tc_8cOePVn2mEW5M77ZYe3Ycw_8_6"/>
      <w:bookmarkStart w:id="487" w:name="Tc__3FVT4FZ_E-n0hiX9aLkGg_8_3"/>
      <w:bookmarkStart w:id="488" w:name="Tc_Yha45B7ht0aTf6YAWk9xMw_8_0"/>
      <w:bookmarkStart w:id="489" w:name="Tc_X8-3wQB97E6A_4BRmWwZqw_7_12"/>
      <w:bookmarkStart w:id="490" w:name="Tc_GfBDns24HUO3JJL9LTpS7g_7_6"/>
      <w:bookmarkStart w:id="491" w:name="Tc_ZCPWLK0szkuEHZO6P634tQ_7_3"/>
      <w:bookmarkStart w:id="492" w:name="Tc__plS7pFuJ0-okv15I-dglw_7_0"/>
      <w:bookmarkStart w:id="493" w:name="Tc_S8aFeurp0EauSwwhO_YsOg_6_12"/>
      <w:bookmarkStart w:id="494" w:name="Tc_xJIYt05qUki6vRlwpPb9AQ_6_9"/>
      <w:bookmarkStart w:id="495" w:name="Tc_NLahH-W5Y0-P_9QHNVmWpw_6_3"/>
      <w:bookmarkStart w:id="496" w:name="Tc_jsQqHGDk4k2m0EZU08rOtA_6_0"/>
      <w:bookmarkStart w:id="497" w:name="Tc_-KZJm7lcfEW3B9JErAblzg_5_14"/>
      <w:bookmarkStart w:id="498" w:name="Tc_6oViAx4Z0kylRnqtLw7MBQ_5_11"/>
      <w:bookmarkStart w:id="499" w:name="Tc_tF_dp8TnQE-IoIRaU9tTnA_5_8"/>
      <w:bookmarkStart w:id="500" w:name="Tc_k-Vwr6XZYkCwAMCBm0x_KA_5_5"/>
      <w:bookmarkStart w:id="501" w:name="Tc_eggTjSy3SUOD99i3vvfbCg_5_3"/>
      <w:bookmarkStart w:id="502" w:name="Tc_Yj7br4TuYEqPaL9tyTs0NA_5_2"/>
      <w:bookmarkStart w:id="503" w:name="Tc_0sJtYbgyqki9tpQUZzhFAQ_5_0"/>
      <w:bookmarkStart w:id="504" w:name="Tc_MDgB_O95kEWUA21MEVolkw_4_14"/>
      <w:bookmarkStart w:id="505" w:name="Tc_atIAPkdXnEutZp2_rei43Q_4_11"/>
      <w:bookmarkStart w:id="506" w:name="Tc_CNCcwuN1qESJdT7DuIuB5A_4_8"/>
      <w:bookmarkStart w:id="507" w:name="Tc_R_EDmNPPM0eP322VHRkOUg_4_5"/>
      <w:bookmarkStart w:id="508" w:name="Tc_R6fsMHjgm0eXyeKAN5T2iQ_4_2"/>
      <w:bookmarkStart w:id="509" w:name="Tc_JS4zL-7gXkO-WU4OT_6RUA_3_11"/>
      <w:bookmarkStart w:id="510" w:name="Tc_I-9_5YYhXkWIBsGJzZf2kg_3_8"/>
      <w:bookmarkStart w:id="511" w:name="Tc_QkCINk5xZkShdcB1WTgDJA_3_5"/>
      <w:bookmarkStart w:id="512" w:name="Tc_9iZ-xCbOhkq1drXhOr3rBQ_3_2"/>
      <w:bookmarkStart w:id="513" w:name="Tc_cBXt-Zxf4kydSwKIh2U75g_2_11"/>
      <w:bookmarkStart w:id="514" w:name="Tc_JNSeaKcUTkK6fqXizrU15g_2_8"/>
      <w:bookmarkStart w:id="515" w:name="Tc_RA4tzOkYFUWAOS2gxva4_g_2_5"/>
      <w:bookmarkStart w:id="516" w:name="Tc_XFgBm65pe02TF3PBopig_Q_1_8"/>
      <w:bookmarkStart w:id="517" w:name="_e040e218_3939_4337_af02_d373dc9bc84d"/>
      <w:bookmarkStart w:id="518" w:name="Tc_RHovT699vEuvy8OebqFdZA_17_14"/>
      <w:bookmarkStart w:id="519" w:name="Tc_Tx__vplWO0y9HgLl08NvyA_17_11"/>
      <w:bookmarkStart w:id="520" w:name="Tc_gl1B-lHPC0e30WFhgC6Z7g_17_8"/>
      <w:bookmarkStart w:id="521" w:name="Tc_GjWrZ6o7qk-l_ytotzQWUQ_17_5"/>
      <w:bookmarkStart w:id="522" w:name="Tc_0v7SKRF22UCtmXYjrrpmIA_17_3"/>
      <w:bookmarkStart w:id="523" w:name="Tc_3PF6xui1p06BZpt_5V-cHg_17_2"/>
      <w:bookmarkStart w:id="524" w:name="Tc_r4INLj7tfE2sqqEZYagLRw_17_0"/>
      <w:bookmarkStart w:id="525" w:name="Tc_a1eKSjvcw0yU27Li9B_hLw_16_9"/>
      <w:bookmarkStart w:id="526" w:name="Tc_6V3BldbB9UGqAHrVoGzfqA_16_6"/>
      <w:bookmarkStart w:id="527" w:name="Tc_9v3XzR6usEWYrxOZAXyVUg_16_3"/>
      <w:bookmarkStart w:id="528" w:name="Tc_j9EGoKpggkms0y6RqDF1Sg_16_0"/>
      <w:bookmarkStart w:id="529" w:name="Tc_wEFgEq20QkuVk1drYHI9qg_15_12"/>
      <w:bookmarkStart w:id="530" w:name="Tc_JIDwB8cNQ0KtlNNHAeCwdw_15_6"/>
      <w:bookmarkStart w:id="531" w:name="Tc_ZOKZasU0PE-wZtYHNUfH-A_15_3"/>
      <w:bookmarkStart w:id="532" w:name="Tc_61fav56n6EC_MXS3Ukt79A_15_0"/>
      <w:bookmarkStart w:id="533" w:name="Tc_7jmBkg1SBEum40G1na6TKQ_14_12"/>
      <w:bookmarkStart w:id="534" w:name="Tc_GNihViQMfUyC-dEhleQ6nw_14_9"/>
      <w:bookmarkStart w:id="535" w:name="Tc_cbR2_5r6YESdNf-bIG6ENg_14_3"/>
      <w:bookmarkStart w:id="536" w:name="Tc_9xkY7AAoSUK8BUL8A7aBZw_14_0"/>
      <w:bookmarkStart w:id="537" w:name="Tc_merEPYmtN0qulNO6NH8iBQ_13_14"/>
      <w:bookmarkStart w:id="538" w:name="Tc_r6RYAjU0L0iatAvWH4PlDA_13_11"/>
      <w:bookmarkStart w:id="539" w:name="Tc_PE6zpTTOYECd2BAr7qx5JQ_13_8"/>
      <w:bookmarkStart w:id="540" w:name="Tc_Wbm1bpNPGUeUOW--bxPF1w_13_5"/>
      <w:bookmarkStart w:id="541" w:name="Tc_JFN8B2QKiU-D8FPvyDoBqQ_13_3"/>
      <w:bookmarkStart w:id="542" w:name="Tc_YTybShyNUEKVAb9qzOxKww_13_2"/>
      <w:bookmarkStart w:id="543" w:name="Tc_3bIdUBRO-kemTVWUU7nh8g_13_0"/>
      <w:bookmarkStart w:id="544" w:name="Tc_V4cpb1Qot0eeP9Vvlvaxkw_12_9"/>
      <w:bookmarkStart w:id="545" w:name="Tc_EY40STErnUGwnc-FLs73IQ_12_6"/>
      <w:bookmarkStart w:id="546" w:name="Tc_HQHWPXrybkSiF7xy86vIOQ_12_3"/>
      <w:bookmarkStart w:id="547" w:name="Tc_qgISyK6F90K0yYN4vihfXw_12_0"/>
      <w:bookmarkStart w:id="548" w:name="Tc_Q0zo_5uN1Uq3sC-kKP--fg_11_12"/>
      <w:bookmarkStart w:id="549" w:name="Tc_gkPkY07fNk-DVviQt58owQ_11_6"/>
      <w:bookmarkStart w:id="550" w:name="Tc_0vHe56AiMUKRTMGjAk4QwA_11_3"/>
      <w:bookmarkStart w:id="551" w:name="Tc_mFW-PNC4yECRB3jC1fiaTA_11_0"/>
      <w:bookmarkStart w:id="552" w:name="Tc_M81C3StGZ0CwFPg3ULjcbQ_10_12"/>
      <w:bookmarkStart w:id="553" w:name="Tc_a_PmDgtQGkSU7NX4wq0mog_10_9"/>
      <w:bookmarkStart w:id="554" w:name="Tc_bk2vNR2ED0m7DMcJkhsV6w_10_3"/>
      <w:bookmarkStart w:id="555" w:name="Tc_Dc9VM5S_1kKntBoabV938A_10_0"/>
      <w:bookmarkStart w:id="556" w:name="Tc_bObulLuQCkC44SpN-3uoVg_9_14"/>
      <w:bookmarkStart w:id="557" w:name="Tc_0AuytqBIZEmWcPkcDpfcFg_9_11"/>
      <w:bookmarkStart w:id="558" w:name="Tc_TEbNn8Tbv06mZ3qnSQS3aA_9_8"/>
      <w:bookmarkStart w:id="559" w:name="Tc_esRa6E4BwUq0Y67JfZaVpQ_9_5"/>
      <w:bookmarkStart w:id="560" w:name="Tc_u_3nv3Mg3UK7Sl5YFaUoIw_9_3"/>
      <w:bookmarkStart w:id="561" w:name="Tc_2Dy82Rpa1k-3huR0E3_jxA_9_2"/>
      <w:bookmarkStart w:id="562" w:name="Tc_H6q9IL4sy0enuJJwn46WuA_9_0"/>
      <w:bookmarkStart w:id="563" w:name="Tc_cszw8p6AH0aWjazO_TNYIA_8_9"/>
      <w:bookmarkStart w:id="564" w:name="Tc_8cOePVn2mEW5M77ZYe3Ycw_8_6"/>
      <w:bookmarkStart w:id="565" w:name="Tc__3FVT4FZ_E-n0hiX9aLkGg_8_3"/>
      <w:bookmarkStart w:id="566" w:name="Tc_Yha45B7ht0aTf6YAWk9xMw_8_0"/>
      <w:bookmarkStart w:id="567" w:name="Tc_X8-3wQB97E6A_4BRmWwZqw_7_12"/>
      <w:bookmarkStart w:id="568" w:name="Tc_GfBDns24HUO3JJL9LTpS7g_7_6"/>
      <w:bookmarkStart w:id="569" w:name="Tc_ZCPWLK0szkuEHZO6P634tQ_7_3"/>
      <w:bookmarkStart w:id="570" w:name="Tc__plS7pFuJ0-okv15I-dglw_7_0"/>
      <w:bookmarkStart w:id="571" w:name="Tc_S8aFeurp0EauSwwhO_YsOg_6_12"/>
      <w:bookmarkStart w:id="572" w:name="Tc_xJIYt05qUki6vRlwpPb9AQ_6_9"/>
      <w:bookmarkStart w:id="573" w:name="Tc_NLahH-W5Y0-P_9QHNVmWpw_6_3"/>
      <w:bookmarkStart w:id="574" w:name="Tc_jsQqHGDk4k2m0EZU08rOtA_6_0"/>
      <w:bookmarkStart w:id="575" w:name="Tc_-KZJm7lcfEW3B9JErAblzg_5_14"/>
      <w:bookmarkStart w:id="576" w:name="Tc_6oViAx4Z0kylRnqtLw7MBQ_5_11"/>
      <w:bookmarkStart w:id="577" w:name="Tc_tF_dp8TnQE-IoIRaU9tTnA_5_8"/>
      <w:bookmarkStart w:id="578" w:name="Tc_k-Vwr6XZYkCwAMCBm0x_KA_5_5"/>
      <w:bookmarkStart w:id="579" w:name="Tc_eggTjSy3SUOD99i3vvfbCg_5_3"/>
      <w:bookmarkStart w:id="580" w:name="Tc_Yj7br4TuYEqPaL9tyTs0NA_5_2"/>
      <w:bookmarkStart w:id="581" w:name="Tc_0sJtYbgyqki9tpQUZzhFAQ_5_0"/>
      <w:bookmarkStart w:id="582" w:name="Tc_MDgB_O95kEWUA21MEVolkw_4_14"/>
      <w:bookmarkStart w:id="583" w:name="Tc_atIAPkdXnEutZp2_rei43Q_4_11"/>
      <w:bookmarkStart w:id="584" w:name="Tc_CNCcwuN1qESJdT7DuIuB5A_4_8"/>
      <w:bookmarkStart w:id="585" w:name="Tc_R_EDmNPPM0eP322VHRkOUg_4_5"/>
      <w:bookmarkStart w:id="586" w:name="Tc_R6fsMHjgm0eXyeKAN5T2iQ_4_2"/>
      <w:bookmarkStart w:id="587" w:name="Tc_JS4zL-7gXkO-WU4OT_6RUA_3_11"/>
      <w:bookmarkStart w:id="588" w:name="Tc_I-9_5YYhXkWIBsGJzZf2kg_3_8"/>
      <w:bookmarkStart w:id="589" w:name="Tc_QkCINk5xZkShdcB1WTgDJA_3_5"/>
      <w:bookmarkStart w:id="590" w:name="Tc_9iZ-xCbOhkq1drXhOr3rBQ_3_2"/>
      <w:bookmarkStart w:id="591" w:name="Tc_cBXt-Zxf4kydSwKIh2U75g_2_11"/>
      <w:bookmarkStart w:id="592" w:name="Tc_JNSeaKcUTkK6fqXizrU15g_2_8"/>
      <w:bookmarkStart w:id="593" w:name="Tc_RA4tzOkYFUWAOS2gxva4_g_2_5"/>
      <w:bookmarkStart w:id="594" w:name="Tc_XFgBm65pe02TF3PBopig_Q_1_8"/>
      <w:bookmarkStart w:id="595" w:name="_e040e218_3939_4337_af02_d373dc9bc84d"/>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tbl>
      <w:tblPr>
        <w:tblW w:w="9881" w:type="dxa"/>
        <w:jc w:val="left"/>
        <w:tblInd w:w="0" w:type="dxa"/>
        <w:tblLayout w:type="fixed"/>
        <w:tblCellMar>
          <w:top w:w="0" w:type="dxa"/>
          <w:left w:w="0" w:type="dxa"/>
          <w:bottom w:w="0" w:type="dxa"/>
          <w:right w:w="0" w:type="dxa"/>
        </w:tblCellMar>
      </w:tblPr>
      <w:tblGrid>
        <w:gridCol w:w="2911"/>
        <w:gridCol w:w="109"/>
        <w:gridCol w:w="304"/>
        <w:gridCol w:w="537"/>
        <w:gridCol w:w="326"/>
        <w:gridCol w:w="196"/>
        <w:gridCol w:w="826"/>
        <w:gridCol w:w="326"/>
        <w:gridCol w:w="344"/>
        <w:gridCol w:w="1007"/>
        <w:gridCol w:w="326"/>
        <w:gridCol w:w="209"/>
        <w:gridCol w:w="947"/>
        <w:gridCol w:w="326"/>
        <w:gridCol w:w="196"/>
        <w:gridCol w:w="9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48485" cy="175260"/>
                      <wp:effectExtent l="0" t="0" r="0" b="0"/>
                      <wp:wrapNone/>
                      <wp:docPr id="56" name="Frame5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3040" cy="175260"/>
                      <wp:effectExtent l="0" t="0" r="0" b="0"/>
                      <wp:wrapNone/>
                      <wp:docPr id="58" name="Frame5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40995" cy="175260"/>
                      <wp:effectExtent l="0" t="0" r="0" b="0"/>
                      <wp:wrapNone/>
                      <wp:docPr id="59" name="Frame5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4510" cy="175260"/>
                      <wp:effectExtent l="0" t="0" r="0" b="0"/>
                      <wp:wrapNone/>
                      <wp:docPr id="62" name="Frame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8440" cy="175260"/>
                      <wp:effectExtent l="0" t="0" r="0" b="0"/>
                      <wp:wrapNone/>
                      <wp:docPr id="64" name="Frame6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9445" cy="175260"/>
                      <wp:effectExtent l="0" t="0" r="0" b="0"/>
                      <wp:wrapNone/>
                      <wp:docPr id="65" name="Frame6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2715" cy="175260"/>
                      <wp:effectExtent l="0" t="0" r="0" b="0"/>
                      <wp:wrapNone/>
                      <wp:docPr id="67" name="Frame6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1345" cy="175260"/>
                      <wp:effectExtent l="0" t="0" r="0" b="0"/>
                      <wp:wrapNone/>
                      <wp:docPr id="68" name="Frame6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29285" cy="175260"/>
                      <wp:effectExtent l="0" t="0" r="0" b="0"/>
                      <wp:wrapNone/>
                      <wp:docPr id="71" name="Frame7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Other </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Earnings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1,558,325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(3,047)</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(8,761,298)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(7,206,020)</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350,538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350,538</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1,559,751</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(3,048)</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(8,410,760)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(6,854,057)</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2,288</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2,288</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1,562,039</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(3,114)</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(8,096,714)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(6,537,789)</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3,075</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3,075</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(837)</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(837)</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283,412</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283,412</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1,565,114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(3,951)</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(7,813,302)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(6,252,139)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96" w:name="_9026bdb7_6091_4662_9414_462429ac0758"/>
      <w:bookmarkEnd w:id="596"/>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597" w:name="CONDENSEDCONSOLIDATEDSTATEMENTSOFCASHFLO"/>
      <w:bookmarkEnd w:id="597"/>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598" w:name="Tc_6ZHLttZNx0iL4bwvDnp-SA_33_5"/>
      <w:bookmarkStart w:id="599" w:name="Tc_V8jJHK8XE0GPGmBV8eLzuw_33_2"/>
      <w:bookmarkStart w:id="600" w:name="Tc_O5QmCOAtfUu4_xbZUt316A_33_0"/>
      <w:bookmarkStart w:id="601" w:name="Tc_Y3DBvCYYrEm_clgV3Z05Lg_32_0"/>
      <w:bookmarkStart w:id="602" w:name="Tc_lkDzODxSrEqrlvkhMvjZYw_31_0"/>
      <w:bookmarkStart w:id="603" w:name="Tc_M1-Sm9SFt0i83EoQOatX3g_29_0"/>
      <w:bookmarkStart w:id="604" w:name="Tc_CK9HF1mHQE2jVZsagoIHkg_28_6"/>
      <w:bookmarkStart w:id="605" w:name="Tc_6OvfEXIpgEeF-7d5lfPwhQ_28_0"/>
      <w:bookmarkStart w:id="606" w:name="Tc_4dCWlGyhJU2eSDL2WNlF1w_27_6"/>
      <w:bookmarkStart w:id="607" w:name="Tc_o4blow00vk24quzLlUK-6g_27_0"/>
      <w:bookmarkStart w:id="608" w:name="Tc_BgTfVtYYb0-0WsO0H2AjkQ_26_3"/>
      <w:bookmarkStart w:id="609" w:name="Tc_1Eap1cym5k-jqbGk0EP7NQ_26_0"/>
      <w:bookmarkStart w:id="610" w:name="Tc_UBb3kqld0EuECHeVc64gNg_25_3"/>
      <w:bookmarkStart w:id="611" w:name="Tc_0CxJiBWu9Emhi_vt0_tMIg_25_0"/>
      <w:bookmarkStart w:id="612" w:name="Tc_q9nI80mIxEC1DeXmzqiGpg_24_0"/>
      <w:bookmarkStart w:id="613" w:name="Tc_CNQzBTayz0Wf063GwCl7HA_23_0"/>
      <w:bookmarkStart w:id="614" w:name="Tc_w1Y-lAzzPEG8X9D7uZbZow_21_0"/>
      <w:bookmarkStart w:id="615" w:name="Tc_d1hF9tIjAEuOFg8fLpRgOw_20_0"/>
      <w:bookmarkStart w:id="616" w:name="Tc_2Y5EFlHxbEOjD-8DVRC78A_19_3"/>
      <w:bookmarkStart w:id="617" w:name="Tc_ONebBxA_n0SmD5tOruo53A_19_0"/>
      <w:bookmarkStart w:id="618" w:name="Tc_Tq302IdHFkaO7HqcJj0Iyw_18_0"/>
      <w:bookmarkStart w:id="619" w:name="Tc_siwsIdpBF0Orx_sTUheuPQ_17_0"/>
      <w:bookmarkStart w:id="620" w:name="Tc_7ELkp0hEl0CYEjlLQOLJ2g_16_0"/>
      <w:bookmarkStart w:id="621" w:name="Tc_4O15Q4zohk-F3j0ky2VHFw_14_0"/>
      <w:bookmarkStart w:id="622" w:name="Tc_APk4Q0JRQkmHgipaEDgYmA_13_0"/>
      <w:bookmarkStart w:id="623" w:name="Tc_4S_cRxRtEEm893uCT5KNzA_12_0"/>
      <w:bookmarkStart w:id="624" w:name="Tc_HEgMnFnZDkOrjCMNdDvWjg_11_0"/>
      <w:bookmarkStart w:id="625" w:name="Tc_bCFE_kpIUUK74Tyw7lc0JA_10_0"/>
      <w:bookmarkStart w:id="626" w:name="Tc_bVSY_bnCi0ajyPnsTNCShw_9_0"/>
      <w:bookmarkStart w:id="627" w:name="Tc_kNzLiAsH4EWDJpqRy-XHzQ_8_0"/>
      <w:bookmarkStart w:id="628" w:name="Tc_jEVTBPGJ8EOwCAAIKjOa_g_7_0"/>
      <w:bookmarkStart w:id="629" w:name="Tc_aCJ5zJdCZ02DP2_SMSo8bw_6_0"/>
      <w:bookmarkStart w:id="630" w:name="Tc_P8n068CJU0qsYpayY7vxog_5_5"/>
      <w:bookmarkStart w:id="631" w:name="Tc_eJUnUq88Q0-BlsCugzE6IQ_5_2"/>
      <w:bookmarkStart w:id="632" w:name="Tc_heXaPE_1_kyMzwtOBYLBng_5_0"/>
      <w:bookmarkStart w:id="633" w:name="Tc_PkWsw-7WsE-wbji07clfHA_4_0"/>
      <w:bookmarkStart w:id="634" w:name="Tc_ZM-tJt0xnUuD2CsicuIb5Q_3_6"/>
      <w:bookmarkStart w:id="635" w:name="Tc_PKuhiRMxQkqlIzcOxtyVTA_3_2"/>
      <w:bookmarkStart w:id="636" w:name="Tc_uJrMteXlrEmvWB_9MJFFYg_2_2"/>
      <w:bookmarkStart w:id="637" w:name="Tc_OKOou086OUu--0H-U8s49w_1_2"/>
      <w:bookmarkStart w:id="638" w:name="_28141d41_1b5a_4e80_a3f1_ddd6f9215de1"/>
      <w:bookmarkStart w:id="639" w:name="Tc_6ZHLttZNx0iL4bwvDnp-SA_33_5"/>
      <w:bookmarkStart w:id="640" w:name="Tc_V8jJHK8XE0GPGmBV8eLzuw_33_2"/>
      <w:bookmarkStart w:id="641" w:name="Tc_O5QmCOAtfUu4_xbZUt316A_33_0"/>
      <w:bookmarkStart w:id="642" w:name="Tc_Y3DBvCYYrEm_clgV3Z05Lg_32_0"/>
      <w:bookmarkStart w:id="643" w:name="Tc_lkDzODxSrEqrlvkhMvjZYw_31_0"/>
      <w:bookmarkStart w:id="644" w:name="Tc_M1-Sm9SFt0i83EoQOatX3g_29_0"/>
      <w:bookmarkStart w:id="645" w:name="Tc_CK9HF1mHQE2jVZsagoIHkg_28_6"/>
      <w:bookmarkStart w:id="646" w:name="Tc_6OvfEXIpgEeF-7d5lfPwhQ_28_0"/>
      <w:bookmarkStart w:id="647" w:name="Tc_4dCWlGyhJU2eSDL2WNlF1w_27_6"/>
      <w:bookmarkStart w:id="648" w:name="Tc_o4blow00vk24quzLlUK-6g_27_0"/>
      <w:bookmarkStart w:id="649" w:name="Tc_BgTfVtYYb0-0WsO0H2AjkQ_26_3"/>
      <w:bookmarkStart w:id="650" w:name="Tc_1Eap1cym5k-jqbGk0EP7NQ_26_0"/>
      <w:bookmarkStart w:id="651" w:name="Tc_UBb3kqld0EuECHeVc64gNg_25_3"/>
      <w:bookmarkStart w:id="652" w:name="Tc_0CxJiBWu9Emhi_vt0_tMIg_25_0"/>
      <w:bookmarkStart w:id="653" w:name="Tc_q9nI80mIxEC1DeXmzqiGpg_24_0"/>
      <w:bookmarkStart w:id="654" w:name="Tc_CNQzBTayz0Wf063GwCl7HA_23_0"/>
      <w:bookmarkStart w:id="655" w:name="Tc_w1Y-lAzzPEG8X9D7uZbZow_21_0"/>
      <w:bookmarkStart w:id="656" w:name="Tc_d1hF9tIjAEuOFg8fLpRgOw_20_0"/>
      <w:bookmarkStart w:id="657" w:name="Tc_2Y5EFlHxbEOjD-8DVRC78A_19_3"/>
      <w:bookmarkStart w:id="658" w:name="Tc_ONebBxA_n0SmD5tOruo53A_19_0"/>
      <w:bookmarkStart w:id="659" w:name="Tc_Tq302IdHFkaO7HqcJj0Iyw_18_0"/>
      <w:bookmarkStart w:id="660" w:name="Tc_siwsIdpBF0Orx_sTUheuPQ_17_0"/>
      <w:bookmarkStart w:id="661" w:name="Tc_7ELkp0hEl0CYEjlLQOLJ2g_16_0"/>
      <w:bookmarkStart w:id="662" w:name="Tc_4O15Q4zohk-F3j0ky2VHFw_14_0"/>
      <w:bookmarkStart w:id="663" w:name="Tc_APk4Q0JRQkmHgipaEDgYmA_13_0"/>
      <w:bookmarkStart w:id="664" w:name="Tc_4S_cRxRtEEm893uCT5KNzA_12_0"/>
      <w:bookmarkStart w:id="665" w:name="Tc_HEgMnFnZDkOrjCMNdDvWjg_11_0"/>
      <w:bookmarkStart w:id="666" w:name="Tc_bCFE_kpIUUK74Tyw7lc0JA_10_0"/>
      <w:bookmarkStart w:id="667" w:name="Tc_bVSY_bnCi0ajyPnsTNCShw_9_0"/>
      <w:bookmarkStart w:id="668" w:name="Tc_kNzLiAsH4EWDJpqRy-XHzQ_8_0"/>
      <w:bookmarkStart w:id="669" w:name="Tc_jEVTBPGJ8EOwCAAIKjOa_g_7_0"/>
      <w:bookmarkStart w:id="670" w:name="Tc_aCJ5zJdCZ02DP2_SMSo8bw_6_0"/>
      <w:bookmarkStart w:id="671" w:name="Tc_P8n068CJU0qsYpayY7vxog_5_5"/>
      <w:bookmarkStart w:id="672" w:name="Tc_eJUnUq88Q0-BlsCugzE6IQ_5_2"/>
      <w:bookmarkStart w:id="673" w:name="Tc_heXaPE_1_kyMzwtOBYLBng_5_0"/>
      <w:bookmarkStart w:id="674" w:name="Tc_PkWsw-7WsE-wbji07clfHA_4_0"/>
      <w:bookmarkStart w:id="675" w:name="Tc_ZM-tJt0xnUuD2CsicuIb5Q_3_6"/>
      <w:bookmarkStart w:id="676" w:name="Tc_PKuhiRMxQkqlIzcOxtyVTA_3_2"/>
      <w:bookmarkStart w:id="677" w:name="Tc_uJrMteXlrEmvWB_9MJFFYg_2_2"/>
      <w:bookmarkStart w:id="678" w:name="Tc_OKOou086OUu--0H-U8s49w_1_2"/>
      <w:bookmarkStart w:id="679" w:name="_28141d41_1b5a_4e80_a3f1_ddd6f9215de1"/>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tbl>
      <w:tblPr>
        <w:tblW w:w="9635" w:type="dxa"/>
        <w:jc w:val="left"/>
        <w:tblInd w:w="0" w:type="dxa"/>
        <w:tblLayout w:type="fixed"/>
        <w:tblCellMar>
          <w:top w:w="0" w:type="dxa"/>
          <w:left w:w="0" w:type="dxa"/>
          <w:bottom w:w="0" w:type="dxa"/>
          <w:right w:w="0" w:type="dxa"/>
        </w:tblCellMar>
      </w:tblPr>
      <w:tblGrid>
        <w:gridCol w:w="6991"/>
        <w:gridCol w:w="109"/>
        <w:gridCol w:w="196"/>
        <w:gridCol w:w="826"/>
        <w:gridCol w:w="326"/>
        <w:gridCol w:w="196"/>
        <w:gridCol w:w="991"/>
      </w:tblGrid>
      <w:tr>
        <w:trPr/>
        <w:tc>
          <w:tcPr>
            <w:tcW w:w="6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39285" cy="175260"/>
                      <wp:effectExtent l="0" t="0" r="0" b="0"/>
                      <wp:wrapNone/>
                      <wp:docPr id="72" name="Frame72"/>
                      <a:graphic xmlns:a="http://schemas.openxmlformats.org/drawingml/2006/main">
                        <a:graphicData uri="http://schemas.microsoft.com/office/word/2010/wordprocessingShape">
                          <wps:wsp>
                            <wps:cNvSpPr txBox="1"/>
                            <wps:spPr>
                              <a:xfrm>
                                <a:off x="0" y="0"/>
                                <a:ext cx="443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4510" cy="175260"/>
                      <wp:effectExtent l="0" t="0" r="0" b="0"/>
                      <wp:wrapNone/>
                      <wp:docPr id="75" name="Frame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29285" cy="175260"/>
                      <wp:effectExtent l="0" t="0" r="0" b="0"/>
                      <wp:wrapNone/>
                      <wp:docPr id="78" name="Frame7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Nine Months Ended </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947,996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1,056,292</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Adjustments to reconcile net income (loss) to net 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162,296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214,309</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Non-cash, stock-based compensation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8,655</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expense (benefit)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(44,390)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Changes in allowance for credit losses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14,966</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interest income - DISH Network</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(108,014)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(93,257)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104,400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99,962</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Changes in operating assets and operating liabilities,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11,534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56,680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operating activities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1,115,503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1,313,217</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Sales and maturities of marketable investment securities,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(Note 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(102,660)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(65,153)</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Notes Receivable - DISH Network (Note 11)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(1,564,589)</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9,406</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investing activities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(117,589)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(1,619,939)</w:t>
            </w:r>
          </w:p>
        </w:tc>
      </w:tr>
      <w:tr>
        <w:trPr/>
        <w:tc>
          <w:tcPr>
            <w:tcW w:w="699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Cash Flows From Financing Activities: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Repayment of long-term debt, finance lease and other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(41,432)</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Proceeds from New DISH DBS Financing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2,500,000</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Debt issuance costs and debt (discount) premium from New DISH DBS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(136,208)</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Redemption and repurchases of term loans and senior notes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financing activities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(508,031)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2,322,360</w:t>
            </w:r>
          </w:p>
        </w:tc>
      </w:tr>
      <w:tr>
        <w:trPr/>
        <w:tc>
          <w:tcPr>
            <w:tcW w:w="6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increase (decrease) in cash, cash equivalents, restricted cash and cash equivalents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489,883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2,015,638</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restricted cash and cash equivalents, beginning of period (Note 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628,661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428,621</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restricted cash and cash equivalents, end of period (Note 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1,118,544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2,444,259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680" w:name="a1OrganizationandBusinessActivities_7749"/>
      <w:bookmarkStart w:id="681" w:name="a1OrganizationandBusinessActivities_7749"/>
      <w:bookmarkEnd w:id="681"/>
    </w:p>
    <w:tbl>
      <w:tblPr>
        <w:tblW w:w="3872" w:type="dxa"/>
        <w:jc w:val="left"/>
        <w:tblInd w:w="0" w:type="dxa"/>
        <w:tblLayout w:type="fixed"/>
        <w:tblCellMar>
          <w:top w:w="0" w:type="dxa"/>
          <w:left w:w="0" w:type="dxa"/>
          <w:bottom w:w="0" w:type="dxa"/>
          <w:right w:w="0" w:type="dxa"/>
        </w:tblCellMar>
      </w:tblPr>
      <w:tblGrid>
        <w:gridCol w:w="286"/>
        <w:gridCol w:w="358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w:t>
            </w:r>
          </w:p>
        </w:tc>
        <w:tc>
          <w:tcPr>
            <w:tcW w:w="35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Organization and Business Activities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Principal Business</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rPr>
        <w:t>DISH DBS Corporation (which together with its subsidiaries is referred to as “DISH DBS,” “DDBS,” the “Company,” “we,” “us” and/or “our,” unless otherwise required by the context) is a holding company and an indirect, wholly-owned subsidiary of DISH Network Corporation (“DISH Network”), our parent company. DISH Network is a wholly-owned subsidiary of EchoStar Corporation (“EchoStar”), our ultimate parent company, a publicly traded company listed on the NASDAQ Global Select Market (“NASDAQ”) under the symbol “SATS.” DISH DBS was formed under Colorado law in January 1996 and its common stock is held by DISH Orbital Corporation (“DOC”), a direct subsidiary of DISH Network. Our subsidiaries operate one</w:t>
      </w:r>
      <w:r>
        <w:rPr>
          <w:rFonts w:ascii="Helvetica;sans-serif" w:hAnsi="Helvetica;sans-serif"/>
          <w:sz w:val="20"/>
        </w:rPr>
        <w:t xml:space="preserve"> </w:t>
      </w:r>
      <w:r>
        <w:rPr>
          <w:rFonts w:ascii="Arial;Helvetica;sans-serif" w:hAnsi="Arial;Helvetica;sans-serif"/>
          <w:sz w:val="20"/>
        </w:rPr>
        <w:t>business segment, 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0"/>
        <w:ind w:left="0" w:right="0" w:hanging="0"/>
        <w:jc w:val="left"/>
        <w:rPr/>
      </w:pPr>
      <w:r>
        <w:rPr/>
        <w:t>​</w:t>
      </w:r>
    </w:p>
    <w:p>
      <w:pPr>
        <w:pStyle w:val="TextBody"/>
        <w:bidi w:val="0"/>
        <w:spacing w:lineRule="auto" w:line="300" w:before="0" w:after="0"/>
        <w:ind w:left="0" w:right="139" w:hanging="0"/>
        <w:jc w:val="left"/>
        <w:rPr>
          <w:rFonts w:ascii="Arial;Helvetica;sans-serif" w:hAnsi="Arial;Helvetica;sans-serif"/>
          <w:b/>
          <w:i/>
          <w:sz w:val="20"/>
        </w:rPr>
      </w:pPr>
      <w:r>
        <w:rPr>
          <w:rFonts w:ascii="Arial;Helvetica;sans-serif" w:hAnsi="Arial;Helvetica;sans-serif"/>
          <w:b/>
          <w:i/>
          <w:sz w:val="20"/>
        </w:rPr>
        <w:t>FCC Review</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Times New Roman;Times;serif" w:hAnsi="Times New Roman;Times;serif"/>
          <w:sz w:val="20"/>
        </w:rPr>
      </w:pPr>
      <w:r>
        <w:rPr>
          <w:rFonts w:ascii="Arial;Helvetica;sans-serif" w:hAnsi="Arial;Helvetica;sans-serif"/>
          <w:sz w:val="20"/>
        </w:rPr>
        <w:t xml:space="preserve">In the third quarter of 2025, our ultimate parent, EchoStar resolved the previously disclosed review by the Federal Communications Commission (the “FCC”) into EchoStar’s compliance with the build-out milestones and other obligations regarding EchoStar’s federal spectrum licenses. EchoStar had previously </w:t>
      </w:r>
      <w:r>
        <w:rPr>
          <w:rFonts w:ascii="Arial;Helvetica;sans-serif" w:hAnsi="Arial;Helvetica;sans-serif"/>
          <w:color w:val="222222"/>
          <w:sz w:val="20"/>
        </w:rPr>
        <w:t>received a letter from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Helvetica;sans-serif" w:hAnsi="Arial;Helvetica;sans-serif"/>
          <w:sz w:val="20"/>
        </w:rPr>
        <w:t>.</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Times New Roman;Times;serif" w:hAnsi="Times New Roman;Times;serif"/>
          <w:sz w:val="24"/>
        </w:rPr>
      </w:pPr>
      <w:r>
        <w:rPr>
          <w:rFonts w:ascii="Arial;Helvetica;sans-serif" w:hAnsi="Arial;Helvetica;sans-serif"/>
          <w:sz w:val="20"/>
        </w:rPr>
        <w:t>During the second quarter and the beginning of the third quarter of 2025, the potential ramifications of the FCC review to EchoStar’s business required them to, among other things, reevaluate the deployment of their resources and as a result, we elected not to make interest payments on a certain portion of our long-term senior notes on their respective scheduled due dates. We subsequently made such payments, including interest on the defaulted interest, within the applicable 30-day</w:t>
      </w:r>
      <w:r>
        <w:rPr>
          <w:rFonts w:ascii="Times New Roman;Times;serif" w:hAnsi="Times New Roman;Times;serif"/>
          <w:sz w:val="24"/>
        </w:rPr>
        <w:t xml:space="preserve"> </w:t>
      </w:r>
      <w:r>
        <w:rPr>
          <w:rFonts w:ascii="Arial;Helvetica;sans-serif" w:hAnsi="Arial;Helvetica;sans-serif"/>
          <w:sz w:val="20"/>
        </w:rPr>
        <w:t>grace periods. See Note 7 for further information.</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Arial;Helvetica;sans-serif" w:hAnsi="Arial;Helvetica;sans-serif"/>
          <w:sz w:val="20"/>
        </w:rPr>
      </w:pPr>
      <w:r>
        <w:rPr>
          <w:rFonts w:ascii="Arial;Helvetica;sans-serif" w:hAnsi="Arial;Helvetica;sans-serif"/>
          <w:sz w:val="20"/>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below, whereby EchoStar agreed to sell a material amount of their spectrum licenses. In August 2025, following these transactions, EchoStar began the abandonment and decommission process for certain portions of their 5G Network that will not be utilized in their Hybrid MNO business. Furthermore, EchoStar believes the FCC’s actions and the resulting AT&amp;T Transactions constitute one or more force majeure events under certain of their 5G Network-related contracts.</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0" w:before="0" w:after="0"/>
        <w:ind w:left="0" w:right="139"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2025, our parent, DISH Network, our ultimate parent, EchoStar, 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 xml:space="preserve">Pursuant to the terms and subject to the conditions set forth in the AT&amp;T License Purchase Agreement, DISH Network and EchoStar have agreed to sell all 3.45–3.55 GHz and 600 MHz spectrum licenses (collectively, the “3.45 GHz and 600 MHz Licenses”), and to a </w:t>
      </w:r>
      <w:r>
        <w:rPr>
          <w:rFonts w:ascii="Arial;Helvetica;sans-serif" w:hAnsi="Arial;Helvetica;sans-serif"/>
          <w:b w:val="false"/>
          <w:i w:val="false"/>
          <w:caps w:val="false"/>
          <w:smallCaps w:val="false"/>
          <w:sz w:val="20"/>
        </w:rPr>
        <w:t>99-year</w:t>
      </w:r>
      <w:r>
        <w:rPr>
          <w:rFonts w:ascii="Times New Roman;Times;serif" w:hAnsi="Times New Roman;Times;serif"/>
          <w:sz w:val="24"/>
        </w:rPr>
        <w:t xml:space="preserve"> </w:t>
      </w:r>
      <w:r>
        <w:rPr>
          <w:rFonts w:ascii="Arial;Helvetica;sans-serif" w:hAnsi="Arial;Helvetica;sans-serif"/>
          <w:sz w:val="20"/>
        </w:rPr>
        <w:t>extension of existing leases for AT&amp;T’s exclusive use of certain wireless spectrum licenses in Hawaii for an aggregate purchase price of $22.650</w:t>
      </w:r>
      <w:r>
        <w:rPr>
          <w:rFonts w:ascii="Times New Roman;Times;serif" w:hAnsi="Times New Roman;Times;serif"/>
          <w:sz w:val="24"/>
        </w:rPr>
        <w:t xml:space="preserve"> </w:t>
      </w:r>
      <w:r>
        <w:rPr>
          <w:rFonts w:ascii="Arial;Helvetica;sans-serif" w:hAnsi="Arial;Helvetica;sans-serif"/>
          <w:sz w:val="20"/>
        </w:rPr>
        <w:t>billion in cash, subject to certain potential adjustments (the “Closing Purchase Price”). The AT&amp;T License Purchase Agreement also extends to AT&amp;T the right to lease certain 3.45 GHz licenses from DISH Network and EchoStar,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Closing Purchase Price is subject to downward adjustment in the event certain 3.45 GHz and 600 MHz Licenses are ultimately excluded by either DISH Network or EchoStar, or AT&amp;T, under certain circumstances. DISH Network and EchoStar are not obligated to consummate the AT&amp;T Transactions if the Closing Purchase Price, after giving effect to the aggregate amount of any such adjustments, is less than $18.6</w:t>
      </w:r>
      <w:r>
        <w:rPr>
          <w:rFonts w:ascii="Times New Roman;Times;serif" w:hAnsi="Times New Roman;Times;serif"/>
          <w:sz w:val="20"/>
        </w:rPr>
        <w:t xml:space="preserve"> </w:t>
      </w:r>
      <w:r>
        <w:rPr>
          <w:rFonts w:ascii="Arial;Helvetica;sans-serif" w:hAnsi="Arial;Helvetica;sans-serif"/>
          <w:sz w:val="20"/>
        </w:rPr>
        <w:t>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color w:val="222222"/>
          <w:sz w:val="20"/>
          <w:shd w:fill="FFFFFF" w:val="clear"/>
        </w:rPr>
        <w:t xml:space="preserve">The AT&amp;T License Purchase Agreement provides that, at the closing of the AT&amp;T Transactions, any amounts outstanding under that certain Loan and Security Agreement, dated November 26, 2021, between us as lender and DISH Network will be repaid in full using proceeds from the AT&amp;T Transactions to the respective holders of the </w:t>
      </w:r>
      <w:r>
        <w:rPr>
          <w:rFonts w:ascii="Arial;Helvetica;sans-serif" w:hAnsi="Arial;Helvetica;sans-serif"/>
          <w:sz w:val="20"/>
        </w:rPr>
        <w:t xml:space="preserve">Intercompany Loan </w:t>
      </w:r>
      <w:r>
        <w:rPr>
          <w:rFonts w:ascii="Times New Roman;Times;serif" w:hAnsi="Times New Roman;Times;serif"/>
          <w:sz w:val="20"/>
        </w:rPr>
        <w:t xml:space="preserve">– </w:t>
      </w:r>
      <w:r>
        <w:rPr>
          <w:rFonts w:ascii="Arial;Helvetica;sans-serif" w:hAnsi="Arial;Helvetica;sans-serif"/>
          <w:sz w:val="20"/>
        </w:rPr>
        <w:t>DISH Network</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(the “DISH 2021 Intercompany Loan Payoff”). The DISH 2021 Intercompany Loan Payoff includes $2.844</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billion due to us as of September 30, 2025 for the </w:t>
      </w:r>
      <w:r>
        <w:rPr>
          <w:rFonts w:ascii="Arial;Helvetica;sans-serif" w:hAnsi="Arial;Helvetica;sans-serif"/>
          <w:sz w:val="20"/>
        </w:rPr>
        <w:t xml:space="preserve">Intercompany Loan </w:t>
      </w:r>
      <w:r>
        <w:rPr>
          <w:rFonts w:ascii="Times New Roman;Times;serif" w:hAnsi="Times New Roman;Times;serif"/>
          <w:sz w:val="20"/>
        </w:rPr>
        <w:t xml:space="preserve">– </w:t>
      </w:r>
      <w:r>
        <w:rPr>
          <w:rFonts w:ascii="Arial;Helvetica;sans-serif" w:hAnsi="Arial;Helvetica;sans-serif"/>
          <w:sz w:val="20"/>
        </w:rPr>
        <w:t xml:space="preserve">DISH Network </w:t>
      </w:r>
      <w:r>
        <w:rPr>
          <w:rFonts w:ascii="Times New Roman;Times;serif" w:hAnsi="Times New Roman;Times;serif"/>
          <w:sz w:val="20"/>
        </w:rPr>
        <w:t xml:space="preserve">– </w:t>
      </w:r>
      <w:r>
        <w:rPr>
          <w:rFonts w:ascii="Arial;Helvetica;sans-serif" w:hAnsi="Arial;Helvetica;sans-serif"/>
          <w:sz w:val="20"/>
        </w:rPr>
        <w:t>2028 Tranche</w:t>
      </w:r>
      <w:r>
        <w:rPr>
          <w:rFonts w:ascii="Arial;Helvetica;sans-serif" w:hAnsi="Arial;Helvetica;sans-serif"/>
          <w:color w:val="222222"/>
          <w:sz w:val="20"/>
          <w:shd w:fill="FFFFFF" w:val="clear"/>
        </w:rPr>
        <w:t xml:space="preserve">. The </w:t>
      </w:r>
      <w:r>
        <w:rPr>
          <w:rFonts w:ascii="Arial;Helvetica;sans-serif" w:hAnsi="Arial;Helvetica;sans-serif"/>
          <w:sz w:val="20"/>
        </w:rPr>
        <w:t xml:space="preserve">Intercompany Loan </w:t>
      </w:r>
      <w:r>
        <w:rPr>
          <w:rFonts w:ascii="Times New Roman;Times;serif" w:hAnsi="Times New Roman;Times;serif"/>
          <w:sz w:val="20"/>
        </w:rPr>
        <w:t xml:space="preserve">– </w:t>
      </w:r>
      <w:r>
        <w:rPr>
          <w:rFonts w:ascii="Arial;Helvetica;sans-serif" w:hAnsi="Arial;Helvetica;sans-serif"/>
          <w:sz w:val="20"/>
        </w:rPr>
        <w:t>DISH Network</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is secured by DISH Network’s 3.45 GHz Licenses and certain other wireless spectrum licenses. See Note 11</w:t>
      </w:r>
      <w:r>
        <w:rPr>
          <w:rFonts w:ascii="Times New Roman;Times;serif" w:hAnsi="Times New Roman;Times;serif"/>
          <w:color w:val="0A0A0A"/>
          <w:sz w:val="20"/>
          <w:shd w:fill="FFFFFF" w:val="clear"/>
        </w:rPr>
        <w:t> </w:t>
      </w:r>
      <w:r>
        <w:rPr>
          <w:rFonts w:ascii="Arial;Helvetica;sans-serif" w:hAnsi="Arial;Helvetica;sans-serif"/>
          <w:color w:val="0A0A0A"/>
          <w:sz w:val="20"/>
          <w:shd w:fill="FFFFFF" w:val="clear"/>
        </w:rPr>
        <w:t>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 xml:space="preserve">In addition, all outstanding </w:t>
      </w:r>
      <w:r>
        <w:rPr>
          <w:rFonts w:ascii="Arial;Helvetica;sans-serif" w:hAnsi="Arial;Helvetica;sans-serif"/>
          <w:b w:val="false"/>
          <w:i w:val="false"/>
          <w:caps w:val="false"/>
          <w:smallCaps w:val="false"/>
          <w:sz w:val="20"/>
        </w:rPr>
        <w:t>11 3/4%</w:t>
      </w:r>
      <w:r>
        <w:rPr>
          <w:rFonts w:ascii="Times New Roman;Times;serif" w:hAnsi="Times New Roman;Times;serif"/>
          <w:sz w:val="24"/>
        </w:rPr>
        <w:t xml:space="preserve"> </w:t>
      </w:r>
      <w:r>
        <w:rPr>
          <w:rFonts w:ascii="Arial;Helvetica;sans-serif" w:hAnsi="Arial;Helvetica;sans-serif"/>
          <w:sz w:val="20"/>
        </w:rPr>
        <w:t xml:space="preserve">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September 30, 2025, the aggregate principal amount outstanding of DISH Network’s </w:t>
      </w:r>
      <w:r>
        <w:rPr>
          <w:rFonts w:ascii="Arial;Helvetica;sans-serif" w:hAnsi="Arial;Helvetica;sans-serif"/>
          <w:b w:val="false"/>
          <w:i w:val="false"/>
          <w:caps w:val="false"/>
          <w:smallCaps w:val="false"/>
          <w:sz w:val="20"/>
        </w:rPr>
        <w:t>11 3/4%</w:t>
      </w:r>
      <w:r>
        <w:rPr>
          <w:rFonts w:ascii="Times New Roman;Times;serif" w:hAnsi="Times New Roman;Times;serif"/>
          <w:sz w:val="24"/>
        </w:rPr>
        <w:t xml:space="preserve"> </w:t>
      </w:r>
      <w:r>
        <w:rPr>
          <w:rFonts w:ascii="Arial;Helvetica;sans-serif" w:hAnsi="Arial;Helvetica;sans-serif"/>
          <w:sz w:val="20"/>
        </w:rPr>
        <w:t>Senior Secured Notes due November 15, 2027 was $3.5</w:t>
      </w:r>
      <w:r>
        <w:rPr>
          <w:rFonts w:ascii="Times New Roman;Times;serif" w:hAnsi="Times New Roman;Times;serif"/>
          <w:sz w:val="24"/>
        </w:rPr>
        <w:t xml:space="preserve"> </w:t>
      </w:r>
      <w:r>
        <w:rPr>
          <w:rFonts w:ascii="Arial;Helvetica;sans-serif" w:hAnsi="Arial;Helvetica;sans-serif"/>
          <w:sz w:val="20"/>
        </w:rPr>
        <w:t xml:space="preserve">billion and is secured by the 600 MHz 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The AT&amp;T License Purchase Agreement also provides for specified termination rights by each party in certain circumstances. The closing is expected to occur in the first half of 2026.</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description of the AT&amp;T License Purchase Agreement is not complete and is qualified in its entirety by reference to the License Purchase Agreement filed as an exhibit to EchoStar’s 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Future Capital Requirements</w:t>
      </w:r>
    </w:p>
    <w:p>
      <w:pPr>
        <w:pStyle w:val="TextBody"/>
        <w:bidi w:val="0"/>
        <w:spacing w:before="0" w:after="0"/>
        <w:ind w:left="0" w:right="0" w:hanging="0"/>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Our cash and cash equivalents and marketable investment securities totaled $947</w:t>
      </w:r>
      <w:r>
        <w:rPr>
          <w:rFonts w:ascii="Helvetica;sans-serif" w:hAnsi="Helvetica;sans-serif"/>
          <w:sz w:val="20"/>
        </w:rPr>
        <w:t xml:space="preserve"> </w:t>
      </w:r>
      <w:r>
        <w:rPr>
          <w:rFonts w:ascii="Arial;Helvetica;sans-serif" w:hAnsi="Arial;Helvetica;sans-serif"/>
          <w:sz w:val="20"/>
        </w:rPr>
        <w:t>million as of September 30, 2025 (“Cash on Hand”). As reflected in the condensed consolidated financial statements as of September 30, 2025, we have $2.0</w:t>
      </w:r>
      <w:r>
        <w:rPr>
          <w:rFonts w:ascii="Helvetica;sans-serif" w:hAnsi="Helvetica;sans-serif"/>
          <w:sz w:val="20"/>
        </w:rPr>
        <w:t xml:space="preserve"> </w:t>
      </w:r>
      <w:r>
        <w:rPr>
          <w:rFonts w:ascii="Arial;Helvetica;sans-serif" w:hAnsi="Arial;Helvetica;sans-serif"/>
          <w:sz w:val="20"/>
        </w:rPr>
        <w:t>billion of debt maturing in July 2026.</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As detailed above, upon the closing of the AT&amp;T Transactions, subject to certain conditions and adjustments, our parent, DISH Network, and our ultimate parent, EchoStar, will receive $22.650</w:t>
      </w:r>
      <w:r>
        <w:rPr>
          <w:rFonts w:ascii="Helvetica;sans-serif" w:hAnsi="Helvetica;sans-serif"/>
          <w:sz w:val="20"/>
        </w:rPr>
        <w:t xml:space="preserve"> </w:t>
      </w:r>
      <w:r>
        <w:rPr>
          <w:rFonts w:ascii="Arial;Helvetica;sans-serif" w:hAnsi="Arial;Helvetica;sans-serif"/>
          <w:sz w:val="20"/>
        </w:rPr>
        <w:t xml:space="preserve">billion in cash. The AT&amp;T Transactions also contemplate the repayment of certain of DISH Network’s debt, including DISH Network’s </w:t>
      </w:r>
      <w:r>
        <w:rPr>
          <w:rFonts w:ascii="Arial;Helvetica;sans-serif" w:hAnsi="Arial;Helvetica;sans-serif"/>
          <w:color w:val="222222"/>
          <w:sz w:val="20"/>
          <w:shd w:fill="FFFFFF" w:val="clear"/>
        </w:rPr>
        <w:t>$2.844</w:t>
      </w:r>
      <w:r>
        <w:rPr>
          <w:rFonts w:ascii="Helvetica;sans-serif" w:hAnsi="Helvetica;sans-serif"/>
          <w:color w:val="222222"/>
          <w:sz w:val="20"/>
          <w:shd w:fill="FFFFFF" w:val="clear"/>
        </w:rPr>
        <w:t xml:space="preserve"> </w:t>
      </w:r>
      <w:r>
        <w:rPr>
          <w:rFonts w:ascii="Arial;Helvetica;sans-serif" w:hAnsi="Arial;Helvetica;sans-serif"/>
          <w:color w:val="222222"/>
          <w:sz w:val="20"/>
          <w:shd w:fill="FFFFFF" w:val="clear"/>
        </w:rPr>
        <w:t>billion due to us as of September 30, 2025 for the </w:t>
      </w:r>
      <w:r>
        <w:rPr>
          <w:rFonts w:ascii="Arial;Helvetica;sans-serif" w:hAnsi="Arial;Helvetica;sans-serif"/>
          <w:sz w:val="20"/>
        </w:rPr>
        <w:t xml:space="preserve">Intercompany Loan </w:t>
      </w:r>
      <w:r>
        <w:rPr>
          <w:rFonts w:ascii="Helvetica;sans-serif" w:hAnsi="Helvetica;sans-serif"/>
          <w:sz w:val="20"/>
        </w:rPr>
        <w:t xml:space="preserve">– </w:t>
      </w:r>
      <w:r>
        <w:rPr>
          <w:rFonts w:ascii="Arial;Helvetica;sans-serif" w:hAnsi="Arial;Helvetica;sans-serif"/>
          <w:sz w:val="20"/>
        </w:rPr>
        <w:t xml:space="preserve">DISH Network </w:t>
      </w:r>
      <w:r>
        <w:rPr>
          <w:rFonts w:ascii="Helvetica;sans-serif" w:hAnsi="Helvetica;sans-serif"/>
          <w:sz w:val="20"/>
        </w:rPr>
        <w:t xml:space="preserve">– </w:t>
      </w:r>
      <w:r>
        <w:rPr>
          <w:rFonts w:ascii="Arial;Helvetica;sans-serif" w:hAnsi="Arial;Helvetica;sans-serif"/>
          <w:sz w:val="20"/>
        </w:rPr>
        <w:t>2028 Tranche</w:t>
      </w:r>
      <w:r>
        <w:rPr>
          <w:rFonts w:ascii="Helvetica;sans-serif" w:hAnsi="Helvetica;sans-serif"/>
          <w:sz w:val="20"/>
        </w:rPr>
        <w:t xml:space="preserve"> </w:t>
      </w:r>
      <w:r>
        <w:rPr>
          <w:rFonts w:ascii="Arial;Helvetica;sans-serif" w:hAnsi="Arial;Helvetica;sans-serif"/>
          <w:sz w:val="20"/>
        </w:rPr>
        <w:t>as described above in “</w:t>
      </w:r>
      <w:r>
        <w:rPr>
          <w:rFonts w:ascii="Arial;Helvetica;sans-serif" w:hAnsi="Arial;Helvetica;sans-serif"/>
          <w:i/>
          <w:sz w:val="20"/>
        </w:rPr>
        <w:t>AT&amp;T Transactions.</w:t>
      </w:r>
      <w:r>
        <w:rPr>
          <w:rFonts w:ascii="Helvetica;sans-serif" w:hAnsi="Helvetica;sans-serif"/>
          <w:sz w:val="20"/>
        </w:rPr>
        <w:t xml:space="preserve">” </w:t>
      </w:r>
      <w:r>
        <w:rPr>
          <w:rFonts w:ascii="Arial;Helvetica;sans-serif" w:hAnsi="Arial;Helvetica;sans-serif"/>
          <w:sz w:val="20"/>
        </w:rPr>
        <w:t>However, until the closing of the these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In addition, until the closing of the AT&amp;T Transactions, DISH Network, and EchoStar, may not be able to provide additional liquidity in the future as substantial doubt exists about their ability to continue as a going concern. For further information on EchoStar’s recent transactions and future capital requirements refer to EchoStar’s 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and our ultimate parent, EchoStar, cannot provide assurances that the AT&amp;T Transactions will be approved and consummated on the predicted timeline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do not include any adjustments to the amount and classification of assets and liabilities that may be necessary should we not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Arial;Helvetica;sans-serif" w:hAnsi="Arial;Helvetica;sans-serif"/>
          <w:sz w:val="20"/>
        </w:rPr>
        <w:t>We offer pay-TV services under the DISH</w:t>
      </w:r>
      <w:r>
        <w:rPr>
          <w:rFonts w:ascii="Arial;Helvetica;sans-serif" w:hAnsi="Arial;Helvetica;sans-serif"/>
          <w:sz w:val="15"/>
        </w:rPr>
        <w:t>®</w:t>
      </w:r>
      <w:r>
        <w:rPr>
          <w:rFonts w:ascii="Times New Roman;Times;serif" w:hAnsi="Times New Roman;Times;serif"/>
          <w:sz w:val="20"/>
        </w:rPr>
        <w:t xml:space="preserve"> </w:t>
      </w:r>
      <w:r>
        <w:rPr>
          <w:rFonts w:ascii="Arial;Helvetica;sans-serif" w:hAnsi="Arial;Helvetica;sans-serif"/>
          <w:sz w:val="20"/>
        </w:rPr>
        <w:t>brand and the SLING</w:t>
      </w:r>
      <w:r>
        <w:rPr>
          <w:rFonts w:ascii="Arial;Helvetica;sans-serif" w:hAnsi="Arial;Helvetica;sans-serif"/>
          <w:sz w:val="15"/>
        </w:rPr>
        <w:t>®</w:t>
      </w:r>
      <w:r>
        <w:rPr>
          <w:rFonts w:ascii="Times New Roman;Times;serif" w:hAnsi="Times New Roman;Times;serif"/>
          <w:sz w:val="20"/>
        </w:rPr>
        <w:t xml:space="preserve"> </w:t>
      </w:r>
      <w:r>
        <w:rPr>
          <w:rFonts w:ascii="Arial;Helvetica;sans-serif" w:hAnsi="Arial;Helvetica;sans-serif"/>
          <w:sz w:val="20"/>
        </w:rPr>
        <w:t xml:space="preserve">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of, among other things, multichannel, live-linear and on-demand streaming over-the-top (“OTT”) Internet-based domestic, international, Latino and Freestream video programming services (“SLING TV”). As of September 30, 2025, we had 7.166</w:t>
      </w:r>
      <w:r>
        <w:rPr>
          <w:rFonts w:ascii="Times New Roman;Times;serif" w:hAnsi="Times New Roman;Times;serif"/>
          <w:sz w:val="20"/>
        </w:rPr>
        <w:t xml:space="preserve"> </w:t>
      </w:r>
      <w:r>
        <w:rPr>
          <w:rFonts w:ascii="Arial;Helvetica;sans-serif" w:hAnsi="Arial;Helvetica;sans-serif"/>
          <w:sz w:val="20"/>
        </w:rPr>
        <w:t>million Pay-TV subscribers in the United States, including 5.171</w:t>
      </w:r>
      <w:r>
        <w:rPr>
          <w:rFonts w:ascii="Times New Roman;Times;serif" w:hAnsi="Times New Roman;Times;serif"/>
          <w:sz w:val="20"/>
        </w:rPr>
        <w:t xml:space="preserve"> </w:t>
      </w:r>
      <w:r>
        <w:rPr>
          <w:rFonts w:ascii="Arial;Helvetica;sans-serif" w:hAnsi="Arial;Helvetica;sans-serif"/>
          <w:sz w:val="20"/>
        </w:rPr>
        <w:t>million DISH TV subscribers and 1.995</w:t>
      </w:r>
      <w:r>
        <w:rPr>
          <w:rFonts w:ascii="Times New Roman;Times;serif" w:hAnsi="Times New Roman;Times;serif"/>
          <w:sz w:val="20"/>
        </w:rPr>
        <w:t xml:space="preserve"> </w:t>
      </w:r>
      <w:r>
        <w:rPr>
          <w:rFonts w:ascii="Arial;Helvetica;sans-serif" w:hAnsi="Arial;Helvetica;sans-serif"/>
          <w:sz w:val="20"/>
        </w:rPr>
        <w:t>million SLING TV subscribers.</w:t>
      </w:r>
    </w:p>
    <w:p>
      <w:pPr>
        <w:pStyle w:val="TextBody"/>
        <w:bidi w:val="0"/>
        <w:spacing w:before="0" w:after="0"/>
        <w:ind w:left="0" w:right="0" w:hanging="0"/>
        <w:jc w:val="left"/>
        <w:rPr/>
      </w:pPr>
      <w:r>
        <w:rPr/>
        <w:t>​</w:t>
      </w:r>
    </w:p>
    <w:tbl>
      <w:tblPr>
        <w:tblW w:w="4577" w:type="dxa"/>
        <w:jc w:val="left"/>
        <w:tblInd w:w="0" w:type="dxa"/>
        <w:tblLayout w:type="fixed"/>
        <w:tblCellMar>
          <w:top w:w="0" w:type="dxa"/>
          <w:left w:w="0" w:type="dxa"/>
          <w:bottom w:w="0" w:type="dxa"/>
          <w:right w:w="0" w:type="dxa"/>
        </w:tblCellMar>
      </w:tblPr>
      <w:tblGrid>
        <w:gridCol w:w="286"/>
        <w:gridCol w:w="429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2.</w:t>
            </w:r>
          </w:p>
        </w:tc>
        <w:tc>
          <w:tcPr>
            <w:tcW w:w="42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Summary of Significant Accounting Policies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sz w:val="20"/>
        </w:rPr>
      </w:pPr>
      <w:r>
        <w:rPr>
          <w:rFonts w:ascii="Arial;Helvetica;sans-serif" w:hAnsi="Arial;Helvetica;sans-serif"/>
          <w:sz w:val="20"/>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 xml:space="preserve">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or as part of an asset acquisition,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w:t>
      </w:r>
      <w:r>
        <w:rPr>
          <w:rFonts w:ascii="Arial;Helvetica;sans-serif" w:hAnsi="Arial;Helvetica;sans-serif"/>
          <w:sz w:val="20"/>
        </w:rPr>
        <w:t xml:space="preserve">estimates of the timing of future cash flows used to pay principal on certain debt obligations, </w:t>
      </w:r>
      <w:r>
        <w:rPr>
          <w:rFonts w:ascii="Arial;Helvetica;sans-serif" w:hAnsi="Arial;Helvetica;sans-serif"/>
          <w:spacing w:val="-2"/>
          <w:sz w:val="20"/>
        </w:rPr>
        <w:t xml:space="preserve">nonrefundable upfront fees, independent third-party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bidi w:val="0"/>
        <w:spacing w:before="0" w:after="0"/>
        <w:ind w:left="0" w:right="0" w:hanging="0"/>
        <w:jc w:val="left"/>
        <w:rPr/>
      </w:pPr>
      <w:r>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September 30,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 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7 for the fair value of our debt.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Assets Recognized Related to the Costs to Obtain a Contract with a Customer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Advertising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recognize advertising expense when incurred as a component of “Selling, general and administrative expenses” on our Condensed Consolidated Statements of Operations and Comprehensive Income (Loss). Advertising expenses totaled $62</w:t>
      </w:r>
      <w:r>
        <w:rPr>
          <w:rFonts w:ascii="Times New Roman;Times;serif" w:hAnsi="Times New Roman;Times;serif"/>
          <w:sz w:val="20"/>
        </w:rPr>
        <w:t xml:space="preserve"> </w:t>
      </w:r>
      <w:r>
        <w:rPr>
          <w:rFonts w:ascii="Arial;Helvetica;sans-serif" w:hAnsi="Arial;Helvetica;sans-serif"/>
          <w:sz w:val="20"/>
        </w:rPr>
        <w:t>million and $57</w:t>
      </w:r>
      <w:r>
        <w:rPr>
          <w:rFonts w:ascii="Times New Roman;Times;serif" w:hAnsi="Times New Roman;Times;serif"/>
          <w:sz w:val="20"/>
        </w:rPr>
        <w:t xml:space="preserve"> </w:t>
      </w:r>
      <w:r>
        <w:rPr>
          <w:rFonts w:ascii="Arial;Helvetica;sans-serif" w:hAnsi="Arial;Helvetica;sans-serif"/>
          <w:sz w:val="20"/>
        </w:rPr>
        <w:t>million for the three months ended September 30, 2025 and 2024, respectively. Advertising expenses totaled $149</w:t>
      </w:r>
      <w:r>
        <w:rPr>
          <w:rFonts w:ascii="Times New Roman;Times;serif" w:hAnsi="Times New Roman;Times;serif"/>
          <w:sz w:val="20"/>
        </w:rPr>
        <w:t xml:space="preserve"> </w:t>
      </w:r>
      <w:r>
        <w:rPr>
          <w:rFonts w:ascii="Arial;Helvetica;sans-serif" w:hAnsi="Arial;Helvetica;sans-serif"/>
          <w:sz w:val="20"/>
        </w:rPr>
        <w:t>million and $160</w:t>
      </w:r>
      <w:r>
        <w:rPr>
          <w:rFonts w:ascii="Times New Roman;Times;serif" w:hAnsi="Times New Roman;Times;serif"/>
          <w:sz w:val="20"/>
        </w:rPr>
        <w:t xml:space="preserve"> </w:t>
      </w:r>
      <w:r>
        <w:rPr>
          <w:rFonts w:ascii="Arial;Helvetica;sans-serif" w:hAnsi="Arial;Helvetica;sans-serif"/>
          <w:sz w:val="20"/>
        </w:rPr>
        <w:t>million for the nine months ended September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 Research and development costs totaled $6</w:t>
      </w:r>
      <w:r>
        <w:rPr>
          <w:rFonts w:ascii="Times New Roman;Times;serif" w:hAnsi="Times New Roman;Times;serif"/>
          <w:sz w:val="20"/>
        </w:rPr>
        <w:t xml:space="preserve"> </w:t>
      </w:r>
      <w:r>
        <w:rPr>
          <w:rFonts w:ascii="Arial;Helvetica;sans-serif" w:hAnsi="Arial;Helvetica;sans-serif"/>
          <w:sz w:val="20"/>
        </w:rPr>
        <w:t>million and $6</w:t>
      </w:r>
      <w:r>
        <w:rPr>
          <w:rFonts w:ascii="Times New Roman;Times;serif" w:hAnsi="Times New Roman;Times;serif"/>
          <w:sz w:val="20"/>
        </w:rPr>
        <w:t xml:space="preserve"> </w:t>
      </w:r>
      <w:r>
        <w:rPr>
          <w:rFonts w:ascii="Arial;Helvetica;sans-serif" w:hAnsi="Arial;Helvetica;sans-serif"/>
          <w:sz w:val="20"/>
        </w:rPr>
        <w:t>million for the three months ended September 30, 2025 and 2024, respectively. Research and development costs totaled $19</w:t>
      </w:r>
      <w:r>
        <w:rPr>
          <w:rFonts w:ascii="Times New Roman;Times;serif" w:hAnsi="Times New Roman;Times;serif"/>
          <w:sz w:val="20"/>
        </w:rPr>
        <w:t xml:space="preserve"> </w:t>
      </w:r>
      <w:r>
        <w:rPr>
          <w:rFonts w:ascii="Arial;Helvetica;sans-serif" w:hAnsi="Arial;Helvetica;sans-serif"/>
          <w:sz w:val="20"/>
        </w:rPr>
        <w:t>million and $20</w:t>
      </w:r>
      <w:r>
        <w:rPr>
          <w:rFonts w:ascii="Times New Roman;Times;serif" w:hAnsi="Times New Roman;Times;serif"/>
          <w:sz w:val="20"/>
        </w:rPr>
        <w:t xml:space="preserve"> </w:t>
      </w:r>
      <w:r>
        <w:rPr>
          <w:rFonts w:ascii="Arial;Helvetica;sans-serif" w:hAnsi="Arial;Helvetica;sans-serif"/>
          <w:sz w:val="20"/>
        </w:rPr>
        <w:t>million for the nine months ended September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Not Yet Adopted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Income Taxes</w:t>
      </w:r>
      <w:r>
        <w:rPr>
          <w:rFonts w:ascii="Arial;Helvetica;sans-serif" w:hAnsi="Arial;Helvetica;sans-serif"/>
          <w:sz w:val="20"/>
        </w:rPr>
        <w:t xml:space="preserve">. On December 14, 2023, the FASB issued ASU 2023-9, </w:t>
      </w:r>
      <w:r>
        <w:rPr>
          <w:rFonts w:ascii="Arial;Helvetica;sans-serif" w:hAnsi="Arial;Helvetica;sans-serif"/>
          <w:i/>
          <w:sz w:val="20"/>
        </w:rPr>
        <w:t>Income Taxes (Topic 740)</w:t>
      </w:r>
      <w:r>
        <w:rPr>
          <w:rFonts w:ascii="Arial;Helvetica;sans-serif" w:hAnsi="Arial;Helvetica;sans-serif"/>
          <w:sz w:val="20"/>
        </w:rPr>
        <w:t xml:space="preserve">: </w:t>
      </w:r>
      <w:r>
        <w:rPr>
          <w:rFonts w:ascii="Arial;Helvetica;sans-serif" w:hAnsi="Arial;Helvetica;sans-serif"/>
          <w:i/>
          <w:sz w:val="20"/>
        </w:rPr>
        <w:t>Improvements to Income Tax Disclosures</w:t>
      </w:r>
      <w:r>
        <w:rPr>
          <w:rFonts w:ascii="Times New Roman;Times;serif" w:hAnsi="Times New Roman;Times;serif"/>
          <w:sz w:val="20"/>
        </w:rPr>
        <w:t xml:space="preserve"> </w:t>
      </w:r>
      <w:r>
        <w:rPr>
          <w:rFonts w:ascii="Arial;Helvetica;sans-serif" w:hAnsi="Arial;Helvetica;sans-serif"/>
          <w:sz w:val="20"/>
        </w:rPr>
        <w:t>(“ASU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will adopt the standard when it becomes effective for us beginning in our fiscal year 2025 annual financial statements, and the adoption of the standard will impact certain of our income tax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On November 5, 2024, the FASB issued ASU 2024-03, </w:t>
      </w:r>
      <w:r>
        <w:rPr>
          <w:rFonts w:ascii="Arial;Helvetica;sans-serif" w:hAnsi="Arial;Helvetica;sans-serif"/>
          <w:i/>
          <w:sz w:val="20"/>
        </w:rPr>
        <w:t>Income Statement – Reporting Comprehensive Income – Expense Disaggregation Disclosures (Subtopic 220-40)</w:t>
      </w:r>
      <w:r>
        <w:rPr>
          <w:rFonts w:ascii="Times New Roman;Times;serif" w:hAnsi="Times New Roman;Times;serif"/>
          <w:sz w:val="20"/>
        </w:rPr>
        <w:t xml:space="preserve"> </w:t>
      </w:r>
      <w:r>
        <w:rPr>
          <w:rFonts w:ascii="Arial;Helvetica;sans-serif" w:hAnsi="Arial;Helvetica;sans-serif"/>
          <w:sz w:val="20"/>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Financial Instruments – Credit Losses.</w:t>
      </w:r>
      <w:r>
        <w:rPr>
          <w:rFonts w:ascii="Times New Roman;Times;serif" w:hAnsi="Times New Roman;Times;serif"/>
          <w:sz w:val="20"/>
        </w:rPr>
        <w:t xml:space="preserve"> </w:t>
      </w:r>
      <w:r>
        <w:rPr>
          <w:rFonts w:ascii="Arial;Helvetica;sans-serif" w:hAnsi="Arial;Helvetica;sans-serif"/>
          <w:sz w:val="20"/>
        </w:rPr>
        <w:t xml:space="preserve">On July 30, 2025, the FASB issued ASU 2025-05, </w:t>
      </w:r>
      <w:r>
        <w:rPr>
          <w:rFonts w:ascii="Arial;Helvetica;sans-serif" w:hAnsi="Arial;Helvetica;sans-serif"/>
          <w:i/>
          <w:sz w:val="20"/>
        </w:rPr>
        <w:t>Financial Instruments – Credit Losses (Topic 326): Measurement of Credit Losses for Accounts Receivable and Contract Assets</w:t>
      </w:r>
      <w:r>
        <w:rPr>
          <w:rFonts w:ascii="Times New Roman;Times;serif" w:hAnsi="Times New Roman;Times;serif"/>
          <w:sz w:val="20"/>
        </w:rPr>
        <w:t xml:space="preserve"> </w:t>
      </w:r>
      <w:r>
        <w:rPr>
          <w:rFonts w:ascii="Arial;Helvetica;sans-serif" w:hAnsi="Arial;Helvetica;sans-serif"/>
          <w:sz w:val="20"/>
        </w:rPr>
        <w:t xml:space="preserve">(“ASU 2025-05”), which allows entities to elect a practical expedient to assume current conditions as of the balance sheet date do not change for the remaining life of current accounts receivable and current contract assets arising from transactions under Topic 606 on revenue from contracts with customers. This standard is effective for fiscal years beginning after December 15, 2025. Early adoption is permitted. We plan to adopt the standard in our 2025 annual financial statements, and we expect the adoption of the standard will have an immaterial impact on our allowance for credit losses.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Intangibles – Goodwill and Other – Internal-Use Software.</w:t>
      </w:r>
      <w:r>
        <w:rPr>
          <w:rFonts w:ascii="Times New Roman;Times;serif" w:hAnsi="Times New Roman;Times;serif"/>
          <w:sz w:val="20"/>
        </w:rPr>
        <w:t xml:space="preserve"> </w:t>
      </w:r>
      <w:r>
        <w:rPr>
          <w:rFonts w:ascii="Arial;Helvetica;sans-serif" w:hAnsi="Arial;Helvetica;sans-serif"/>
          <w:sz w:val="20"/>
        </w:rPr>
        <w:t xml:space="preserve">On September 18, 2025, the FASB issued ASU 2025-06, </w:t>
      </w:r>
      <w:r>
        <w:rPr>
          <w:rFonts w:ascii="Arial;Helvetica;sans-serif" w:hAnsi="Arial;Helvetica;sans-serif"/>
          <w:i/>
          <w:sz w:val="20"/>
        </w:rPr>
        <w:t>Intangibles – Goodwill and Other – Internal-Use Software (Subtopic 350-40): Targeted Improvements to the Accounting for Internal-Use Software</w:t>
      </w:r>
      <w:r>
        <w:rPr>
          <w:rFonts w:ascii="Times New Roman;Times;serif" w:hAnsi="Times New Roman;Times;serif"/>
          <w:sz w:val="20"/>
        </w:rPr>
        <w:t xml:space="preserve"> </w:t>
      </w:r>
      <w:r>
        <w:rPr>
          <w:rFonts w:ascii="Arial;Helvetica;sans-serif" w:hAnsi="Arial;Helvetica;sans-serif"/>
          <w:sz w:val="20"/>
        </w:rPr>
        <w:t>(“ASU 2025-06”), which removes the references to the sequential software development stages from the 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and related disclosures.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82" w:name="Tc_i4Dmjp2yaUmvhZvY-nhELQ_8_3"/>
      <w:bookmarkStart w:id="683" w:name="Tc_AU0lwq42jEWpDlBMWfLZaQ_8_0"/>
      <w:bookmarkStart w:id="684" w:name="Tc_5rnJnql6PEygCTpjOIAUww_7_0"/>
      <w:bookmarkStart w:id="685" w:name="Tc_3vqeOjyFbUeBVr1HOrKNfQ_6_0"/>
      <w:bookmarkStart w:id="686" w:name="Tc_pgtUIGkUwki7fputyZRKMw_5_5"/>
      <w:bookmarkStart w:id="687" w:name="Tc_lgMay4SKkkyjEw6RR4NQog_5_2"/>
      <w:bookmarkStart w:id="688" w:name="Tc_1rHf5ADMJkuCkJpWwEUOvA_5_0"/>
      <w:bookmarkStart w:id="689" w:name="Tc_cG3ltAFaqUOfcTISBIJGOg_4_2"/>
      <w:bookmarkStart w:id="690" w:name="Tc_6tTnu5QDt0-x4UuHN853rQ_3_5"/>
      <w:bookmarkStart w:id="691" w:name="Tc_d9dmr2GAk0q9_m-UXSvTtQ_3_2"/>
      <w:bookmarkStart w:id="692" w:name="Tc_MhF3EdPN80S6p9HKoIVW1A_2_2"/>
      <w:bookmarkStart w:id="693" w:name="Tc_sVsRFCArU0SKLKWlddh8-g_1_2"/>
      <w:bookmarkStart w:id="694" w:name="Tc_i4Dmjp2yaUmvhZvY-nhELQ_8_3"/>
      <w:bookmarkStart w:id="695" w:name="Tc_AU0lwq42jEWpDlBMWfLZaQ_8_0"/>
      <w:bookmarkStart w:id="696" w:name="Tc_5rnJnql6PEygCTpjOIAUww_7_0"/>
      <w:bookmarkStart w:id="697" w:name="Tc_3vqeOjyFbUeBVr1HOrKNfQ_6_0"/>
      <w:bookmarkStart w:id="698" w:name="Tc_pgtUIGkUwki7fputyZRKMw_5_5"/>
      <w:bookmarkStart w:id="699" w:name="Tc_lgMay4SKkkyjEw6RR4NQog_5_2"/>
      <w:bookmarkStart w:id="700" w:name="Tc_1rHf5ADMJkuCkJpWwEUOvA_5_0"/>
      <w:bookmarkStart w:id="701" w:name="Tc_cG3ltAFaqUOfcTISBIJGOg_4_2"/>
      <w:bookmarkStart w:id="702" w:name="Tc_6tTnu5QDt0-x4UuHN853rQ_3_5"/>
      <w:bookmarkStart w:id="703" w:name="Tc_d9dmr2GAk0q9_m-UXSvTtQ_3_2"/>
      <w:bookmarkStart w:id="704" w:name="Tc_MhF3EdPN80S6p9HKoIVW1A_2_2"/>
      <w:bookmarkStart w:id="705" w:name="Tc_sVsRFCArU0SKLKWlddh8-g_1_2"/>
      <w:bookmarkEnd w:id="694"/>
      <w:bookmarkEnd w:id="695"/>
      <w:bookmarkEnd w:id="696"/>
      <w:bookmarkEnd w:id="697"/>
      <w:bookmarkEnd w:id="698"/>
      <w:bookmarkEnd w:id="699"/>
      <w:bookmarkEnd w:id="700"/>
      <w:bookmarkEnd w:id="701"/>
      <w:bookmarkEnd w:id="702"/>
      <w:bookmarkEnd w:id="703"/>
      <w:bookmarkEnd w:id="704"/>
      <w:bookmarkEnd w:id="705"/>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3.</w:t>
            </w:r>
          </w:p>
        </w:tc>
        <w:tc>
          <w:tcPr>
            <w:tcW w:w="450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Supplemental Data - Statements of Cash Flows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certain supplemental cash flow and other non-cash data:</w:t>
      </w:r>
    </w:p>
    <w:p>
      <w:pPr>
        <w:pStyle w:val="TextBody"/>
        <w:bidi w:val="0"/>
        <w:spacing w:before="0" w:after="0"/>
        <w:ind w:left="0" w:right="0" w:hanging="0"/>
        <w:jc w:val="left"/>
        <w:rPr/>
      </w:pPr>
      <w:r>
        <w:rPr/>
        <w:t>​</w:t>
      </w:r>
    </w:p>
    <w:tbl>
      <w:tblPr>
        <w:tblW w:w="7646" w:type="dxa"/>
        <w:jc w:val="left"/>
        <w:tblInd w:w="0" w:type="dxa"/>
        <w:tblLayout w:type="fixed"/>
        <w:tblCellMar>
          <w:top w:w="0" w:type="dxa"/>
          <w:left w:w="0" w:type="dxa"/>
          <w:bottom w:w="0" w:type="dxa"/>
          <w:right w:w="0" w:type="dxa"/>
        </w:tblCellMar>
      </w:tblPr>
      <w:tblGrid>
        <w:gridCol w:w="4561"/>
        <w:gridCol w:w="326"/>
        <w:gridCol w:w="223"/>
        <w:gridCol w:w="842"/>
        <w:gridCol w:w="344"/>
        <w:gridCol w:w="223"/>
        <w:gridCol w:w="1127"/>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896235" cy="175260"/>
                      <wp:effectExtent l="0" t="0" r="0" b="0"/>
                      <wp:wrapNone/>
                      <wp:docPr id="79" name="Frame7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1605" cy="175260"/>
                      <wp:effectExtent l="0" t="0" r="0" b="0"/>
                      <wp:wrapNone/>
                      <wp:docPr id="81" name="Frame8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34670" cy="175260"/>
                      <wp:effectExtent l="0" t="0" r="0" b="0"/>
                      <wp:wrapNone/>
                      <wp:docPr id="82" name="Frame82"/>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8440" cy="175260"/>
                      <wp:effectExtent l="0" t="0" r="0" b="0"/>
                      <wp:wrapNone/>
                      <wp:docPr id="83" name="Frame8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1605" cy="175260"/>
                      <wp:effectExtent l="0" t="0" r="0" b="0"/>
                      <wp:wrapNone/>
                      <wp:docPr id="84" name="Frame8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15645" cy="175260"/>
                      <wp:effectExtent l="0" t="0" r="0" b="0"/>
                      <wp:wrapNone/>
                      <wp:docPr id="85" name="Frame8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Nine Months Ended </w: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September 30, </w: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4"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764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9"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602,349</w:t>
            </w:r>
          </w:p>
        </w:tc>
        <w:tc>
          <w:tcPr>
            <w:tcW w:w="34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471,726</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 net of (refunds)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11,624</w:t>
            </w:r>
          </w:p>
        </w:tc>
        <w:tc>
          <w:tcPr>
            <w:tcW w:w="34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10,714</w:t>
            </w:r>
          </w:p>
        </w:tc>
      </w:tr>
      <w:tr>
        <w:trPr/>
        <w:tc>
          <w:tcPr>
            <w:tcW w:w="45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 to DISH Network</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308,189</w:t>
            </w:r>
          </w:p>
        </w:tc>
        <w:tc>
          <w:tcPr>
            <w:tcW w:w="344"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391,326</w:t>
            </w:r>
          </w:p>
        </w:tc>
      </w:tr>
      <w:tr>
        <w:trPr/>
        <w:tc>
          <w:tcPr>
            <w:tcW w:w="4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Intercompany Loan - DISH Network - 2026 Tranche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4,718,517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Beginning in 2024, DISH DBS and its domestic subsidiaries join with our parent, DISH Network, and our ultimate parent, EchoStar, in filing U.S. consolidated federal income tax returns and, in some states, combined or consolidated returns. The federal and state income tax provisions or benefits recorded by DISH DBS are generally those that would have been recorded if DISH DBS and its domestic subsidiaries had filed returns as a consolidated group independent of EchoStar. Cash is due and paid to DISH Network based on amounts that would be payable based on DISH DBS consolidated or combined group filings.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Centralized Cash Management System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parent, DISH Network, provides a centralized system for the management of our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as it does for all of its subsidiaries to, among other reasons, maximize yield of the portfolio. As a result, the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included on our Condensed Consolidated Balance Sheets are a component or portion of the overall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portfolio included on DISH Network’s Condensed Consolidated Balance Sheets and are managed by DISH Network. We are reflecting the purchases and sales of marketable investment securities on a net basis for each period presented on our Condensed Consolidated Statements of Cash Flows as we believe the net presentation is more meaningful to our cash flows from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06" w:name="Tc_3-kGdJaZykuWlw0or_0tog_17_5"/>
      <w:bookmarkStart w:id="707" w:name="Tc_HboBXlhcn0mTkUEJmrkhmw_17_2"/>
      <w:bookmarkStart w:id="708" w:name="Tc_J2JcsvymqkKwbCD4bTbWtg_17_0"/>
      <w:bookmarkStart w:id="709" w:name="Tc_YXnKKB-AWkeo_TRutkGvCA_15_0"/>
      <w:bookmarkStart w:id="710" w:name="Tc_SVhLSzfuqE-zXQZnpAWUTw_14_0"/>
      <w:bookmarkStart w:id="711" w:name="Tc_Mh1CuCokekGjp_A0ZdJXhg_13_0"/>
      <w:bookmarkStart w:id="712" w:name="Tc__3WyR9zUXU24vv02SGtb2g_12_0"/>
      <w:bookmarkStart w:id="713" w:name="Tc_ZyLzNRDLVE6CbKExpRkCtg_10_0"/>
      <w:bookmarkStart w:id="714" w:name="Tc_SqViYt8J80q0TV6ii0tOvA_8_6"/>
      <w:bookmarkStart w:id="715" w:name="Tc_N1dx-cFFMkGtovOQOC0KHQ_8_0"/>
      <w:bookmarkStart w:id="716" w:name="Tc_SC4l_kuAMkqBIA6RssHRow_7_6"/>
      <w:bookmarkStart w:id="717" w:name="Tc_C9BPNmZzy0i9sxtEq9gu0w_7_0"/>
      <w:bookmarkStart w:id="718" w:name="Tc_9bwcu8VwikGUQFsiW0KCjg_6_5"/>
      <w:bookmarkStart w:id="719" w:name="Tc_nk3p8FRdvU2HS_ONrVlIRw_6_2"/>
      <w:bookmarkStart w:id="720" w:name="Tc_U6IXcKLLhESXWgD7znuVZQ_6_0"/>
      <w:bookmarkStart w:id="721" w:name="Tc_Mk3Odl7ESkOoA21gHWZAcg_5_0"/>
      <w:bookmarkStart w:id="722" w:name="Tc_47MZ1zhim0Sc_T8z5vadWw_4_2"/>
      <w:bookmarkStart w:id="723" w:name="Tc_m3XklUny80CBYgs8vYrjNw_3_5"/>
      <w:bookmarkStart w:id="724" w:name="Tc_v4zHlBMsh0Wzqne2HXIUbw_3_2"/>
      <w:bookmarkStart w:id="725" w:name="Tc_orcWI5mwgkqvf4UDNh-9hg_2_5"/>
      <w:bookmarkStart w:id="726" w:name="Tc_ErKn1QQis0-x7-5i-vqPhg_2_2"/>
      <w:bookmarkStart w:id="727" w:name="Tc_u_RUlTS3xESMu2zqjf83aQ_1_2"/>
      <w:bookmarkStart w:id="728" w:name="_e5d66924_270b_425b_9da9_ca33795573df"/>
      <w:bookmarkStart w:id="729" w:name="Tc_3-kGdJaZykuWlw0or_0tog_17_5"/>
      <w:bookmarkStart w:id="730" w:name="Tc_HboBXlhcn0mTkUEJmrkhmw_17_2"/>
      <w:bookmarkStart w:id="731" w:name="Tc_J2JcsvymqkKwbCD4bTbWtg_17_0"/>
      <w:bookmarkStart w:id="732" w:name="Tc_YXnKKB-AWkeo_TRutkGvCA_15_0"/>
      <w:bookmarkStart w:id="733" w:name="Tc_SVhLSzfuqE-zXQZnpAWUTw_14_0"/>
      <w:bookmarkStart w:id="734" w:name="Tc_Mh1CuCokekGjp_A0ZdJXhg_13_0"/>
      <w:bookmarkStart w:id="735" w:name="Tc__3WyR9zUXU24vv02SGtb2g_12_0"/>
      <w:bookmarkStart w:id="736" w:name="Tc_ZyLzNRDLVE6CbKExpRkCtg_10_0"/>
      <w:bookmarkStart w:id="737" w:name="Tc_SqViYt8J80q0TV6ii0tOvA_8_6"/>
      <w:bookmarkStart w:id="738" w:name="Tc_N1dx-cFFMkGtovOQOC0KHQ_8_0"/>
      <w:bookmarkStart w:id="739" w:name="Tc_SC4l_kuAMkqBIA6RssHRow_7_6"/>
      <w:bookmarkStart w:id="740" w:name="Tc_C9BPNmZzy0i9sxtEq9gu0w_7_0"/>
      <w:bookmarkStart w:id="741" w:name="Tc_9bwcu8VwikGUQFsiW0KCjg_6_5"/>
      <w:bookmarkStart w:id="742" w:name="Tc_nk3p8FRdvU2HS_ONrVlIRw_6_2"/>
      <w:bookmarkStart w:id="743" w:name="Tc_U6IXcKLLhESXWgD7znuVZQ_6_0"/>
      <w:bookmarkStart w:id="744" w:name="Tc_Mk3Odl7ESkOoA21gHWZAcg_5_0"/>
      <w:bookmarkStart w:id="745" w:name="Tc_47MZ1zhim0Sc_T8z5vadWw_4_2"/>
      <w:bookmarkStart w:id="746" w:name="Tc_m3XklUny80CBYgs8vYrjNw_3_5"/>
      <w:bookmarkStart w:id="747" w:name="Tc_v4zHlBMsh0Wzqne2HXIUbw_3_2"/>
      <w:bookmarkStart w:id="748" w:name="Tc_orcWI5mwgkqvf4UDNh-9hg_2_5"/>
      <w:bookmarkStart w:id="749" w:name="Tc_ErKn1QQis0-x7-5i-vqPhg_2_2"/>
      <w:bookmarkStart w:id="750" w:name="Tc_u_RUlTS3xESMu2zqjf83aQ_1_2"/>
      <w:bookmarkStart w:id="751" w:name="_e5d66924_270b_425b_9da9_ca33795573df"/>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4.</w:t>
            </w:r>
          </w:p>
        </w:tc>
        <w:tc>
          <w:tcPr>
            <w:tcW w:w="910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Marketable Investment Securities, Restricted Cash and Cash Equivalents, and Other Investments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marketable investment securities, restricted cash and cash equivalents, and other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43"/>
        <w:gridCol w:w="326"/>
        <w:gridCol w:w="284"/>
        <w:gridCol w:w="1079"/>
        <w:gridCol w:w="326"/>
        <w:gridCol w:w="255"/>
        <w:gridCol w:w="1092"/>
      </w:tblGrid>
      <w:tr>
        <w:trPr/>
        <w:tc>
          <w:tcPr>
            <w:tcW w:w="6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45305" cy="175260"/>
                      <wp:effectExtent l="0" t="0" r="0" b="0"/>
                      <wp:wrapNone/>
                      <wp:docPr id="86" name="Frame86"/>
                      <a:graphic xmlns:a="http://schemas.openxmlformats.org/drawingml/2006/main">
                        <a:graphicData uri="http://schemas.microsoft.com/office/word/2010/wordprocessingShape">
                          <wps:wsp>
                            <wps:cNvSpPr txBox="1"/>
                            <wps:spPr>
                              <a:xfrm>
                                <a:off x="0" y="0"/>
                                <a:ext cx="434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0340" cy="175260"/>
                      <wp:effectExtent l="0" t="0" r="0" b="0"/>
                      <wp:wrapNone/>
                      <wp:docPr id="88" name="Frame8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85165" cy="175260"/>
                      <wp:effectExtent l="0" t="0" r="0" b="0"/>
                      <wp:wrapNone/>
                      <wp:docPr id="89" name="Frame89"/>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1925" cy="175260"/>
                      <wp:effectExtent l="0" t="0" r="0" b="0"/>
                      <wp:wrapNone/>
                      <wp:docPr id="91" name="Frame9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3420" cy="175260"/>
                      <wp:effectExtent l="0" t="0" r="0" b="0"/>
                      <wp:wrapNone/>
                      <wp:docPr id="92" name="Frame92"/>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 </w:t>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3"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134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December 31, </w:t>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6"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6843"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Marketable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left"/>
              <w:rPr/>
            </w:pPr>
            <w:r>
              <w:rPr/>
              <w:t>​</w:t>
            </w:r>
          </w:p>
        </w:tc>
      </w:tr>
      <w:tr>
        <w:trPr/>
        <w:tc>
          <w:tcPr>
            <w:tcW w:w="684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marketable investment securities</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vAlign w:val="center"/>
          </w:tcPr>
          <w:p>
            <w:pPr>
              <w:pStyle w:val="TableContents"/>
              <w:bidi w:val="0"/>
              <w:spacing w:before="0" w:after="0"/>
              <w:ind w:left="0" w:right="0" w:hanging="0"/>
              <w:jc w:val="right"/>
              <w:rPr/>
            </w:pPr>
            <w:r>
              <w:rPr/>
              <w:t>—</w:t>
            </w:r>
          </w:p>
        </w:tc>
      </w:tr>
      <w:tr>
        <w:trPr/>
        <w:tc>
          <w:tcPr>
            <w:tcW w:w="684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marketable investment securities (1)</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17,393</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4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marketable investment securities</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17,393</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left"/>
              <w:rPr/>
            </w:pPr>
            <w:r>
              <w:rPr/>
              <w:t>​</w:t>
            </w:r>
          </w:p>
        </w:tc>
      </w:tr>
      <w:tr>
        <w:trPr/>
        <w:tc>
          <w:tcPr>
            <w:tcW w:w="684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Restricted cash and cash equivalents (1) </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171,904</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209,574</w:t>
            </w:r>
          </w:p>
        </w:tc>
      </w:tr>
      <w:tr>
        <w:trPr/>
        <w:tc>
          <w:tcPr>
            <w:tcW w:w="68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left"/>
              <w:rPr/>
            </w:pPr>
            <w:r>
              <w:rPr/>
              <w:t>​</w:t>
            </w:r>
          </w:p>
        </w:tc>
      </w:tr>
      <w:tr>
        <w:trPr/>
        <w:tc>
          <w:tcPr>
            <w:tcW w:w="684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investments, net: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left"/>
              <w:rPr/>
            </w:pPr>
            <w:r>
              <w:rPr/>
              <w:t>​</w:t>
            </w:r>
          </w:p>
        </w:tc>
      </w:tr>
      <w:tr>
        <w:trPr/>
        <w:tc>
          <w:tcPr>
            <w:tcW w:w="684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15,143</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20,440</w:t>
            </w:r>
          </w:p>
        </w:tc>
      </w:tr>
      <w:tr>
        <w:trPr/>
        <w:tc>
          <w:tcPr>
            <w:tcW w:w="684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investments</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2,201</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2,201</w:t>
            </w:r>
          </w:p>
        </w:tc>
      </w:tr>
      <w:tr>
        <w:trPr/>
        <w:tc>
          <w:tcPr>
            <w:tcW w:w="6843"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other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17,344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22,641</w:t>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left"/>
              <w:rPr/>
            </w:pPr>
            <w:r>
              <w:rPr/>
              <w:t>​</w:t>
            </w:r>
          </w:p>
        </w:tc>
      </w:tr>
      <w:tr>
        <w:trPr/>
        <w:tc>
          <w:tcPr>
            <w:tcW w:w="6843"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marketable investment securities, restricted cash and cash equivalents, and other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206,641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232,215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current marketable investment securities portfolio can include investments in various debt instruments including, among others, commercial paper, corporate securities and United States treasury and/or agency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Restricted Cash, Cash Equivalents and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September 30, 2025 and December 31, 2024, our restricted marketable investment securities, together with our restricted cash and cash equivalents, included amounts required as collateral for our letters of credit, surety bonds and trusts.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As of September 30, 2025 and December 31, 2024, we had $129</w:t>
      </w:r>
      <w:r>
        <w:rPr>
          <w:rFonts w:ascii="Times New Roman;Times;serif" w:hAnsi="Times New Roman;Times;serif"/>
          <w:sz w:val="20"/>
        </w:rPr>
        <w:t xml:space="preserve"> </w:t>
      </w:r>
      <w:r>
        <w:rPr>
          <w:rFonts w:ascii="Arial;Helvetica;sans-serif" w:hAnsi="Arial;Helvetica;sans-serif"/>
          <w:sz w:val="20"/>
        </w:rPr>
        <w:t>million and $151</w:t>
      </w:r>
      <w:r>
        <w:rPr>
          <w:rFonts w:ascii="Times New Roman;Times;serif" w:hAnsi="Times New Roman;Times;serif"/>
          <w:sz w:val="20"/>
        </w:rPr>
        <w:t xml:space="preserve"> </w:t>
      </w:r>
      <w:r>
        <w:rPr>
          <w:rFonts w:ascii="Arial;Helvetica;sans-serif" w:hAnsi="Arial;Helvetica;sans-serif"/>
          <w:sz w:val="20"/>
        </w:rPr>
        <w:t xml:space="preserve">million, respectively, included in </w:t>
      </w:r>
      <w:r>
        <w:rPr>
          <w:rFonts w:ascii="Times New Roman;Times;serif" w:hAnsi="Times New Roman;Times;serif"/>
          <w:sz w:val="20"/>
        </w:rPr>
        <w:t>“</w:t>
      </w:r>
      <w:r>
        <w:rPr>
          <w:rFonts w:ascii="Arial;Helvetica;sans-serif" w:hAnsi="Arial;Helvetica;sans-serif"/>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on our Condensed Consolidated Balance Sheets</w:t>
      </w:r>
      <w:r>
        <w:rPr>
          <w:rFonts w:ascii="Times New Roman;Times;serif" w:hAnsi="Times New Roman;Times;serif"/>
          <w:sz w:val="20"/>
        </w:rPr>
        <w:t xml:space="preserve"> </w:t>
      </w:r>
      <w:r>
        <w:rPr>
          <w:rFonts w:ascii="Arial;Helvetica;sans-serif" w:hAnsi="Arial;Helvetica;sans-serif"/>
          <w:sz w:val="20"/>
        </w:rPr>
        <w:t>that primarily consists of funds received by our subsidiary, DISH DBS Issuer LLC (“DBS SubscriberCo”), from subscriber payments and certain other revenue, which are required to be restricted per the terms of the debt issued by DBS SubscriberCo. DBS SubscriberCo</w:t>
      </w:r>
      <w:r>
        <w:rPr>
          <w:rFonts w:ascii="Times New Roman;Times;serif" w:hAnsi="Times New Roman;Times;serif"/>
          <w:sz w:val="20"/>
          <w:shd w:fill="FFFFFF" w:val="clear"/>
        </w:rPr>
        <w:t xml:space="preserve"> </w:t>
      </w:r>
      <w:r>
        <w:rPr>
          <w:rFonts w:ascii="Arial;Helvetica;sans-serif" w:hAnsi="Arial;Helvetica;sans-serif"/>
          <w:sz w:val="20"/>
          <w:shd w:fill="FFFFFF" w:val="clear"/>
        </w:rPr>
        <w:t>holds certain DISH TV subscribers</w:t>
      </w:r>
      <w:r>
        <w:rPr>
          <w:rFonts w:ascii="Times New Roman;Times;serif" w:hAnsi="Times New Roman;Times;serif"/>
          <w:sz w:val="20"/>
        </w:rPr>
        <w:t xml:space="preserve"> </w:t>
      </w:r>
      <w:r>
        <w:rPr>
          <w:rFonts w:ascii="Arial;Helvetica;sans-serif" w:hAnsi="Arial;Helvetica;sans-serif"/>
          <w:sz w:val="20"/>
        </w:rPr>
        <w:t>and their related subscription and equipment agreements which collateralizes certain debt obligations</w:t>
      </w:r>
      <w:r>
        <w:rPr>
          <w:rFonts w:ascii="Arial;Helvetica;sans-serif" w:hAnsi="Arial;Helvetica;san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Investments,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752" w:name="Tc_EezaHlFcsk6-cL6EofWh8w_15_24"/>
      <w:bookmarkStart w:id="753" w:name="Tc_aCr-Rxl0vka8AubL2NvWGg_15_23"/>
      <w:bookmarkStart w:id="754" w:name="Tc_q7TzJDhzjE-PVXby-n-RKw_15_21"/>
      <w:bookmarkStart w:id="755" w:name="Tc_0TlVdIsXD0y9G03xvdyVZA_15_20"/>
      <w:bookmarkStart w:id="756" w:name="Tc_6P-Uuoq5ek-NTvL2LtmmxA_15_18"/>
      <w:bookmarkStart w:id="757" w:name="Tc_akr2KUHwCkykHI9gt-8igg_15_17"/>
      <w:bookmarkStart w:id="758" w:name="Tc_3D1rR9U6806MEdbarLt74A_15_15"/>
      <w:bookmarkStart w:id="759" w:name="Tc_SwObPZNCuEqSC4Cboxu_tw_15_14"/>
      <w:bookmarkStart w:id="760" w:name="Tc_x4sfis0Wnk6O7P8m5-Vxng_15_11"/>
      <w:bookmarkStart w:id="761" w:name="Tc_6TZXW1YbB0S0xm8jES6mOA_15_9"/>
      <w:bookmarkStart w:id="762" w:name="Tc_-yxtRYoYmUyIpLBJB5lFmw_15_8"/>
      <w:bookmarkStart w:id="763" w:name="Tc_onPOITpWOkmCYdOxNnnDCQ_15_5"/>
      <w:bookmarkStart w:id="764" w:name="Tc_M7kcqZHvd0md9ApY1knuFA_15_3"/>
      <w:bookmarkStart w:id="765" w:name="Tc_1dxWML_jPUuwajM4MQPG5g_15_2"/>
      <w:bookmarkStart w:id="766" w:name="Tc_3dB8eIQ1gkOo5aXUOOlkdg_15_0"/>
      <w:bookmarkStart w:id="767" w:name="Tc_h7M02gsj0UW4ZTGQUpPwxQ_14_24"/>
      <w:bookmarkStart w:id="768" w:name="Tc_lUnQ6_adgECguJxDQ1K8bQ_14_21"/>
      <w:bookmarkStart w:id="769" w:name="Tc_NqZaYp6lvkqP4PR4_SvuYA_14_18"/>
      <w:bookmarkStart w:id="770" w:name="Tc_0yIB9zUO-ECkFmYoLQ9R8g_14_15"/>
      <w:bookmarkStart w:id="771" w:name="Tc_zvkVoj4NY0uitR_WAaawoA_14_9"/>
      <w:bookmarkStart w:id="772" w:name="Tc_GGOKl9YUkUOnbjC9j2efug_14_3"/>
      <w:bookmarkStart w:id="773" w:name="Tc_5kuoBkZYaUCRnIBj9haepA_14_0"/>
      <w:bookmarkStart w:id="774" w:name="Tc_Q7_Rbok2_0i65E2zGC45Aw_13_24"/>
      <w:bookmarkStart w:id="775" w:name="Tc_B0B5A6xawkqGzMwzX4-Nfg_13_21"/>
      <w:bookmarkStart w:id="776" w:name="Tc_ovFv9kfJRkeh0s33HTpqWA_13_18"/>
      <w:bookmarkStart w:id="777" w:name="Tc_sl6yLZADz0-2BpZAkgEy4g_13_15"/>
      <w:bookmarkStart w:id="778" w:name="Tc_T7wEHvQVIkCONRexjQRM4g_13_9"/>
      <w:bookmarkStart w:id="779" w:name="Tc_lhj0-q30V0WWr2QKYoubRw_13_3"/>
      <w:bookmarkStart w:id="780" w:name="Tc_acazVoGHVky2p84SuHsQxA_13_0"/>
      <w:bookmarkStart w:id="781" w:name="Tc_ianamBgiBU6jB41GaiVQkg_12_24"/>
      <w:bookmarkStart w:id="782" w:name="Tc_BmZNvpaNPUCe-u7Mvtyi3w_12_21"/>
      <w:bookmarkStart w:id="783" w:name="Tc_I19dHH2TK06jk9EUGXE0Eg_12_18"/>
      <w:bookmarkStart w:id="784" w:name="Tc_CLUvzjXnFEW-Q3HnJfkJvA_12_15"/>
      <w:bookmarkStart w:id="785" w:name="Tc_yljJun1hAE6hEeMMQc3diA_12_9"/>
      <w:bookmarkStart w:id="786" w:name="Tc_bJxOJjV67kSf16i1_vBojA_12_3"/>
      <w:bookmarkStart w:id="787" w:name="Tc_Yf8NQaK7FEeiFY69v5hpRA_12_0"/>
      <w:bookmarkStart w:id="788" w:name="Tc_TbDbUFiUDki6pYrLTMNOFg_11_24"/>
      <w:bookmarkStart w:id="789" w:name="Tc_c3m9q_OlyEu6ZvokB4wqew_11_23"/>
      <w:bookmarkStart w:id="790" w:name="Tc_G-Pzx8bcvE60mknUeKMD1g_11_21"/>
      <w:bookmarkStart w:id="791" w:name="Tc_rntO6ngi-kafnFOLP6RL-g_11_20"/>
      <w:bookmarkStart w:id="792" w:name="Tc_SPzT6iOxQkqttVfjzzqqNw_11_18"/>
      <w:bookmarkStart w:id="793" w:name="Tc_Q6ercdSOWEyZk0yGFa6yug_11_17"/>
      <w:bookmarkStart w:id="794" w:name="Tc_mhB3rQwBaUe4MC3cPhCPHw_11_15"/>
      <w:bookmarkStart w:id="795" w:name="Tc_-tbtwvPfGEGikFj3qHXWEA_11_14"/>
      <w:bookmarkStart w:id="796" w:name="Tc_lXOJQY-uRUCf9j73TkKPiw_11_12"/>
      <w:bookmarkStart w:id="797" w:name="Tc_ED62l_W4hk-Z92vmWFKLFw_11_11"/>
      <w:bookmarkStart w:id="798" w:name="Tc_6fFOzwiFM0e9kW-76oQvCA_11_9"/>
      <w:bookmarkStart w:id="799" w:name="Tc_vDVmVJN9DUeoMDzVfe_6ng_11_8"/>
      <w:bookmarkStart w:id="800" w:name="Tc_qK-_ckeUmEulvpaBcJxTCQ_11_6"/>
      <w:bookmarkStart w:id="801" w:name="Tc_82dUszjGdk-WqM3a5aQAEA_11_5"/>
      <w:bookmarkStart w:id="802" w:name="Tc_WqFBBdDF5U2TqFZjfn3aGg_11_3"/>
      <w:bookmarkStart w:id="803" w:name="Tc_JZdTkk76qUOa1OWzuv4dDg_11_2"/>
      <w:bookmarkStart w:id="804" w:name="Tc_3UcyYfuiQUeyr42qaDhaAg_11_0"/>
      <w:bookmarkStart w:id="805" w:name="Tc_AM9cJB0lgEejCrrul-KWoQ_10_0"/>
      <w:bookmarkStart w:id="806" w:name="Tc_sGFNCgSdT0C6MMGutJQuYQ_8_23"/>
      <w:bookmarkStart w:id="807" w:name="Tc_bi4uzZmEsE2ETmjHrcODcQ_8_21"/>
      <w:bookmarkStart w:id="808" w:name="Tc_RwtYTx48v0eSNkAkO08suQ_8_20"/>
      <w:bookmarkStart w:id="809" w:name="Tc_LiNWkntvlUeMafxcAlAn_A_8_17"/>
      <w:bookmarkStart w:id="810" w:name="Tc_iSkgw7yAkEiVqW3yKEfGbA_8_14"/>
      <w:bookmarkStart w:id="811" w:name="Tc_3Bn1AXKeS0KpfoLZ4--dUw_8_11"/>
      <w:bookmarkStart w:id="812" w:name="Tc_wiDx11TSr0GRYlSWit6JTw_8_9"/>
      <w:bookmarkStart w:id="813" w:name="Tc_T-bk81568U-zBWlXWb5-EQ_8_8"/>
      <w:bookmarkStart w:id="814" w:name="Tc_INd__OaPO0GP-yDk7J0Gkg_8_5"/>
      <w:bookmarkStart w:id="815" w:name="Tc_mtDG_wNgQU-eQFstUzHMCQ_8_2"/>
      <w:bookmarkStart w:id="816" w:name="Tc_UUxncTcSW0ysdZ7-7kZhTw_8_0"/>
      <w:bookmarkStart w:id="817" w:name="Tc_xjl7udOth0C-PY-7x6O24w_7_21"/>
      <w:bookmarkStart w:id="818" w:name="Tc_OLibCyDeLkOsgjy4BfogcQ_7_9"/>
      <w:bookmarkStart w:id="819" w:name="Tc_8jAgfPVLF0WdRAhy1P2DKA_7_0"/>
      <w:bookmarkStart w:id="820" w:name="Tc_uGVARlopl0-v80GobGIyCQ_6_23"/>
      <w:bookmarkStart w:id="821" w:name="Tc_rQe-Vd1xLEed7Wqy5WU2QQ_6_21"/>
      <w:bookmarkStart w:id="822" w:name="Tc_MqMCZE0KTkyyAcgLPtDpnw_6_20"/>
      <w:bookmarkStart w:id="823" w:name="Tc_LuDIICKfuEmG8wA03FKltg_6_18"/>
      <w:bookmarkStart w:id="824" w:name="Tc_c6vOQXXcXEySU9qfuuye8w_6_17"/>
      <w:bookmarkStart w:id="825" w:name="Tc_8huTpkgyVkG8CU1rReoX0w_6_14"/>
      <w:bookmarkStart w:id="826" w:name="Tc_4dEcyKMw1EOeGVrVcSFLOA_6_11"/>
      <w:bookmarkStart w:id="827" w:name="Tc_B_XfiZenT0Cm8YlKtPAL7A_6_9"/>
      <w:bookmarkStart w:id="828" w:name="Tc_RmGZ37xBXUWPQ2T0aVlTAQ_6_8"/>
      <w:bookmarkStart w:id="829" w:name="Tc_GqKiMq9Ka0-cUQAG2b_Aig_6_6"/>
      <w:bookmarkStart w:id="830" w:name="Tc_IZjR6sfUh0-Ep8zR-yWZ6Q_6_5"/>
      <w:bookmarkStart w:id="831" w:name="Tc_wuJNkDM3LkC596OgGsgaPw_6_2"/>
      <w:bookmarkStart w:id="832" w:name="Tc_qygpjEK4kUiDMl85EnLiVA_6_0"/>
      <w:bookmarkStart w:id="833" w:name="Tc_-AP1oS8npECptjs_EBOLnA_5_0"/>
      <w:bookmarkStart w:id="834" w:name="Tc_Hcubzdzk5kO5PU40b4ialA_4_2"/>
      <w:bookmarkStart w:id="835" w:name="Tc__JKw9AYayU-mEB_xBspxJA_3_23"/>
      <w:bookmarkStart w:id="836" w:name="Tc_Z8ia2WXy8EW9imuik9FZ_w_3_20"/>
      <w:bookmarkStart w:id="837" w:name="Tc_0YjrAj3iNkeZEQQvc54Lgw_3_17"/>
      <w:bookmarkStart w:id="838" w:name="Tc_HU-QO5mt60yWyAhdoEz3vQ_3_14"/>
      <w:bookmarkStart w:id="839" w:name="Tc__n2TMtH75k6j9jh1LW3d-A_3_11"/>
      <w:bookmarkStart w:id="840" w:name="Tc_SUCy3Z33OE2TPfosaDIh4g_3_8"/>
      <w:bookmarkStart w:id="841" w:name="Tc_nbWAZz9wekSmQ5j3ds0Szg_3_5"/>
      <w:bookmarkStart w:id="842" w:name="Tc_LcxZnpU2JkaagXLKeiWUmA_3_2"/>
      <w:bookmarkStart w:id="843" w:name="Tc_BjnsjK8yVkeqt7w25jjZ6A_2_14"/>
      <w:bookmarkStart w:id="844" w:name="Tc_B-zaN4M_ekSgTl_Kdi0u1w_2_2"/>
      <w:bookmarkStart w:id="845" w:name="Tc_offJtRUKqEWBd58-JHF8Sw_1_2"/>
      <w:bookmarkStart w:id="846" w:name="_71dc334f_492e_433b_8770_a6089224ff49"/>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i/>
          <w:sz w:val="20"/>
        </w:rPr>
        <w:t>NagraStar L.L.C.</w:t>
      </w:r>
      <w:r>
        <w:rPr>
          <w:rFonts w:ascii="Helvetica;sans-serif" w:hAnsi="Helvetica;sans-serif"/>
          <w:sz w:val="20"/>
        </w:rPr>
        <w:t xml:space="preserve"> </w:t>
      </w:r>
      <w:r>
        <w:rPr>
          <w:rFonts w:ascii="Arial;Helvetica;sans-serif" w:hAnsi="Arial;Helvetica;sans-serif"/>
          <w:sz w:val="20"/>
        </w:rPr>
        <w:t>We own a 50%</w:t>
      </w:r>
      <w:r>
        <w:rPr>
          <w:rFonts w:ascii="Helvetica;sans-serif" w:hAnsi="Helvetica;sans-serif"/>
          <w:sz w:val="20"/>
        </w:rPr>
        <w:t xml:space="preserve"> </w:t>
      </w:r>
      <w:r>
        <w:rPr>
          <w:rFonts w:ascii="Arial;Helvetica;sans-serif" w:hAnsi="Arial;Helvetica;sans-serif"/>
          <w:sz w:val="20"/>
        </w:rPr>
        <w:t>interest in NagraStar L.L.C. (“NagraStar”), a joint venture that is our primary provider of encryption and related security systems intended to assure that only authorized customers have access to our programming. The three</w:t>
      </w:r>
      <w:r>
        <w:rPr>
          <w:rFonts w:ascii="Helvetica;sans-serif" w:hAnsi="Helvetica;sans-serif"/>
          <w:sz w:val="20"/>
        </w:rPr>
        <w:t xml:space="preserve"> </w:t>
      </w:r>
      <w:r>
        <w:rPr>
          <w:rFonts w:ascii="Arial;Helvetica;sans-serif" w:hAnsi="Arial;Helvetica;sans-serif"/>
          <w:sz w:val="20"/>
        </w:rPr>
        <w:t>main technologies NagraStar provides to its customers are microchips, set-top box software and uplink computer systems. NagraStar also provides end-to-end platform security testing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Invidi Technologies Corporation</w:t>
      </w:r>
      <w:r>
        <w:rPr>
          <w:rFonts w:ascii="Arial;Helvetica;sans-serif" w:hAnsi="Arial;Helvetica;sans-serif"/>
          <w:sz w:val="20"/>
        </w:rPr>
        <w:t>. We own a 35%</w:t>
      </w:r>
      <w:r>
        <w:rPr>
          <w:rFonts w:ascii="Times New Roman;Times;serif" w:hAnsi="Times New Roman;Times;serif"/>
          <w:sz w:val="20"/>
        </w:rPr>
        <w:t xml:space="preserve"> </w:t>
      </w:r>
      <w:r>
        <w:rPr>
          <w:rFonts w:ascii="Arial;Helvetica;sans-serif" w:hAnsi="Arial;Helvetica;sans-serif"/>
          <w:sz w:val="20"/>
        </w:rPr>
        <w:t>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pStyle w:val="TextBody"/>
        <w:bidi w:val="0"/>
        <w:spacing w:before="0" w:after="0"/>
        <w:ind w:left="0" w:right="0" w:hanging="0"/>
        <w:jc w:val="left"/>
        <w:rPr/>
      </w:pPr>
      <w:r>
        <w:rPr/>
        <w:t>​</w:t>
      </w:r>
    </w:p>
    <w:p>
      <w:pPr>
        <w:pStyle w:val="TextBody"/>
        <w:pBdr/>
        <w:bidi w:val="0"/>
        <w:spacing w:lineRule="auto" w:line="285" w:before="0" w:after="0"/>
        <w:ind w:left="0" w:right="0" w:hanging="14"/>
        <w:jc w:val="left"/>
        <w:rPr>
          <w:rFonts w:ascii="Arial;Helvetica;sans-serif" w:hAnsi="Arial;Helvetica;sans-serif"/>
          <w:sz w:val="20"/>
        </w:rPr>
      </w:pPr>
      <w:r>
        <w:rPr>
          <w:rFonts w:ascii="Arial;Helvetica;sans-serif" w:hAnsi="Arial;Helvetica;sans-serif"/>
          <w:sz w:val="20"/>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investments measured at fair value on a recurring basis were as follows:</w:t>
      </w:r>
    </w:p>
    <w:p>
      <w:pPr>
        <w:pStyle w:val="TextBody"/>
        <w:bidi w:val="0"/>
        <w:spacing w:before="0" w:after="0"/>
        <w:ind w:left="0" w:right="0" w:hanging="0"/>
        <w:jc w:val="left"/>
        <w:rPr/>
      </w:pPr>
      <w:r>
        <w:rPr/>
        <w:t>​</w:t>
      </w:r>
    </w:p>
    <w:tbl>
      <w:tblPr>
        <w:tblW w:w="10378" w:type="dxa"/>
        <w:jc w:val="left"/>
        <w:tblInd w:w="0" w:type="dxa"/>
        <w:tblLayout w:type="fixed"/>
        <w:tblCellMar>
          <w:top w:w="0" w:type="dxa"/>
          <w:left w:w="0" w:type="dxa"/>
          <w:bottom w:w="0" w:type="dxa"/>
          <w:right w:w="0" w:type="dxa"/>
        </w:tblCellMar>
      </w:tblPr>
      <w:tblGrid>
        <w:gridCol w:w="1036"/>
        <w:gridCol w:w="326"/>
        <w:gridCol w:w="196"/>
        <w:gridCol w:w="691"/>
        <w:gridCol w:w="326"/>
        <w:gridCol w:w="196"/>
        <w:gridCol w:w="691"/>
        <w:gridCol w:w="326"/>
        <w:gridCol w:w="239"/>
        <w:gridCol w:w="422"/>
        <w:gridCol w:w="326"/>
        <w:gridCol w:w="196"/>
        <w:gridCol w:w="826"/>
        <w:gridCol w:w="326"/>
        <w:gridCol w:w="196"/>
        <w:gridCol w:w="691"/>
        <w:gridCol w:w="326"/>
        <w:gridCol w:w="196"/>
        <w:gridCol w:w="601"/>
        <w:gridCol w:w="326"/>
        <w:gridCol w:w="239"/>
        <w:gridCol w:w="422"/>
        <w:gridCol w:w="326"/>
        <w:gridCol w:w="196"/>
        <w:gridCol w:w="73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8785" cy="175260"/>
                      <wp:effectExtent l="0" t="0" r="0" b="0"/>
                      <wp:wrapNone/>
                      <wp:docPr id="99"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1765" cy="175260"/>
                      <wp:effectExtent l="0" t="0" r="0" b="0"/>
                      <wp:wrapNone/>
                      <wp:docPr id="101" name="Frame10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67970" cy="175260"/>
                      <wp:effectExtent l="0" t="0" r="0" b="0"/>
                      <wp:wrapNone/>
                      <wp:docPr id="102" name="Frame102"/>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24510" cy="175260"/>
                      <wp:effectExtent l="0" t="0" r="0" b="0"/>
                      <wp:wrapNone/>
                      <wp:docPr id="105" name="Frame1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81635" cy="175260"/>
                      <wp:effectExtent l="0" t="0" r="0" b="0"/>
                      <wp:wrapNone/>
                      <wp:docPr id="111" name="Frame1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1765" cy="175260"/>
                      <wp:effectExtent l="0" t="0" r="0" b="0"/>
                      <wp:wrapNone/>
                      <wp:docPr id="113" name="Frame11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7970" cy="175260"/>
                      <wp:effectExtent l="0" t="0" r="0" b="0"/>
                      <wp:wrapNone/>
                      <wp:docPr id="114" name="Frame11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67360" cy="175260"/>
                      <wp:effectExtent l="0" t="0" r="0" b="0"/>
                      <wp:wrapNone/>
                      <wp:docPr id="117" name="Frame1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016" w:type="dxa"/>
            <w:gridSpan w:val="23"/>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As of</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43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September 30, 2025</w:t>
            </w:r>
          </w:p>
        </w:tc>
        <w:tc>
          <w:tcPr>
            <w:tcW w:w="326" w:type="dxa"/>
            <w:tcBorders/>
            <w:vAlign w:val="center"/>
          </w:tcPr>
          <w:p>
            <w:pPr>
              <w:pStyle w:val="TableContents"/>
              <w:bidi w:val="0"/>
              <w:spacing w:before="0" w:after="1"/>
              <w:ind w:left="0" w:right="0" w:hanging="0"/>
              <w:jc w:val="center"/>
              <w:rPr/>
            </w:pPr>
            <w:r>
              <w:rPr/>
              <w:t>​</w:t>
            </w:r>
          </w:p>
        </w:tc>
        <w:tc>
          <w:tcPr>
            <w:tcW w:w="425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December 31, 2024</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1</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2</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3</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Total</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1</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2</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3</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Total</w:t>
            </w:r>
          </w:p>
        </w:tc>
      </w:tr>
      <w:tr>
        <w:trPr/>
        <w:tc>
          <w:tcPr>
            <w:tcW w:w="10378"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016" w:type="dxa"/>
            <w:gridSpan w:val="23"/>
            <w:tcBorders/>
            <w:vAlign w:val="center"/>
          </w:tcPr>
          <w:p>
            <w:pPr>
              <w:pStyle w:val="TableContents"/>
              <w:bidi w:val="0"/>
              <w:spacing w:before="0" w:after="1"/>
              <w:ind w:left="0" w:right="0" w:hanging="0"/>
              <w:jc w:val="center"/>
              <w:rPr>
                <w:rFonts w:ascii="Arial;Helvetica;sans-serif" w:hAnsi="Arial;Helvetica;sans-serif"/>
                <w:sz w:val="17"/>
              </w:rPr>
            </w:pPr>
            <w:r>
              <w:rPr>
                <w:rFonts w:ascii="Arial;Helvetica;sans-serif" w:hAnsi="Arial;Helvetica;sans-serif"/>
                <w:sz w:val="17"/>
              </w:rPr>
              <w:t>(In thousands)</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Cash and cash equivalents (including restricted):</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4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4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 xml:space="preserve">Cash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92,995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92,995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124,360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124,360</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353,415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672,134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1,025,549</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463,394</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40,907</w:t>
            </w:r>
          </w:p>
        </w:tc>
        <w:tc>
          <w:tcPr>
            <w:tcW w:w="326" w:type="dxa"/>
            <w:tcBorders/>
            <w:vAlign w:val="center"/>
          </w:tcPr>
          <w:p>
            <w:pPr>
              <w:pStyle w:val="TableContents"/>
              <w:bidi w:val="0"/>
              <w:spacing w:before="0" w:after="1"/>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504,301</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446,410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672,134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1,118,544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587,754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40,907</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628,661</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Debt securities (including restricted):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U.S. Treasury and agency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8,700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8,700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Corporate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8,510</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8,510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183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183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17,393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17,393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rPr>
        <w:t>As of September 30, 2025, restricted and non-restricted marketable investment securities included debt securities of $17</w:t>
      </w:r>
      <w:r>
        <w:rPr>
          <w:rFonts w:ascii="Helvetica;sans-serif" w:hAnsi="Helvetica;sans-serif"/>
          <w:sz w:val="20"/>
        </w:rPr>
        <w:t xml:space="preserve"> </w:t>
      </w:r>
      <w:r>
        <w:rPr>
          <w:rFonts w:ascii="Arial;Helvetica;sans-serif" w:hAnsi="Arial;Helvetica;sans-serif"/>
          <w:sz w:val="20"/>
        </w:rPr>
        <w:t>million with contractual maturities within one year. Actual maturities may differ from contractual maturities as a result of our ability to sell these securities prior to maturity.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847" w:name="Tc_6zZ4u651wUeRAsYXJ0kA4Q_7_11"/>
      <w:bookmarkStart w:id="848" w:name="Tc_zz8sQBI8C0ui_B0CYRmzmg_7_8"/>
      <w:bookmarkStart w:id="849" w:name="Tc_vxyycD62506Ewl4hG3weWw_7_5"/>
      <w:bookmarkStart w:id="850" w:name="Tc_cX5BvVd1N0ijEletD5-HIQ_7_2"/>
      <w:bookmarkStart w:id="851" w:name="Tc_fckDQCQfUU-uC5gj5lBaiw_7_0"/>
      <w:bookmarkStart w:id="852" w:name="Tc_8lJymvRE-k6R9K0nFuE8cQ_6_0"/>
      <w:bookmarkStart w:id="853" w:name="Tc_8wYJApVnjU675bAZrhxA0Q_5_11"/>
      <w:bookmarkStart w:id="854" w:name="Tc_4PXUUmafAkynf-cBqL93YA_5_8"/>
      <w:bookmarkStart w:id="855" w:name="Tc_YLMb0ik4X0-PfDSXr1lxVg_5_5"/>
      <w:bookmarkStart w:id="856" w:name="Tc_ZvsCe--7wUWYcKnh3LtpZA_5_2"/>
      <w:bookmarkStart w:id="857" w:name="Tc_1zltdGUQBUm2JWpzqu7xkQ_5_0"/>
      <w:bookmarkStart w:id="858" w:name="Tc_eH38TtrtyEGLF5h-33t-tQ_4_2"/>
      <w:bookmarkStart w:id="859" w:name="Tc_ycPaWAZXTE2JzPdGA4vmJw_3_11"/>
      <w:bookmarkStart w:id="860" w:name="Tc_pfaHkxBtcUy6kzuglsaUiQ_3_8"/>
      <w:bookmarkStart w:id="861" w:name="Tc_7Huq7JiaXUW_OYPeJMm9Og_3_5"/>
      <w:bookmarkStart w:id="862" w:name="Tc_gJwdQlMkQk-XjPve8fRygw_3_2"/>
      <w:bookmarkStart w:id="863" w:name="Tc_8zVgMw7wAEWtUMXAdY0v-w_3_0"/>
      <w:bookmarkStart w:id="864" w:name="Tc_B2-Tubjn-UmEMSP485A6iQ_2_8"/>
      <w:bookmarkStart w:id="865" w:name="Tc_gN7seods0ESGaqnOeebIkg_2_2"/>
      <w:bookmarkStart w:id="866" w:name="Tc_dDWWZR_H-k6pYWGJkhhg_A_1_8"/>
      <w:bookmarkStart w:id="867" w:name="Tc_aP7w25nwvk2oXtBqgzCe6A_1_2"/>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Gains and Losses on Sales and Changes in Carrying Amounts of Investments and Other</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r>
        <w:rPr>
          <w:rFonts w:ascii="Arial;Helvetica;sans-serif" w:hAnsi="Arial;Helvetica;sans-serif"/>
          <w:sz w:val="20"/>
        </w:rPr>
        <w:t>Other, net” within “Other Income (Expense)” included on our Condensed Consolidated Statements of Operations and Comprehensive Income (Loss) is as follows:</w:t>
      </w:r>
    </w:p>
    <w:p>
      <w:pPr>
        <w:pStyle w:val="TextBody"/>
        <w:bidi w:val="0"/>
        <w:spacing w:before="0" w:after="0"/>
        <w:ind w:left="0" w:right="0" w:hanging="0"/>
        <w:jc w:val="left"/>
        <w:rPr/>
      </w:pPr>
      <w:r>
        <w:rPr/>
        <w:t>​</w:t>
      </w:r>
    </w:p>
    <w:tbl>
      <w:tblPr>
        <w:tblW w:w="8666" w:type="dxa"/>
        <w:jc w:val="left"/>
        <w:tblInd w:w="0" w:type="dxa"/>
        <w:tblLayout w:type="fixed"/>
        <w:tblCellMar>
          <w:top w:w="0" w:type="dxa"/>
          <w:left w:w="0" w:type="dxa"/>
          <w:bottom w:w="0" w:type="dxa"/>
          <w:right w:w="0" w:type="dxa"/>
        </w:tblCellMar>
      </w:tblPr>
      <w:tblGrid>
        <w:gridCol w:w="3196"/>
        <w:gridCol w:w="326"/>
        <w:gridCol w:w="267"/>
        <w:gridCol w:w="724"/>
        <w:gridCol w:w="413"/>
        <w:gridCol w:w="267"/>
        <w:gridCol w:w="876"/>
        <w:gridCol w:w="109"/>
        <w:gridCol w:w="243"/>
        <w:gridCol w:w="658"/>
        <w:gridCol w:w="375"/>
        <w:gridCol w:w="243"/>
        <w:gridCol w:w="969"/>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29460" cy="175260"/>
                      <wp:effectExtent l="0" t="0" r="0" b="0"/>
                      <wp:wrapNone/>
                      <wp:docPr id="118" name="Frame11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9545" cy="175260"/>
                      <wp:effectExtent l="0" t="0" r="0" b="0"/>
                      <wp:wrapNone/>
                      <wp:docPr id="120" name="Frame12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9740" cy="175260"/>
                      <wp:effectExtent l="0" t="0" r="0" b="0"/>
                      <wp:wrapNone/>
                      <wp:docPr id="121" name="Frame12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2255" cy="175260"/>
                      <wp:effectExtent l="0" t="0" r="0" b="0"/>
                      <wp:wrapNone/>
                      <wp:docPr id="122" name="Frame122"/>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9545" cy="175260"/>
                      <wp:effectExtent l="0" t="0" r="0" b="0"/>
                      <wp:wrapNone/>
                      <wp:docPr id="123" name="Frame12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6260" cy="175260"/>
                      <wp:effectExtent l="0" t="0" r="0" b="0"/>
                      <wp:wrapNone/>
                      <wp:docPr id="124" name="Frame124"/>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4305" cy="175260"/>
                      <wp:effectExtent l="0" t="0" r="0" b="0"/>
                      <wp:wrapNone/>
                      <wp:docPr id="126" name="Frame12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17830" cy="175260"/>
                      <wp:effectExtent l="0" t="0" r="0" b="0"/>
                      <wp:wrapNone/>
                      <wp:docPr id="127" name="Frame12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8125" cy="175260"/>
                      <wp:effectExtent l="0" t="0" r="0" b="0"/>
                      <wp:wrapNone/>
                      <wp:docPr id="128" name="Frame12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4305" cy="175260"/>
                      <wp:effectExtent l="0" t="0" r="0" b="0"/>
                      <wp:wrapNone/>
                      <wp:docPr id="129" name="Frame12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5315" cy="175260"/>
                      <wp:effectExtent l="0" t="0" r="0" b="0"/>
                      <wp:wrapNone/>
                      <wp:docPr id="130" name="Frame130"/>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4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net: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13" w:type="dxa"/>
            <w:tcBorders/>
            <w:vAlign w:val="center"/>
          </w:tcPr>
          <w:p>
            <w:pPr>
              <w:pStyle w:val="TableContents"/>
              <w:bidi w:val="0"/>
              <w:spacing w:before="0" w:after="0"/>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75" w:type="dxa"/>
            <w:tcBorders/>
            <w:vAlign w:val="center"/>
          </w:tcPr>
          <w:p>
            <w:pPr>
              <w:pStyle w:val="TableContents"/>
              <w:bidi w:val="0"/>
              <w:spacing w:before="0" w:after="0"/>
              <w:ind w:left="0" w:right="0" w:hanging="0"/>
              <w:jc w:val="left"/>
              <w:rPr/>
            </w:pPr>
            <w:r>
              <w:rPr/>
              <w:t>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6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14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in earnings (losses) of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w:t>
            </w:r>
          </w:p>
        </w:tc>
        <w:tc>
          <w:tcPr>
            <w:tcW w:w="413"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(3,345)</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w:t>
            </w:r>
          </w:p>
        </w:tc>
        <w:tc>
          <w:tcPr>
            <w:tcW w:w="375"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(68,257)</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1,071</w:t>
            </w:r>
          </w:p>
        </w:tc>
        <w:tc>
          <w:tcPr>
            <w:tcW w:w="413"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1,164</w:t>
            </w:r>
          </w:p>
        </w:tc>
        <w:tc>
          <w:tcPr>
            <w:tcW w:w="375"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1,222</w:t>
            </w:r>
          </w:p>
        </w:tc>
        <w:tc>
          <w:tcPr>
            <w:tcW w:w="413"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(3,270)</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941</w:t>
            </w:r>
          </w:p>
        </w:tc>
        <w:tc>
          <w:tcPr>
            <w:tcW w:w="375"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(68,135)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bookmarkStart w:id="868" w:name="Tc_3RwuCzcf60-VU2bdoU1gCQ_8_5"/>
      <w:bookmarkStart w:id="869" w:name="Tc_XAT6Lf6rTEmqEfy7s4nFtA_8_2"/>
      <w:bookmarkStart w:id="870" w:name="Tc_ET6g5OWG0Ua4FqPJFbJMrQ_8_0"/>
      <w:bookmarkStart w:id="871" w:name="Tc_VSmN-dQaHE6IY1UGlwlwnw_7_0"/>
      <w:bookmarkStart w:id="872" w:name="Tc_nlxX1M1SzUKRYC3Rf66LLw_6_0"/>
      <w:bookmarkStart w:id="873" w:name="Tc_h7Mu_G486UKxXPSneN_Vag_5_5"/>
      <w:bookmarkStart w:id="874" w:name="Tc_7HFY5nkD90ycCEdUhj5uEw_5_2"/>
      <w:bookmarkStart w:id="875" w:name="Tc_qcGefP3ONEe6tFm3NYxK0Q_5_0"/>
      <w:bookmarkStart w:id="876" w:name="Tc_HKHC9dNOt0aeKjnBjT34_Q_4_2"/>
      <w:bookmarkStart w:id="877" w:name="Tc_nkljyux8AUCUB-QzacZ5oQ_3_5"/>
      <w:bookmarkStart w:id="878" w:name="Tc_uJlenlmuykWZKmO0yWT24g_3_2"/>
      <w:bookmarkStart w:id="879" w:name="Tc_Cg_6N4JobUe30A5y-B0JfA_2_5"/>
      <w:bookmarkStart w:id="880" w:name="Tc_uPXy3AzdYk2IGzcWcrYJxw_2_2"/>
      <w:bookmarkStart w:id="881" w:name="Tc_r6TotpjI_EiGHnMnf3TMDw_1_2"/>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5.</w:t>
      </w:r>
      <w:r>
        <w:rPr>
          <w:rFonts w:ascii="Arial;Helvetica;sans-serif" w:hAnsi="Arial;Helvetica;sans-serif"/>
          <w:b/>
          <w:sz w:val="20"/>
        </w:rPr>
        <w:t>Inventory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Inventory consisted of the following:</w:t>
      </w:r>
    </w:p>
    <w:p>
      <w:pPr>
        <w:pStyle w:val="TextBody"/>
        <w:bidi w:val="0"/>
        <w:spacing w:before="0" w:after="0"/>
        <w:ind w:left="0" w:right="0" w:hanging="0"/>
        <w:jc w:val="left"/>
        <w:rPr/>
      </w:pPr>
      <w:r>
        <w:rPr/>
        <w:t>​</w:t>
      </w:r>
    </w:p>
    <w:tbl>
      <w:tblPr>
        <w:tblW w:w="6503" w:type="dxa"/>
        <w:jc w:val="left"/>
        <w:tblInd w:w="0" w:type="dxa"/>
        <w:tblLayout w:type="fixed"/>
        <w:tblCellMar>
          <w:top w:w="0" w:type="dxa"/>
          <w:left w:w="0" w:type="dxa"/>
          <w:bottom w:w="0" w:type="dxa"/>
          <w:right w:w="0" w:type="dxa"/>
        </w:tblCellMar>
      </w:tblPr>
      <w:tblGrid>
        <w:gridCol w:w="3061"/>
        <w:gridCol w:w="326"/>
        <w:gridCol w:w="296"/>
        <w:gridCol w:w="1099"/>
        <w:gridCol w:w="326"/>
        <w:gridCol w:w="268"/>
        <w:gridCol w:w="112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3735" cy="175260"/>
                      <wp:effectExtent l="0" t="0" r="0" b="0"/>
                      <wp:wrapNone/>
                      <wp:docPr id="131" name="Frame13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7960" cy="175260"/>
                      <wp:effectExtent l="0" t="0" r="0" b="0"/>
                      <wp:wrapNone/>
                      <wp:docPr id="133" name="Frame13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7865" cy="175260"/>
                      <wp:effectExtent l="0" t="0" r="0" b="0"/>
                      <wp:wrapNone/>
                      <wp:docPr id="134" name="Frame13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0180" cy="175260"/>
                      <wp:effectExtent l="0" t="0" r="0" b="0"/>
                      <wp:wrapNone/>
                      <wp:docPr id="136" name="Frame13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15645" cy="175260"/>
                      <wp:effectExtent l="0" t="0" r="0" b="0"/>
                      <wp:wrapNone/>
                      <wp:docPr id="137" name="Frame137"/>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    </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5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Finished goods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97,081</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149,172</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Work-in-process and service repairs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21,948</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27,415</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6,280</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6,615</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inventory</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125,309</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183,202</w:t>
            </w:r>
          </w:p>
        </w:tc>
      </w:tr>
    </w:tbl>
    <w:p>
      <w:pPr>
        <w:pStyle w:val="TextBody"/>
        <w:bidi w:val="0"/>
        <w:spacing w:lineRule="auto" w:line="300"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882" w:name="Tc_tqdOhY6O0EeJ9c44yUyiaQ_9_11"/>
      <w:bookmarkStart w:id="883" w:name="Tc_OE-tkrbwO06sDWX6i4QXwg_9_8"/>
      <w:bookmarkStart w:id="884" w:name="Tc_u0GD40arPkm-f6XT3-0nLw_9_5"/>
      <w:bookmarkStart w:id="885" w:name="Tc_sFWSgNKvZkKkLCa7phT0_Q_9_2"/>
      <w:bookmarkStart w:id="886" w:name="Tc_pBr3fKfBUkuozURNlGs9vw_9_0"/>
      <w:bookmarkStart w:id="887" w:name="Tc_TeFhaI2vykiZxuLsIjR72w_8_0"/>
      <w:bookmarkStart w:id="888" w:name="Tc_Rc78l-6y4kOZonNZnzGSLA_7_0"/>
      <w:bookmarkStart w:id="889" w:name="Tc_2I0zkWUgJUWf4dTm38fBig_6_0"/>
      <w:bookmarkStart w:id="890" w:name="Tc_spde1HpG0kG0UYxOvZl4Lg_5_11"/>
      <w:bookmarkStart w:id="891" w:name="Tc_GMkWHlGQj0216KW6KPDBUg_5_8"/>
      <w:bookmarkStart w:id="892" w:name="Tc_x9LN6zGkGUayaDz0Xlcpbw_5_5"/>
      <w:bookmarkStart w:id="893" w:name="Tc_mwiwRFQ_F0mOVuFjYDo0Yg_5_2"/>
      <w:bookmarkStart w:id="894" w:name="Tc_ftiU1xyKGESzen8haJv6kA_5_0"/>
      <w:bookmarkStart w:id="895" w:name="Tc_VdNPog1fgkqno4NhlZfZ6Q_4_2"/>
      <w:bookmarkStart w:id="896" w:name="Tc_YY-wN7wiP0auFWORBR5Vww_3_11"/>
      <w:bookmarkStart w:id="897" w:name="Tc_HdMFnDzIZUqxt013lEixIQ_3_8"/>
      <w:bookmarkStart w:id="898" w:name="Tc_DjylKHp8KUi7QDizUfRdig_3_5"/>
      <w:bookmarkStart w:id="899" w:name="Tc_Z_dLw5zTj0yHbnWj4zP2pg_3_2"/>
      <w:bookmarkStart w:id="900" w:name="Tc_5Jp5wXb2GE6UHjWPivzjDw_2_8"/>
      <w:bookmarkStart w:id="901" w:name="Tc_UvJXiU7aYk-lmn7qooRAcg_2_2"/>
      <w:bookmarkStart w:id="902" w:name="Tc_2lTOblCrd065dspa5ug0LQ_1_8"/>
      <w:bookmarkStart w:id="903" w:name="Tc_Ds15aGJvH0KLuCed_HpDXw_1_2"/>
      <w:bookmarkStart w:id="904" w:name="_19d0e551_0b44_4cfd_ad18_c3c7ee01aff8"/>
      <w:bookmarkStart w:id="905" w:name="Tc_lYtEpTt5b0qkiHRKthtxeQ_15_9"/>
      <w:bookmarkStart w:id="906" w:name="Tc_xsj1dEM_eEK5e0r5ludW6g_15_6"/>
      <w:bookmarkStart w:id="907" w:name="Tc__FWC0AFQNE27taJCWDIZuA_15_0"/>
      <w:bookmarkStart w:id="908" w:name="Tc_kGH2dkuPq0KNtOPzD19RGQ_14_0"/>
      <w:bookmarkStart w:id="909" w:name="Tc_sMl_Hvqbtk-2Rr8WadXVjw_13_0"/>
      <w:bookmarkStart w:id="910" w:name="Tc_vIgIFr09bkqktG1-Mcl8vA_12_3"/>
      <w:bookmarkStart w:id="911" w:name="Tc_srjCyh4T50WiKSoNwrcjcQ_12_0"/>
      <w:bookmarkStart w:id="912" w:name="Tc_1m7mDBLnoEaxub1eExUxew_11_3"/>
      <w:bookmarkStart w:id="913" w:name="Tc_S4IifsIeW0Cy5T5kVGYB7w_11_0"/>
      <w:bookmarkStart w:id="914" w:name="Tc_lY9az2DvtEKMmNXvttyY0g_10_3"/>
      <w:bookmarkStart w:id="915" w:name="Tc_IoAUvDcqjEixIyXgWjvJvA_10_0"/>
      <w:bookmarkStart w:id="916" w:name="Tc_53We5ufh5EOOCbfZpLtg2A_9_3"/>
      <w:bookmarkStart w:id="917" w:name="Tc_ZQ2_s5ISxkySjaJMSbpA3Q_9_0"/>
      <w:bookmarkStart w:id="918" w:name="Tc_Pl3n1Jm1d0KNxso4LaNs0g_8_3"/>
      <w:bookmarkStart w:id="919" w:name="Tc_3cUd-vBnWkup4AFMn4dfOg_8_0"/>
      <w:bookmarkStart w:id="920" w:name="Tc_o_GBpav4Y0i2GXwUHYvVQQ_7_0"/>
      <w:bookmarkStart w:id="921" w:name="Tc_j9-FzNucC0agGj7ZvCEyTQ_6_0"/>
      <w:bookmarkStart w:id="922" w:name="Tc_Y_R_DG26Q0WMjJ9utkyD-Q_5_9"/>
      <w:bookmarkStart w:id="923" w:name="Tc_HiwMurLm5EKoSyuA1kVB9w_5_6"/>
      <w:bookmarkStart w:id="924" w:name="Tc_vrw_JRax7UGHHFGev9vsGQ_5_3"/>
      <w:bookmarkStart w:id="925" w:name="Tc_Nb4RlVrZ3U6n1jninez96Q_5_0"/>
      <w:bookmarkStart w:id="926" w:name="Tc_S18jpor0e0qLZozGWpkucw_4_6"/>
      <w:bookmarkStart w:id="927" w:name="Tc_50Qfj250HECSG8my4FwXrw_3_9"/>
      <w:bookmarkStart w:id="928" w:name="Tc_EpQKv-eEakKrR4ZvBCJFcw_3_6"/>
      <w:bookmarkStart w:id="929" w:name="Tc_TO74wqCcp0iskK3zBuVvuQ_3_2"/>
      <w:bookmarkStart w:id="930" w:name="Tc_Q1ISHuvil06H8Wj4KlwW_g_2_9"/>
      <w:bookmarkStart w:id="931" w:name="Tc_Of-LM_ZkWUSL-91cPHbqJw_2_6"/>
      <w:bookmarkStart w:id="932" w:name="Tc_YcmH14gydE6bTdGSCCivEw_2_2"/>
      <w:bookmarkStart w:id="933" w:name="Tc_WjT14UaAfUOSD7cr_YpXIw_1_6"/>
      <w:bookmarkStart w:id="934" w:name="Tc_DPxl7QuUDEq_n1fQ3uILCQ_1_2"/>
      <w:bookmarkStart w:id="935" w:name="_82be9fc0_196a_4116_9bc5_5790eed93992"/>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t>​</w:t>
      </w:r>
    </w:p>
    <w:tbl>
      <w:tblPr>
        <w:tblW w:w="2717" w:type="dxa"/>
        <w:jc w:val="left"/>
        <w:tblInd w:w="0" w:type="dxa"/>
        <w:tblLayout w:type="fixed"/>
        <w:tblCellMar>
          <w:top w:w="0" w:type="dxa"/>
          <w:left w:w="0" w:type="dxa"/>
          <w:bottom w:w="0" w:type="dxa"/>
          <w:right w:w="0" w:type="dxa"/>
        </w:tblCellMar>
      </w:tblPr>
      <w:tblGrid>
        <w:gridCol w:w="286"/>
        <w:gridCol w:w="243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6.</w:t>
            </w:r>
          </w:p>
        </w:tc>
        <w:tc>
          <w:tcPr>
            <w:tcW w:w="243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Property and Equipment</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Property and equipment consisted of the following:</w:t>
      </w:r>
    </w:p>
    <w:p>
      <w:pPr>
        <w:pStyle w:val="TextBody"/>
        <w:bidi w:val="0"/>
        <w:spacing w:before="0" w:after="0"/>
        <w:ind w:left="0" w:right="0" w:hanging="0"/>
        <w:jc w:val="left"/>
        <w:rPr/>
      </w:pPr>
      <w:r>
        <w:rPr/>
        <w:t>​</w:t>
      </w:r>
    </w:p>
    <w:tbl>
      <w:tblPr>
        <w:tblW w:w="7836" w:type="dxa"/>
        <w:jc w:val="left"/>
        <w:tblInd w:w="0" w:type="dxa"/>
        <w:tblLayout w:type="fixed"/>
        <w:tblCellMar>
          <w:top w:w="0" w:type="dxa"/>
          <w:left w:w="0" w:type="dxa"/>
          <w:bottom w:w="0" w:type="dxa"/>
          <w:right w:w="0" w:type="dxa"/>
        </w:tblCellMar>
      </w:tblPr>
      <w:tblGrid>
        <w:gridCol w:w="3361"/>
        <w:gridCol w:w="326"/>
        <w:gridCol w:w="285"/>
        <w:gridCol w:w="427"/>
        <w:gridCol w:w="429"/>
        <w:gridCol w:w="109"/>
        <w:gridCol w:w="233"/>
        <w:gridCol w:w="1162"/>
        <w:gridCol w:w="109"/>
        <w:gridCol w:w="225"/>
        <w:gridCol w:w="1170"/>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34235" cy="175260"/>
                      <wp:effectExtent l="0" t="0" r="0" b="0"/>
                      <wp:wrapNone/>
                      <wp:docPr id="138" name="Frame138"/>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0975" cy="175260"/>
                      <wp:effectExtent l="0" t="0" r="0" b="0"/>
                      <wp:wrapNone/>
                      <wp:docPr id="140" name="Frame14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71145" cy="175260"/>
                      <wp:effectExtent l="0" t="0" r="0" b="0"/>
                      <wp:wrapNone/>
                      <wp:docPr id="141" name="Frame141"/>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2415" cy="175260"/>
                      <wp:effectExtent l="0" t="0" r="0" b="0"/>
                      <wp:wrapNone/>
                      <wp:docPr id="142" name="Frame14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7955" cy="175260"/>
                      <wp:effectExtent l="0" t="0" r="0" b="0"/>
                      <wp:wrapNone/>
                      <wp:docPr id="144" name="Frame14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37870" cy="175260"/>
                      <wp:effectExtent l="0" t="0" r="0" b="0"/>
                      <wp:wrapNone/>
                      <wp:docPr id="145" name="Frame145"/>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2875" cy="175260"/>
                      <wp:effectExtent l="0" t="0" r="0" b="0"/>
                      <wp:wrapNone/>
                      <wp:docPr id="147" name="Frame14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2950" cy="175260"/>
                      <wp:effectExtent l="0" t="0" r="0" b="0"/>
                      <wp:wrapNone/>
                      <wp:docPr id="148" name="Frame148"/>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Depreciable</w:t>
            </w:r>
          </w:p>
        </w:tc>
        <w:tc>
          <w:tcPr>
            <w:tcW w:w="109" w:type="dxa"/>
            <w:tcBorders/>
            <w:vAlign w:val="center"/>
          </w:tcPr>
          <w:p>
            <w:pPr>
              <w:pStyle w:val="TableContents"/>
              <w:bidi w:val="0"/>
              <w:spacing w:before="0" w:after="0"/>
              <w:ind w:left="0" w:right="0" w:hanging="0"/>
              <w:jc w:val="center"/>
              <w:rPr/>
            </w:pPr>
            <w:r>
              <w:rPr/>
              <w:t>​</w:t>
            </w:r>
          </w:p>
        </w:tc>
        <w:tc>
          <w:tcPr>
            <w:tcW w:w="289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As of </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Life</w:t>
            </w:r>
          </w:p>
        </w:tc>
        <w:tc>
          <w:tcPr>
            <w:tcW w:w="109"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Years)</w:t>
            </w:r>
          </w:p>
        </w:tc>
        <w:tc>
          <w:tcPr>
            <w:tcW w:w="109" w:type="dxa"/>
            <w:tcBorders/>
            <w:vAlign w:val="center"/>
          </w:tcPr>
          <w:p>
            <w:pPr>
              <w:pStyle w:val="TableContents"/>
              <w:bidi w:val="0"/>
              <w:spacing w:before="0" w:after="0"/>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83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pPr>
            <w:r>
              <w:rPr/>
              <w:t>​</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9"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908,820</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1,002,518</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277,658</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277,658</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XVIII</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411,255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411,255</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Furniture, fixtures, equipment and other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w:t>
            </w:r>
          </w:p>
        </w:tc>
        <w:tc>
          <w:tcPr>
            <w:tcW w:w="109"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738,908</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746,585</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Software and computer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721,142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670,503</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Buildings and improvements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40</w:t>
            </w:r>
          </w:p>
        </w:tc>
        <w:tc>
          <w:tcPr>
            <w:tcW w:w="109"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288,971</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288,573</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Land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12,007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12,007</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Construction in progress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34,770</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34,232</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Total property and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3,393,531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3,443,331</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(2,818,017)</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(2,818,562)</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Property and equipment, net (1)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575,514</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624,769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September 30, 2025 and December 31, 2024, there were no</w:t>
            </w:r>
            <w:r>
              <w:rPr>
                <w:caps w:val="false"/>
                <w:smallCaps w:val="false"/>
              </w:rPr>
              <w:t xml:space="preserve"> </w:t>
            </w:r>
            <w:r>
              <w:rPr>
                <w:rFonts w:ascii="Arial;Helvetica;sans-serif" w:hAnsi="Arial;Helvetica;sans-serif"/>
                <w:b w:val="false"/>
                <w:i w:val="false"/>
                <w:caps w:val="false"/>
                <w:smallCaps w:val="false"/>
                <w:sz w:val="20"/>
              </w:rPr>
              <w:t>refunds and other receipts of purchases of property and equipment.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consisted of the following:</w:t>
      </w:r>
    </w:p>
    <w:p>
      <w:pPr>
        <w:pStyle w:val="TextBody"/>
        <w:bidi w:val="0"/>
        <w:spacing w:before="0" w:after="0"/>
        <w:ind w:left="0" w:right="0" w:hanging="0"/>
        <w:jc w:val="left"/>
        <w:rPr/>
      </w:pPr>
      <w:r>
        <w:rPr/>
        <w:t>​</w:t>
      </w:r>
    </w:p>
    <w:tbl>
      <w:tblPr>
        <w:tblW w:w="9801" w:type="dxa"/>
        <w:jc w:val="left"/>
        <w:tblInd w:w="0" w:type="dxa"/>
        <w:tblLayout w:type="fixed"/>
        <w:tblCellMar>
          <w:top w:w="0" w:type="dxa"/>
          <w:left w:w="0" w:type="dxa"/>
          <w:bottom w:w="0" w:type="dxa"/>
          <w:right w:w="0" w:type="dxa"/>
        </w:tblCellMar>
      </w:tblPr>
      <w:tblGrid>
        <w:gridCol w:w="4111"/>
        <w:gridCol w:w="326"/>
        <w:gridCol w:w="256"/>
        <w:gridCol w:w="821"/>
        <w:gridCol w:w="396"/>
        <w:gridCol w:w="256"/>
        <w:gridCol w:w="821"/>
        <w:gridCol w:w="326"/>
        <w:gridCol w:w="217"/>
        <w:gridCol w:w="805"/>
        <w:gridCol w:w="336"/>
        <w:gridCol w:w="217"/>
        <w:gridCol w:w="913"/>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610485" cy="175260"/>
                      <wp:effectExtent l="0" t="0" r="0" b="0"/>
                      <wp:wrapNone/>
                      <wp:docPr id="149" name="Frame14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2560" cy="175260"/>
                      <wp:effectExtent l="0" t="0" r="0" b="0"/>
                      <wp:wrapNone/>
                      <wp:docPr id="151" name="Frame1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1335" cy="175260"/>
                      <wp:effectExtent l="0" t="0" r="0" b="0"/>
                      <wp:wrapNone/>
                      <wp:docPr id="152" name="Frame15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1460" cy="175260"/>
                      <wp:effectExtent l="0" t="0" r="0" b="0"/>
                      <wp:wrapNone/>
                      <wp:docPr id="153" name="Frame15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2560" cy="175260"/>
                      <wp:effectExtent l="0" t="0" r="0" b="0"/>
                      <wp:wrapNone/>
                      <wp:docPr id="154" name="Frame15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1335" cy="175260"/>
                      <wp:effectExtent l="0" t="0" r="0" b="0"/>
                      <wp:wrapNone/>
                      <wp:docPr id="155" name="Frame155"/>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7795" cy="175260"/>
                      <wp:effectExtent l="0" t="0" r="0" b="0"/>
                      <wp:wrapNone/>
                      <wp:docPr id="157" name="Frame15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11175" cy="175260"/>
                      <wp:effectExtent l="0" t="0" r="0" b="0"/>
                      <wp:wrapNone/>
                      <wp:docPr id="158" name="Frame158"/>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3360" cy="175260"/>
                      <wp:effectExtent l="0" t="0" r="0" b="0"/>
                      <wp:wrapNone/>
                      <wp:docPr id="159" name="Frame15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7795" cy="175260"/>
                      <wp:effectExtent l="0" t="0" r="0" b="0"/>
                      <wp:wrapNone/>
                      <wp:docPr id="160" name="Frame16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9755" cy="175260"/>
                      <wp:effectExtent l="0" t="0" r="0" b="0"/>
                      <wp:wrapNone/>
                      <wp:docPr id="161" name="Frame16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w:t>
            </w:r>
          </w:p>
        </w:tc>
        <w:tc>
          <w:tcPr>
            <w:tcW w:w="24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96" w:type="dxa"/>
            <w:tcBorders/>
            <w:vAlign w:val="center"/>
          </w:tcPr>
          <w:p>
            <w:pPr>
              <w:pStyle w:val="TableContents"/>
              <w:bidi w:val="0"/>
              <w:spacing w:before="0" w:after="0"/>
              <w:ind w:left="0" w:right="0" w:hanging="0"/>
              <w:jc w:val="center"/>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3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8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6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25,692</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38,489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85,621</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110,062</w:t>
            </w:r>
          </w:p>
        </w:tc>
      </w:tr>
      <w:tr>
        <w:trPr/>
        <w:tc>
          <w:tcPr>
            <w:tcW w:w="41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8,397</w:t>
            </w:r>
          </w:p>
        </w:tc>
        <w:tc>
          <w:tcPr>
            <w:tcW w:w="39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20,073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31,361</w:t>
            </w:r>
          </w:p>
        </w:tc>
        <w:tc>
          <w:tcPr>
            <w:tcW w:w="33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60,219</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furniture, fixtures,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5,142</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5,426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16,039</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14,887</w:t>
            </w:r>
          </w:p>
        </w:tc>
      </w:tr>
      <w:tr>
        <w:trPr/>
        <w:tc>
          <w:tcPr>
            <w:tcW w:w="41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10,992</w:t>
            </w:r>
          </w:p>
        </w:tc>
        <w:tc>
          <w:tcPr>
            <w:tcW w:w="39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9,302</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29,275</w:t>
            </w:r>
          </w:p>
        </w:tc>
        <w:tc>
          <w:tcPr>
            <w:tcW w:w="33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29,141</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50,223</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73,290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162,296</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214,309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 and operating expense categories included in our accompanying Condensed Consolidated Statements of Operations and Comprehensive Income (Loss) do not include depreciation and amortization expense related to satellites, equipment leased to customers or software.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currently utilize eight</w:t>
      </w:r>
      <w:r>
        <w:rPr>
          <w:rFonts w:ascii="Times New Roman;Times;serif" w:hAnsi="Times New Roman;Times;serif"/>
          <w:sz w:val="20"/>
        </w:rPr>
        <w:t xml:space="preserve"> </w:t>
      </w:r>
      <w:r>
        <w:rPr>
          <w:rFonts w:ascii="Arial;Helvetica;sans-serif" w:hAnsi="Arial;Helvetica;sans-serif"/>
          <w:sz w:val="20"/>
        </w:rPr>
        <w:t>satellites in geosynchronous orbit approximately 22,300</w:t>
      </w:r>
      <w:r>
        <w:rPr>
          <w:rFonts w:ascii="Times New Roman;Times;serif" w:hAnsi="Times New Roman;Times;serif"/>
          <w:sz w:val="20"/>
        </w:rPr>
        <w:t xml:space="preserve"> </w:t>
      </w:r>
      <w:r>
        <w:rPr>
          <w:rFonts w:ascii="Arial;Helvetica;sans-serif" w:hAnsi="Arial;Helvetica;sans-serif"/>
          <w:sz w:val="20"/>
        </w:rPr>
        <w:t>miles above the equator, two</w:t>
      </w:r>
      <w:r>
        <w:rPr>
          <w:rFonts w:ascii="Times New Roman;Times;serif" w:hAnsi="Times New Roman;Times;serif"/>
          <w:sz w:val="20"/>
        </w:rPr>
        <w:t xml:space="preserve"> </w:t>
      </w:r>
      <w:r>
        <w:rPr>
          <w:rFonts w:ascii="Arial;Helvetica;sans-serif" w:hAnsi="Arial;Helvetica;sans-serif"/>
          <w:sz w:val="20"/>
        </w:rPr>
        <w:t>of which we own and depreciate over their estimated useful life. We currently utilize certain capacity on six</w:t>
      </w:r>
      <w:r>
        <w:rPr>
          <w:rFonts w:ascii="Times New Roman;Times;serif" w:hAnsi="Times New Roman;Times;serif"/>
          <w:sz w:val="20"/>
        </w:rPr>
        <w:t xml:space="preserve"> </w:t>
      </w:r>
      <w:r>
        <w:rPr>
          <w:rFonts w:ascii="Arial;Helvetica;sans-serif" w:hAnsi="Arial;Helvetica;sans-serif"/>
          <w:sz w:val="20"/>
        </w:rPr>
        <w:t xml:space="preserve">satellites that we lease from DISH Network, which are accounted for as operating leases.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September 30, 2025, our Pay-TV satellite fleet consisted of the following:</w:t>
      </w:r>
    </w:p>
    <w:p>
      <w:pPr>
        <w:pStyle w:val="TextBody"/>
        <w:bidi w:val="0"/>
        <w:spacing w:before="0" w:after="0"/>
        <w:ind w:left="0" w:right="0" w:hanging="0"/>
        <w:jc w:val="left"/>
        <w:rPr/>
      </w:pPr>
      <w:r>
        <w:rPr/>
        <w:t>​</w:t>
      </w:r>
    </w:p>
    <w:tbl>
      <w:tblPr>
        <w:tblW w:w="8122" w:type="dxa"/>
        <w:jc w:val="left"/>
        <w:tblInd w:w="0" w:type="dxa"/>
        <w:tblLayout w:type="fixed"/>
        <w:tblCellMar>
          <w:top w:w="0" w:type="dxa"/>
          <w:left w:w="0" w:type="dxa"/>
          <w:bottom w:w="0" w:type="dxa"/>
          <w:right w:w="0" w:type="dxa"/>
        </w:tblCellMar>
      </w:tblPr>
      <w:tblGrid>
        <w:gridCol w:w="2956"/>
        <w:gridCol w:w="326"/>
        <w:gridCol w:w="1531"/>
        <w:gridCol w:w="326"/>
        <w:gridCol w:w="916"/>
        <w:gridCol w:w="326"/>
        <w:gridCol w:w="174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77060" cy="175260"/>
                      <wp:effectExtent l="0" t="0" r="0" b="0"/>
                      <wp:wrapNone/>
                      <wp:docPr id="162" name="Frame16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72185" cy="175260"/>
                      <wp:effectExtent l="0" t="0" r="0" b="0"/>
                      <wp:wrapNone/>
                      <wp:docPr id="164" name="Frame16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1660" cy="175260"/>
                      <wp:effectExtent l="0" t="0" r="0" b="0"/>
                      <wp:wrapNone/>
                      <wp:docPr id="166" name="Frame1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05535" cy="175260"/>
                      <wp:effectExtent l="0" t="0" r="0" b="0"/>
                      <wp:wrapNone/>
                      <wp:docPr id="168" name="Frame168"/>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Degree</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Launch</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Orbital</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Lease</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Satellites</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Location</w:t>
            </w:r>
          </w:p>
        </w:tc>
        <w:tc>
          <w:tcPr>
            <w:tcW w:w="326" w:type="dxa"/>
            <w:tcBorders/>
            <w:vAlign w:val="center"/>
          </w:tcPr>
          <w:p>
            <w:pPr>
              <w:pStyle w:val="TableContents"/>
              <w:bidi w:val="0"/>
              <w:spacing w:before="0" w:after="0"/>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Termination Date</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Owned:</w:t>
            </w:r>
          </w:p>
        </w:tc>
        <w:tc>
          <w:tcPr>
            <w:tcW w:w="326" w:type="dxa"/>
            <w:tcBorders/>
            <w:shd w:fill="CCEEFF" w:val="clear"/>
            <w:vAlign w:val="center"/>
          </w:tcPr>
          <w:p>
            <w:pPr>
              <w:pStyle w:val="TableContents"/>
              <w:bidi w:val="0"/>
              <w:spacing w:before="0" w:after="0"/>
              <w:ind w:left="0" w:right="0" w:hanging="0"/>
              <w:jc w:val="center"/>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XV</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XVIII</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June 2016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61.5</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pPr>
            <w:r>
              <w:rPr/>
              <w:t>​</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Under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XXV</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XXVI</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pPr>
            <w:r>
              <w:rPr/>
              <w:t>​</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Leased from DISH Network (1):</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2006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XI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2008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XIV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March 2010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XVI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November 2012</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61.5</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January 2026</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XXIII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March 2017</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Month to Month</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Nimiq 5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September 2009</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72.7</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Month to Month</w:t>
            </w:r>
          </w:p>
        </w:tc>
      </w:tr>
    </w:tbl>
    <w:p>
      <w:pPr>
        <w:pStyle w:val="TextBody"/>
        <w:bidi w:val="0"/>
        <w:spacing w:before="0" w:after="0"/>
        <w:ind w:left="0" w:right="0" w:hanging="0"/>
        <w:jc w:val="left"/>
        <w:rPr/>
      </w:pPr>
      <w:r>
        <w:rPr/>
        <w:t>​</w:t>
      </w:r>
    </w:p>
    <w:tbl>
      <w:tblPr>
        <w:tblW w:w="8282" w:type="dxa"/>
        <w:jc w:val="left"/>
        <w:tblInd w:w="0" w:type="dxa"/>
        <w:tblLayout w:type="fixed"/>
        <w:tblCellMar>
          <w:top w:w="0" w:type="dxa"/>
          <w:left w:w="0" w:type="dxa"/>
          <w:bottom w:w="0" w:type="dxa"/>
          <w:right w:w="0" w:type="dxa"/>
        </w:tblCellMar>
      </w:tblPr>
      <w:tblGrid>
        <w:gridCol w:w="346"/>
        <w:gridCol w:w="793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9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11 for further information on our Related Party Transactions with DISH Network.</w:t>
            </w:r>
          </w:p>
        </w:tc>
      </w:tr>
    </w:tbl>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April 2025, we no longer lease the Anik F3 satellite.</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Satellites Under Construction</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w:t>
      </w:r>
      <w:r>
        <w:rPr>
          <w:rFonts w:ascii="Times New Roman;Times;serif" w:hAnsi="Times New Roman;Times;serif"/>
          <w:sz w:val="20"/>
        </w:rPr>
        <w:t xml:space="preserve"> </w:t>
      </w:r>
      <w:r>
        <w:rPr>
          <w:rFonts w:ascii="Arial;Helvetica;sans-serif" w:hAnsi="Arial;Helvetica;sans-serif"/>
          <w:sz w:val="20"/>
        </w:rPr>
        <w:t>On March 20, 2023, DISH Network entered into a contract with Lanteris Space LLC for the construction of EchoStar XXV, a DBS satellite that is capable of providing service to the continental United States (“CONUS”) and is intended to be used at the 110 degree orbital location. During the fourth quarter of 2023, DISH Network entered into an agreement with Space Exploration Technologies Corp (“SpaceX”) for launch services for this satellite, which is expected to be launched during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XXVI.</w:t>
      </w:r>
      <w:r>
        <w:rPr>
          <w:rFonts w:ascii="Times New Roman;Times;serif" w:hAnsi="Times New Roman;Times;serif"/>
          <w:sz w:val="20"/>
        </w:rPr>
        <w:t xml:space="preserve"> </w:t>
      </w:r>
      <w:r>
        <w:rPr>
          <w:rFonts w:ascii="Arial;Helvetica;sans-serif" w:hAnsi="Arial;Helvetica;sans-serif"/>
          <w:sz w:val="20"/>
        </w:rPr>
        <w:t>On May 15, 2025, DISH Network entered into a contract with Lanteris Space LLC for the construction of EchoStar XXVI, a DBS satellite that is capable of providing service to the CONUS and is intended to be used at the 119 degree orbital location. During the third quarter of 2025, DISH Network entered into an agreement with SpaceX for launch services for this satellite, which is expected to be launched during 2028.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936" w:name="Tc_fdKif4Fy4E2hGVNVUvSJ0w_18_9"/>
      <w:bookmarkStart w:id="937" w:name="Tc_k1zVOhPidkOGjgQdzesHLg_18_3"/>
      <w:bookmarkStart w:id="938" w:name="Tc_xtQrgGf12ka2qq0J7SBAeA_18_0"/>
      <w:bookmarkStart w:id="939" w:name="Tc_LtflQhDvT0eXC_kyzILZNw_17_0"/>
      <w:bookmarkStart w:id="940" w:name="Tc_xetlgZH-A0SqbB4TxSHAXw_16_0"/>
      <w:bookmarkStart w:id="941" w:name="Tc_CfOFbKu9sUK_eWoIzbjAOQ_15_0"/>
      <w:bookmarkStart w:id="942" w:name="Tc_0x4c1RI-jE-CWGYdkdO89g_14_12"/>
      <w:bookmarkStart w:id="943" w:name="Tc_jtcOhp64YUetp22NV8KoPg_14_6"/>
      <w:bookmarkStart w:id="944" w:name="Tc_tdfIWhud8UKds-SHZyY6BQ_14_0"/>
      <w:bookmarkStart w:id="945" w:name="Tc__FrLzKpvbk67xHEJtkJQpQ_13_0"/>
      <w:bookmarkStart w:id="946" w:name="Tc_eEALuUGoPkGVq1qr5_PXDA_12_1"/>
      <w:bookmarkStart w:id="947" w:name="Tc_XK_TXkOPCUOUsws_T8sNsA_12_0"/>
      <w:bookmarkStart w:id="948" w:name="Tc_esX_XEjnAkWQffB_vDwyeg_11_1"/>
      <w:bookmarkStart w:id="949" w:name="Tc_FnkXzM5YrEOGR_nCqirzdg_11_0"/>
      <w:bookmarkStart w:id="950" w:name="Tc_3ne0p--yLEWif59bxDtwvw_10_1"/>
      <w:bookmarkStart w:id="951" w:name="Tc_5aAD26gWcUCmINfKOrkAOA_10_0"/>
      <w:bookmarkStart w:id="952" w:name="_0e346f2b_611b_484b_9990_889bccf927ea_3"/>
      <w:bookmarkStart w:id="953" w:name="_0e346f2b_611b_484b_9990_889bccf927ea_2"/>
      <w:bookmarkStart w:id="954" w:name="_0e346f2b_611b_484b_9990_889bccf927ea"/>
      <w:bookmarkStart w:id="955" w:name="Tc_--Cn81mtaU2uJcl1eApQkQ_9_1"/>
      <w:bookmarkStart w:id="956" w:name="Tc_zlB9tbhnVE2Qi7WazlTF5Q_9_0"/>
      <w:bookmarkStart w:id="957" w:name="_53226d36_8b77_48e2_a015_409e0e2b9313_3"/>
      <w:bookmarkStart w:id="958" w:name="_53226d36_8b77_48e2_a015_409e0e2b9313_2"/>
      <w:bookmarkStart w:id="959" w:name="_53226d36_8b77_48e2_a015_409e0e2b9313"/>
      <w:bookmarkStart w:id="960" w:name="Tc_x1s40gchKkeyKaK_l6k8_g_8_1"/>
      <w:bookmarkStart w:id="961" w:name="Tc_OUw085oUE0KdWoD_7D29LQ_8_0"/>
      <w:bookmarkStart w:id="962" w:name="_96435f64_27a7_4a65_bf7d_83ebb0ecf8db_3"/>
      <w:bookmarkStart w:id="963" w:name="_96435f64_27a7_4a65_bf7d_83ebb0ecf8db_2"/>
      <w:bookmarkStart w:id="964" w:name="_96435f64_27a7_4a65_bf7d_83ebb0ecf8db"/>
      <w:bookmarkStart w:id="965" w:name="Tc_H49IE1ivy0Ov2Ivvi3AHVg_7_1"/>
      <w:bookmarkStart w:id="966" w:name="Tc_lUnszznIm0-Elof7HEPhVA_7_0"/>
      <w:bookmarkStart w:id="967" w:name="_77665848_0799_4920_b21e_3351644a323f_3"/>
      <w:bookmarkStart w:id="968" w:name="_77665848_0799_4920_b21e_3351644a323f_2"/>
      <w:bookmarkStart w:id="969" w:name="_77665848_0799_4920_b21e_3351644a323f"/>
      <w:bookmarkStart w:id="970" w:name="Tc_zbUJVig5-Uu4y3JZZdJU_w_6_1"/>
      <w:bookmarkStart w:id="971" w:name="Tc_pPVfWHY62UyifQeosyma7g_6_0"/>
      <w:bookmarkStart w:id="972" w:name="_e05e134b_e55a_41c0_ac67_f28df40199ec_3"/>
      <w:bookmarkStart w:id="973" w:name="_e05e134b_e55a_41c0_ac67_f28df40199ec_2"/>
      <w:bookmarkStart w:id="974" w:name="_e05e134b_e55a_41c0_ac67_f28df40199ec"/>
      <w:bookmarkStart w:id="975" w:name="Tc_SF0ud73dKk6E-XZayFD0xQ_5_12"/>
      <w:bookmarkStart w:id="976" w:name="Tc_HF56_q4CSkWkds_qpaWt3w_5_9"/>
      <w:bookmarkStart w:id="977" w:name="Tc_IYb5RRw-VEy6RxjcAbTvNg_5_7"/>
      <w:bookmarkStart w:id="978" w:name="Tc_-6E_NOpmZUqoIDPs2xF2Bg_5_6"/>
      <w:bookmarkStart w:id="979" w:name="Tc_KWzFpfOpckGzpAiyaefRWA_5_4"/>
      <w:bookmarkStart w:id="980" w:name="Tc_N6dxJCruS0S47FTZ_lze7w_5_3"/>
      <w:bookmarkStart w:id="981" w:name="Tc_ifjHlBnruky_BqPzqNEvvQ_5_1"/>
      <w:bookmarkStart w:id="982" w:name="Tc_17F87WoTHUSPR1vLgtLwWw_5_0"/>
      <w:bookmarkStart w:id="983" w:name="Tc_PbnNaiK8zUyc7ke4da-YFw_4_3"/>
      <w:bookmarkStart w:id="984" w:name="Tc_usxxYgvUGkC7Qri1kQ-Hug_3_12"/>
      <w:bookmarkStart w:id="985" w:name="Tc_zStYzyzsEk2l-lG33GWOaA_3_9"/>
      <w:bookmarkStart w:id="986" w:name="Tc_U6WcG7aVV0-dnCdcL4RkKg_3_6"/>
      <w:bookmarkStart w:id="987" w:name="Tc_bGoj4A0QDE2nHrCqcXMuDg_3_3"/>
      <w:bookmarkStart w:id="988" w:name="Tc_VrYZh651RkO2WKZS0onlgg_3_1"/>
      <w:bookmarkStart w:id="989" w:name="Tc_9aNKKfqW1UiM5b-CJV_YPw_2_9"/>
      <w:bookmarkStart w:id="990" w:name="Tc_ics1ZGjjOk2kp1BEAkRd2A_2_3"/>
      <w:bookmarkStart w:id="991" w:name="Tc_1-j8rOaMiUyc8XPZHtDnHA_1_3"/>
      <w:bookmarkStart w:id="992" w:name="_c4c1a44a_8dc0_4d0a_9dc5_243d1da30f8c"/>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t>​</w:t>
      </w:r>
    </w:p>
    <w:tbl>
      <w:tblPr>
        <w:tblW w:w="3797" w:type="dxa"/>
        <w:jc w:val="left"/>
        <w:tblInd w:w="0" w:type="dxa"/>
        <w:tblLayout w:type="fixed"/>
        <w:tblCellMar>
          <w:top w:w="0" w:type="dxa"/>
          <w:left w:w="0" w:type="dxa"/>
          <w:bottom w:w="0" w:type="dxa"/>
          <w:right w:w="0" w:type="dxa"/>
        </w:tblCellMar>
      </w:tblPr>
      <w:tblGrid>
        <w:gridCol w:w="286"/>
        <w:gridCol w:w="351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7.</w:t>
            </w:r>
          </w:p>
        </w:tc>
        <w:tc>
          <w:tcPr>
            <w:tcW w:w="351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Debt and Finance Lease Obligations</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of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carrying amount and fair value of our debt facilities as of September 30, 2025 and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14"/>
        <w:gridCol w:w="1280"/>
        <w:gridCol w:w="326"/>
        <w:gridCol w:w="196"/>
        <w:gridCol w:w="929"/>
        <w:gridCol w:w="326"/>
        <w:gridCol w:w="196"/>
        <w:gridCol w:w="916"/>
        <w:gridCol w:w="326"/>
        <w:gridCol w:w="196"/>
        <w:gridCol w:w="916"/>
        <w:gridCol w:w="326"/>
        <w:gridCol w:w="196"/>
        <w:gridCol w:w="962"/>
      </w:tblGrid>
      <w:tr>
        <w:trPr/>
        <w:tc>
          <w:tcPr>
            <w:tcW w:w="3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77390" cy="175260"/>
                      <wp:effectExtent l="0" t="0" r="0" b="0"/>
                      <wp:wrapNone/>
                      <wp:docPr id="169" name="Frame169"/>
                      <a:graphic xmlns:a="http://schemas.openxmlformats.org/drawingml/2006/main">
                        <a:graphicData uri="http://schemas.microsoft.com/office/word/2010/wordprocessingShape">
                          <wps:wsp>
                            <wps:cNvSpPr txBox="1"/>
                            <wps:spPr>
                              <a:xfrm>
                                <a:off x="0" y="0"/>
                                <a:ext cx="197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2800" cy="175260"/>
                      <wp:effectExtent l="0" t="0" r="0" b="0"/>
                      <wp:wrapNone/>
                      <wp:docPr id="170" name="Frame170"/>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89915" cy="175260"/>
                      <wp:effectExtent l="0" t="0" r="0" b="0"/>
                      <wp:wrapNone/>
                      <wp:docPr id="173" name="Frame173"/>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81660" cy="175260"/>
                      <wp:effectExtent l="0" t="0" r="0" b="0"/>
                      <wp:wrapNone/>
                      <wp:docPr id="176" name="Frame1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1660" cy="175260"/>
                      <wp:effectExtent l="0" t="0" r="0" b="0"/>
                      <wp:wrapNone/>
                      <wp:docPr id="179" name="Frame17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10870" cy="175260"/>
                      <wp:effectExtent l="0" t="0" r="0" b="0"/>
                      <wp:wrapNone/>
                      <wp:docPr id="182" name="Frame18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1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85"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w:t>
            </w:r>
          </w:p>
        </w:tc>
      </w:tr>
      <w:tr>
        <w:trPr/>
        <w:tc>
          <w:tcPr>
            <w:tcW w:w="311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2025</w:t>
            </w:r>
          </w:p>
        </w:tc>
        <w:tc>
          <w:tcPr>
            <w:tcW w:w="326" w:type="dxa"/>
            <w:tcBorders/>
            <w:vAlign w:val="center"/>
          </w:tcPr>
          <w:p>
            <w:pPr>
              <w:pStyle w:val="TableContents"/>
              <w:bidi w:val="0"/>
              <w:spacing w:before="0" w:after="0"/>
              <w:ind w:left="0" w:right="0" w:hanging="0"/>
              <w:jc w:val="left"/>
              <w:rPr/>
            </w:pPr>
            <w:r>
              <w:rPr/>
              <w:t>​</w:t>
            </w:r>
          </w:p>
        </w:tc>
        <w:tc>
          <w:tcPr>
            <w:tcW w:w="25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2024</w:t>
            </w:r>
          </w:p>
        </w:tc>
      </w:tr>
      <w:tr>
        <w:trPr/>
        <w:tc>
          <w:tcPr>
            <w:tcW w:w="3114" w:type="dxa"/>
            <w:tcBorders/>
            <w:vAlign w:val="center"/>
          </w:tcPr>
          <w:p>
            <w:pPr>
              <w:pStyle w:val="TableContents"/>
              <w:bidi w:val="0"/>
              <w:spacing w:before="0" w:after="0"/>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Issuer</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br/>
              <w:t>Amount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br/>
              <w:t>Amount</w:t>
            </w:r>
          </w:p>
        </w:tc>
        <w:tc>
          <w:tcPr>
            <w:tcW w:w="326" w:type="dxa"/>
            <w:tcBorders/>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11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485" w:type="dxa"/>
            <w:gridSpan w:val="11"/>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1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Term Loan due 2025 (1)</w:t>
            </w:r>
          </w:p>
        </w:tc>
        <w:tc>
          <w:tcPr>
            <w:tcW w:w="1280"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500,000</w:t>
            </w:r>
          </w:p>
        </w:tc>
      </w:tr>
      <w:tr>
        <w:trPr/>
        <w:tc>
          <w:tcPr>
            <w:tcW w:w="31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7 3/4%</w:t>
            </w:r>
            <w:r>
              <w:rPr>
                <w:rFonts w:ascii="Times New Roman;Times;serif" w:hAnsi="Times New Roman;Times;serif"/>
                <w:sz w:val="16"/>
              </w:rPr>
              <w:t xml:space="preserve"> </w:t>
            </w:r>
            <w:r>
              <w:rPr>
                <w:rFonts w:ascii="Arial;Helvetica;sans-serif" w:hAnsi="Arial;Helvetica;sans-serif"/>
                <w:sz w:val="16"/>
              </w:rPr>
              <w:t>Senior Notes due 2026 (2)</w:t>
            </w:r>
          </w:p>
        </w:tc>
        <w:tc>
          <w:tcPr>
            <w:tcW w:w="1280"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1,985,900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1,678,640</w:t>
            </w:r>
          </w:p>
        </w:tc>
      </w:tr>
      <w:tr>
        <w:trPr/>
        <w:tc>
          <w:tcPr>
            <w:tcW w:w="31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5 1/4%</w:t>
            </w:r>
            <w:r>
              <w:rPr>
                <w:rFonts w:ascii="Times New Roman;Times;serif" w:hAnsi="Times New Roman;Times;serif"/>
                <w:sz w:val="16"/>
              </w:rPr>
              <w:t xml:space="preserve"> </w:t>
            </w:r>
            <w:r>
              <w:rPr>
                <w:rFonts w:ascii="Arial;Helvetica;sans-serif" w:hAnsi="Arial;Helvetica;sans-serif"/>
                <w:sz w:val="16"/>
              </w:rPr>
              <w:t>Senior Secured Notes due 2026</w:t>
            </w:r>
          </w:p>
        </w:tc>
        <w:tc>
          <w:tcPr>
            <w:tcW w:w="1280"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2,702,315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2,507,780</w:t>
            </w:r>
          </w:p>
        </w:tc>
      </w:tr>
      <w:tr>
        <w:trPr/>
        <w:tc>
          <w:tcPr>
            <w:tcW w:w="31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7 3/8%</w:t>
            </w:r>
            <w:r>
              <w:rPr>
                <w:rFonts w:ascii="Times New Roman;Times;serif" w:hAnsi="Times New Roman;Times;serif"/>
                <w:sz w:val="16"/>
              </w:rPr>
              <w:t xml:space="preserve"> </w:t>
            </w:r>
            <w:r>
              <w:rPr>
                <w:rFonts w:ascii="Arial;Helvetica;sans-serif" w:hAnsi="Arial;Helvetica;sans-serif"/>
                <w:sz w:val="16"/>
              </w:rPr>
              <w:t>Senior Notes due 2028</w:t>
            </w:r>
          </w:p>
        </w:tc>
        <w:tc>
          <w:tcPr>
            <w:tcW w:w="1280"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922,180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715,680</w:t>
            </w:r>
          </w:p>
        </w:tc>
      </w:tr>
      <w:tr>
        <w:trPr/>
        <w:tc>
          <w:tcPr>
            <w:tcW w:w="31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5 3/4%</w:t>
            </w:r>
            <w:r>
              <w:rPr>
                <w:rFonts w:ascii="Times New Roman;Times;serif" w:hAnsi="Times New Roman;Times;serif"/>
                <w:sz w:val="16"/>
              </w:rPr>
              <w:t xml:space="preserve"> </w:t>
            </w:r>
            <w:r>
              <w:rPr>
                <w:rFonts w:ascii="Arial;Helvetica;sans-serif" w:hAnsi="Arial;Helvetica;sans-serif"/>
                <w:sz w:val="16"/>
              </w:rPr>
              <w:t xml:space="preserve">Senior Secured Notes due 2028 </w:t>
            </w:r>
          </w:p>
        </w:tc>
        <w:tc>
          <w:tcPr>
            <w:tcW w:w="1280"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2,399,625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2,143,350</w:t>
            </w:r>
          </w:p>
        </w:tc>
      </w:tr>
      <w:tr>
        <w:trPr/>
        <w:tc>
          <w:tcPr>
            <w:tcW w:w="31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5 1/8%</w:t>
            </w:r>
            <w:r>
              <w:rPr>
                <w:rFonts w:ascii="Times New Roman;Times;serif" w:hAnsi="Times New Roman;Times;serif"/>
                <w:sz w:val="16"/>
              </w:rPr>
              <w:t xml:space="preserve"> </w:t>
            </w:r>
            <w:r>
              <w:rPr>
                <w:rFonts w:ascii="Arial;Helvetica;sans-serif" w:hAnsi="Arial;Helvetica;sans-serif"/>
                <w:sz w:val="16"/>
              </w:rPr>
              <w:t>Senior Notes due 2029</w:t>
            </w:r>
          </w:p>
        </w:tc>
        <w:tc>
          <w:tcPr>
            <w:tcW w:w="1280"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1,287,825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959,610</w:t>
            </w:r>
          </w:p>
        </w:tc>
      </w:tr>
      <w:tr>
        <w:trPr/>
        <w:tc>
          <w:tcPr>
            <w:tcW w:w="31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Term Loan due 2029 (3)</w:t>
            </w:r>
          </w:p>
        </w:tc>
        <w:tc>
          <w:tcPr>
            <w:tcW w:w="1280"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1,770,922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r>
      <w:tr>
        <w:trPr/>
        <w:tc>
          <w:tcPr>
            <w:tcW w:w="31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Mandatorily Redeemable Preferred Shares due 2029 (3)(4)</w:t>
            </w:r>
          </w:p>
        </w:tc>
        <w:tc>
          <w:tcPr>
            <w:tcW w:w="1280"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196,211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r>
      <w:tr>
        <w:trPr/>
        <w:tc>
          <w:tcPr>
            <w:tcW w:w="31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notes payable</w:t>
            </w:r>
          </w:p>
        </w:tc>
        <w:tc>
          <w:tcPr>
            <w:tcW w:w="12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32,350</w:t>
            </w:r>
          </w:p>
        </w:tc>
      </w:tr>
      <w:tr>
        <w:trPr/>
        <w:tc>
          <w:tcPr>
            <w:tcW w:w="31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Subtotal</w:t>
            </w:r>
          </w:p>
        </w:tc>
        <w:tc>
          <w:tcPr>
            <w:tcW w:w="1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11,774,292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11,289,270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12,282,350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10,537,410</w:t>
            </w:r>
          </w:p>
        </w:tc>
      </w:tr>
      <w:tr>
        <w:trPr/>
        <w:tc>
          <w:tcPr>
            <w:tcW w:w="31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Unamortized deferred financing costs and other debt discounts, net</w:t>
            </w:r>
          </w:p>
        </w:tc>
        <w:tc>
          <w:tcPr>
            <w:tcW w:w="12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(72,633)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(134,900)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r>
      <w:tr>
        <w:trPr/>
        <w:tc>
          <w:tcPr>
            <w:tcW w:w="31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Total </w:t>
            </w:r>
          </w:p>
        </w:tc>
        <w:tc>
          <w:tcPr>
            <w:tcW w:w="1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11,701,659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12,147,450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r>
        <w:trPr/>
        <w:tc>
          <w:tcPr>
            <w:tcW w:w="31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current portion (3)</w:t>
            </w:r>
          </w:p>
        </w:tc>
        <w:tc>
          <w:tcPr>
            <w:tcW w:w="12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(2,911,440)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(744,556)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r>
      <w:tr>
        <w:trPr/>
        <w:tc>
          <w:tcPr>
            <w:tcW w:w="31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debt, finance lease and other obligations, net of current portion</w:t>
            </w:r>
          </w:p>
        </w:tc>
        <w:tc>
          <w:tcPr>
            <w:tcW w:w="12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8,790,219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11,402,894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redeemed the principal balance of our Term Loan due 2025 as of September 30, 2025, the instrument’s maturity date. </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notes have been reclassified to “Current portion of debt, finance lease and other obligations” on our Condensed Consolidated Balance Sheets as of September 30, 2025.</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 portion of the principal balance of these instruments is classified as </w:t>
            </w:r>
            <w:r>
              <w:rPr>
                <w:caps w:val="false"/>
                <w:smallCaps w:val="false"/>
              </w:rPr>
              <w:t>“</w:t>
            </w:r>
            <w:r>
              <w:rPr>
                <w:rFonts w:ascii="Arial;Helvetica;sans-serif" w:hAnsi="Arial;Helvetica;sans-serif"/>
                <w:b w:val="false"/>
                <w:i w:val="false"/>
                <w:caps w:val="false"/>
                <w:smallCaps w:val="false"/>
                <w:sz w:val="20"/>
              </w:rPr>
              <w:t xml:space="preserve">Current portion of debt, finance lease and other obligations” due to payment terms upon which </w:t>
            </w:r>
            <w:r>
              <w:rPr>
                <w:rFonts w:ascii="Arial;Helvetica;sans-serif" w:hAnsi="Arial;Helvetica;sans-serif"/>
                <w:b w:val="false"/>
                <w:i w:val="false"/>
                <w:caps w:val="false"/>
                <w:smallCaps w:val="false"/>
                <w:color w:val="222222"/>
                <w:sz w:val="20"/>
                <w:shd w:fill="FFFFFF" w:val="clear"/>
              </w:rPr>
              <w:t xml:space="preserve">we will pay a portion of </w:t>
            </w:r>
            <w:r>
              <w:rPr>
                <w:rFonts w:ascii="Arial;Helvetica;sans-serif" w:hAnsi="Arial;Helvetica;sans-serif"/>
                <w:b w:val="false"/>
                <w:i w:val="false"/>
                <w:caps w:val="false"/>
                <w:smallCaps w:val="false"/>
                <w:sz w:val="20"/>
              </w:rPr>
              <w:t>principal balance</w:t>
            </w:r>
            <w:r>
              <w:rPr>
                <w:caps w:val="false"/>
                <w:smallCaps w:val="false"/>
                <w:color w:val="222222"/>
                <w:shd w:fill="FFFFFF" w:val="clear"/>
              </w:rPr>
              <w:t xml:space="preserve"> </w:t>
            </w:r>
            <w:r>
              <w:rPr>
                <w:rFonts w:ascii="Arial;Helvetica;sans-serif" w:hAnsi="Arial;Helvetica;sans-serif"/>
                <w:b w:val="false"/>
                <w:i w:val="false"/>
                <w:caps w:val="false"/>
                <w:smallCaps w:val="false"/>
                <w:sz w:val="20"/>
              </w:rPr>
              <w:t xml:space="preserve">based on the </w:t>
            </w:r>
            <w:r>
              <w:rPr>
                <w:rFonts w:ascii="Arial;Helvetica;sans-serif" w:hAnsi="Arial;Helvetica;sans-serif"/>
                <w:b w:val="false"/>
                <w:i w:val="false"/>
                <w:caps w:val="false"/>
                <w:smallCaps w:val="false"/>
                <w:color w:val="222222"/>
                <w:sz w:val="20"/>
                <w:shd w:fill="FFFFFF" w:val="clear"/>
              </w:rPr>
              <w:t>variable cash flows for certain Pay-TV business metrics which are an estimate and could change significantly based on actual performance.</w:t>
            </w:r>
          </w:p>
        </w:tc>
      </w:tr>
    </w:tbl>
    <w:tbl>
      <w:tblPr>
        <w:tblW w:w="9992" w:type="dxa"/>
        <w:jc w:val="left"/>
        <w:tblInd w:w="0" w:type="dxa"/>
        <w:tblLayout w:type="fixed"/>
        <w:tblCellMar>
          <w:top w:w="0" w:type="dxa"/>
          <w:left w:w="0" w:type="dxa"/>
          <w:bottom w:w="0" w:type="dxa"/>
          <w:right w:w="0" w:type="dxa"/>
        </w:tblCellMar>
      </w:tblPr>
      <w:tblGrid>
        <w:gridCol w:w="346"/>
        <w:gridCol w:w="96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6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to the June 30, 2029 mandatory redemption feature of this instrument, it is considered a debt instrument.</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Senior Notes</w:t>
      </w:r>
    </w:p>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below summaries are not complete and are qualified in entirety by reference to the full and complete text of the applicable indentures.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Unsecured Senior Notes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7 3/4%</w:t>
      </w:r>
      <w:r>
        <w:rPr>
          <w:rFonts w:ascii="Calibri Light" w:hAnsi="Calibri Light"/>
          <w:color w:val="000000"/>
          <w:sz w:val="24"/>
        </w:rPr>
        <w:t xml:space="preserve"> </w:t>
      </w:r>
      <w:r>
        <w:rPr>
          <w:rFonts w:ascii="Arial;Helvetica;sans-serif" w:hAnsi="Arial;Helvetica;sans-serif"/>
          <w:i/>
          <w:color w:val="000000"/>
          <w:sz w:val="20"/>
        </w:rPr>
        <w:t>Senior Notes due 2026</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June 13, 2016, we issued $2.0</w:t>
      </w:r>
      <w:r>
        <w:rPr>
          <w:rFonts w:ascii="Helvetica;sans-serif" w:hAnsi="Helvetica;sans-serif"/>
          <w:sz w:val="22"/>
        </w:rPr>
        <w:t xml:space="preserve"> </w:t>
      </w:r>
      <w:r>
        <w:rPr>
          <w:rFonts w:ascii="Arial;Helvetica;sans-serif" w:hAnsi="Arial;Helvetica;sans-serif"/>
          <w:sz w:val="20"/>
        </w:rPr>
        <w:t>billion aggregate principal amount of our ten-year</w:t>
      </w:r>
      <w:r>
        <w:rPr>
          <w:rFonts w:ascii="Helvetica;sans-serif" w:hAnsi="Helvetica;sans-serif"/>
          <w:sz w:val="22"/>
        </w:rPr>
        <w:t xml:space="preserv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 xml:space="preserve">Senior Notes due July 1, 2026. Interest accrues at an annual rate of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 xml:space="preserve">and is payable semi-annually in cash, in arrears on January 1 and July 1 of each year. </w:t>
      </w:r>
      <w:r>
        <w:rPr>
          <w:rFonts w:ascii="Arial;Helvetica;sans-serif" w:hAnsi="Arial;Helvetica;sans-serif"/>
          <w:color w:val="222222"/>
          <w:sz w:val="20"/>
          <w:shd w:fill="FFFFFF" w:val="clear"/>
        </w:rPr>
        <w:t>We elected not to make the approximately $78</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July 1, 2025 (the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July 30, 2025, we made the scheduled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Interest Payment originally due July 1,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lineRule="auto" w:line="302" w:before="0" w:after="12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7 3/8%</w:t>
      </w:r>
      <w:r>
        <w:rPr>
          <w:rFonts w:ascii="Calibri Light" w:hAnsi="Calibri Light"/>
          <w:color w:val="000000"/>
          <w:sz w:val="24"/>
        </w:rPr>
        <w:t xml:space="preserve"> </w:t>
      </w:r>
      <w:r>
        <w:rPr>
          <w:rFonts w:ascii="Arial;Helvetica;sans-serif" w:hAnsi="Arial;Helvetica;sans-serif"/>
          <w:i/>
          <w:color w:val="000000"/>
          <w:sz w:val="20"/>
        </w:rPr>
        <w:t>Senior Notes due 2028</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July 1, 2020, we issued $1.0</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 xml:space="preserve">Senior Notes due July 1, 2028. Interest accrues at an annual rate of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 xml:space="preserve">and is payable semi-annually in cash, in arrears on January 1 and July 1 of each year. </w:t>
      </w:r>
      <w:r>
        <w:rPr>
          <w:rFonts w:ascii="Arial;Helvetica;sans-serif" w:hAnsi="Arial;Helvetica;sans-serif"/>
          <w:sz w:val="20"/>
          <w:shd w:fill="FFFFFF" w:val="clear"/>
        </w:rPr>
        <w:t>We elected not to make the approximately $37</w:t>
      </w:r>
      <w:r>
        <w:rPr>
          <w:rFonts w:ascii="Helvetica;sans-serif" w:hAnsi="Helvetica;sans-serif"/>
          <w:sz w:val="22"/>
          <w:shd w:fill="FFFFFF" w:val="clear"/>
        </w:rPr>
        <w:t xml:space="preserve"> </w:t>
      </w:r>
      <w:r>
        <w:rPr>
          <w:rFonts w:ascii="Arial;Helvetica;sans-serif" w:hAnsi="Arial;Helvetica;sans-serif"/>
          <w:sz w:val="20"/>
          <w:shd w:fill="FFFFFF" w:val="clear"/>
        </w:rPr>
        <w:t>million cash interest payment due on July 1, 2025 (the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shd w:fill="FFFFFF" w:val="clear"/>
        </w:rPr>
        <w:t>Interest Payment”). Under the related indenture, such non-payment is a default and we had a 30-day</w:t>
      </w:r>
      <w:r>
        <w:rPr>
          <w:rFonts w:ascii="Helvetica;sans-serif" w:hAnsi="Helvetica;sans-serif"/>
          <w:sz w:val="22"/>
          <w:shd w:fill="FFFFFF" w:val="clear"/>
        </w:rPr>
        <w:t xml:space="preserve"> </w:t>
      </w:r>
      <w:r>
        <w:rPr>
          <w:rFonts w:ascii="Arial;Helvetica;sans-serif" w:hAnsi="Arial;Helvetica;sans-serif"/>
          <w:sz w:val="20"/>
          <w:shd w:fill="FFFFFF" w:val="clear"/>
        </w:rPr>
        <w:t xml:space="preserve">grace period to make the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July 30, 2025, we made the scheduled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Interest Payment originally due July 1,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1/8%</w:t>
      </w:r>
      <w:r>
        <w:rPr>
          <w:rFonts w:ascii="Calibri Light" w:hAnsi="Calibri Light"/>
          <w:color w:val="000000"/>
          <w:sz w:val="24"/>
        </w:rPr>
        <w:t xml:space="preserve"> </w:t>
      </w:r>
      <w:r>
        <w:rPr>
          <w:rFonts w:ascii="Arial;Helvetica;sans-serif" w:hAnsi="Arial;Helvetica;sans-serif"/>
          <w:i/>
          <w:color w:val="000000"/>
          <w:sz w:val="20"/>
        </w:rPr>
        <w:t>Senior Notes due 2029</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May 24, 2021, we issued $1.5</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 xml:space="preserve">Senior Notes due June 1, 2029. Interest accrues at an annual rate of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 xml:space="preserve">and is payable semi-annually in cash, in arrears on June 1 and December 1 of each year. </w:t>
      </w:r>
      <w:r>
        <w:rPr>
          <w:rFonts w:ascii="Arial;Helvetica;sans-serif" w:hAnsi="Arial;Helvetica;sans-serif"/>
          <w:sz w:val="20"/>
          <w:shd w:fill="FFFFFF" w:val="clear"/>
        </w:rPr>
        <w:t>We elected not to make the approximately $38</w:t>
      </w:r>
      <w:r>
        <w:rPr>
          <w:rFonts w:ascii="Helvetica;sans-serif" w:hAnsi="Helvetica;sans-serif"/>
          <w:sz w:val="22"/>
          <w:shd w:fill="FFFFFF" w:val="clear"/>
        </w:rPr>
        <w:t xml:space="preserve"> </w:t>
      </w:r>
      <w:r>
        <w:rPr>
          <w:rFonts w:ascii="Arial;Helvetica;sans-serif" w:hAnsi="Arial;Helvetica;sans-serif"/>
          <w:sz w:val="20"/>
          <w:shd w:fill="FFFFFF" w:val="clear"/>
        </w:rPr>
        <w:t>million cash interest payment due on June 2, 2025 (the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color w:val="222222"/>
          <w:shd w:fill="FFFF00" w:val="clear"/>
        </w:rPr>
      </w:pPr>
      <w:r>
        <w:rPr>
          <w:color w:val="222222"/>
          <w:shd w:fill="FFFF00"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120"/>
        <w:ind w:left="0" w:right="0" w:hanging="0"/>
        <w:jc w:val="left"/>
        <w:rPr>
          <w:color w:val="222222"/>
          <w:shd w:fill="FFFF00" w:val="clear"/>
        </w:rPr>
      </w:pPr>
      <w:r>
        <w:rPr>
          <w:color w:val="222222"/>
          <w:shd w:fill="FFFF00" w:val="clear"/>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Senior Secured Notes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1/4%</w:t>
      </w:r>
      <w:r>
        <w:rPr>
          <w:rFonts w:ascii="Calibri Light" w:hAnsi="Calibri Light"/>
          <w:color w:val="000000"/>
          <w:sz w:val="24"/>
        </w:rPr>
        <w:t xml:space="preserve"> </w:t>
      </w:r>
      <w:r>
        <w:rPr>
          <w:rFonts w:ascii="Arial;Helvetica;sans-serif" w:hAnsi="Arial;Helvetica;sans-serif"/>
          <w:i/>
          <w:color w:val="000000"/>
          <w:sz w:val="20"/>
        </w:rPr>
        <w:t>Senior Secured Notes due 2026</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November 26, 2021, we issued $2.750</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December 1, 2026. Interest accrues at an annual rate of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and is payable semi-annually in cash, in arrears on June 1 and December 1 of each year. We </w:t>
      </w:r>
      <w:r>
        <w:rPr>
          <w:rFonts w:ascii="Arial;Helvetica;sans-serif" w:hAnsi="Arial;Helvetica;sans-serif"/>
          <w:color w:val="222222"/>
          <w:sz w:val="20"/>
          <w:shd w:fill="FFFFFF" w:val="clear"/>
        </w:rPr>
        <w:t>elected not to make the approximately $72</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June 2, 2025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3/4%</w:t>
      </w:r>
      <w:r>
        <w:rPr>
          <w:rFonts w:ascii="Calibri Light" w:hAnsi="Calibri Light"/>
          <w:color w:val="000000"/>
          <w:sz w:val="24"/>
        </w:rPr>
        <w:t xml:space="preserve"> </w:t>
      </w:r>
      <w:r>
        <w:rPr>
          <w:rFonts w:ascii="Arial;Helvetica;sans-serif" w:hAnsi="Arial;Helvetica;sans-serif"/>
          <w:i/>
          <w:color w:val="000000"/>
          <w:sz w:val="20"/>
        </w:rPr>
        <w:t>Senior Secured Notes due 2028</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November 26, 2021, we issued $2.5</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 xml:space="preserve">Senior Secured Notes due December 1, 2028. Interest accrues at an annual rate of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and is payable semi-annually in cash, in arrears on June 1 and December 1 of each year. We</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elected not to make the approximately $72</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June 2, 2025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993" w:name="Tc_ltvcARMI7U2ORn2BT-Sg9A_9_2"/>
      <w:bookmarkStart w:id="994" w:name="Tc_YxQbOg4tgkiJOx1sNm_FXw_9_0"/>
      <w:bookmarkStart w:id="995" w:name="Tc_gkE5p66rxEmQaTCD07YKqw_8_3"/>
      <w:bookmarkStart w:id="996" w:name="Tc_V6oiKygxKEKfpdadlQ5-Qw_8_0"/>
      <w:bookmarkStart w:id="997" w:name="Tc_hDKTJtZ_xkiOBABJlAA1Qw_7_3"/>
      <w:bookmarkStart w:id="998" w:name="Tc_fMv5usTeYE23f50TXKCQ8w_7_0"/>
      <w:bookmarkStart w:id="999" w:name="Tc_FT7lorGA6kqfjQYYPzJYaA_6_3"/>
      <w:bookmarkStart w:id="1000" w:name="Tc_LLrYK6mi_0qCT5JcQACKcA_6_0"/>
      <w:bookmarkStart w:id="1001" w:name="Tc_tg-j4h9s1Ey5KNit56cy8Q_5_3"/>
      <w:bookmarkStart w:id="1002" w:name="Tc_e_C66dhC10Sadt-5HusvWw_5_0"/>
      <w:bookmarkStart w:id="1003" w:name="Tc_WiFBjRP0HkqiBlcz8Y2qbw_4_0"/>
      <w:bookmarkStart w:id="1004" w:name="Tc_nJ_LFe36KUy8GxAZY8kvDQ_3_2"/>
      <w:bookmarkStart w:id="1005" w:name="Tc_xsczs_Ilak2tO2eVX1EIZQ_3_0"/>
      <w:bookmarkStart w:id="1006" w:name="Tc_7MT8KPtTSka-R7yACmePQg_2_2"/>
      <w:bookmarkStart w:id="1007" w:name="Tc_dSdsoCVIukyMLrDgUGDZ9g_1_2"/>
      <w:bookmarkStart w:id="1008" w:name="Tc_DVZtPZPFUECA799yP2Pkdw_1_0"/>
      <w:bookmarkStart w:id="1009" w:name="_771ecb7e_5052_4868_a281_adf890a8c015"/>
      <w:bookmarkStart w:id="1010" w:name="_DV_C17"/>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t>​</w:t>
      </w:r>
    </w:p>
    <w:tbl>
      <w:tblPr>
        <w:tblW w:w="3602" w:type="dxa"/>
        <w:jc w:val="left"/>
        <w:tblInd w:w="0" w:type="dxa"/>
        <w:tblLayout w:type="fixed"/>
        <w:tblCellMar>
          <w:top w:w="0" w:type="dxa"/>
          <w:left w:w="0" w:type="dxa"/>
          <w:bottom w:w="0" w:type="dxa"/>
          <w:right w:w="0" w:type="dxa"/>
        </w:tblCellMar>
      </w:tblPr>
      <w:tblGrid>
        <w:gridCol w:w="286"/>
        <w:gridCol w:w="331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8.</w:t>
            </w:r>
          </w:p>
        </w:tc>
        <w:tc>
          <w:tcPr>
            <w:tcW w:w="331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 xml:space="preserve">Commitments and Contingencies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Future maturities of our long-term debt, finance lease and contractual obligations as disclosed in our Annual Report on Form 10-K for the year ended December 31, 2024 have not changed materially, other than those disclosed below, which in general relate to certain “Other long-term obligations” being reflected on our Condensed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commitments include certain obligations incurred by us on behalf of DISH Network’s Wireless segment. These obligations will be either paid directly by DISH Network or settled monthly as part of our centralized cash management system with our parent, DISH Network. See Note 3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sz w:val="20"/>
        </w:rPr>
        <w:t>Other long-term obligations” totaled $361</w:t>
      </w:r>
      <w:r>
        <w:rPr>
          <w:rFonts w:ascii="Times New Roman;Times;serif" w:hAnsi="Times New Roman;Times;serif"/>
          <w:sz w:val="20"/>
        </w:rPr>
        <w:t xml:space="preserve"> </w:t>
      </w:r>
      <w:r>
        <w:rPr>
          <w:rFonts w:ascii="Arial;Helvetica;sans-serif" w:hAnsi="Arial;Helvetica;sans-serif"/>
          <w:sz w:val="20"/>
        </w:rPr>
        <w:t>million as of September 30, 2025 and $1.458</w:t>
      </w:r>
      <w:r>
        <w:rPr>
          <w:rFonts w:ascii="Times New Roman;Times;serif" w:hAnsi="Times New Roman;Times;serif"/>
          <w:sz w:val="20"/>
        </w:rPr>
        <w:t xml:space="preserve"> </w:t>
      </w:r>
      <w:r>
        <w:rPr>
          <w:rFonts w:ascii="Arial;Helvetica;sans-serif" w:hAnsi="Arial;Helvetica;sans-serif"/>
          <w:sz w:val="20"/>
        </w:rPr>
        <w:t xml:space="preserve">billion as of December 31, 2024. This decrease primarily resulted from </w:t>
      </w:r>
      <w:r>
        <w:rPr>
          <w:rFonts w:ascii="Arial;Helvetica;sans-serif" w:hAnsi="Arial;Helvetica;sans-serif"/>
          <w:sz w:val="20"/>
          <w:shd w:fill="FFFFFF" w:val="clear"/>
        </w:rPr>
        <w:t xml:space="preserve">the restructuring of certain </w:t>
      </w:r>
      <w:r>
        <w:rPr>
          <w:rFonts w:ascii="Arial;Helvetica;sans-serif" w:hAnsi="Arial;Helvetica;sans-serif"/>
          <w:sz w:val="20"/>
        </w:rPr>
        <w:t>contractual commitments</w:t>
      </w:r>
      <w:r>
        <w:rPr>
          <w:rFonts w:ascii="Times New Roman;Times;serif" w:hAnsi="Times New Roman;Times;serif"/>
          <w:sz w:val="20"/>
          <w:shd w:fill="FFFFFF" w:val="clear"/>
        </w:rPr>
        <w:t xml:space="preserve"> </w:t>
      </w:r>
      <w:r>
        <w:rPr>
          <w:rFonts w:ascii="Arial;Helvetica;sans-serif" w:hAnsi="Arial;Helvetica;sans-serif"/>
          <w:sz w:val="20"/>
          <w:shd w:fill="FFFFFF" w:val="clear"/>
        </w:rPr>
        <w:t xml:space="preserve">and other costs associated with certain </w:t>
      </w:r>
      <w:r>
        <w:rPr>
          <w:rFonts w:ascii="Arial;Helvetica;sans-serif" w:hAnsi="Arial;Helvetica;sans-serif"/>
          <w:sz w:val="20"/>
        </w:rPr>
        <w:t>contractual commitments, as well as payments made for 2025 obligations. As of September 30, 2025, our future “Other long-term obligations” were as follows:</w:t>
      </w:r>
    </w:p>
    <w:p>
      <w:pPr>
        <w:pStyle w:val="TextBody"/>
        <w:bidi w:val="0"/>
        <w:spacing w:before="0" w:after="0"/>
        <w:ind w:left="0" w:right="0" w:hanging="0"/>
        <w:jc w:val="left"/>
        <w:rPr/>
      </w:pPr>
      <w:r>
        <w:rPr/>
        <w:t>​</w:t>
      </w:r>
    </w:p>
    <w:tbl>
      <w:tblPr>
        <w:tblW w:w="6249" w:type="dxa"/>
        <w:jc w:val="left"/>
        <w:tblInd w:w="0" w:type="dxa"/>
        <w:tblLayout w:type="fixed"/>
        <w:tblCellMar>
          <w:top w:w="0" w:type="dxa"/>
          <w:left w:w="0" w:type="dxa"/>
          <w:bottom w:w="0" w:type="dxa"/>
          <w:right w:w="0" w:type="dxa"/>
        </w:tblCellMar>
      </w:tblPr>
      <w:tblGrid>
        <w:gridCol w:w="3151"/>
        <w:gridCol w:w="109"/>
        <w:gridCol w:w="601"/>
        <w:gridCol w:w="2234"/>
        <w:gridCol w:w="154"/>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00885" cy="175260"/>
                      <wp:effectExtent l="0" t="0" r="0" b="0"/>
                      <wp:wrapNone/>
                      <wp:docPr id="183" name="Frame18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81635" cy="175260"/>
                      <wp:effectExtent l="0" t="0" r="0" b="0"/>
                      <wp:wrapNone/>
                      <wp:docPr id="185" name="Frame18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18590" cy="175260"/>
                      <wp:effectExtent l="0" t="0" r="0" b="0"/>
                      <wp:wrapNone/>
                      <wp:docPr id="186" name="Frame186"/>
                      <a:graphic xmlns:a="http://schemas.openxmlformats.org/drawingml/2006/main">
                        <a:graphicData uri="http://schemas.microsoft.com/office/word/2010/wordprocessingShape">
                          <wps:wsp>
                            <wps:cNvSpPr txBox="1"/>
                            <wps:spPr>
                              <a:xfrm>
                                <a:off x="0" y="0"/>
                                <a:ext cx="141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7790" cy="175260"/>
                      <wp:effectExtent l="0" t="0" r="0" b="0"/>
                      <wp:wrapNone/>
                      <wp:docPr id="187" name="Frame1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Years Ending December 31,</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Other Long-Term Obligations (1)</w:t>
            </w:r>
          </w:p>
        </w:tc>
        <w:tc>
          <w:tcPr>
            <w:tcW w:w="154" w:type="dxa"/>
            <w:tcBorders/>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154"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 (remaining three months)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23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3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331,226</w:t>
            </w:r>
          </w:p>
        </w:tc>
        <w:tc>
          <w:tcPr>
            <w:tcW w:w="154"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3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3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3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360,883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3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ind w:left="0" w:right="0" w:hanging="0"/>
        <w:jc w:val="left"/>
        <w:rPr>
          <w:rFonts w:ascii="Times New Roman;Times;serif" w:hAnsi="Times New Roman;Times;serif"/>
          <w:sz w:val="24"/>
        </w:rPr>
      </w:pPr>
      <w:r>
        <w:rPr>
          <w:rFonts w:ascii="Arial;Helvetica;sans-serif" w:hAnsi="Arial;Helvetica;sans-serif"/>
          <w:sz w:val="20"/>
        </w:rPr>
        <w:t>(1) </w:t>
      </w:r>
      <w:r>
        <w:rPr>
          <w:rFonts w:ascii="Times New Roman;Times;serif" w:hAnsi="Times New Roman;Times;serif"/>
          <w:sz w:val="24"/>
        </w:rPr>
        <w:t xml:space="preserve"> </w:t>
      </w:r>
      <w:r>
        <w:rPr>
          <w:rFonts w:ascii="Arial;Helvetica;sans-serif" w:hAnsi="Arial;Helvetica;sans-serif"/>
          <w:sz w:val="20"/>
        </w:rPr>
        <w:t>Represents obligations for satellite related executory costs, TT&amp;C services and certain expenses associated with DISH Network’s Wireless segment.</w:t>
      </w:r>
    </w:p>
    <w:p>
      <w:pPr>
        <w:pStyle w:val="TextBody"/>
        <w:bidi w:val="0"/>
        <w:spacing w:before="40" w:after="0"/>
        <w:ind w:left="0" w:right="0" w:hanging="0"/>
        <w:jc w:val="left"/>
        <w:rPr>
          <w:color w:val="000000"/>
        </w:rPr>
      </w:pPr>
      <w:r>
        <w:rPr>
          <w:color w:val="000000"/>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Satellites Under Construction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satellite construction and launch costs for EchoStar XXV and EchoStar XXVI and any future lease obligations are not included in “Other long-term obligations” above.</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w:t>
      </w:r>
      <w:r>
        <w:rPr>
          <w:rFonts w:ascii="Times New Roman;Times;serif" w:hAnsi="Times New Roman;Times;serif"/>
          <w:sz w:val="20"/>
        </w:rPr>
        <w:t xml:space="preserve"> </w:t>
      </w:r>
      <w:r>
        <w:rPr>
          <w:rFonts w:ascii="Arial;Helvetica;sans-serif" w:hAnsi="Arial;Helvetica;sans-serif"/>
          <w:sz w:val="20"/>
        </w:rPr>
        <w:t>On March 20, 2023, DISH Network entered into a contract with Lanteris Space LLC for the construction of EchoStar XXV, a DBS satellite that is capable of providing service to the continental United States (“CONUS”) and is intended to be used at the 110 degree orbital location. During the fourth quarter of 2023, DISH Network entered into an agreement with SpaceX for launch services for this satellite, which is expected to be launched during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XXVI.</w:t>
      </w:r>
      <w:r>
        <w:rPr>
          <w:rFonts w:ascii="Times New Roman;Times;serif" w:hAnsi="Times New Roman;Times;serif"/>
          <w:sz w:val="20"/>
        </w:rPr>
        <w:t xml:space="preserve"> </w:t>
      </w:r>
      <w:r>
        <w:rPr>
          <w:rFonts w:ascii="Arial;Helvetica;sans-serif" w:hAnsi="Arial;Helvetica;sans-serif"/>
          <w:sz w:val="20"/>
        </w:rPr>
        <w:t>On May 15, 2025, DISH Network entered into a contract with Lanteris Space LLC for the construction of EchoStar XXVI, a DBS satellite that is capable of providing service to the CONUS and is intended to be used at the 119 degree orbital location. During the third quarter of 2025, DISH Network entered into an agreement with SpaceX for launch services for this satellite, which is expected to be launched during 2028.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DISH Network initially invested a total of over $30</w:t>
      </w:r>
      <w:r>
        <w:rPr>
          <w:rFonts w:ascii="Times New Roman;Times;serif" w:hAnsi="Times New Roman;Times;serif"/>
          <w:sz w:val="20"/>
        </w:rPr>
        <w:t xml:space="preserve"> </w:t>
      </w:r>
      <w:r>
        <w:rPr>
          <w:rFonts w:ascii="Arial;Helvetica;sans-serif" w:hAnsi="Arial;Helvetica;sans-serif"/>
          <w:sz w:val="20"/>
        </w:rPr>
        <w:t>billion in wireless spectrum licenses. A significant number of these licenses are included in the AT&amp;T Transactions announced during the third quarter of 2025 as detailed in Note 1 “</w:t>
      </w:r>
      <w:r>
        <w:rPr>
          <w:rFonts w:ascii="Arial;Helvetica;sans-serif" w:hAnsi="Arial;Helvetica;sans-serif"/>
          <w:i/>
          <w:sz w:val="20"/>
        </w:rPr>
        <w:t>Recent Developments</w:t>
      </w:r>
      <w:r>
        <w:rPr>
          <w:rFonts w:ascii="Arial;Helvetica;sans-serif" w:hAnsi="Arial;Helvetica;sans-serif"/>
          <w:sz w:val="20"/>
        </w:rPr>
        <w:t>.</w:t>
      </w:r>
      <w:r>
        <w:rPr>
          <w:rFonts w:ascii="Times New Roman;Times;serif" w:hAnsi="Times New Roman;Times;serif"/>
          <w:sz w:val="20"/>
        </w:rPr>
        <w:t xml:space="preserve">” </w:t>
      </w:r>
      <w:r>
        <w:rPr>
          <w:rFonts w:ascii="Arial;Helvetica;sans-serif" w:hAnsi="Arial;Helvetica;sans-serif"/>
          <w:sz w:val="20"/>
        </w:rPr>
        <w:t xml:space="preserve">They have terminated their deployment of the nation’s first cloud-native, Open Radio Access Network based 5G VoNR and broadband network, after meeting certain interim and final build-out requirements established by the FCC.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development of DISH Network’s wireless business, including, without limitation, the efforts described above, we have made cash distributions and intercompany loans to partially finance these efforts to date and may make additional cash distributions or loans to finance, in whole or in part, DISH Network’s future efforts, including, among other things, any potential Northstar re-auction payment and SNR re-auction payment.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See Note 10 </w:t>
      </w:r>
      <w:r>
        <w:rPr>
          <w:rFonts w:ascii="Times New Roman;Times;serif" w:hAnsi="Times New Roman;Times;serif"/>
          <w:sz w:val="20"/>
        </w:rPr>
        <w:t>“</w:t>
      </w:r>
      <w:r>
        <w:rPr>
          <w:rFonts w:ascii="Arial;Helvetica;sans-serif" w:hAnsi="Arial;Helvetica;sans-serif"/>
          <w:i/>
          <w:sz w:val="20"/>
        </w:rPr>
        <w:t>Commitments and Contingencies – Commitments – 5G Network”</w:t>
      </w:r>
      <w:r>
        <w:rPr>
          <w:rFonts w:ascii="Times New Roman;Times;serif" w:hAnsi="Times New Roman;Times;serif"/>
          <w:sz w:val="20"/>
        </w:rPr>
        <w:t xml:space="preserve"> </w:t>
      </w:r>
      <w:r>
        <w:rPr>
          <w:rFonts w:ascii="Arial;Helvetica;sans-serif" w:hAnsi="Arial;Helvetica;sans-serif"/>
          <w:sz w:val="20"/>
        </w:rPr>
        <w:t>in the Notes to</w:t>
      </w:r>
      <w:r>
        <w:rPr>
          <w:rFonts w:ascii="Times New Roman;Times;serif" w:hAnsi="Times New Roman;Times;serif"/>
          <w:sz w:val="20"/>
        </w:rPr>
        <w:t xml:space="preserve"> </w:t>
      </w:r>
      <w:r>
        <w:rPr>
          <w:rFonts w:ascii="Arial;Helvetica;sans-serif" w:hAnsi="Arial;Helvetica;sans-serif"/>
          <w:sz w:val="20"/>
        </w:rPr>
        <w:t>EchoStar’s Quarterly Report on Form 10-Q for the quarter ended September 30, 2025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ClearPlay, Inc.</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Arial;Helvetica;sans-serif" w:hAnsi="Arial;Helvetica;sans-serif"/>
          <w:sz w:val="20"/>
        </w:rPr>
        <w:t>On March 13, 2014, ClearPlay, Inc. (“ClearPlay”) filed a complaint against EchoStar and its wholly-owned subsidiaries DISH Network, DISH Network L.L.C., and EchoStar’s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w:t>
      </w:r>
      <w:r>
        <w:rPr>
          <w:rFonts w:ascii="Times New Roman;Times;serif" w:hAnsi="Times New Roman;Times;serif"/>
          <w:sz w:val="20"/>
        </w:rPr>
        <w:t xml:space="preserve">™ </w:t>
      </w:r>
      <w:r>
        <w:rPr>
          <w:rFonts w:ascii="Arial;Helvetica;sans-serif" w:hAnsi="Arial;Helvetica;sans-serif"/>
          <w:sz w:val="20"/>
        </w:rPr>
        <w:t xml:space="preserve">feature of our Hopper® set-top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1011" w:name="_DV_C2966"/>
      <w:bookmarkEnd w:id="1011"/>
      <w:r>
        <w:rPr>
          <w:rFonts w:ascii="Arial;Helvetica;sans-serif" w:hAnsi="Arial;Helvetica;sans-serif"/>
          <w:sz w:val="20"/>
        </w:rPr>
        <w:t>boxes infringes the asserted patents. On February 11, 2015, the case was stayed pending various third-party challenges before the United States Patent and Trademark Office regarding the validity of certain of the patents asserted in the 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EchoStar and DISH Network as defendants, leaving DISH Network L.L.C. and DISH Technologies L.L.C. as the sole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October and November 2020, DISH Network L.L.C. filed petitions with the United States Patent and Trademark Office requesting ex parte reexamination of the validity of the asserted claims of, respectively, the 784 patent, the 799 patent, the 318 patent and the 970 patent; and in November and December, 2020, the United States Patent and Trademark Office granted each request for reexamination. On May through July 2021, the United States Patent and Trademark Office issued Ex Parte Reexamination Certificates confirming the patentability of the challenged claims.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w:t>
      </w:r>
      <w:r>
        <w:rPr>
          <w:rFonts w:ascii="Times New Roman;Times;serif" w:hAnsi="Times New Roman;Times;serif"/>
          <w:sz w:val="20"/>
        </w:rPr>
        <w:t xml:space="preserve"> </w:t>
      </w:r>
      <w:r>
        <w:rPr>
          <w:rFonts w:ascii="Arial;Helvetica;sans-serif" w:hAnsi="Arial;Helvetica;sans-serif"/>
          <w:sz w:val="20"/>
        </w:rPr>
        <w:t>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Data Breach Class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May 9, 2023, Susan Owen-Brooks, an alleged customer, filed a putative class action complaint against DISH Network, our parent,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w:t>
      </w:r>
      <w:r>
        <w:rPr>
          <w:rFonts w:ascii="Times New Roman;Times;serif" w:hAnsi="Times New Roman;Times;serif"/>
          <w:sz w:val="20"/>
        </w:rPr>
        <w:t xml:space="preserve"> </w:t>
      </w:r>
      <w:r>
        <w:rPr>
          <w:rFonts w:ascii="Arial;Helvetica;sans-serif" w:hAnsi="Arial;Helvetica;sans-serif"/>
          <w:sz w:val="20"/>
        </w:rPr>
        <w:t>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w:t>
      </w:r>
      <w:r>
        <w:rPr>
          <w:rFonts w:ascii="Times New Roman;Times;serif" w:hAnsi="Times New Roman;Times;serif"/>
          <w:sz w:val="20"/>
        </w:rPr>
        <w:t xml:space="preserve"> </w:t>
      </w:r>
      <w:r>
        <w:rPr>
          <w:rFonts w:ascii="Arial;Helvetica;sans-serif" w:hAnsi="Arial;Helvetica;sans-serif"/>
          <w:sz w:val="20"/>
        </w:rPr>
        <w:t>of the eleven</w:t>
      </w:r>
      <w:r>
        <w:rPr>
          <w:rFonts w:ascii="Times New Roman;Times;serif" w:hAnsi="Times New Roman;Times;serif"/>
          <w:sz w:val="20"/>
        </w:rPr>
        <w:t xml:space="preserve"> </w:t>
      </w:r>
      <w:r>
        <w:rPr>
          <w:rFonts w:ascii="Arial;Helvetica;sans-serif" w:hAnsi="Arial;Helvetica;sans-serif"/>
          <w:sz w:val="20"/>
        </w:rPr>
        <w:t>named plaintiffs and as to certain causes of action. On October 29, 2024, the Plaintiffs filed the operative Second Amended Consolidated Class Action Complaint, which deletes the allegations as to the dismissed plaintiffs and causes of action, leaving three</w:t>
      </w:r>
      <w:r>
        <w:rPr>
          <w:rFonts w:ascii="Times New Roman;Times;serif" w:hAnsi="Times New Roman;Times;serif"/>
          <w:sz w:val="20"/>
        </w:rPr>
        <w:t xml:space="preserve"> </w:t>
      </w:r>
      <w:r>
        <w:rPr>
          <w:rFonts w:ascii="Arial;Helvetica;sans-serif" w:hAnsi="Arial;Helvetica;sans-serif"/>
          <w:sz w:val="20"/>
        </w:rPr>
        <w:t>named plaintiffs and causes of action for negligence, negligence per se, breach of implied contract, and declaratory judgment. DISH Network filed for summary judgment on lack of standing, on the grounds that plaintiffs had no evidence that their alleged harms were “fairly traceable” to the Cyber-security incident. Rather than oppose the motion, the plaintiffs agreed to a walk-away settlement and the case was dismissed on September 10, 2025. This matter is now concluded.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Digital Broadcasting Solutions, LLC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Digital Broadcasting Solutions appealed those final written decisions, and DISH Network L.L.C. and DISH Technologies L.L.C. cross-appealed as to the single patent claim that wasn’t invalidated. Briefing was completed on October 17, 2025. </w:t>
      </w:r>
      <w:r>
        <w:rPr>
          <w:rFonts w:ascii="Arial;Helvetica;sans-serif" w:hAnsi="Arial;Helvetica;sans-serif"/>
          <w:color w:val="222222"/>
          <w:sz w:val="20"/>
        </w:rPr>
        <w:t>The underlying case has been stayed since May 9, 2024,</w:t>
      </w:r>
      <w:r>
        <w:rPr>
          <w:rFonts w:ascii="Times New Roman;Times;serif" w:hAnsi="Times New Roman;Times;serif"/>
          <w:sz w:val="20"/>
        </w:rPr>
        <w:t xml:space="preserve"> </w:t>
      </w:r>
      <w:r>
        <w:rPr>
          <w:rFonts w:ascii="Arial;Helvetica;sans-serif" w:hAnsi="Arial;Helvetica;sans-serif"/>
          <w:sz w:val="20"/>
        </w:rPr>
        <w:t>pending resolution of the petitions before the United States Patent and Trademark Office and any related appeals.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(first action)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March 9, 2022, Entropic Communications, LLC (“Entropic”) filed a complaint against DISH Network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On October 24, 2022, this case was ordered to be transferred to the United States District Court for the Central District of California. A companion case against DirecTV was also ordered transferred to the United States District Court for the Central District of California. In January and February of 2023, DISH Network L.L.C. and Dish Network Service L.L.C. 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 Entropic’s expert claims that the DISH defendants owe damages of $212</w:t>
      </w:r>
      <w:r>
        <w:rPr>
          <w:rFonts w:ascii="Times New Roman;Times;serif" w:hAnsi="Times New Roman;Times;serif"/>
          <w:sz w:val="20"/>
        </w:rPr>
        <w:t xml:space="preserve"> </w:t>
      </w:r>
      <w:r>
        <w:rPr>
          <w:rFonts w:ascii="Arial;Helvetica;sans-serif" w:hAnsi="Arial;Helvetica;sans-serif"/>
          <w:sz w:val="20"/>
        </w:rPr>
        <w:t>million.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(second action)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10, 2023, Entropic filed a second lawsuit against DISH Network and our wholly-owned subsidiaries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 and Entropic has appealed the decision on the 518 patent and is pursuing rehearing of the decision on the 249 patent.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Err Content IP</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On November 3, 2025, Err Content IP, LLC filed a complaint against EchoStar Communications Corporation, the predecessor to DISH Network, our parent, in the United States District Court for the Southern District of Texas. The complaint alleges infringement of United States Patent No. 10,721,542 (the “542 Patent”), entitled “Bandwidth shaping client to capture, transform, cache, and upload images from a remote point of recordation to a network service.” The infringement allegations generally relate to using AirPlay to watch content from the DISH Anywhere app on a paired television screen.</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EchoStar intends to vigorously defend this case. In the event that a court ultimately determines that EchoStar infringes the asserted patents, EchoStar may be subject to substantial damages, which may include treble damages, and/or an injunction that could require EchoStar and us to materially modify certain features that we currently offer to consumers. EchoStar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Jones 401(k)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On December 20, 2021, four former employees filed a class action complaint in the United States District Court for the District of Colorado against DISH Network, DISH Network’s Board of Directors at that time, and DISH Network’s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Helvetica;sans-serif" w:hAnsi="Arial;Helvetica;sans-serif"/>
          <w:sz w:val="20"/>
          <w:shd w:fill="FFFFFF" w:val="clear"/>
        </w:rPr>
        <w:t>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retention and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Pursuant to the parties’ stipulation, the case was stayed from October 30, 2024 through May 29, 2025 to facilitate a mediation, but the parties did not reach a settlement. The plaintiffs’ expert claims damages of $16.7</w:t>
      </w:r>
      <w:r>
        <w:rPr>
          <w:rFonts w:ascii="Times New Roman;Times;serif" w:hAnsi="Times New Roman;Times;serif"/>
          <w:sz w:val="20"/>
          <w:shd w:fill="FFFFFF" w:val="clear"/>
        </w:rPr>
        <w:t xml:space="preserve"> </w:t>
      </w:r>
      <w:r>
        <w:rPr>
          <w:rFonts w:ascii="Arial;Helvetica;sans-serif" w:hAnsi="Arial;Helvetica;sans-serif"/>
          <w:sz w:val="20"/>
          <w:shd w:fill="FFFFFF" w:val="clear"/>
        </w:rPr>
        <w:t>million, which is reduced to $10.7</w:t>
      </w:r>
      <w:r>
        <w:rPr>
          <w:rFonts w:ascii="Times New Roman;Times;serif" w:hAnsi="Times New Roman;Times;serif"/>
          <w:sz w:val="20"/>
          <w:shd w:fill="FFFFFF" w:val="clear"/>
        </w:rPr>
        <w:t xml:space="preserve"> </w:t>
      </w:r>
      <w:r>
        <w:rPr>
          <w:rFonts w:ascii="Arial;Helvetica;sans-serif" w:hAnsi="Arial;Helvetica;sans-serif"/>
          <w:sz w:val="20"/>
          <w:shd w:fill="FFFFFF" w:val="clear"/>
        </w:rPr>
        <w:t>million when Fidelity revenue sharing is credited.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Lingam Securities Class Action (formerly Jaramillo)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23, 2023, a securities fraud class action complaint was filed against DISH Network and Messrs. Ergen, Carlson and Orban in the United States District Court for the District of Colorado. The complaint was brought on behalf of a putative class of purchasers of DISH Network’s securities during the February 22, 2021 to February 27, 2023 class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amended complaint added as individual defendants James S. Allen, DISH Network’s Senior Vice President and Chief Accounting Officer; John Swieringa, DISH Network’s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The plaintiffs appealed to the United States Court of Appeals for the Tenth Circuit, and briefing was completed on September 12,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Realtime Data LLC and Realtime Adaptive Streaming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6, 2017, Realtime Data LLC d/b/a IXO (“Realtime”) filed an amended complaint in the United States District Court for the Eastern District of Texas (the “Original Texas Action”) against EchoStar, DISH Network; our wholly-owned subsidiaries DISH Network L.L.C., DISH Technologies L.L.C. (then known as EchoStar Technologies L.L.C.), Sling TV L.L.C., Sling Media L.L.C. and EchoStar’s wholly-owned subsidiary Hughes Network Systems, L.L.C. (“HNS”); and Arris Group, Inc. Realtime’s initial complaint in the Original Texas Action, filed on February 14, 2017, had named only EchoStar and HNS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Realtime alleges that DISH Network’s,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1012" w:name="_DV_C2621"/>
      <w:bookmarkEnd w:id="1012"/>
      <w:r>
        <w:rPr>
          <w:rFonts w:ascii="Arial;Helvetica;sans-serif" w:hAnsi="Arial;Helvetica;sans-serif"/>
          <w:sz w:val="20"/>
        </w:rPr>
        <w:t>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w:t>
      </w:r>
      <w:r>
        <w:rPr>
          <w:rFonts w:ascii="Times New Roman;Times;serif" w:hAnsi="Times New Roman;Times;serif"/>
          <w:sz w:val="20"/>
        </w:rPr>
        <w:t xml:space="preserve"> </w:t>
      </w:r>
      <w:r>
        <w:rPr>
          <w:rFonts w:ascii="Arial;Helvetica;sans-serif" w:hAnsi="Arial;Helvetica;sans-serif"/>
          <w:sz w:val="20"/>
        </w:rPr>
        <w:t>EchoStar and HNS were dismissed from the Original Texas Action in February 2019, and Arris Group, Inc. was dismissed from the Colorado Action in March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w:t>
      </w:r>
      <w:r>
        <w:rPr>
          <w:rFonts w:ascii="Arial;Helvetica;sans-serif" w:hAnsi="Arial;Helvetica;sans-serif"/>
          <w:spacing w:val="-2"/>
          <w:sz w:val="20"/>
        </w:rPr>
        <w:t xml:space="preserve">On March 16, 2021, the Court of Appeals dismissed the appeal for lack of jurisdiction. </w:t>
      </w:r>
      <w:r>
        <w:rPr>
          <w:rFonts w:ascii="Arial;Helvetica;sans-serif" w:hAnsi="Arial;Helvetica;sans-serif"/>
          <w:sz w:val="20"/>
        </w:rPr>
        <w:t>On April 29, 2021, Sling TV L.L.C., Sling Media L.L.C., DISH Network L.L.C., and DISH Technologies L.L.C. filed a petition for rehearing, which was denied on June 28, 2021.</w:t>
      </w:r>
      <w:r>
        <w:rPr>
          <w:rFonts w:ascii="Times New Roman;Times;serif" w:hAnsi="Times New Roman;Times;serif"/>
          <w:sz w:val="20"/>
        </w:rPr>
        <w:t xml:space="preserve"> </w:t>
      </w:r>
      <w:r>
        <w:rPr>
          <w:rFonts w:ascii="Arial;Helvetica;sans-serif" w:hAnsi="Arial;Helvetica;sans-serif"/>
          <w:spacing w:val="-2"/>
          <w:sz w:val="20"/>
        </w:rPr>
        <w:t>On January 12, 2021, Realtime Adaptive Streaming filed a notice of dismissal of its claims on the 535 patent.</w:t>
      </w:r>
    </w:p>
    <w:p>
      <w:pPr>
        <w:pStyle w:val="TextBody"/>
        <w:bidi w:val="0"/>
        <w:spacing w:before="0" w:after="0"/>
        <w:ind w:left="0" w:right="0" w:hanging="0"/>
        <w:jc w:val="left"/>
        <w:rPr>
          <w:spacing w:val="-2"/>
        </w:rPr>
      </w:pPr>
      <w:r>
        <w:rPr>
          <w:spacing w:val="-2"/>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July 30, 2021, the District Court granted summary judgment in favor of DISH Network L.L.C., DISH Technologies L.L.C., Sling TV L.L.C. and Sling Media L.L.C., holding that the remaining asserted patent, the 610 patent, is invalid because it claims patent-ineligible abstract subject matter.</w:t>
      </w:r>
      <w:r>
        <w:rPr>
          <w:rFonts w:ascii="Times New Roman;Times;serif" w:hAnsi="Times New Roman;Times;serif"/>
          <w:spacing w:val="-2"/>
          <w:sz w:val="20"/>
        </w:rPr>
        <w:t xml:space="preserve"> </w:t>
      </w:r>
      <w:r>
        <w:rPr>
          <w:rFonts w:ascii="Arial;Helvetica;sans-serif" w:hAnsi="Arial;Helvetica;sans-serif"/>
          <w:spacing w:val="-2"/>
          <w:sz w:val="20"/>
        </w:rPr>
        <w:t>Realtime Adaptive Streaming appealed that ruling to the United States Court of Appeals for the Federal Circuit</w:t>
      </w:r>
      <w:r>
        <w:rPr>
          <w:rFonts w:ascii="Arial;Helvetica;sans-serif" w:hAnsi="Arial;Helvetica;sans-serif"/>
          <w:sz w:val="20"/>
        </w:rPr>
        <w:t xml:space="preserve">, and on May 11, 2023, that Court affirmed the District Court’s summary judgment order. </w:t>
      </w:r>
      <w:r>
        <w:rPr>
          <w:rFonts w:ascii="Arial;Helvetica;sans-serif" w:hAnsi="Arial;Helvetica;sans-serif"/>
          <w:spacing w:val="-2"/>
          <w:sz w:val="20"/>
        </w:rPr>
        <w:t xml:space="preserve">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w:t>
      </w:r>
      <w:r>
        <w:rPr>
          <w:rFonts w:ascii="Arial;Helvetica;sans-serif" w:hAnsi="Arial;Helvetica;sans-serif"/>
          <w:sz w:val="20"/>
        </w:rPr>
        <w:t>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 xml:space="preserve">On January 21, 2022, the District Court granted the motion </w:t>
      </w:r>
      <w:r>
        <w:rPr>
          <w:rFonts w:ascii="Arial;Helvetica;sans-serif" w:hAnsi="Arial;Helvetica;sans-serif"/>
          <w:sz w:val="20"/>
        </w:rPr>
        <w:t>by DISH Network L.L.C., DISH Technologies L.L.C., Sling TV L.L.C. and Sling Media L.L.C.</w:t>
      </w:r>
      <w:r>
        <w:rPr>
          <w:rFonts w:ascii="Times New Roman;Times;serif" w:hAnsi="Times New Roman;Times;serif"/>
          <w:spacing w:val="-2"/>
          <w:sz w:val="20"/>
        </w:rPr>
        <w:t xml:space="preserve"> </w:t>
      </w:r>
      <w:r>
        <w:rPr>
          <w:rFonts w:ascii="Arial;Helvetica;sans-serif" w:hAnsi="Arial;Helvetica;sans-serif"/>
          <w:spacing w:val="-2"/>
          <w:sz w:val="20"/>
        </w:rPr>
        <w:t>to have the case declared “exceptional,” and on September 20, 2022, awarded them $3.9</w:t>
      </w:r>
      <w:r>
        <w:rPr>
          <w:rFonts w:ascii="Times New Roman;Times;serif" w:hAnsi="Times New Roman;Times;serif"/>
          <w:spacing w:val="-2"/>
          <w:sz w:val="20"/>
        </w:rPr>
        <w:t xml:space="preserve"> </w:t>
      </w:r>
      <w:r>
        <w:rPr>
          <w:rFonts w:ascii="Arial;Helvetica;sans-serif" w:hAnsi="Arial;Helvetica;sans-serif"/>
          <w:spacing w:val="-2"/>
          <w:sz w:val="20"/>
        </w:rPr>
        <w:t xml:space="preserve">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w:t>
      </w:r>
      <w:r>
        <w:rPr>
          <w:rFonts w:ascii="Arial;Helvetica;sans-serif" w:hAnsi="Arial;Helvetica;sans-serif"/>
          <w:sz w:val="20"/>
        </w:rPr>
        <w:t>On February 5, 2025, on remand, the District Court denied the motion to declare the case exceptional. On March 6, 2025, DISH Network L.L.C., DISH Technologies L.L.C., Sling TV L.L.C. and Sling Media L.L.C. filed a notice of appeal of that order, but dismissed the appeal on July 3, 2025. This matter is now concluded.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SafeCast Limited</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27, 2022, SafeCast Limited filed a complaint against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filed a motion to terminate their petition before the United States Patent and Trademark Office, which was granted on June 5, 2025. On July 28, 2025, the District Court dismissed the litigation. This matter is now concluded.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bookmarkStart w:id="1013" w:name="_DV_M1612"/>
      <w:bookmarkStart w:id="1014" w:name="_DV_C2193"/>
      <w:bookmarkEnd w:id="1013"/>
      <w:bookmarkEnd w:id="1014"/>
      <w:r>
        <w:rPr>
          <w:rFonts w:ascii="Arial;Helvetica;sans-serif" w:hAnsi="Arial;Helvetica;sans-serif"/>
          <w:i/>
          <w:sz w:val="20"/>
        </w:rPr>
        <w:t>Sling Pass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August 26, 2025, ESPN Enterprises, Inc. and other Disney affiliates sued our wholly-owned subsidiary DISH Network L.L.C. in the United States District Court for the Southern District of New York. On September 5, 2025, WarnerMedia Network Sales and other Warner Bros Discovery (“WBD”) affiliates sued our wholly-owned subsidiary DISH Network L.L.C. in the same court. In each case, the plaintiffs contend that Sling TV’s Day Pass, Weekend Pass and Week Pass subscriptions breach their respective carriage agreements with us. In their respective cases, both the Disney plaintiff and the WBD plaintiffs have sought a preliminary injunction to enjoin the Passes. The motions are fully briefed, and the Court has heard arguments on each motion, but it has not yet ruled.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Sound View Innovations,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Federal Circuit heard oral argument on the 796 patent appeal on October 3, 2023, and affirmed the United States Patent and Trademark Office’s adverse final written decision on October 5, 2023.</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w:t>
      </w:r>
      <w:r>
        <w:rPr>
          <w:rFonts w:ascii="Times New Roman;Times;serif" w:hAnsi="Times New Roman;Times;serif"/>
          <w:sz w:val="20"/>
        </w:rPr>
        <w:t xml:space="preserve"> </w:t>
      </w:r>
      <w:r>
        <w:rPr>
          <w:rFonts w:ascii="Arial;Helvetica;sans-serif" w:hAnsi="Arial;Helvetica;sans-serif"/>
          <w:sz w:val="20"/>
        </w:rPr>
        <w:t>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TQ Delta,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their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w:t>
      </w:r>
      <w:r>
        <w:rPr>
          <w:rFonts w:ascii="Times New Roman;Times;serif" w:hAnsi="Times New Roman;Times;serif"/>
          <w:sz w:val="20"/>
        </w:rPr>
        <w:t xml:space="preserve"> </w:t>
      </w:r>
      <w:r>
        <w:rPr>
          <w:rFonts w:ascii="Arial;Helvetica;sans-serif" w:hAnsi="Arial;Helvetica;sans-serif"/>
          <w:sz w:val="20"/>
        </w:rPr>
        <w:t>million in damages. The Court has set a trial date of November 8,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Uniloc 2017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color w:val="000000"/>
          <w:sz w:val="20"/>
        </w:rPr>
      </w:pPr>
      <w:bookmarkStart w:id="1015" w:name="_DV_X19"/>
      <w:bookmarkEnd w:id="1015"/>
      <w:r>
        <w:rPr>
          <w:rFonts w:ascii="Arial;Helvetica;sans-serif" w:hAnsi="Arial;Helvetica;sans-serif"/>
          <w:i/>
          <w:color w:val="000000"/>
          <w:sz w:val="20"/>
        </w:rPr>
        <w:t>U.S. Bank Trust Company</w:t>
      </w:r>
    </w:p>
    <w:p>
      <w:pPr>
        <w:pStyle w:val="TextBody"/>
        <w:pBdr/>
        <w:bidi w:val="0"/>
        <w:spacing w:lineRule="auto" w:line="302" w:before="0" w:after="120"/>
        <w:ind w:left="0" w:right="0" w:hanging="9"/>
        <w:jc w:val="left"/>
        <w:rPr/>
      </w:pPr>
      <w:r>
        <w:rPr/>
        <w:t>​</w:t>
      </w:r>
    </w:p>
    <w:p>
      <w:pPr>
        <w:pStyle w:val="TextBody"/>
        <w:pBdr/>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On April 26, 2024, U.S. Bank Trust Company, in its capacity as Trustee under the Indentures for DISH DBS Corporation’s 5.75%</w:t>
      </w:r>
      <w:r>
        <w:rPr>
          <w:rFonts w:ascii="Helvetica;sans-serif" w:hAnsi="Helvetica;sans-serif"/>
          <w:sz w:val="20"/>
        </w:rPr>
        <w:t xml:space="preserve"> </w:t>
      </w:r>
      <w:r>
        <w:rPr>
          <w:rFonts w:ascii="Arial;Helvetica;sans-serif" w:hAnsi="Arial;Helvetica;sans-serif"/>
          <w:sz w:val="20"/>
        </w:rPr>
        <w:t>Senior Secured Notes due 2028 and 7.75%</w:t>
      </w:r>
      <w:r>
        <w:rPr>
          <w:rFonts w:ascii="Helvetica;sans-serif" w:hAnsi="Helvetica;sans-serif"/>
          <w:sz w:val="20"/>
        </w:rPr>
        <w:t xml:space="preserve"> </w:t>
      </w:r>
      <w:r>
        <w:rPr>
          <w:rFonts w:ascii="Arial;Helvetica;sans-serif" w:hAnsi="Arial;Helvetica;sans-serif"/>
          <w:sz w:val="20"/>
        </w:rPr>
        <w:t>Senior Notes due 2026, filed an action in state court in New York City against DISH DBS Corporation, DISH Network L.L.C., EchoStar Intercompany Receivable Company L.L.C., DISH DBS Issuer LLC, and DBS Intercompany Receivable L.L.C. In its original complaint, the Trustee contended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pStyle w:val="TextBody"/>
        <w:pBdr/>
        <w:bidi w:val="0"/>
        <w:spacing w:lineRule="auto" w:line="302" w:before="0" w:after="120"/>
        <w:ind w:left="0" w:right="0" w:hanging="9"/>
        <w:jc w:val="left"/>
        <w:rPr/>
      </w:pPr>
      <w:r>
        <w:rPr/>
        <w:t>​</w:t>
      </w:r>
    </w:p>
    <w:p>
      <w:pPr>
        <w:pStyle w:val="TextBody"/>
        <w:pBdr/>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 (collectively, the “September 2024 Transactions”). The defendants moved to dismiss the second amended complaint and, on August 21, 2025, the Court granted the motion to dismiss the claims that were based on the September 2024 Transactions but otherwise denied the motion.</w:t>
      </w:r>
    </w:p>
    <w:p>
      <w:pPr>
        <w:pStyle w:val="TextBody"/>
        <w:pBdr/>
        <w:bidi w:val="0"/>
        <w:spacing w:lineRule="auto" w:line="302" w:before="0" w:after="12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Vermont National Telephone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September 23, 2016, the United States District Court for the District of Columbia unsealed a qui tam complaint that, on May 13, 2015, Vermont National Telephone Company (“Vermont National”) filed against DISH Network; DISH Network’s wholly-owned subsidiaries, American AWS-3 Wireless I L.L.C., American II, American III, and DISH Wireless Holding L.L.C.; Charles W. Ergen (DISH Network’s Chairman) and Cantey M. Ergen (a member of DISH Network’s Board of Directors, at that time); Northstar Wireless; Northstar Spectrum; Northstar Manager, LLC; SNR Wireless; SNR HoldCo; SNR Wireless Management, LLC; and certain other parties. The complaint alleges violations of the federal civil False Claims Act (the “FCA”) based on, among other things, allegations that Northstar Wireless and SNR Wireless falsely claimed bidding credits of 25%</w:t>
      </w:r>
      <w:r>
        <w:rPr>
          <w:rFonts w:ascii="Times New Roman;Times;serif" w:hAnsi="Times New Roman;Times;serif"/>
          <w:sz w:val="20"/>
        </w:rPr>
        <w:t xml:space="preserve"> </w:t>
      </w:r>
      <w:r>
        <w:rPr>
          <w:rFonts w:ascii="Arial;Helvetica;sans-serif" w:hAnsi="Arial;Helvetica;sans-serif"/>
          <w:sz w:val="20"/>
        </w:rPr>
        <w:t xml:space="preserve">in the AWS-3 Auction when they were allegedly under the de facto control of DISH Network and, therefore, were not entitled to the bidding credits as designated entities under applicable FCC rules. </w:t>
      </w:r>
      <w:r>
        <w:rPr>
          <w:rFonts w:ascii="Arial;Helvetica;sans-serif" w:hAnsi="Arial;Helvetica;sans-serif"/>
          <w:spacing w:val="-2"/>
          <w:sz w:val="20"/>
        </w:rPr>
        <w:t>Vermont National</w:t>
      </w:r>
      <w:r>
        <w:rPr>
          <w:rFonts w:ascii="Times New Roman;Times;serif" w:hAnsi="Times New Roman;Times;serif"/>
          <w:spacing w:val="-2"/>
          <w:sz w:val="20"/>
        </w:rPr>
        <w:t xml:space="preserve"> </w:t>
      </w:r>
      <w:r>
        <w:rPr>
          <w:rFonts w:ascii="Arial;Helvetica;sans-serif" w:hAnsi="Arial;Helvetica;sans-serif"/>
          <w:spacing w:val="-2"/>
          <w:sz w:val="20"/>
        </w:rPr>
        <w:t>participated in the AWS-3 Auction through its wholly-owned subsidiary, VTel Wireless.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 xml:space="preserve">The complaint was unsealed after the United States Department of Justice notified the District Court that it had declined to intervene in the action. </w:t>
      </w:r>
      <w:r>
        <w:rPr>
          <w:rFonts w:ascii="Arial;Helvetica;sans-serif" w:hAnsi="Arial;Helvetica;sans-serif"/>
          <w:sz w:val="20"/>
        </w:rPr>
        <w:t>Vermont National seeks to recover on behalf of the United States government approximately $10</w:t>
      </w:r>
      <w:r>
        <w:rPr>
          <w:rFonts w:ascii="Times New Roman;Times;serif" w:hAnsi="Times New Roman;Times;serif"/>
          <w:sz w:val="20"/>
        </w:rPr>
        <w:t xml:space="preserve"> </w:t>
      </w:r>
      <w:r>
        <w:rPr>
          <w:rFonts w:ascii="Arial;Helvetica;sans-serif" w:hAnsi="Arial;Helvetica;sans-serif"/>
          <w:sz w:val="20"/>
        </w:rPr>
        <w:t>billion, which reflects the $3.3</w:t>
      </w:r>
      <w:r>
        <w:rPr>
          <w:rFonts w:ascii="Times New Roman;Times;serif" w:hAnsi="Times New Roman;Times;serif"/>
          <w:sz w:val="20"/>
        </w:rPr>
        <w:t xml:space="preserve"> </w:t>
      </w:r>
      <w:r>
        <w:rPr>
          <w:rFonts w:ascii="Arial;Helvetica;sans-serif" w:hAnsi="Arial;Helvetica;sans-serif"/>
          <w:sz w:val="20"/>
        </w:rPr>
        <w:t>billion in bidding credits that Northstar Wireless and SNR Wireless claimed in the AWS-3 Auction, trebled under the FCA. Vermont National also seeks civil penalties of not less than $5,500</w:t>
      </w:r>
      <w:r>
        <w:rPr>
          <w:rFonts w:ascii="Times New Roman;Times;serif" w:hAnsi="Times New Roman;Times;serif"/>
          <w:sz w:val="20"/>
        </w:rPr>
        <w:t xml:space="preserve"> </w:t>
      </w:r>
      <w:r>
        <w:rPr>
          <w:rFonts w:ascii="Arial;Helvetica;sans-serif" w:hAnsi="Arial;Helvetica;sans-serif"/>
          <w:sz w:val="20"/>
        </w:rPr>
        <w:t>and not more than $11,000</w:t>
      </w:r>
      <w:r>
        <w:rPr>
          <w:rFonts w:ascii="Times New Roman;Times;serif" w:hAnsi="Times New Roman;Times;serif"/>
          <w:sz w:val="20"/>
        </w:rPr>
        <w:t xml:space="preserve"> </w:t>
      </w:r>
      <w:r>
        <w:rPr>
          <w:rFonts w:ascii="Arial;Helvetica;sans-serif" w:hAnsi="Arial;Helvetica;sans-serif"/>
          <w:sz w:val="20"/>
        </w:rPr>
        <w:t xml:space="preserve">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Helvetica;sans-serif" w:hAnsi="Arial;Helvetica;sans-serif"/>
          <w:i/>
          <w:sz w:val="20"/>
        </w:rPr>
        <w:t xml:space="preserve">SNR Wireless LicenseCo, LLC, et al. v. F.C.C. </w:t>
      </w:r>
      <w:r>
        <w:rPr>
          <w:rFonts w:ascii="Arial;Helvetica;sans-serif" w:hAnsi="Arial;Helvetica;sans-serif"/>
          <w:sz w:val="20"/>
        </w:rPr>
        <w:t>The D.C. Circuit issued its opinion on August 29, 2017 and remanded the matter to the FCC for further proceedings.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this proceeding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tbl>
      <w:tblPr>
        <w:tblW w:w="2237" w:type="dxa"/>
        <w:jc w:val="left"/>
        <w:tblInd w:w="0" w:type="dxa"/>
        <w:tblLayout w:type="fixed"/>
        <w:tblCellMar>
          <w:top w:w="0" w:type="dxa"/>
          <w:left w:w="0" w:type="dxa"/>
          <w:bottom w:w="0" w:type="dxa"/>
          <w:right w:w="0" w:type="dxa"/>
        </w:tblCellMar>
      </w:tblPr>
      <w:tblGrid>
        <w:gridCol w:w="286"/>
        <w:gridCol w:w="195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9.</w:t>
            </w:r>
          </w:p>
        </w:tc>
        <w:tc>
          <w:tcPr>
            <w:tcW w:w="195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Segment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currently operate one</w:t>
      </w:r>
      <w:r>
        <w:rPr>
          <w:rFonts w:ascii="Times New Roman;Times;serif" w:hAnsi="Times New Roman;Times;serif"/>
          <w:sz w:val="20"/>
        </w:rPr>
        <w:t xml:space="preserve"> </w:t>
      </w:r>
      <w:r>
        <w:rPr>
          <w:rFonts w:ascii="Arial;Helvetica;sans-serif" w:hAnsi="Arial;Helvetica;sans-serif"/>
          <w:sz w:val="20"/>
        </w:rPr>
        <w:t>primary business segment, Pay-TV. See Note 1 for further information. Our chief operating decision maker (“CODM”) is our President and Chief Executive Officer.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 The CODM is not regularly provided assets on a segment basis; therefore, such information is not presented.</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6" w:name="Tc_X3-pFNc5-US43KlsDw26Mg_38_11"/>
      <w:bookmarkStart w:id="1017" w:name="Tc_lIEDwiw1vUK3v06p7U6eXg_38_8"/>
      <w:bookmarkStart w:id="1018" w:name="Tc_pl8huTLwmkKu93RMBYg0KQ_38_5"/>
      <w:bookmarkStart w:id="1019" w:name="Tc_vS9eSRnrVkOG497LqmRfDQ_38_2"/>
      <w:bookmarkStart w:id="1020" w:name="Tc_K-7wKIKNz0-P-wOyov6ppQ_38_0"/>
      <w:bookmarkStart w:id="1021" w:name="Tc_dWn0i_8lxEe7FF4eMMaQyg_36_11"/>
      <w:bookmarkStart w:id="1022" w:name="Tc_LklcZFzi-06J3Z2CuhjKig_36_8"/>
      <w:bookmarkStart w:id="1023" w:name="Tc_ObErk88OLkSF8FBK5-POpw_36_5"/>
      <w:bookmarkStart w:id="1024" w:name="Tc_QGXQkBmfgUS1FroJDg_vzQ_36_2"/>
      <w:bookmarkStart w:id="1025" w:name="Tc_nnYPGc0Dh0ScasCVt2hnWQ_36_0"/>
      <w:bookmarkStart w:id="1026" w:name="Tc_XCdn_Jdwb0qgAL_6uIABag_35_0"/>
      <w:bookmarkStart w:id="1027" w:name="Tc_ALJaxX77nEujjflyaemgnQ_34_0"/>
      <w:bookmarkStart w:id="1028" w:name="Tc_Ygrvtu47bE-krEm1lykhKg_32_0"/>
      <w:bookmarkStart w:id="1029" w:name="Tc_Hfzd8KAyYkC1R8Al693kzA_31_0"/>
      <w:bookmarkStart w:id="1030" w:name="Tc_2QnunOf1D0uZ_eT-I4d0Vg_30_0"/>
      <w:bookmarkStart w:id="1031" w:name="Tc_vKY4W_Dje0Wt0x4T4pFOyg_29_0"/>
      <w:bookmarkStart w:id="1032" w:name="Tc_swXBXVpeX02E_32M_u0krw_27_11"/>
      <w:bookmarkStart w:id="1033" w:name="Tc_7CHFcEr9SkiYOs5g9P7pyQ_27_8"/>
      <w:bookmarkStart w:id="1034" w:name="Tc_d8gpycJeFUiS7elYI0ig0g_27_5"/>
      <w:bookmarkStart w:id="1035" w:name="Tc_oozY4KvCDUyIdCbpA_VhFw_27_2"/>
      <w:bookmarkStart w:id="1036" w:name="Tc_T5-t56Sv6kyJYOuBF_4KGg_27_0"/>
      <w:bookmarkStart w:id="1037" w:name="Tc_LshahzxPlkWSF5cSUXMyCg_25_0"/>
      <w:bookmarkStart w:id="1038" w:name="Tc_yTSwwSl0KEmRxYYQXwfE9w_24_0"/>
      <w:bookmarkStart w:id="1039" w:name="Tc_W1QGzpAPkkOJ23btZbKkbg_22_0"/>
      <w:bookmarkStart w:id="1040" w:name="Tc_CMhBxEnwdk2oc5BqX-_4pw_20_0"/>
      <w:bookmarkStart w:id="1041" w:name="Tc_g2po-C0df0KQ7l8StcoY3Q_19_0"/>
      <w:bookmarkStart w:id="1042" w:name="Tc__Etz2iSIM0ak0TEgylcp2w_18_0"/>
      <w:bookmarkStart w:id="1043" w:name="Tc_y7EmBdtD6Euu0qkKrNjUdw_17_0"/>
      <w:bookmarkStart w:id="1044" w:name="Tc_tuFhVTWJJ0SksaDXhdcr-w_16_0"/>
      <w:bookmarkStart w:id="1045" w:name="Tc_lqdaq2tpnUm5ObNj62rWzw_15_0"/>
      <w:bookmarkStart w:id="1046" w:name="Tc_a9lKzIeAYUeLawzOHlEPiQ_14_0"/>
      <w:bookmarkStart w:id="1047" w:name="Tc_dc2jrhkHwEy16Cw9PpmS2A_13_0"/>
      <w:bookmarkStart w:id="1048" w:name="Tc_IWs1cFaPX0-QM2ByqOW3qQ_12_0"/>
      <w:bookmarkStart w:id="1049" w:name="Tc_TQ_-iGL6X0q2Btmj32JnUg_11_0"/>
      <w:bookmarkStart w:id="1050" w:name="Tc__F1U_-pdM0GguhUwA8p2JQ_10_0"/>
      <w:bookmarkStart w:id="1051" w:name="Tc__3FTAgbu5UmdPrEAiQDx-Q_8_0"/>
      <w:bookmarkStart w:id="1052" w:name="Tc_o3HoUf0Po0-8-7D_1DBRFw_7_0"/>
      <w:bookmarkStart w:id="1053" w:name="Tc_Z-i8CFR280CV7uuWaYiiIA_6_11"/>
      <w:bookmarkStart w:id="1054" w:name="Tc_T1gML_jQDUicXR3wsDacWQ_6_8"/>
      <w:bookmarkStart w:id="1055" w:name="Tc_GWrQiVsHdkWbr2lUNEgR9A_6_5"/>
      <w:bookmarkStart w:id="1056" w:name="Tc_RWhQ95iN6Uy7m_KM8MHcYA_6_2"/>
      <w:bookmarkStart w:id="1057" w:name="Tc_eQlc5R9SX0isBy8FpVREiw_6_0"/>
      <w:bookmarkStart w:id="1058" w:name="Tc_LsGu9LmhZ0264Ic-nmOaFA_5_0"/>
      <w:bookmarkStart w:id="1059" w:name="Tc_e-POxzIhskiWPgZqZGXJxw_4_2"/>
      <w:bookmarkStart w:id="1060" w:name="Tc_ue6Rk5dgGkSQHZNFPGzcuA_3_11"/>
      <w:bookmarkStart w:id="1061" w:name="Tc_2T8u0o2cVkG9tEbi5dVxAg_3_8"/>
      <w:bookmarkStart w:id="1062" w:name="Tc_35ikkYcD0UuRdnnkf_15Aw_3_5"/>
      <w:bookmarkStart w:id="1063" w:name="Tc_JI2XMtJbykuXGESpFVOSlg_3_2"/>
      <w:bookmarkStart w:id="1064" w:name="Tc_qQc-A0lj1E2b_xL0izrzYg_3_0"/>
      <w:bookmarkStart w:id="1065" w:name="Tc_FvIrZYI7Z0CuDfxnztDjIA_2_8"/>
      <w:bookmarkStart w:id="1066" w:name="Tc__wz9kUMttE6Sqp-1LNiSrg_2_2"/>
      <w:bookmarkStart w:id="1067" w:name="Tc_iTAjttkXpkqeZMwDCbWK6A_1_8"/>
      <w:bookmarkStart w:id="1068" w:name="Tc_lhzfI2ZZ3kiTwVGrt5Xqaw_1_2"/>
      <w:bookmarkStart w:id="1069" w:name="_f8c8432d_b043_47bb_b97f_ae075d2d7e3b"/>
      <w:bookmarkStart w:id="1070" w:name="Tc_X3-pFNc5-US43KlsDw26Mg_38_11"/>
      <w:bookmarkStart w:id="1071" w:name="Tc_lIEDwiw1vUK3v06p7U6eXg_38_8"/>
      <w:bookmarkStart w:id="1072" w:name="Tc_pl8huTLwmkKu93RMBYg0KQ_38_5"/>
      <w:bookmarkStart w:id="1073" w:name="Tc_vS9eSRnrVkOG497LqmRfDQ_38_2"/>
      <w:bookmarkStart w:id="1074" w:name="Tc_K-7wKIKNz0-P-wOyov6ppQ_38_0"/>
      <w:bookmarkStart w:id="1075" w:name="Tc_dWn0i_8lxEe7FF4eMMaQyg_36_11"/>
      <w:bookmarkStart w:id="1076" w:name="Tc_LklcZFzi-06J3Z2CuhjKig_36_8"/>
      <w:bookmarkStart w:id="1077" w:name="Tc_ObErk88OLkSF8FBK5-POpw_36_5"/>
      <w:bookmarkStart w:id="1078" w:name="Tc_QGXQkBmfgUS1FroJDg_vzQ_36_2"/>
      <w:bookmarkStart w:id="1079" w:name="Tc_nnYPGc0Dh0ScasCVt2hnWQ_36_0"/>
      <w:bookmarkStart w:id="1080" w:name="Tc_XCdn_Jdwb0qgAL_6uIABag_35_0"/>
      <w:bookmarkStart w:id="1081" w:name="Tc_ALJaxX77nEujjflyaemgnQ_34_0"/>
      <w:bookmarkStart w:id="1082" w:name="Tc_Ygrvtu47bE-krEm1lykhKg_32_0"/>
      <w:bookmarkStart w:id="1083" w:name="Tc_Hfzd8KAyYkC1R8Al693kzA_31_0"/>
      <w:bookmarkStart w:id="1084" w:name="Tc_2QnunOf1D0uZ_eT-I4d0Vg_30_0"/>
      <w:bookmarkStart w:id="1085" w:name="Tc_vKY4W_Dje0Wt0x4T4pFOyg_29_0"/>
      <w:bookmarkStart w:id="1086" w:name="Tc_swXBXVpeX02E_32M_u0krw_27_11"/>
      <w:bookmarkStart w:id="1087" w:name="Tc_7CHFcEr9SkiYOs5g9P7pyQ_27_8"/>
      <w:bookmarkStart w:id="1088" w:name="Tc_d8gpycJeFUiS7elYI0ig0g_27_5"/>
      <w:bookmarkStart w:id="1089" w:name="Tc_oozY4KvCDUyIdCbpA_VhFw_27_2"/>
      <w:bookmarkStart w:id="1090" w:name="Tc_T5-t56Sv6kyJYOuBF_4KGg_27_0"/>
      <w:bookmarkStart w:id="1091" w:name="Tc_LshahzxPlkWSF5cSUXMyCg_25_0"/>
      <w:bookmarkStart w:id="1092" w:name="Tc_yTSwwSl0KEmRxYYQXwfE9w_24_0"/>
      <w:bookmarkStart w:id="1093" w:name="Tc_W1QGzpAPkkOJ23btZbKkbg_22_0"/>
      <w:bookmarkStart w:id="1094" w:name="Tc_CMhBxEnwdk2oc5BqX-_4pw_20_0"/>
      <w:bookmarkStart w:id="1095" w:name="Tc_g2po-C0df0KQ7l8StcoY3Q_19_0"/>
      <w:bookmarkStart w:id="1096" w:name="Tc__Etz2iSIM0ak0TEgylcp2w_18_0"/>
      <w:bookmarkStart w:id="1097" w:name="Tc_y7EmBdtD6Euu0qkKrNjUdw_17_0"/>
      <w:bookmarkStart w:id="1098" w:name="Tc_tuFhVTWJJ0SksaDXhdcr-w_16_0"/>
      <w:bookmarkStart w:id="1099" w:name="Tc_lqdaq2tpnUm5ObNj62rWzw_15_0"/>
      <w:bookmarkStart w:id="1100" w:name="Tc_a9lKzIeAYUeLawzOHlEPiQ_14_0"/>
      <w:bookmarkStart w:id="1101" w:name="Tc_dc2jrhkHwEy16Cw9PpmS2A_13_0"/>
      <w:bookmarkStart w:id="1102" w:name="Tc_IWs1cFaPX0-QM2ByqOW3qQ_12_0"/>
      <w:bookmarkStart w:id="1103" w:name="Tc_TQ_-iGL6X0q2Btmj32JnUg_11_0"/>
      <w:bookmarkStart w:id="1104" w:name="Tc__F1U_-pdM0GguhUwA8p2JQ_10_0"/>
      <w:bookmarkStart w:id="1105" w:name="Tc__3FTAgbu5UmdPrEAiQDx-Q_8_0"/>
      <w:bookmarkStart w:id="1106" w:name="Tc_o3HoUf0Po0-8-7D_1DBRFw_7_0"/>
      <w:bookmarkStart w:id="1107" w:name="Tc_Z-i8CFR280CV7uuWaYiiIA_6_11"/>
      <w:bookmarkStart w:id="1108" w:name="Tc_T1gML_jQDUicXR3wsDacWQ_6_8"/>
      <w:bookmarkStart w:id="1109" w:name="Tc_GWrQiVsHdkWbr2lUNEgR9A_6_5"/>
      <w:bookmarkStart w:id="1110" w:name="Tc_RWhQ95iN6Uy7m_KM8MHcYA_6_2"/>
      <w:bookmarkStart w:id="1111" w:name="Tc_eQlc5R9SX0isBy8FpVREiw_6_0"/>
      <w:bookmarkStart w:id="1112" w:name="Tc_LsGu9LmhZ0264Ic-nmOaFA_5_0"/>
      <w:bookmarkStart w:id="1113" w:name="Tc_e-POxzIhskiWPgZqZGXJxw_4_2"/>
      <w:bookmarkStart w:id="1114" w:name="Tc_ue6Rk5dgGkSQHZNFPGzcuA_3_11"/>
      <w:bookmarkStart w:id="1115" w:name="Tc_2T8u0o2cVkG9tEbi5dVxAg_3_8"/>
      <w:bookmarkStart w:id="1116" w:name="Tc_35ikkYcD0UuRdnnkf_15Aw_3_5"/>
      <w:bookmarkStart w:id="1117" w:name="Tc_JI2XMtJbykuXGESpFVOSlg_3_2"/>
      <w:bookmarkStart w:id="1118" w:name="Tc_qQc-A0lj1E2b_xL0izrzYg_3_0"/>
      <w:bookmarkStart w:id="1119" w:name="Tc_FvIrZYI7Z0CuDfxnztDjIA_2_8"/>
      <w:bookmarkStart w:id="1120" w:name="Tc__wz9kUMttE6Sqp-1LNiSrg_2_2"/>
      <w:bookmarkStart w:id="1121" w:name="Tc_iTAjttkXpkqeZMwDCbWK6A_1_8"/>
      <w:bookmarkStart w:id="1122" w:name="Tc_lhzfI2ZZ3kiTwVGrt5Xqaw_1_2"/>
      <w:bookmarkStart w:id="1123" w:name="_f8c8432d_b043_47bb_b97f_ae075d2d7e3b"/>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tbl>
      <w:tblPr>
        <w:tblW w:w="9864" w:type="dxa"/>
        <w:jc w:val="left"/>
        <w:tblInd w:w="0" w:type="dxa"/>
        <w:tblLayout w:type="fixed"/>
        <w:tblCellMar>
          <w:top w:w="0" w:type="dxa"/>
          <w:left w:w="0" w:type="dxa"/>
          <w:bottom w:w="0" w:type="dxa"/>
          <w:right w:w="0" w:type="dxa"/>
        </w:tblCellMar>
      </w:tblPr>
      <w:tblGrid>
        <w:gridCol w:w="4381"/>
        <w:gridCol w:w="109"/>
        <w:gridCol w:w="211"/>
        <w:gridCol w:w="931"/>
        <w:gridCol w:w="326"/>
        <w:gridCol w:w="211"/>
        <w:gridCol w:w="931"/>
        <w:gridCol w:w="109"/>
        <w:gridCol w:w="211"/>
        <w:gridCol w:w="931"/>
        <w:gridCol w:w="326"/>
        <w:gridCol w:w="211"/>
        <w:gridCol w:w="97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781935" cy="175260"/>
                      <wp:effectExtent l="0" t="0" r="0" b="0"/>
                      <wp:wrapNone/>
                      <wp:docPr id="188" name="Frame18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1185" cy="175260"/>
                      <wp:effectExtent l="0" t="0" r="0" b="0"/>
                      <wp:wrapNone/>
                      <wp:docPr id="191" name="Frame1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94" name="Frame1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7" name="Frame1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9760" cy="175260"/>
                      <wp:effectExtent l="0" t="0" r="0" b="0"/>
                      <wp:wrapNone/>
                      <wp:docPr id="200" name="Frame20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65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86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7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2,323,402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2,590,379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7,277,622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7,922,880</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11,423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45,417</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2,333,953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2,601,802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7,313,638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7,968,297</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1,126,925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1,265,140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3,522,077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3,807,312</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93,975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97,687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296,687</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285,023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312,379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879,749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945,404</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1,505,923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1,675,206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4,691,543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5,049,403</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18,157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48,963</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103,864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110,697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277,983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334,085</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152,279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163,095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458,229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487,401</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256,143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273,792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736,212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821,486</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 (3)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563,409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634,647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1,858,652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2,048,445</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73,290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214,309</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1,820,767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2,040,445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5,617,282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6,134,161</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561,357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1,696,356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1,834,136</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79,312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210,678</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(229,670)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(184,543)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(709,508)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(554,184)</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(68,135)</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(137,092)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(108,501)</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(441,100)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(411,641)</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376,094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452,856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1,255,256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1,422,495</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(307,260)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(366,203)</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283,412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339,827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947,996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1,056,292</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37,032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65,153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3"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Connectivity services” is the cost to deliver our services and products to customers, which includes, among other things, satellite and transmission, and other related costs.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Other” primarily consists of variable costs including call center, manufacturing, dealer incentive, bad debt, billing and other variable costs, as well as costs to retain our subscribers.</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1124" w:name="Tc_5yYVWfiLsEihQCUVEOSYDQ_7_11"/>
      <w:bookmarkStart w:id="1125" w:name="Tc_3gHdxwbxPkmH39sdeTYYpw_7_8"/>
      <w:bookmarkStart w:id="1126" w:name="Tc_i1C0B91wtkWEuBMmRH6jZQ_7_5"/>
      <w:bookmarkStart w:id="1127" w:name="Tc_JlDSfaAmGE-xfgorwy8XWQ_7_2"/>
      <w:bookmarkStart w:id="1128" w:name="Tc_xXgavuHqOkCk49XZ8_M8CA_7_0"/>
      <w:bookmarkStart w:id="1129" w:name="Tc_AkW9k_NTOUKqZBZI7r42DQ_6_0"/>
      <w:bookmarkStart w:id="1130" w:name="Tc_Jh0AP9_tTki669UFsg7P-Q_5_11"/>
      <w:bookmarkStart w:id="1131" w:name="Tc_I_xfyawUnEq_g0kmRisCIg_5_8"/>
      <w:bookmarkStart w:id="1132" w:name="Tc_eRjd3EQo202uAymq2wfeEw_5_5"/>
      <w:bookmarkStart w:id="1133" w:name="Tc_mYw8gmjG2UCy3VndHVc3gQ_5_2"/>
      <w:bookmarkStart w:id="1134" w:name="Tc_bTWHvBigLUqbnKPqFZfxtQ_5_0"/>
      <w:bookmarkStart w:id="1135" w:name="Tc_ZpQVzT7uBUSJHhkM3-wdzw_4_2"/>
      <w:bookmarkStart w:id="1136" w:name="Tc_JsZ4dCtxVEq7K1tMAjMpzg_3_11"/>
      <w:bookmarkStart w:id="1137" w:name="Tc_g4lLAWdqM0Oa-aihiBQg8w_3_8"/>
      <w:bookmarkStart w:id="1138" w:name="Tc_Jjk3W5eH-k6IakW9APsb6A_3_5"/>
      <w:bookmarkStart w:id="1139" w:name="Tc_a-aqJP59FEaIn6jBnZjhCg_3_2"/>
      <w:bookmarkStart w:id="1140" w:name="Tc_PGYyKkh2s02WttG44dKI2Q_3_0"/>
      <w:bookmarkStart w:id="1141" w:name="Tc_z1t3FaXilEynz4Qbb0VtAQ_2_8"/>
      <w:bookmarkStart w:id="1142" w:name="Tc_uvMFJWLP_0OEQKxyHX9Sqw_2_2"/>
      <w:bookmarkStart w:id="1143" w:name="Tc_-XWoUSAoOUqyRG7gFRa3_w_1_8"/>
      <w:bookmarkStart w:id="1144" w:name="Tc_FQGdc5oq5UOqNEBFQQ1uMw_1_2"/>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Arial;Helvetica;sans-serif" w:hAnsi="Arial;Helvetica;sans-serif"/>
          <w:sz w:val="20"/>
        </w:rPr>
        <w:t>The revenue from external customers disaggregated by major revenue source was as follows:</w:t>
      </w:r>
    </w:p>
    <w:p>
      <w:pPr>
        <w:pStyle w:val="TextBody"/>
        <w:bidi w:val="0"/>
        <w:spacing w:before="0" w:after="0"/>
        <w:ind w:left="0" w:right="0" w:hanging="0"/>
        <w:jc w:val="left"/>
        <w:rPr>
          <w:spacing w:val="-4"/>
        </w:rPr>
      </w:pPr>
      <w:r>
        <w:rPr>
          <w:spacing w:val="-4"/>
        </w:rPr>
        <w:t>​</w:t>
      </w:r>
    </w:p>
    <w:tbl>
      <w:tblPr>
        <w:tblW w:w="9421" w:type="dxa"/>
        <w:jc w:val="left"/>
        <w:tblInd w:w="0" w:type="dxa"/>
        <w:tblLayout w:type="fixed"/>
        <w:tblCellMar>
          <w:top w:w="0" w:type="dxa"/>
          <w:left w:w="0" w:type="dxa"/>
          <w:bottom w:w="0" w:type="dxa"/>
          <w:right w:w="0" w:type="dxa"/>
        </w:tblCellMar>
      </w:tblPr>
      <w:tblGrid>
        <w:gridCol w:w="3661"/>
        <w:gridCol w:w="326"/>
        <w:gridCol w:w="211"/>
        <w:gridCol w:w="931"/>
        <w:gridCol w:w="326"/>
        <w:gridCol w:w="211"/>
        <w:gridCol w:w="931"/>
        <w:gridCol w:w="109"/>
        <w:gridCol w:w="211"/>
        <w:gridCol w:w="931"/>
        <w:gridCol w:w="326"/>
        <w:gridCol w:w="211"/>
        <w:gridCol w:w="103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24735" cy="175260"/>
                      <wp:effectExtent l="0" t="0" r="0" b="0"/>
                      <wp:wrapNone/>
                      <wp:docPr id="201" name="Frame20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91185" cy="175260"/>
                      <wp:effectExtent l="0" t="0" r="0" b="0"/>
                      <wp:wrapNone/>
                      <wp:docPr id="204" name="Frame2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1185" cy="175260"/>
                      <wp:effectExtent l="0" t="0" r="0" b="0"/>
                      <wp:wrapNone/>
                      <wp:docPr id="207" name="Frame2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91185" cy="175260"/>
                      <wp:effectExtent l="0" t="0" r="0" b="0"/>
                      <wp:wrapNone/>
                      <wp:docPr id="210" name="Frame2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57860" cy="175260"/>
                      <wp:effectExtent l="0" t="0" r="0" b="0"/>
                      <wp:wrapNone/>
                      <wp:docPr id="213" name="Frame2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Category:</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4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43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and related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2,323,402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2,590,379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7,277,622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7,922,880</w:t>
            </w:r>
          </w:p>
        </w:tc>
      </w:tr>
      <w:tr>
        <w:trPr/>
        <w:tc>
          <w:tcPr>
            <w:tcW w:w="36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45,417</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2,333,953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2,601,802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7,313,638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7,968,297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1145" w:name="Tc_Xp-aHtHOEkeIOFEHwFt5UQ_5_5"/>
      <w:bookmarkStart w:id="1146" w:name="Tc_NMAjFh38vkC2o6aYgCLy6Q_5_2"/>
      <w:bookmarkStart w:id="1147" w:name="Tc_yYaS6wn2sEOvr856TsXvow_5_0"/>
      <w:bookmarkStart w:id="1148" w:name="Tc_GIquamALrkaAtzM_Q8KBsA_4_2"/>
      <w:bookmarkStart w:id="1149" w:name="Tc_GwSktE5En0aJCSkv0GtmXw_3_5"/>
      <w:bookmarkStart w:id="1150" w:name="Tc_nHhDYMWK50C60OeSaJ-3ug_3_2"/>
      <w:bookmarkStart w:id="1151" w:name="Tc_tRQv_ZKOuU-j_L-SrvjCrg_2_5"/>
      <w:bookmarkStart w:id="1152" w:name="Tc_wkH73WmE20GK2r3RRTGv4Q_2_2"/>
      <w:bookmarkStart w:id="1153" w:name="Tc_ejKqtOiJgkivcWZQQfbkPQ_1_2"/>
      <w:bookmarkStart w:id="1154" w:name="Tc_C3Wk14b4HECDNwyUQ9QzTA_8_5"/>
      <w:bookmarkStart w:id="1155" w:name="Tc_ibHNYwuauEO6HChYh5dy1Q_8_2"/>
      <w:bookmarkStart w:id="1156" w:name="Tc_mSsocaztpkOBHwJb0l8mww_8_0"/>
      <w:bookmarkStart w:id="1157" w:name="Tc_Ki9_i4x1CkqRUHA0nnjDAQ_7_0"/>
      <w:bookmarkStart w:id="1158" w:name="Tc_U7D1BjxQ4kegpGt39qwYzA_6_0"/>
      <w:bookmarkStart w:id="1159" w:name="Tc_9TWkD2q6ZUiyNJdeWOLyFw_5_5"/>
      <w:bookmarkStart w:id="1160" w:name="Tc_xfP1wpdOgUW6r2YQSBTsNg_5_2"/>
      <w:bookmarkStart w:id="1161" w:name="Tc_KiVXjYVNxUu_cnaxkOBJaA_5_0"/>
      <w:bookmarkStart w:id="1162" w:name="Tc_DB7HZjxhbUWEYgTXUUgvYQ_4_2"/>
      <w:bookmarkStart w:id="1163" w:name="Tc_BGZb_8KZ2EeBJvfSzX00jA_3_5"/>
      <w:bookmarkStart w:id="1164" w:name="Tc_KyD4tCGCtkKYqzTRnIuwBQ_3_2"/>
      <w:bookmarkStart w:id="1165" w:name="Tc_xTy24vnhFEG9PhsREDxaUg_2_2"/>
      <w:bookmarkStart w:id="1166" w:name="Tc_KpfrdgM0702ADnrcaKisDQ_1_2"/>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t>​</w:t>
      </w:r>
    </w:p>
    <w:tbl>
      <w:tblPr>
        <w:tblW w:w="2522" w:type="dxa"/>
        <w:jc w:val="left"/>
        <w:tblInd w:w="0" w:type="dxa"/>
        <w:tblLayout w:type="fixed"/>
        <w:tblCellMar>
          <w:top w:w="0" w:type="dxa"/>
          <w:left w:w="0" w:type="dxa"/>
          <w:bottom w:w="0" w:type="dxa"/>
          <w:right w:w="0" w:type="dxa"/>
        </w:tblCellMar>
      </w:tblPr>
      <w:tblGrid>
        <w:gridCol w:w="391"/>
        <w:gridCol w:w="2131"/>
      </w:tblGrid>
      <w:tr>
        <w:trPr/>
        <w:tc>
          <w:tcPr>
            <w:tcW w:w="3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10.</w:t>
            </w:r>
          </w:p>
        </w:tc>
        <w:tc>
          <w:tcPr>
            <w:tcW w:w="213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Revenue Recognition</w:t>
            </w:r>
          </w:p>
        </w:tc>
      </w:tr>
    </w:tbl>
    <w:p>
      <w:pPr>
        <w:pStyle w:val="TextBody"/>
        <w:pBdr/>
        <w:bidi w:val="0"/>
        <w:spacing w:before="0" w:after="0"/>
        <w:ind w:left="0" w:right="0" w:hanging="360"/>
        <w:jc w:val="left"/>
        <w:rPr/>
      </w:pPr>
      <w:r>
        <w:rPr/>
        <w:t>​</w:t>
      </w:r>
    </w:p>
    <w:p>
      <w:pPr>
        <w:pStyle w:val="TextBody"/>
        <w:pBdr/>
        <w:bidi w:val="0"/>
        <w:spacing w:before="0" w:after="0"/>
        <w:ind w:left="0" w:right="0" w:hanging="72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allowance for credit losses for trade accounts receivable were as follows:</w:t>
      </w:r>
    </w:p>
    <w:p>
      <w:pPr>
        <w:pStyle w:val="TextBody"/>
        <w:bidi w:val="0"/>
        <w:spacing w:before="0" w:after="0"/>
        <w:ind w:left="0" w:right="0" w:hanging="0"/>
        <w:jc w:val="left"/>
        <w:rPr/>
      </w:pPr>
      <w:r>
        <w:rPr/>
        <w:t>​</w:t>
      </w:r>
    </w:p>
    <w:tbl>
      <w:tblPr>
        <w:tblW w:w="6814" w:type="dxa"/>
        <w:jc w:val="left"/>
        <w:tblInd w:w="0" w:type="dxa"/>
        <w:tblLayout w:type="fixed"/>
        <w:tblCellMar>
          <w:top w:w="0" w:type="dxa"/>
          <w:left w:w="0" w:type="dxa"/>
          <w:bottom w:w="0" w:type="dxa"/>
          <w:right w:w="0" w:type="dxa"/>
        </w:tblCellMar>
      </w:tblPr>
      <w:tblGrid>
        <w:gridCol w:w="4216"/>
        <w:gridCol w:w="109"/>
        <w:gridCol w:w="220"/>
        <w:gridCol w:w="831"/>
        <w:gridCol w:w="340"/>
        <w:gridCol w:w="220"/>
        <w:gridCol w:w="878"/>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677160" cy="175260"/>
                      <wp:effectExtent l="0" t="0" r="0" b="0"/>
                      <wp:wrapNone/>
                      <wp:docPr id="214" name="Frame21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9700" cy="175260"/>
                      <wp:effectExtent l="0" t="0" r="0" b="0"/>
                      <wp:wrapNone/>
                      <wp:docPr id="216" name="Frame21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27685" cy="175260"/>
                      <wp:effectExtent l="0" t="0" r="0" b="0"/>
                      <wp:wrapNone/>
                      <wp:docPr id="217" name="Frame21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5900" cy="175260"/>
                      <wp:effectExtent l="0" t="0" r="0" b="0"/>
                      <wp:wrapNone/>
                      <wp:docPr id="218" name="Frame21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9700" cy="175260"/>
                      <wp:effectExtent l="0" t="0" r="0" b="0"/>
                      <wp:wrapNone/>
                      <wp:docPr id="219" name="Frame21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7530" cy="175260"/>
                      <wp:effectExtent l="0" t="0" r="0" b="0"/>
                      <wp:wrapNone/>
                      <wp:docPr id="220" name="Frame220"/>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8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8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0"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81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489"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both"/>
              <w:rPr/>
            </w:pPr>
            <w:r>
              <w:rPr/>
              <w:t>​</w:t>
            </w:r>
          </w:p>
        </w:tc>
        <w:tc>
          <w:tcPr>
            <w:tcW w:w="22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42,270</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34,884</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36,849</w:t>
            </w:r>
          </w:p>
        </w:tc>
        <w:tc>
          <w:tcPr>
            <w:tcW w:w="340"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53,747</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(26,039)</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(38,781)</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53,080</w:t>
            </w:r>
          </w:p>
        </w:tc>
        <w:tc>
          <w:tcPr>
            <w:tcW w:w="340"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8"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49,850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Contract liabilities arise when we bill our customers and receive consideration in advance of providing the service.</w:t>
      </w:r>
      <w:r>
        <w:rPr>
          <w:rFonts w:ascii="Times New Roman;Times;serif" w:hAnsi="Times New Roman;Times;serif"/>
          <w:sz w:val="20"/>
        </w:rPr>
        <w:t xml:space="preserve"> </w:t>
      </w:r>
      <w:r>
        <w:rPr>
          <w:rFonts w:ascii="Arial;Helvetica;sans-serif" w:hAnsi="Arial;Helvetica;sans-serif"/>
          <w:sz w:val="20"/>
        </w:rPr>
        <w:t>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contract liability balances:</w:t>
      </w:r>
    </w:p>
    <w:p>
      <w:pPr>
        <w:pStyle w:val="TextBody"/>
        <w:bidi w:val="0"/>
        <w:spacing w:before="0" w:after="0"/>
        <w:ind w:left="0" w:right="0" w:hanging="0"/>
        <w:jc w:val="left"/>
        <w:rPr/>
      </w:pPr>
      <w:r>
        <w:rPr/>
        <w:t>​</w:t>
      </w:r>
    </w:p>
    <w:tbl>
      <w:tblPr>
        <w:tblW w:w="4674" w:type="dxa"/>
        <w:jc w:val="left"/>
        <w:tblInd w:w="0" w:type="dxa"/>
        <w:tblLayout w:type="fixed"/>
        <w:tblCellMar>
          <w:top w:w="0" w:type="dxa"/>
          <w:left w:w="0" w:type="dxa"/>
          <w:bottom w:w="0" w:type="dxa"/>
          <w:right w:w="0" w:type="dxa"/>
        </w:tblCellMar>
      </w:tblPr>
      <w:tblGrid>
        <w:gridCol w:w="1666"/>
        <w:gridCol w:w="109"/>
        <w:gridCol w:w="296"/>
        <w:gridCol w:w="1099"/>
        <w:gridCol w:w="109"/>
        <w:gridCol w:w="268"/>
        <w:gridCol w:w="1127"/>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057910" cy="175260"/>
                      <wp:effectExtent l="0" t="0" r="0" b="0"/>
                      <wp:wrapNone/>
                      <wp:docPr id="221" name="Frame22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7960" cy="175260"/>
                      <wp:effectExtent l="0" t="0" r="0" b="0"/>
                      <wp:wrapNone/>
                      <wp:docPr id="223" name="Frame22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7865" cy="175260"/>
                      <wp:effectExtent l="0" t="0" r="0" b="0"/>
                      <wp:wrapNone/>
                      <wp:docPr id="224" name="Frame22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70180" cy="175260"/>
                      <wp:effectExtent l="0" t="0" r="0" b="0"/>
                      <wp:wrapNone/>
                      <wp:docPr id="226" name="Frame22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15645" cy="175260"/>
                      <wp:effectExtent l="0" t="0" r="0" b="0"/>
                      <wp:wrapNone/>
                      <wp:docPr id="227" name="Frame227"/>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467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359,276</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386,638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beginning of period contract liability recorded as customer contract revenue during 2025 was $385</w:t>
      </w:r>
      <w:r>
        <w:rPr>
          <w:rFonts w:ascii="Times New Roman;Times;serif" w:hAnsi="Times New Roman;Times;serif"/>
          <w:sz w:val="20"/>
        </w:rPr>
        <w:t xml:space="preserve"> </w:t>
      </w:r>
      <w:r>
        <w:rPr>
          <w:rFonts w:ascii="Arial;Helvetica;sans-serif" w:hAnsi="Arial;Helvetica;sans-serif"/>
          <w:sz w:val="20"/>
        </w:rPr>
        <w:t>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bookmarkStart w:id="1167" w:name="Tc_FRx5YF_e4EGrSZ8yJFBgSQ_8_11"/>
      <w:bookmarkStart w:id="1168" w:name="Tc_whwNc2DLbUaTLNO892ikxw_8_8"/>
      <w:bookmarkStart w:id="1169" w:name="Tc_vCBXiAhZNUmEvfc_5AUFzw_8_5"/>
      <w:bookmarkStart w:id="1170" w:name="Tc_7BNDNbJkQkGFxpYvMQ9DrQ_8_2"/>
      <w:bookmarkStart w:id="1171" w:name="Tc_HjxhxwqnHk-SzDoUFJr_Jg_8_0"/>
      <w:bookmarkStart w:id="1172" w:name="Tc_vJd5aXXT_EG7u4gEirTVVw_7_0"/>
      <w:bookmarkStart w:id="1173" w:name="Tc_Ly9J7MzkJkyFgtzKk7j5Yw_6_0"/>
      <w:bookmarkStart w:id="1174" w:name="Tc_18Azj4y44UmaJZeaQPr8MA_5_11"/>
      <w:bookmarkStart w:id="1175" w:name="Tc_RNViRp7R30uuFjqWkJvB_w_5_8"/>
      <w:bookmarkStart w:id="1176" w:name="Tc_knCy6ZJq7EWarKsIBjw1SA_5_5"/>
      <w:bookmarkStart w:id="1177" w:name="Tc_a16QtmfugkOdrI67hCDlGQ_5_2"/>
      <w:bookmarkStart w:id="1178" w:name="Tc_G1slBszfEUGCIPr7ict0kg_5_0"/>
      <w:bookmarkStart w:id="1179" w:name="Tc_Y2u17Reh2ESOmZsDjgmIww_4_2"/>
      <w:bookmarkStart w:id="1180" w:name="Tc_kVqmqAjNv0e5sLYnD7QHIQ_3_11"/>
      <w:bookmarkStart w:id="1181" w:name="Tc_MFEOews9mEqmGDkENJHiNg_3_8"/>
      <w:bookmarkStart w:id="1182" w:name="Tc_9A9tt_K8q06OliVos8JWOQ_3_5"/>
      <w:bookmarkStart w:id="1183" w:name="Tc_iEz3du9u2kyYde78-QVtpA_3_2"/>
      <w:bookmarkStart w:id="1184" w:name="Tc_fUBg37-ckUCfAA1ASjHxcA_2_8"/>
      <w:bookmarkStart w:id="1185" w:name="Tc_ATh0jjavRE-aj6j4Dn_Kjg_2_2"/>
      <w:bookmarkStart w:id="1186" w:name="Tc_n5VipRl8OEyBFlekgGfiTQ_1_8"/>
      <w:bookmarkStart w:id="1187" w:name="Tc_Jk6k_yCYcEikr35luq-piA_1_2"/>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Arial;Helvetica;sans-serif" w:hAnsi="Arial;Helvetica;sans-serif"/>
          <w:b/>
          <w:i/>
          <w:sz w:val="20"/>
        </w:rPr>
        <w:t>Performance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We apply a practical expedient and do not disclose the value of the remaining performance obligations for contracts that are less than one</w:t>
      </w:r>
      <w:r>
        <w:rPr>
          <w:rFonts w:ascii="Times New Roman;Times;serif" w:hAnsi="Times New Roman;Times;serif"/>
          <w:sz w:val="24"/>
        </w:rPr>
        <w:t xml:space="preserve"> </w:t>
      </w:r>
      <w:r>
        <w:rPr>
          <w:rFonts w:ascii="Arial;Helvetica;sans-serif" w:hAnsi="Arial;Helvetica;sans-serif"/>
          <w:sz w:val="20"/>
        </w:rPr>
        <w:t>year in duration, which represent a substantial majority of our revenue. As such, the amount of revenue related to unsatisfied performance obligations is not necessarily indicative of our future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Acquisition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activity in our contract acquisition costs, net:</w:t>
      </w:r>
    </w:p>
    <w:p>
      <w:pPr>
        <w:pStyle w:val="TextBody"/>
        <w:bidi w:val="0"/>
        <w:spacing w:before="0" w:after="0"/>
        <w:ind w:left="0" w:right="0" w:hanging="0"/>
        <w:jc w:val="left"/>
        <w:rPr/>
      </w:pPr>
      <w:r>
        <w:rPr/>
        <w:t>​</w:t>
      </w:r>
    </w:p>
    <w:tbl>
      <w:tblPr>
        <w:tblW w:w="7790" w:type="dxa"/>
        <w:jc w:val="left"/>
        <w:tblInd w:w="0" w:type="dxa"/>
        <w:tblLayout w:type="fixed"/>
        <w:tblCellMar>
          <w:top w:w="0" w:type="dxa"/>
          <w:left w:w="0" w:type="dxa"/>
          <w:bottom w:w="0" w:type="dxa"/>
          <w:right w:w="0" w:type="dxa"/>
        </w:tblCellMar>
      </w:tblPr>
      <w:tblGrid>
        <w:gridCol w:w="2536"/>
        <w:gridCol w:w="109"/>
        <w:gridCol w:w="253"/>
        <w:gridCol w:w="956"/>
        <w:gridCol w:w="130"/>
        <w:gridCol w:w="253"/>
        <w:gridCol w:w="956"/>
        <w:gridCol w:w="109"/>
        <w:gridCol w:w="237"/>
        <w:gridCol w:w="895"/>
        <w:gridCol w:w="122"/>
        <w:gridCol w:w="237"/>
        <w:gridCol w:w="99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10360" cy="175260"/>
                      <wp:effectExtent l="0" t="0" r="0" b="0"/>
                      <wp:wrapNone/>
                      <wp:docPr id="228" name="Frame228"/>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0495" cy="175260"/>
                      <wp:effectExtent l="0" t="0" r="0" b="0"/>
                      <wp:wrapNone/>
                      <wp:docPr id="230" name="Frame23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8325" cy="175260"/>
                      <wp:effectExtent l="0" t="0" r="0" b="0"/>
                      <wp:wrapNone/>
                      <wp:docPr id="231" name="Frame231"/>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7470" cy="175260"/>
                      <wp:effectExtent l="0" t="0" r="0" b="0"/>
                      <wp:wrapNone/>
                      <wp:docPr id="232" name="Frame232"/>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0495" cy="175260"/>
                      <wp:effectExtent l="0" t="0" r="0" b="0"/>
                      <wp:wrapNone/>
                      <wp:docPr id="233" name="Frame23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33095" cy="175260"/>
                      <wp:effectExtent l="0" t="0" r="0" b="0"/>
                      <wp:wrapNone/>
                      <wp:docPr id="234" name="Frame234"/>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24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30" w:type="dxa"/>
            <w:tcBorders/>
            <w:vAlign w:val="center"/>
          </w:tcPr>
          <w:p>
            <w:pPr>
              <w:pStyle w:val="TableContents"/>
              <w:bidi w:val="0"/>
              <w:spacing w:before="0" w:after="0"/>
              <w:ind w:left="0" w:right="0" w:hanging="0"/>
              <w:jc w:val="center"/>
              <w:rPr/>
            </w:pPr>
            <w:r>
              <w:rPr/>
              <w:t>​</w:t>
            </w:r>
          </w:p>
        </w:tc>
        <w:tc>
          <w:tcPr>
            <w:tcW w:w="1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center"/>
              <w:rPr/>
            </w:pPr>
            <w:r>
              <w:rPr/>
              <w:t>​</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22" w:type="dxa"/>
            <w:tcBorders/>
            <w:vAlign w:val="center"/>
          </w:tcPr>
          <w:p>
            <w:pPr>
              <w:pStyle w:val="TableContents"/>
              <w:bidi w:val="0"/>
              <w:spacing w:before="0" w:after="0"/>
              <w:ind w:left="0" w:right="0" w:hanging="0"/>
              <w:jc w:val="center"/>
              <w:rPr/>
            </w:pPr>
            <w:r>
              <w:rPr/>
              <w:t>​</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79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45"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135,432</w:t>
            </w:r>
          </w:p>
        </w:tc>
        <w:tc>
          <w:tcPr>
            <w:tcW w:w="130"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158,695</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148,172</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175,685</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Additions</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19,648</w:t>
            </w:r>
          </w:p>
        </w:tc>
        <w:tc>
          <w:tcPr>
            <w:tcW w:w="130"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21,007</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47,559</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55,391</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(18,917)</w:t>
            </w:r>
          </w:p>
        </w:tc>
        <w:tc>
          <w:tcPr>
            <w:tcW w:w="130"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(23,289)</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(59,568)</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(74,663)</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136,163</w:t>
            </w:r>
          </w:p>
        </w:tc>
        <w:tc>
          <w:tcPr>
            <w:tcW w:w="130"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156,413</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136,163</w:t>
            </w:r>
          </w:p>
        </w:tc>
        <w:tc>
          <w:tcPr>
            <w:tcW w:w="122"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156,413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88" w:name="Tc_P4fqFq7eRk-ec3w2nahNOg_8_11"/>
      <w:bookmarkStart w:id="1189" w:name="Tc_YvEvGYtpK0iRdC70lbtVIw_8_8"/>
      <w:bookmarkStart w:id="1190" w:name="Tc_4wS23yzkm0SHWe2gB9weEQ_8_5"/>
      <w:bookmarkStart w:id="1191" w:name="Tc_wQNBX85m7kanJhbLZU0lPw_8_2"/>
      <w:bookmarkStart w:id="1192" w:name="Tc_lD4oZJHYMkOEmYhAKdjAeQ_8_0"/>
      <w:bookmarkStart w:id="1193" w:name="Tc_HAzKHbRpakS_piWU998G3Q_7_12"/>
      <w:bookmarkStart w:id="1194" w:name="Tc_r7wTBVP-iUGnJ6rkgqUGEA_7_6"/>
      <w:bookmarkStart w:id="1195" w:name="Tc_sYuPvccY4kW2Bu-7vHmHKQ_7_0"/>
      <w:bookmarkStart w:id="1196" w:name="Tc_1YCr3AezO0Wc2Q-SkfuigQ_6_12"/>
      <w:bookmarkStart w:id="1197" w:name="Tc_sM50iUmbnEi6Dky-4RVB7A_6_6"/>
      <w:bookmarkStart w:id="1198" w:name="Tc_T6D0nYtESU6hZVqD5s2ElA_6_0"/>
      <w:bookmarkStart w:id="1199" w:name="Tc_rPNkeWGTYUmw20TfdYojYg_5_11"/>
      <w:bookmarkStart w:id="1200" w:name="Tc_eT5T0EOg_k2mRtTGk6QboQ_5_8"/>
      <w:bookmarkStart w:id="1201" w:name="Tc_cSwMV50UDUaxgYpMwc_hAA_5_5"/>
      <w:bookmarkStart w:id="1202" w:name="Tc_oc1Zm4RsCkyWLI8kw9UVgg_5_2"/>
      <w:bookmarkStart w:id="1203" w:name="Tc_r-xJHDzB9UOH2saBCLsI7A_5_0"/>
      <w:bookmarkStart w:id="1204" w:name="Tc_6wWPt-O6X0OOXcT-LczQVg_4_2"/>
      <w:bookmarkStart w:id="1205" w:name="Tc_Wx2hJ76vz0y7vnkrxFphhA_3_11"/>
      <w:bookmarkStart w:id="1206" w:name="Tc_D-fqOyEgfEaBQpwGURrCHg_3_8"/>
      <w:bookmarkStart w:id="1207" w:name="Tc_YoUhgWocs0KGc_WYzC1ldw_3_5"/>
      <w:bookmarkStart w:id="1208" w:name="Tc_MqdKW7VNrkKad4evbH4vZg_3_2"/>
      <w:bookmarkStart w:id="1209" w:name="Tc_xhHOPuNktEGsDB_FvYlKsA_3_0"/>
      <w:bookmarkStart w:id="1210" w:name="Tc_KGZp9Re-2kSR0q0r-BZr8Q_2_8"/>
      <w:bookmarkStart w:id="1211" w:name="Tc_COW7JHwJJUeHm1SrOpV4kg_2_2"/>
      <w:bookmarkStart w:id="1212" w:name="Tc_nHSee20YEEKsv0sFBLYDNQ_1_2"/>
      <w:bookmarkStart w:id="1213" w:name="_4fbfebae_1082_487b_9e72_3df7c5b00fe5"/>
      <w:bookmarkStart w:id="1214" w:name="_5e013407_f5ce_4251_a59c_1dbeba4fd28f"/>
      <w:bookmarkStart w:id="1215" w:name="_b6efb480_3991_4a0f_a999_8d345644ce50"/>
      <w:bookmarkStart w:id="1216" w:name="Tc_P4fqFq7eRk-ec3w2nahNOg_8_11"/>
      <w:bookmarkStart w:id="1217" w:name="Tc_YvEvGYtpK0iRdC70lbtVIw_8_8"/>
      <w:bookmarkStart w:id="1218" w:name="Tc_4wS23yzkm0SHWe2gB9weEQ_8_5"/>
      <w:bookmarkStart w:id="1219" w:name="Tc_wQNBX85m7kanJhbLZU0lPw_8_2"/>
      <w:bookmarkStart w:id="1220" w:name="Tc_lD4oZJHYMkOEmYhAKdjAeQ_8_0"/>
      <w:bookmarkStart w:id="1221" w:name="Tc_HAzKHbRpakS_piWU998G3Q_7_12"/>
      <w:bookmarkStart w:id="1222" w:name="Tc_r7wTBVP-iUGnJ6rkgqUGEA_7_6"/>
      <w:bookmarkStart w:id="1223" w:name="Tc_sYuPvccY4kW2Bu-7vHmHKQ_7_0"/>
      <w:bookmarkStart w:id="1224" w:name="Tc_1YCr3AezO0Wc2Q-SkfuigQ_6_12"/>
      <w:bookmarkStart w:id="1225" w:name="Tc_sM50iUmbnEi6Dky-4RVB7A_6_6"/>
      <w:bookmarkStart w:id="1226" w:name="Tc_T6D0nYtESU6hZVqD5s2ElA_6_0"/>
      <w:bookmarkStart w:id="1227" w:name="Tc_rPNkeWGTYUmw20TfdYojYg_5_11"/>
      <w:bookmarkStart w:id="1228" w:name="Tc_eT5T0EOg_k2mRtTGk6QboQ_5_8"/>
      <w:bookmarkStart w:id="1229" w:name="Tc_cSwMV50UDUaxgYpMwc_hAA_5_5"/>
      <w:bookmarkStart w:id="1230" w:name="Tc_oc1Zm4RsCkyWLI8kw9UVgg_5_2"/>
      <w:bookmarkStart w:id="1231" w:name="Tc_r-xJHDzB9UOH2saBCLsI7A_5_0"/>
      <w:bookmarkStart w:id="1232" w:name="Tc_6wWPt-O6X0OOXcT-LczQVg_4_2"/>
      <w:bookmarkStart w:id="1233" w:name="Tc_Wx2hJ76vz0y7vnkrxFphhA_3_11"/>
      <w:bookmarkStart w:id="1234" w:name="Tc_D-fqOyEgfEaBQpwGURrCHg_3_8"/>
      <w:bookmarkStart w:id="1235" w:name="Tc_YoUhgWocs0KGc_WYzC1ldw_3_5"/>
      <w:bookmarkStart w:id="1236" w:name="Tc_MqdKW7VNrkKad4evbH4vZg_3_2"/>
      <w:bookmarkStart w:id="1237" w:name="Tc_xhHOPuNktEGsDB_FvYlKsA_3_0"/>
      <w:bookmarkStart w:id="1238" w:name="Tc_KGZp9Re-2kSR0q0r-BZr8Q_2_8"/>
      <w:bookmarkStart w:id="1239" w:name="Tc_COW7JHwJJUeHm1SrOpV4kg_2_2"/>
      <w:bookmarkStart w:id="1240" w:name="Tc_nHSee20YEEKsv0sFBLYDNQ_1_2"/>
      <w:bookmarkStart w:id="1241" w:name="_4fbfebae_1082_487b_9e72_3df7c5b00fe5"/>
      <w:bookmarkStart w:id="1242" w:name="_5e013407_f5ce_4251_a59c_1dbeba4fd28f"/>
      <w:bookmarkStart w:id="1243" w:name="_b6efb480_3991_4a0f_a999_8d345644ce50"/>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tbl>
      <w:tblPr>
        <w:tblW w:w="3032" w:type="dxa"/>
        <w:jc w:val="left"/>
        <w:tblInd w:w="0" w:type="dxa"/>
        <w:tblLayout w:type="fixed"/>
        <w:tblCellMar>
          <w:top w:w="0" w:type="dxa"/>
          <w:left w:w="0" w:type="dxa"/>
          <w:bottom w:w="0" w:type="dxa"/>
          <w:right w:w="0" w:type="dxa"/>
        </w:tblCellMar>
      </w:tblPr>
      <w:tblGrid>
        <w:gridCol w:w="391"/>
        <w:gridCol w:w="2641"/>
      </w:tblGrid>
      <w:tr>
        <w:trPr/>
        <w:tc>
          <w:tcPr>
            <w:tcW w:w="3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11.</w:t>
            </w:r>
          </w:p>
        </w:tc>
        <w:tc>
          <w:tcPr>
            <w:tcW w:w="264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Related Party Transactions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Related Party Transactions with DISH Network, our parent, and EchoStar, our ultimate parent.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notes receivable balances with DISH Network: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00"/>
        <w:gridCol w:w="109"/>
        <w:gridCol w:w="211"/>
        <w:gridCol w:w="931"/>
        <w:gridCol w:w="109"/>
        <w:gridCol w:w="491"/>
        <w:gridCol w:w="1578"/>
        <w:gridCol w:w="109"/>
        <w:gridCol w:w="211"/>
        <w:gridCol w:w="931"/>
        <w:gridCol w:w="109"/>
        <w:gridCol w:w="449"/>
        <w:gridCol w:w="1667"/>
      </w:tblGrid>
      <w:tr>
        <w:trPr/>
        <w:tc>
          <w:tcPr>
            <w:tcW w:w="3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95500" cy="175260"/>
                      <wp:effectExtent l="0" t="0" r="0" b="0"/>
                      <wp:wrapNone/>
                      <wp:docPr id="235" name="Frame235"/>
                      <a:graphic xmlns:a="http://schemas.openxmlformats.org/drawingml/2006/main">
                        <a:graphicData uri="http://schemas.microsoft.com/office/word/2010/wordprocessingShape">
                          <wps:wsp>
                            <wps:cNvSpPr txBox="1"/>
                            <wps:spPr>
                              <a:xfrm>
                                <a:off x="0" y="0"/>
                                <a:ext cx="209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11785" cy="175260"/>
                      <wp:effectExtent l="0" t="0" r="0" b="0"/>
                      <wp:wrapNone/>
                      <wp:docPr id="240" name="Frame240"/>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002030" cy="175260"/>
                      <wp:effectExtent l="0" t="0" r="0" b="0"/>
                      <wp:wrapNone/>
                      <wp:docPr id="241" name="Frame241"/>
                      <a:graphic xmlns:a="http://schemas.openxmlformats.org/drawingml/2006/main">
                        <a:graphicData uri="http://schemas.microsoft.com/office/word/2010/wordprocessingShape">
                          <wps:wsp>
                            <wps:cNvSpPr txBox="1"/>
                            <wps:spPr>
                              <a:xfrm>
                                <a:off x="0" y="0"/>
                                <a:ext cx="1002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91185" cy="175260"/>
                      <wp:effectExtent l="0" t="0" r="0" b="0"/>
                      <wp:wrapNone/>
                      <wp:docPr id="244" name="Frame2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85115" cy="175260"/>
                      <wp:effectExtent l="0" t="0" r="0" b="0"/>
                      <wp:wrapNone/>
                      <wp:docPr id="246" name="Frame246"/>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058545" cy="175260"/>
                      <wp:effectExtent l="0" t="0" r="0" b="0"/>
                      <wp:wrapNone/>
                      <wp:docPr id="247" name="Frame247"/>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96"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September 30, 2025</w:t>
            </w:r>
          </w:p>
        </w:tc>
        <w:tc>
          <w:tcPr>
            <w:tcW w:w="109" w:type="dxa"/>
            <w:tcBorders/>
            <w:vAlign w:val="center"/>
          </w:tcPr>
          <w:p>
            <w:pPr>
              <w:pStyle w:val="TableContents"/>
              <w:bidi w:val="0"/>
              <w:spacing w:before="0" w:after="0"/>
              <w:ind w:left="0" w:right="0" w:hanging="0"/>
              <w:jc w:val="left"/>
              <w:rPr/>
            </w:pPr>
            <w:r>
              <w:rPr/>
              <w:t>​</w:t>
            </w:r>
          </w:p>
        </w:tc>
        <w:tc>
          <w:tcPr>
            <w:tcW w:w="33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31, 2024</w:t>
            </w:r>
          </w:p>
        </w:tc>
      </w:tr>
      <w:tr>
        <w:trPr/>
        <w:tc>
          <w:tcPr>
            <w:tcW w:w="330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Notes Receivable - DISH Network</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Principal</w:t>
            </w:r>
          </w:p>
        </w:tc>
        <w:tc>
          <w:tcPr>
            <w:tcW w:w="109" w:type="dxa"/>
            <w:tcBorders/>
            <w:vAlign w:val="center"/>
          </w:tcPr>
          <w:p>
            <w:pPr>
              <w:pStyle w:val="TableContents"/>
              <w:bidi w:val="0"/>
              <w:spacing w:before="0" w:after="0"/>
              <w:ind w:left="0" w:right="0" w:hanging="0"/>
              <w:jc w:val="left"/>
              <w:rPr/>
            </w:pPr>
            <w:r>
              <w:rPr/>
              <w:t>​</w:t>
            </w:r>
          </w:p>
        </w:tc>
        <w:tc>
          <w:tcPr>
            <w:tcW w:w="2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Accrued Interest Receivable</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Principal</w:t>
            </w:r>
          </w:p>
        </w:tc>
        <w:tc>
          <w:tcPr>
            <w:tcW w:w="109" w:type="dxa"/>
            <w:tcBorders/>
            <w:vAlign w:val="center"/>
          </w:tcPr>
          <w:p>
            <w:pPr>
              <w:pStyle w:val="TableContents"/>
              <w:bidi w:val="0"/>
              <w:spacing w:before="0" w:after="0"/>
              <w:ind w:left="0" w:right="0" w:hanging="0"/>
              <w:jc w:val="left"/>
              <w:rPr/>
            </w:pPr>
            <w:r>
              <w:rPr/>
              <w:t>​</w:t>
            </w:r>
          </w:p>
        </w:tc>
        <w:tc>
          <w:tcPr>
            <w:tcW w:w="2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Accrued Interest Receivable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96"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0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Intercompany Loan - DISH Network - 2028 Tranche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2,844,401</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56,888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2,844,401</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6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14,222</w:t>
            </w:r>
          </w:p>
        </w:tc>
      </w:tr>
      <w:tr>
        <w:trPr/>
        <w:tc>
          <w:tcPr>
            <w:tcW w:w="330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Q2 2024 Notes Receivable - DISH Network (1)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1,658,810</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5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1,576,518</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667" w:type="dxa"/>
            <w:tcBorders/>
            <w:vAlign w:val="center"/>
          </w:tcPr>
          <w:p>
            <w:pPr>
              <w:pStyle w:val="TableContents"/>
              <w:bidi w:val="0"/>
              <w:spacing w:before="0" w:after="0"/>
              <w:ind w:left="0" w:right="0" w:hanging="0"/>
              <w:jc w:val="right"/>
              <w:rPr/>
            </w:pPr>
            <w:r>
              <w:rPr/>
              <w:t>—</w:t>
            </w:r>
          </w:p>
        </w:tc>
      </w:tr>
      <w:tr>
        <w:trPr/>
        <w:tc>
          <w:tcPr>
            <w:tcW w:w="330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Q3 2024 Notes Receivable - DISH Network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518,492</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492,770</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0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Notes Receivable - DISH Network</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5,021,703</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56,888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4,913,689</w:t>
            </w:r>
          </w:p>
        </w:tc>
        <w:tc>
          <w:tcPr>
            <w:tcW w:w="109" w:type="dxa"/>
            <w:tcBorders/>
            <w:vAlign w:val="center"/>
          </w:tcPr>
          <w:p>
            <w:pPr>
              <w:pStyle w:val="TableContents"/>
              <w:bidi w:val="0"/>
              <w:spacing w:before="0" w:after="0"/>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6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14,222</w:t>
            </w:r>
          </w:p>
        </w:tc>
      </w:tr>
    </w:tbl>
    <w:p>
      <w:pPr>
        <w:pStyle w:val="TextBody"/>
        <w:bidi w:val="0"/>
        <w:spacing w:before="0" w:after="0"/>
        <w:ind w:left="0" w:right="0" w:hanging="0"/>
        <w:jc w:val="left"/>
        <w:rPr/>
      </w:pPr>
      <w:r>
        <w:rPr/>
        <w:t>​</w:t>
      </w:r>
    </w:p>
    <w:tbl>
      <w:tblPr>
        <w:tblW w:w="4307" w:type="dxa"/>
        <w:jc w:val="left"/>
        <w:tblInd w:w="0" w:type="dxa"/>
        <w:tblLayout w:type="fixed"/>
        <w:tblCellMar>
          <w:top w:w="0" w:type="dxa"/>
          <w:left w:w="0" w:type="dxa"/>
          <w:bottom w:w="0" w:type="dxa"/>
          <w:right w:w="0" w:type="dxa"/>
        </w:tblCellMar>
      </w:tblPr>
      <w:tblGrid>
        <w:gridCol w:w="346"/>
        <w:gridCol w:w="39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9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Interest is recorded monthly as paid in kind.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bookmarkStart w:id="1244" w:name="OLE_LINK4"/>
      <w:bookmarkStart w:id="1245" w:name="OLE_LINK3"/>
      <w:bookmarkEnd w:id="1244"/>
      <w:bookmarkEnd w:id="1245"/>
      <w:r>
        <w:rPr>
          <w:rFonts w:ascii="Arial;Helvetica;sans-serif" w:hAnsi="Arial;Helvetica;sans-serif"/>
          <w:b/>
          <w:i/>
          <w:sz w:val="20"/>
        </w:rPr>
        <w:t xml:space="preserve">Intercompany Loan – DISH Network </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 xml:space="preserve">Concurrently with the issuance of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 (our “Senior Secured Notes”) and using the proceeds thereof, we made an intercompany loan to DISH Network (the “Intercompany Loan – DISH Network”) to be used by DISH Network to finance the purchase of certain wireless spectrum licenses and for general corporate purposes, including the build-out of wireless infrastructure. The Intercompany Loan – DISH Network was initially secured by DISH Network’s interest in the wireless spectrum licenses for the 3.45-3.55 GHz Licenses up to the total loan amount outstanding including interest paid in kind. Pursuant to the terms of the Intercompany Loan – DISH Network, under certain circumstances, DISH Network wireless spectrum licenses (valued based upon a third-party valuation) may be substituted for the collateral. During the first quarter of 2025, DISH Network exercised its right to exchange certain of the 3.45-3.55 GHz Licenses for certain other previously unencumbered wireless spectrum licenses of equal or greater value based upon the most recent third-party valuation. The Intercompany Loan – DISH Network matures in two</w:t>
      </w:r>
      <w:r>
        <w:rPr>
          <w:rFonts w:ascii="Helvetica;sans-serif" w:hAnsi="Helvetica;sans-serif"/>
          <w:sz w:val="22"/>
        </w:rPr>
        <w:t xml:space="preserve"> </w:t>
      </w:r>
      <w:r>
        <w:rPr>
          <w:rFonts w:ascii="Arial;Helvetica;sans-serif" w:hAnsi="Arial;Helvetica;sans-serif"/>
          <w:sz w:val="20"/>
        </w:rPr>
        <w:t>tranches, with the first tranche maturing on December 1, 2026 (the “Intercompany Loan – DISH Network – 2026 Tranche”) and the second tranche maturing on December 1, 2028</w:t>
      </w:r>
      <w:r>
        <w:rPr>
          <w:rFonts w:ascii="Helvetica;sans-serif" w:hAnsi="Helvetica;sans-serif"/>
          <w:sz w:val="22"/>
        </w:rPr>
        <w:t xml:space="preserve"> </w:t>
      </w:r>
      <w:r>
        <w:rPr>
          <w:rFonts w:ascii="Arial;Helvetica;sans-serif" w:hAnsi="Arial;Helvetica;sans-serif"/>
          <w:sz w:val="20"/>
        </w:rPr>
        <w:t>(the “Intercompany Loan – DISH Network – 2028 Tranche”). The aggregate principal amount of the Intercompany Loan – DISH Network was initially $5.250</w:t>
      </w:r>
      <w:r>
        <w:rPr>
          <w:rFonts w:ascii="Helvetica;sans-serif" w:hAnsi="Helvetica;sans-serif"/>
          <w:sz w:val="22"/>
        </w:rPr>
        <w:t xml:space="preserve"> </w:t>
      </w:r>
      <w:r>
        <w:rPr>
          <w:rFonts w:ascii="Arial;Helvetica;sans-serif" w:hAnsi="Arial;Helvetica;sans-serif"/>
          <w:sz w:val="20"/>
        </w:rPr>
        <w:t>billion, and on February 11, 2022, we advanced an additional $1.5</w:t>
      </w:r>
      <w:r>
        <w:rPr>
          <w:rFonts w:ascii="Helvetica;sans-serif" w:hAnsi="Helvetica;sans-serif"/>
          <w:sz w:val="22"/>
        </w:rPr>
        <w:t xml:space="preserve"> </w:t>
      </w:r>
      <w:r>
        <w:rPr>
          <w:rFonts w:ascii="Arial;Helvetica;sans-serif" w:hAnsi="Arial;Helvetica;sans-serif"/>
          <w:sz w:val="20"/>
        </w:rPr>
        <w:t>billion to DISH Network under the Intercompany Loan – DISH Network – 2026 Tranche. Interest accrues and is payable semiannually, and interest payments with respect to the Intercompany Loan – DISH Network were, at DISH Network’s option, payable in kind for the first two years</w:t>
      </w:r>
      <w:r>
        <w:rPr>
          <w:rFonts w:ascii="Helvetica;sans-serif" w:hAnsi="Helvetica;sans-serif"/>
          <w:sz w:val="22"/>
        </w:rPr>
        <w:t xml:space="preserve"> </w:t>
      </w:r>
      <w:r>
        <w:rPr>
          <w:rFonts w:ascii="Arial;Helvetica;sans-serif" w:hAnsi="Arial;Helvetica;sans-serif"/>
          <w:sz w:val="20"/>
        </w:rPr>
        <w:t>from the issuance date of November 2021. In the third year post issuance date, a minimum of 50%</w:t>
      </w:r>
      <w:r>
        <w:rPr>
          <w:rFonts w:ascii="Helvetica;sans-serif" w:hAnsi="Helvetica;sans-serif"/>
          <w:sz w:val="22"/>
        </w:rPr>
        <w:t xml:space="preserve"> </w:t>
      </w:r>
      <w:r>
        <w:rPr>
          <w:rFonts w:ascii="Arial;Helvetica;sans-serif" w:hAnsi="Arial;Helvetica;sans-serif"/>
          <w:sz w:val="20"/>
        </w:rPr>
        <w:t>of each interest payment due with respect to each tranche of the Intercompany Loan – DISH Network were required to be paid in cash. Currently and prospectively, interest payments must be paid in cash. Interest accrues: (a) when paid in cash, at a fixed rate of 0.25%</w:t>
      </w:r>
      <w:r>
        <w:rPr>
          <w:rFonts w:ascii="Helvetica;sans-serif" w:hAnsi="Helvetica;sans-serif"/>
          <w:sz w:val="22"/>
        </w:rPr>
        <w:t xml:space="preserve"> </w:t>
      </w:r>
      <w:r>
        <w:rPr>
          <w:rFonts w:ascii="Arial;Helvetica;sans-serif" w:hAnsi="Arial;Helvetica;sans-serif"/>
          <w:sz w:val="20"/>
        </w:rPr>
        <w:t xml:space="preserve">per annum in excess of the interest rate applicable to, in the case of the Intercompany Loan – DISH Network – 2026 Tranche,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in the case of the Intercompany Loan – DISH Network – 2028 Tranche,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 (each, the “Cash Accrual Rate” with respect to the applicable tranche); and (b) when paid in kind, at a rate of 0.50%</w:t>
      </w:r>
      <w:r>
        <w:rPr>
          <w:rFonts w:ascii="Helvetica;sans-serif" w:hAnsi="Helvetica;sans-serif"/>
          <w:sz w:val="22"/>
        </w:rPr>
        <w:t xml:space="preserve"> </w:t>
      </w:r>
      <w:r>
        <w:rPr>
          <w:rFonts w:ascii="Arial;Helvetica;sans-serif" w:hAnsi="Arial;Helvetica;sans-serif"/>
          <w:sz w:val="20"/>
        </w:rPr>
        <w:t>per annum in excess of the Cash Accrual Rate for the applicable tranche.</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The Intercompany Loan – DISH Network is repayable by DISH Network in whole or in part, at any time or from time to time, at a price equal to 100%</w:t>
      </w:r>
      <w:r>
        <w:rPr>
          <w:rFonts w:ascii="Helvetica;sans-serif" w:hAnsi="Helvetica;sans-serif"/>
          <w:sz w:val="22"/>
        </w:rPr>
        <w:t xml:space="preserve"> </w:t>
      </w:r>
      <w:r>
        <w:rPr>
          <w:rFonts w:ascii="Arial;Helvetica;sans-serif" w:hAnsi="Arial;Helvetica;sans-serif"/>
          <w:sz w:val="20"/>
        </w:rPr>
        <w:t>of the principal amount thereof, plus accrued but unpaid interest thereon. We may use the proceeds of any such pre-payment for general corporate purposes, including refinancing of indebtedness, but may not use any such prepaid amounts to make a cash dividend or distribution to DISH Network prior to the repayment in full of the Intercompany Loan – DISH Network.</w:t>
      </w:r>
      <w:r>
        <w:rPr>
          <w:rFonts w:ascii="Helvetica;sans-serif" w:hAnsi="Helvetica;sans-serif"/>
          <w:sz w:val="22"/>
        </w:rPr>
        <w:t xml:space="preserve"> </w:t>
      </w:r>
      <w:r>
        <w:rPr>
          <w:rFonts w:ascii="Arial;Helvetica;sans-serif" w:hAnsi="Arial;Helvetica;sans-serif"/>
          <w:sz w:val="20"/>
        </w:rPr>
        <w:t xml:space="preserve">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w:t>
      </w:r>
      <w:r>
        <w:rPr>
          <w:rFonts w:ascii="Helvetica;sans-serif" w:hAnsi="Helvetica;sans-serif"/>
          <w:sz w:val="22"/>
        </w:rPr>
        <w:t xml:space="preserve"> </w:t>
      </w:r>
      <w:r>
        <w:rPr>
          <w:rFonts w:ascii="Arial;Helvetica;sans-serif" w:hAnsi="Arial;Helvetica;sans-serif"/>
          <w:sz w:val="20"/>
        </w:rPr>
        <w:t xml:space="preserve">are subordinated to our existing and certain future unsecured notes with respect to certain realizations under the Intercompany Loan – DISH Network and any collateral pledged as security therefor. Any material amendments or modifications to the terms of the Intercompany Loan – DISH Network will require the written consent of the holders of a majority of the then-outstanding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shd w:fill="FFFFFF" w:val="clear"/>
        </w:rPr>
        <w:t xml:space="preserve">On January 10, 2024, we, in our capacity as “Lender” under the terms of the Loan and Security Agreement related to the </w:t>
      </w:r>
      <w:r>
        <w:rPr>
          <w:rFonts w:ascii="Arial;Helvetica;sans-serif" w:hAnsi="Arial;Helvetica;sans-serif"/>
          <w:sz w:val="20"/>
        </w:rPr>
        <w:t xml:space="preserve">Intercompany Loan – DISH Network </w:t>
      </w:r>
      <w:r>
        <w:rPr>
          <w:rFonts w:ascii="Arial;Helvetica;sans-serif" w:hAnsi="Arial;Helvetica;sans-serif"/>
          <w:sz w:val="20"/>
          <w:shd w:fill="FFFFFF" w:val="clear"/>
        </w:rPr>
        <w:t xml:space="preserve">between DISH Network and us, have consummated the assignment pursuant to such terms, without any modification or amendment thereto, of our receivable in respect to the </w:t>
      </w:r>
      <w:r>
        <w:rPr>
          <w:rFonts w:ascii="Arial;Helvetica;sans-serif" w:hAnsi="Arial;Helvetica;sans-serif"/>
          <w:sz w:val="20"/>
        </w:rPr>
        <w:t>Intercompany Loan – DISH Network – 2026 Tranche</w:t>
      </w:r>
      <w:r>
        <w:rPr>
          <w:rFonts w:ascii="Helvetica;sans-serif" w:hAnsi="Helvetica;sans-serif"/>
          <w:sz w:val="20"/>
          <w:shd w:fill="FFFFFF" w:val="clear"/>
        </w:rPr>
        <w:t xml:space="preserve"> </w:t>
      </w:r>
      <w:r>
        <w:rPr>
          <w:rFonts w:ascii="Arial;Helvetica;sans-serif" w:hAnsi="Arial;Helvetica;sans-serif"/>
          <w:sz w:val="20"/>
          <w:shd w:fill="FFFFFF" w:val="clear"/>
        </w:rPr>
        <w:t>of $4.7</w:t>
      </w:r>
      <w:r>
        <w:rPr>
          <w:rFonts w:ascii="Helvetica;sans-serif" w:hAnsi="Helvetica;sans-serif"/>
          <w:sz w:val="20"/>
          <w:shd w:fill="FFFFFF" w:val="clear"/>
        </w:rPr>
        <w:t xml:space="preserve"> </w:t>
      </w:r>
      <w:r>
        <w:rPr>
          <w:rFonts w:ascii="Arial;Helvetica;sans-serif" w:hAnsi="Arial;Helvetica;sans-serif"/>
          <w:sz w:val="20"/>
          <w:shd w:fill="FFFFFF" w:val="clear"/>
        </w:rPr>
        <w:t xml:space="preserve">billion to DBS Intercompany Receivable L.L.C. </w:t>
      </w:r>
      <w:r>
        <w:rPr>
          <w:rFonts w:ascii="Arial;Helvetica;sans-serif" w:hAnsi="Arial;Helvetica;sans-serif"/>
          <w:sz w:val="20"/>
        </w:rPr>
        <w:t>DBS Intercompany Receivable L.L.C.</w:t>
      </w:r>
      <w:r>
        <w:rPr>
          <w:rFonts w:ascii="Helvetica;sans-serif" w:hAnsi="Helvetica;sans-serif"/>
          <w:sz w:val="20"/>
          <w:shd w:fill="FFFFFF" w:val="clear"/>
        </w:rPr>
        <w:t> </w:t>
      </w:r>
      <w:r>
        <w:rPr>
          <w:rFonts w:ascii="Arial;Helvetica;sans-serif" w:hAnsi="Arial;Helvetica;sans-serif"/>
          <w:sz w:val="20"/>
          <w:shd w:fill="FFFFFF" w:val="clear"/>
        </w:rPr>
        <w:t>has subsequently assigned its rights as lender thereunder to </w:t>
      </w:r>
      <w:r>
        <w:rPr>
          <w:rFonts w:ascii="Arial;Helvetica;sans-serif" w:hAnsi="Arial;Helvetica;sans-serif"/>
          <w:sz w:val="20"/>
        </w:rPr>
        <w:t>EchoStar Intercompany Receivable Company L.L.C.</w:t>
      </w:r>
      <w:r>
        <w:rPr>
          <w:rFonts w:ascii="Arial;Helvetica;sans-serif" w:hAnsi="Arial;Helvetica;sans-serif"/>
          <w:sz w:val="20"/>
          <w:shd w:fill="FFFFFF" w:val="clear"/>
        </w:rPr>
        <w:t xml:space="preserve">, our ultimate parent, EchoStar’s direct wholly-owned subsidiary, such that amounts owed in respect of the </w:t>
      </w:r>
      <w:r>
        <w:rPr>
          <w:rFonts w:ascii="Arial;Helvetica;sans-serif" w:hAnsi="Arial;Helvetica;sans-serif"/>
          <w:sz w:val="20"/>
        </w:rPr>
        <w:t>Intercompany Loan – DISH Network – 2026 Tranche</w:t>
      </w:r>
      <w:r>
        <w:rPr>
          <w:rFonts w:ascii="Helvetica;sans-serif" w:hAnsi="Helvetica;sans-serif"/>
          <w:sz w:val="20"/>
          <w:shd w:fill="FFFFFF" w:val="clear"/>
        </w:rPr>
        <w:t xml:space="preserve"> </w:t>
      </w:r>
      <w:r>
        <w:rPr>
          <w:rFonts w:ascii="Arial;Helvetica;sans-serif" w:hAnsi="Arial;Helvetica;sans-serif"/>
          <w:sz w:val="20"/>
          <w:shd w:fill="FFFFFF" w:val="clear"/>
        </w:rPr>
        <w:t>will now be paid by DISH Network to </w:t>
      </w:r>
      <w:r>
        <w:rPr>
          <w:rFonts w:ascii="Arial;Helvetica;sans-serif" w:hAnsi="Arial;Helvetica;sans-serif"/>
          <w:sz w:val="20"/>
        </w:rPr>
        <w:t>EchoStar Intercompany Receivable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months ended September 30, 2025 and 2024, we recorded $43</w:t>
      </w:r>
      <w:r>
        <w:rPr>
          <w:rFonts w:ascii="Times New Roman;Times;serif" w:hAnsi="Times New Roman;Times;serif"/>
          <w:sz w:val="20"/>
        </w:rPr>
        <w:t xml:space="preserve"> </w:t>
      </w:r>
      <w:r>
        <w:rPr>
          <w:rFonts w:ascii="Arial;Helvetica;sans-serif" w:hAnsi="Arial;Helvetica;sans-serif"/>
          <w:sz w:val="20"/>
        </w:rPr>
        <w:t>million and $42</w:t>
      </w:r>
      <w:r>
        <w:rPr>
          <w:rFonts w:ascii="Times New Roman;Times;serif" w:hAnsi="Times New Roman;Times;serif"/>
          <w:sz w:val="20"/>
        </w:rPr>
        <w:t xml:space="preserve"> </w:t>
      </w:r>
      <w:r>
        <w:rPr>
          <w:rFonts w:ascii="Arial;Helvetica;sans-serif" w:hAnsi="Arial;Helvetica;sans-serif"/>
          <w:sz w:val="20"/>
        </w:rPr>
        <w:t>million, respectively, of “Interest income” on our Condensed Consolidated Statements of Operations and Comprehensive Income (Loss). During the nine months ended September 30, 2025 and 2024, we recorded $128</w:t>
      </w:r>
      <w:r>
        <w:rPr>
          <w:rFonts w:ascii="Times New Roman;Times;serif" w:hAnsi="Times New Roman;Times;serif"/>
          <w:sz w:val="20"/>
        </w:rPr>
        <w:t xml:space="preserve"> </w:t>
      </w:r>
      <w:r>
        <w:rPr>
          <w:rFonts w:ascii="Arial;Helvetica;sans-serif" w:hAnsi="Arial;Helvetica;sans-serif"/>
          <w:sz w:val="20"/>
        </w:rPr>
        <w:t>million and $136</w:t>
      </w:r>
      <w:r>
        <w:rPr>
          <w:rFonts w:ascii="Times New Roman;Times;serif" w:hAnsi="Times New Roman;Times;serif"/>
          <w:sz w:val="20"/>
        </w:rPr>
        <w:t xml:space="preserve"> </w:t>
      </w:r>
      <w:r>
        <w:rPr>
          <w:rFonts w:ascii="Arial;Helvetica;sans-serif" w:hAnsi="Arial;Helvetica;sans-serif"/>
          <w:sz w:val="20"/>
        </w:rPr>
        <w:t>million, respectively, of “Interest income” on our Condensed Consolidated Statements of Operations and Comprehensive Income (Loss). As of September 30, 2025 and December 31, 2024, the total Intercompany Loan – DISH Network – 2028 Tranche amount outstanding plus interest paid in kind was $2.844</w:t>
      </w:r>
      <w:r>
        <w:rPr>
          <w:rFonts w:ascii="Times New Roman;Times;serif" w:hAnsi="Times New Roman;Times;serif"/>
          <w:sz w:val="20"/>
        </w:rPr>
        <w:t xml:space="preserve"> </w:t>
      </w:r>
      <w:r>
        <w:rPr>
          <w:rFonts w:ascii="Arial;Helvetica;sans-serif" w:hAnsi="Arial;Helvetica;sans-serif"/>
          <w:sz w:val="20"/>
        </w:rPr>
        <w:t>billion. This is recorded in “Notes Receivable – DISH Network” on our Condensed Consolidated Balance Sheets. In addition, as of September 30, 2025 and December 31, 2024, “Interest receivable – DISH Network” on our Condensed Consolidated Balance Sheets was $57</w:t>
      </w:r>
      <w:r>
        <w:rPr>
          <w:rFonts w:ascii="Times New Roman;Times;serif" w:hAnsi="Times New Roman;Times;serif"/>
          <w:sz w:val="20"/>
        </w:rPr>
        <w:t xml:space="preserve"> </w:t>
      </w:r>
      <w:r>
        <w:rPr>
          <w:rFonts w:ascii="Arial;Helvetica;sans-serif" w:hAnsi="Arial;Helvetica;sans-serif"/>
          <w:sz w:val="20"/>
        </w:rPr>
        <w:t>million and $14</w:t>
      </w:r>
      <w:r>
        <w:rPr>
          <w:rFonts w:ascii="Times New Roman;Times;serif" w:hAnsi="Times New Roman;Times;serif"/>
          <w:sz w:val="20"/>
        </w:rPr>
        <w:t xml:space="preserve"> </w:t>
      </w:r>
      <w:r>
        <w:rPr>
          <w:rFonts w:ascii="Arial;Helvetica;sans-serif" w:hAnsi="Arial;Helvetica;sans-serif"/>
          <w:sz w:val="20"/>
        </w:rPr>
        <w:t>million, respectively, which must be paid in cash. The Intercompany Loan – DISH Network – 2028 Tranche plus accrued interest will be repaid in full by DISH Network at the closing of the AT&amp;T Transactions, as detailed in Note 1 “</w:t>
      </w:r>
      <w:r>
        <w:rPr>
          <w:rFonts w:ascii="Arial;Helvetica;sans-serif" w:hAnsi="Arial;Helvetica;sans-serif"/>
          <w:i/>
          <w:sz w:val="20"/>
        </w:rPr>
        <w:t>AT&amp;T Transactions.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r>
        <w:rPr>
          <w:rFonts w:ascii="Arial;Helvetica;sans-serif" w:hAnsi="Arial;Helvetica;sans-serif"/>
          <w:b/>
          <w:i/>
          <w:sz w:val="20"/>
        </w:rPr>
        <w:t>Q2 2024 Notes Receivable – DISH Network</w:t>
      </w:r>
    </w:p>
    <w:p>
      <w:pPr>
        <w:pStyle w:val="TextBody"/>
        <w:bidi w:val="0"/>
        <w:spacing w:lineRule="auto" w:line="302" w:before="0" w:after="12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June 2024, we and DISH Network entered into an intercompany loan (the “Q2 2024 Notes Receivable – DISH Network”) with an initial principal amount of $1.508</w:t>
      </w:r>
      <w:r>
        <w:rPr>
          <w:rFonts w:ascii="Times New Roman;Times;serif" w:hAnsi="Times New Roman;Times;serif"/>
          <w:sz w:val="20"/>
        </w:rPr>
        <w:t xml:space="preserve"> </w:t>
      </w:r>
      <w:r>
        <w:rPr>
          <w:rFonts w:ascii="Arial;Helvetica;sans-serif" w:hAnsi="Arial;Helvetica;sans-serif"/>
          <w:sz w:val="20"/>
        </w:rPr>
        <w:t>billion. The Q2 2024 Notes Receivable – DISH Network matures on August 13, 2028. Interest accrues and is payable monthly and interest payments shall be payable “in kind” and shall be added to the principal amount of the loan on each interest payment date. The interest rate with respect to the Q2 2024 Notes Receivable – DISH Network is at a variable rate. During the three months ended September 30, 2025, and 2024 we recorded $28</w:t>
      </w:r>
      <w:r>
        <w:rPr>
          <w:rFonts w:ascii="Times New Roman;Times;serif" w:hAnsi="Times New Roman;Times;serif"/>
          <w:sz w:val="20"/>
        </w:rPr>
        <w:t xml:space="preserve"> </w:t>
      </w:r>
      <w:r>
        <w:rPr>
          <w:rFonts w:ascii="Arial;Helvetica;sans-serif" w:hAnsi="Arial;Helvetica;sans-serif"/>
          <w:sz w:val="20"/>
        </w:rPr>
        <w:t>million and $26</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During the nine months ended September 30, 2025, and 2024 we recorded $82</w:t>
      </w:r>
      <w:r>
        <w:rPr>
          <w:rFonts w:ascii="Times New Roman;Times;serif" w:hAnsi="Times New Roman;Times;serif"/>
          <w:sz w:val="20"/>
        </w:rPr>
        <w:t xml:space="preserve"> </w:t>
      </w:r>
      <w:r>
        <w:rPr>
          <w:rFonts w:ascii="Arial;Helvetica;sans-serif" w:hAnsi="Arial;Helvetica;sans-serif"/>
          <w:sz w:val="20"/>
        </w:rPr>
        <w:t>million and $47</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As of September 30, 2025, the total Q2 2024 Notes Receivable – DISH Network amount outstanding plus interest paid in kind was $1.659</w:t>
      </w:r>
      <w:r>
        <w:rPr>
          <w:rFonts w:ascii="Times New Roman;Times;serif" w:hAnsi="Times New Roman;Times;serif"/>
          <w:sz w:val="20"/>
        </w:rPr>
        <w:t xml:space="preserve"> </w:t>
      </w:r>
      <w:r>
        <w:rPr>
          <w:rFonts w:ascii="Arial;Helvetica;sans-serif" w:hAnsi="Arial;Helvetica;sans-serif"/>
          <w:sz w:val="20"/>
        </w:rPr>
        <w:t>billion. This is recorded in “Notes Receivable – DISH Network” on our Condensed Consolidated Balance Sheets.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r>
        <w:rPr>
          <w:rFonts w:ascii="Arial;Helvetica;sans-serif" w:hAnsi="Arial;Helvetica;sans-serif"/>
          <w:b/>
          <w:i/>
          <w:sz w:val="20"/>
        </w:rPr>
        <w:t>Q3 2024 Notes Receivable – DISH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September 2024, we and DISH Network entered into an intercompany loan (the “Q3 2024 Notes Receivable – DISH Network”) with an initial principal amount of $481</w:t>
      </w:r>
      <w:r>
        <w:rPr>
          <w:rFonts w:ascii="Times New Roman;Times;serif" w:hAnsi="Times New Roman;Times;serif"/>
          <w:sz w:val="20"/>
        </w:rPr>
        <w:t xml:space="preserve"> </w:t>
      </w:r>
      <w:r>
        <w:rPr>
          <w:rFonts w:ascii="Arial;Helvetica;sans-serif" w:hAnsi="Arial;Helvetica;sans-serif"/>
          <w:sz w:val="20"/>
        </w:rPr>
        <w:t>million. The Q3 2024 Notes Receivable – DISH Network matures on November 13, 2028. Interest accrues and is payable monthly and interest payments shall be payable “in kind” and shall be added to the principal amount of the loan on each interest payment date. The interest rate with respect to the Q3 2024 Notes Receivable – DISH Network is at a variable rate. During the three months ended September 30, 2025 and 2024, we recorded $9</w:t>
      </w:r>
      <w:r>
        <w:rPr>
          <w:rFonts w:ascii="Times New Roman;Times;serif" w:hAnsi="Times New Roman;Times;serif"/>
          <w:sz w:val="20"/>
        </w:rPr>
        <w:t xml:space="preserve"> </w:t>
      </w:r>
      <w:r>
        <w:rPr>
          <w:rFonts w:ascii="Arial;Helvetica;sans-serif" w:hAnsi="Arial;Helvetica;sans-serif"/>
          <w:sz w:val="20"/>
        </w:rPr>
        <w:t>million and $5</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During the nine months ended September 30, 2025 and 2024, we recorded $26</w:t>
      </w:r>
      <w:r>
        <w:rPr>
          <w:rFonts w:ascii="Times New Roman;Times;serif" w:hAnsi="Times New Roman;Times;serif"/>
          <w:sz w:val="20"/>
        </w:rPr>
        <w:t xml:space="preserve"> </w:t>
      </w:r>
      <w:r>
        <w:rPr>
          <w:rFonts w:ascii="Arial;Helvetica;sans-serif" w:hAnsi="Arial;Helvetica;sans-serif"/>
          <w:sz w:val="20"/>
        </w:rPr>
        <w:t>million and $5</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As of September 30, 2025, the total Q3 2024 Notes Receivable – DISH Network amount outstanding plus interest paid in kind was $518</w:t>
      </w:r>
      <w:r>
        <w:rPr>
          <w:rFonts w:ascii="Times New Roman;Times;serif" w:hAnsi="Times New Roman;Times;serif"/>
          <w:sz w:val="20"/>
        </w:rPr>
        <w:t xml:space="preserve"> </w:t>
      </w:r>
      <w:r>
        <w:rPr>
          <w:rFonts w:ascii="Arial;Helvetica;sans-serif" w:hAnsi="Arial;Helvetica;sans-serif"/>
          <w:sz w:val="20"/>
        </w:rPr>
        <w:t>million. This is recorded in “Notes Receivable – DISH Network”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b/>
          <w:i/>
          <w:sz w:val="20"/>
        </w:rPr>
        <w:t>Cost of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months ended September 30, 2025 and 2024, we incurred expenses of $52</w:t>
      </w:r>
      <w:r>
        <w:rPr>
          <w:rFonts w:ascii="Times New Roman;Times;serif" w:hAnsi="Times New Roman;Times;serif"/>
          <w:sz w:val="20"/>
        </w:rPr>
        <w:t xml:space="preserve"> </w:t>
      </w:r>
      <w:r>
        <w:rPr>
          <w:rFonts w:ascii="Arial;Helvetica;sans-serif" w:hAnsi="Arial;Helvetica;sans-serif"/>
          <w:sz w:val="20"/>
        </w:rPr>
        <w:t>million and $52</w:t>
      </w:r>
      <w:r>
        <w:rPr>
          <w:rFonts w:ascii="Times New Roman;Times;serif" w:hAnsi="Times New Roman;Times;serif"/>
          <w:sz w:val="20"/>
        </w:rPr>
        <w:t xml:space="preserve"> </w:t>
      </w:r>
      <w:r>
        <w:rPr>
          <w:rFonts w:ascii="Arial;Helvetica;sans-serif" w:hAnsi="Arial;Helvetica;sans-serif"/>
          <w:sz w:val="20"/>
        </w:rPr>
        <w:t>million, respectively, for satellite capacity leased from DISH Network, and telemetry, tracking and control (“TT&amp;C”) and other professional services provided to us by DISH Network. During the nine months ended September 30, 2025 and 2024, we incurred expenses of $155</w:t>
      </w:r>
      <w:r>
        <w:rPr>
          <w:rFonts w:ascii="Times New Roman;Times;serif" w:hAnsi="Times New Roman;Times;serif"/>
          <w:sz w:val="20"/>
        </w:rPr>
        <w:t xml:space="preserve"> </w:t>
      </w:r>
      <w:r>
        <w:rPr>
          <w:rFonts w:ascii="Arial;Helvetica;sans-serif" w:hAnsi="Arial;Helvetica;sans-serif"/>
          <w:sz w:val="20"/>
        </w:rPr>
        <w:t>million and $156</w:t>
      </w:r>
      <w:r>
        <w:rPr>
          <w:rFonts w:ascii="Times New Roman;Times;serif" w:hAnsi="Times New Roman;Times;serif"/>
          <w:sz w:val="20"/>
        </w:rPr>
        <w:t xml:space="preserve"> </w:t>
      </w:r>
      <w:r>
        <w:rPr>
          <w:rFonts w:ascii="Arial;Helvetica;sans-serif" w:hAnsi="Arial;Helvetica;sans-serif"/>
          <w:sz w:val="20"/>
        </w:rPr>
        <w:t>million, respectively, for satellite capacity leased from DISH Network, and telemetry, tracking and control (“TT&amp;C”) and other professional services provided to us by DISH Network. DISH Network is a supplier of the vast majority of our transponder capacity. These amounts are recorded in “Cost of services” on our Condensed Consolidated Statements of Operations and Comprehensive Income (Loss). The primary agreements pertaining to these expenses are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Satellite Capacity Leased from DISH Network</w:t>
      </w:r>
      <w:r>
        <w:rPr>
          <w:rFonts w:ascii="Arial;Helvetica;sans-serif" w:hAnsi="Arial;Helvetica;sans-serif"/>
          <w:sz w:val="20"/>
        </w:rPr>
        <w:t>. We lease satellite capacity on satellites owned or leased by DISH Network from a wholly-owned subsidiary of DISH Network. See “Satellites” in Note 6 for further information. The term of each lease is set forth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EchoStar X, XI, XIV and XVI. </w:t>
            </w:r>
            <w:r>
              <w:rPr>
                <w:rFonts w:ascii="Arial;Helvetica;sans-serif" w:hAnsi="Arial;Helvetica;sans-serif"/>
                <w:b w:val="false"/>
                <w:i w:val="false"/>
                <w:caps w:val="false"/>
                <w:smallCaps w:val="false"/>
                <w:spacing w:val="-4"/>
                <w:sz w:val="20"/>
              </w:rPr>
              <w:t xml:space="preserve">We lease all available capacity on the EchoStar X, XI, XIV and XVI satellites </w:t>
            </w:r>
            <w:r>
              <w:rPr>
                <w:rFonts w:ascii="Arial;Helvetica;sans-serif" w:hAnsi="Arial;Helvetica;sans-serif"/>
                <w:b w:val="false"/>
                <w:i w:val="false"/>
                <w:caps w:val="false"/>
                <w:smallCaps w:val="false"/>
                <w:sz w:val="20"/>
              </w:rPr>
              <w:t xml:space="preserve">from a wholly-owned subsidiary of </w:t>
            </w:r>
            <w:r>
              <w:rPr>
                <w:rFonts w:ascii="Arial;Helvetica;sans-serif" w:hAnsi="Arial;Helvetica;sans-serif"/>
                <w:b w:val="false"/>
                <w:i w:val="false"/>
                <w:caps w:val="false"/>
                <w:smallCaps w:val="false"/>
                <w:spacing w:val="-4"/>
                <w:sz w:val="20"/>
              </w:rPr>
              <w:t>DISH Network.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EchoStar XXIII.</w:t>
            </w:r>
            <w:r>
              <w:rPr>
                <w:caps w:val="false"/>
                <w:smallCaps w:val="false"/>
              </w:rPr>
              <w:t xml:space="preserve"> </w:t>
            </w:r>
            <w:r>
              <w:rPr>
                <w:rFonts w:ascii="Arial;Helvetica;sans-serif" w:hAnsi="Arial;Helvetica;sans-serif"/>
                <w:b w:val="false"/>
                <w:i w:val="false"/>
                <w:caps w:val="false"/>
                <w:smallCaps w:val="false"/>
                <w:sz w:val="20"/>
              </w:rPr>
              <w:t>We lease certain capacity on the EchoStar XXIII satellite from a wholly-owned subsidiary of DISH Network on a month to month basis.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pacing w:val="-2"/>
                <w:sz w:val="20"/>
              </w:rPr>
              <w:t xml:space="preserve">Nimiq 5. </w:t>
            </w:r>
            <w:r>
              <w:rPr>
                <w:rFonts w:ascii="Arial;Helvetica;sans-serif" w:hAnsi="Arial;Helvetica;sans-serif"/>
                <w:b w:val="false"/>
                <w:i w:val="false"/>
                <w:caps w:val="false"/>
                <w:smallCaps w:val="false"/>
                <w:spacing w:val="-2"/>
                <w:sz w:val="20"/>
              </w:rPr>
              <w:t>DISH Network had a 15-year</w:t>
            </w:r>
            <w:r>
              <w:rPr>
                <w:caps w:val="false"/>
                <w:smallCaps w:val="false"/>
                <w:spacing w:val="-2"/>
              </w:rPr>
              <w:t xml:space="preserve"> </w:t>
            </w:r>
            <w:r>
              <w:rPr>
                <w:rFonts w:ascii="Arial;Helvetica;sans-serif" w:hAnsi="Arial;Helvetica;sans-serif"/>
                <w:b w:val="false"/>
                <w:i w:val="false"/>
                <w:caps w:val="false"/>
                <w:smallCaps w:val="false"/>
                <w:spacing w:val="-2"/>
                <w:sz w:val="20"/>
              </w:rPr>
              <w:t>satellite service agreement with Telesat Canada (“Telesat”) to receive service on all 32</w:t>
            </w:r>
            <w:r>
              <w:rPr>
                <w:caps w:val="false"/>
                <w:smallCaps w:val="false"/>
                <w:spacing w:val="-2"/>
              </w:rPr>
              <w:t xml:space="preserve"> </w:t>
            </w:r>
            <w:r>
              <w:rPr>
                <w:rFonts w:ascii="Arial;Helvetica;sans-serif" w:hAnsi="Arial;Helvetica;sans-serif"/>
                <w:b w:val="false"/>
                <w:i w:val="false"/>
                <w:caps w:val="false"/>
                <w:smallCaps w:val="false"/>
                <w:spacing w:val="-2"/>
                <w:sz w:val="20"/>
              </w:rPr>
              <w:t>DBS transponders on the Nimiq 5 satellite at the 72.7 degree orbital location with the option to renew on a year-to-year basis through the end-of-life of the Nimiq 5 satellite. We were receiving transponder service on all 32</w:t>
            </w:r>
            <w:r>
              <w:rPr>
                <w:caps w:val="false"/>
                <w:smallCaps w:val="false"/>
                <w:spacing w:val="-2"/>
              </w:rPr>
              <w:t xml:space="preserve"> </w:t>
            </w:r>
            <w:r>
              <w:rPr>
                <w:rFonts w:ascii="Arial;Helvetica;sans-serif" w:hAnsi="Arial;Helvetica;sans-serif"/>
                <w:b w:val="false"/>
                <w:i w:val="false"/>
                <w:caps w:val="false"/>
                <w:smallCaps w:val="false"/>
                <w:spacing w:val="-2"/>
                <w:sz w:val="20"/>
              </w:rPr>
              <w:t>of the DBS transponders on this satellite from DISH Network. The Nimiq 5 lease was accounted for as a finance lease until the fourth quarter of 2024. Expenses related to this lease were recorded in “Depreciation and amortization” and “Interest expense, net of amounts capitalized” on our Condensed Consolidated Statements of Operations and Comprehensive Income (Loss). During the three and nine months ended September 30, 2024, we recorded $9</w:t>
            </w:r>
            <w:r>
              <w:rPr>
                <w:caps w:val="false"/>
                <w:smallCaps w:val="false"/>
                <w:spacing w:val="-2"/>
              </w:rPr>
              <w:t xml:space="preserve"> </w:t>
            </w:r>
            <w:r>
              <w:rPr>
                <w:rFonts w:ascii="Arial;Helvetica;sans-serif" w:hAnsi="Arial;Helvetica;sans-serif"/>
                <w:b w:val="false"/>
                <w:i w:val="false"/>
                <w:caps w:val="false"/>
                <w:smallCaps w:val="false"/>
                <w:spacing w:val="-2"/>
                <w:sz w:val="20"/>
              </w:rPr>
              <w:t>million and $26</w:t>
            </w:r>
            <w:r>
              <w:rPr>
                <w:caps w:val="false"/>
                <w:smallCaps w:val="false"/>
                <w:spacing w:val="-2"/>
              </w:rPr>
              <w:t xml:space="preserve"> </w:t>
            </w:r>
            <w:r>
              <w:rPr>
                <w:rFonts w:ascii="Arial;Helvetica;sans-serif" w:hAnsi="Arial;Helvetica;sans-serif"/>
                <w:b w:val="false"/>
                <w:i w:val="false"/>
                <w:caps w:val="false"/>
                <w:smallCaps w:val="false"/>
                <w:spacing w:val="-2"/>
                <w:sz w:val="20"/>
              </w:rPr>
              <w:t>million, respectively, of “Depreciation and amortization” expense related to Nimiq 5 and less than $1</w:t>
            </w:r>
            <w:r>
              <w:rPr>
                <w:caps w:val="false"/>
                <w:smallCaps w:val="false"/>
                <w:spacing w:val="-2"/>
              </w:rPr>
              <w:t xml:space="preserve"> </w:t>
            </w:r>
            <w:r>
              <w:rPr>
                <w:rFonts w:ascii="Arial;Helvetica;sans-serif" w:hAnsi="Arial;Helvetica;sans-serif"/>
                <w:b w:val="false"/>
                <w:i w:val="false"/>
                <w:caps w:val="false"/>
                <w:smallCaps w:val="false"/>
                <w:spacing w:val="-2"/>
                <w:sz w:val="20"/>
              </w:rPr>
              <w:t>million and $1</w:t>
            </w:r>
            <w:r>
              <w:rPr>
                <w:caps w:val="false"/>
                <w:smallCaps w:val="false"/>
                <w:spacing w:val="-2"/>
              </w:rPr>
              <w:t xml:space="preserve"> </w:t>
            </w:r>
            <w:r>
              <w:rPr>
                <w:rFonts w:ascii="Arial;Helvetica;sans-serif" w:hAnsi="Arial;Helvetica;sans-serif"/>
                <w:b w:val="false"/>
                <w:i w:val="false"/>
                <w:caps w:val="false"/>
                <w:smallCaps w:val="false"/>
                <w:spacing w:val="-2"/>
                <w:sz w:val="20"/>
              </w:rPr>
              <w:t xml:space="preserve">million, respectively, of “Interest expense, net of amounts capitalized.” </w:t>
            </w:r>
            <w:r>
              <w:rPr>
                <w:rFonts w:ascii="Arial;Helvetica;sans-serif" w:hAnsi="Arial;Helvetica;sans-serif"/>
                <w:b w:val="false"/>
                <w:i w:val="false"/>
                <w:caps w:val="false"/>
                <w:smallCaps w:val="false"/>
                <w:sz w:val="20"/>
              </w:rPr>
              <w:t>During October 2024, DISH Network extended the Nimiq 5 lease and, as a result of the new terms, our lease is accounted for as an operating lease. We are currently receiving transponder service on 27</w:t>
            </w:r>
            <w:r>
              <w:rPr>
                <w:caps w:val="false"/>
                <w:smallCaps w:val="false"/>
              </w:rPr>
              <w:t xml:space="preserve"> </w:t>
            </w:r>
            <w:r>
              <w:rPr>
                <w:rFonts w:ascii="Arial;Helvetica;sans-serif" w:hAnsi="Arial;Helvetica;sans-serif"/>
                <w:b w:val="false"/>
                <w:i w:val="false"/>
                <w:caps w:val="false"/>
                <w:smallCaps w:val="false"/>
                <w:sz w:val="20"/>
              </w:rPr>
              <w:t>of the DBS transponders on this satellite from DISH Network and this number will periodically decrease to 16 transponders in 2026.</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i/>
          <w:sz w:val="20"/>
        </w:rPr>
        <w:t xml:space="preserve">TT&amp;C Agreement. </w:t>
      </w:r>
      <w:r>
        <w:rPr>
          <w:rFonts w:ascii="Arial;Helvetica;sans-serif" w:hAnsi="Arial;Helvetica;sans-serif"/>
          <w:sz w:val="20"/>
        </w:rPr>
        <w:t>We receive TT&amp;C services from a wholly-owned subsidiary of EchoStar for certain satellites (the “TT&amp;C Agreement”). The fees for services provided under the TT&amp;C Agreement are calculated at either: (i) a fixed fee; or (ii) cost plus a fixed margin, which will vary depending on the nature of the services provided. We and EchoStar are able to terminate the TT&amp;C Agreement for any reason upon 12 months</w:t>
      </w:r>
      <w:r>
        <w:rPr>
          <w:rFonts w:ascii="Times New Roman;Times;serif" w:hAnsi="Times New Roman;Times;serif"/>
          <w:sz w:val="24"/>
        </w:rPr>
        <w:t xml:space="preserve">’ </w:t>
      </w:r>
      <w:r>
        <w:rPr>
          <w:rFonts w:ascii="Arial;Helvetica;sans-serif" w:hAnsi="Arial;Helvetica;sans-serif"/>
          <w:sz w:val="20"/>
        </w:rPr>
        <w:t>notice.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b/>
          <w:i/>
          <w:sz w:val="20"/>
        </w:rPr>
        <w:t>Selling, general and administrative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months ended September 30, 2025 and 2024, we incurred $7</w:t>
      </w:r>
      <w:r>
        <w:rPr>
          <w:rFonts w:ascii="Times New Roman;Times;serif" w:hAnsi="Times New Roman;Times;serif"/>
          <w:sz w:val="20"/>
        </w:rPr>
        <w:t xml:space="preserve"> </w:t>
      </w:r>
      <w:r>
        <w:rPr>
          <w:rFonts w:ascii="Arial;Helvetica;sans-serif" w:hAnsi="Arial;Helvetica;sans-serif"/>
          <w:sz w:val="20"/>
        </w:rPr>
        <w:t>million and $8</w:t>
      </w:r>
      <w:r>
        <w:rPr>
          <w:rFonts w:ascii="Times New Roman;Times;serif" w:hAnsi="Times New Roman;Times;serif"/>
          <w:sz w:val="20"/>
        </w:rPr>
        <w:t xml:space="preserve"> </w:t>
      </w:r>
      <w:r>
        <w:rPr>
          <w:rFonts w:ascii="Arial;Helvetica;sans-serif" w:hAnsi="Arial;Helvetica;sans-serif"/>
          <w:sz w:val="20"/>
        </w:rPr>
        <w:t>million, respectively, for selling, general and administrative expenses for services provided to us by</w:t>
      </w:r>
      <w:r>
        <w:rPr>
          <w:rFonts w:ascii="Times New Roman;Times;serif" w:hAnsi="Times New Roman;Times;serif"/>
          <w:sz w:val="20"/>
        </w:rPr>
        <w:t xml:space="preserve"> </w:t>
      </w:r>
      <w:r>
        <w:rPr>
          <w:rFonts w:ascii="Arial;Helvetica;sans-serif" w:hAnsi="Arial;Helvetica;sans-serif"/>
          <w:sz w:val="20"/>
        </w:rPr>
        <w:t>EchoStar. During the nine months ended September 30, 2025 and 2024, we incurred $18</w:t>
      </w:r>
      <w:r>
        <w:rPr>
          <w:rFonts w:ascii="Times New Roman;Times;serif" w:hAnsi="Times New Roman;Times;serif"/>
          <w:sz w:val="20"/>
        </w:rPr>
        <w:t xml:space="preserve"> </w:t>
      </w:r>
      <w:r>
        <w:rPr>
          <w:rFonts w:ascii="Arial;Helvetica;sans-serif" w:hAnsi="Arial;Helvetica;sans-serif"/>
          <w:sz w:val="20"/>
        </w:rPr>
        <w:t>million and $18</w:t>
      </w:r>
      <w:r>
        <w:rPr>
          <w:rFonts w:ascii="Times New Roman;Times;serif" w:hAnsi="Times New Roman;Times;serif"/>
          <w:sz w:val="20"/>
        </w:rPr>
        <w:t xml:space="preserve"> </w:t>
      </w:r>
      <w:r>
        <w:rPr>
          <w:rFonts w:ascii="Arial;Helvetica;sans-serif" w:hAnsi="Arial;Helvetica;sans-serif"/>
          <w:sz w:val="20"/>
        </w:rPr>
        <w:t>million, respectively, for selling, general and administrative expenses for services provided to us by</w:t>
      </w:r>
      <w:r>
        <w:rPr>
          <w:rFonts w:ascii="Times New Roman;Times;serif" w:hAnsi="Times New Roman;Times;serif"/>
          <w:sz w:val="20"/>
        </w:rPr>
        <w:t xml:space="preserve"> </w:t>
      </w:r>
      <w:r>
        <w:rPr>
          <w:rFonts w:ascii="Arial;Helvetica;sans-serif" w:hAnsi="Arial;Helvetica;sans-serif"/>
          <w:sz w:val="20"/>
        </w:rPr>
        <w:t>EchoStar. These amounts are recorded in “Selling, general and administrative expenses”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Broadband, Wireless and Other Operations.</w:t>
      </w:r>
      <w:r>
        <w:rPr>
          <w:rFonts w:ascii="Times New Roman;Times;serif" w:hAnsi="Times New Roman;Times;serif"/>
          <w:sz w:val="20"/>
        </w:rPr>
        <w:t xml:space="preserve"> </w:t>
      </w:r>
      <w:r>
        <w:rPr>
          <w:rFonts w:ascii="Arial;Helvetica;sans-serif" w:hAnsi="Arial;Helvetica;sans-serif"/>
          <w:sz w:val="20"/>
        </w:rPr>
        <w:t>We provide certain administrative, call center, installation, marketing and other services to our parent’s broadband, wireless and other operations. During the three months ended September 30, 2025 and 2024, the pass through costs associated with these services were $45</w:t>
      </w:r>
      <w:r>
        <w:rPr>
          <w:rFonts w:ascii="Times New Roman;Times;serif" w:hAnsi="Times New Roman;Times;serif"/>
          <w:sz w:val="20"/>
        </w:rPr>
        <w:t xml:space="preserve"> </w:t>
      </w:r>
      <w:r>
        <w:rPr>
          <w:rFonts w:ascii="Arial;Helvetica;sans-serif" w:hAnsi="Arial;Helvetica;sans-serif"/>
          <w:sz w:val="20"/>
        </w:rPr>
        <w:t>million and $33</w:t>
      </w:r>
      <w:r>
        <w:rPr>
          <w:rFonts w:ascii="Times New Roman;Times;serif" w:hAnsi="Times New Roman;Times;serif"/>
          <w:sz w:val="20"/>
        </w:rPr>
        <w:t xml:space="preserve"> </w:t>
      </w:r>
      <w:r>
        <w:rPr>
          <w:rFonts w:ascii="Arial;Helvetica;sans-serif" w:hAnsi="Arial;Helvetica;sans-serif"/>
          <w:sz w:val="20"/>
        </w:rPr>
        <w:t>million, respectively. During the nine months ended September 30, 2025 and 2024, the pass through costs associated with these services were $123</w:t>
      </w:r>
      <w:r>
        <w:rPr>
          <w:rFonts w:ascii="Times New Roman;Times;serif" w:hAnsi="Times New Roman;Times;serif"/>
          <w:sz w:val="20"/>
        </w:rPr>
        <w:t xml:space="preserve"> </w:t>
      </w:r>
      <w:r>
        <w:rPr>
          <w:rFonts w:ascii="Arial;Helvetica;sans-serif" w:hAnsi="Arial;Helvetica;sans-serif"/>
          <w:sz w:val="20"/>
        </w:rPr>
        <w:t>million and $102</w:t>
      </w:r>
      <w:r>
        <w:rPr>
          <w:rFonts w:ascii="Times New Roman;Times;serif" w:hAnsi="Times New Roman;Times;serif"/>
          <w:sz w:val="20"/>
        </w:rPr>
        <w:t xml:space="preserve"> </w:t>
      </w:r>
      <w:r>
        <w:rPr>
          <w:rFonts w:ascii="Arial;Helvetica;sans-serif" w:hAnsi="Arial;Helvetica;sans-serif"/>
          <w:sz w:val="20"/>
        </w:rPr>
        <w:t>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Related Party Transactions with NagraStar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own a 50%</w:t>
      </w:r>
      <w:r>
        <w:rPr>
          <w:rFonts w:ascii="Times New Roman;Times;serif" w:hAnsi="Times New Roman;Times;serif"/>
          <w:sz w:val="20"/>
        </w:rPr>
        <w:t xml:space="preserve"> </w:t>
      </w:r>
      <w:r>
        <w:rPr>
          <w:rFonts w:ascii="Arial;Helvetica;sans-serif" w:hAnsi="Arial;Helvetica;sans-serif"/>
          <w:sz w:val="20"/>
        </w:rPr>
        <w:t>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1246" w:name="Tc_snbJqyL58kW1KhCGHFS_ZQ_14_5"/>
      <w:bookmarkStart w:id="1247" w:name="Tc_Pl74TH_GdU2CfckijuzK_Q_14_2"/>
      <w:bookmarkStart w:id="1248" w:name="Tc_CZ8trmegbU2B9_5TGQGtCg_14_0"/>
      <w:bookmarkStart w:id="1249" w:name="Tc_vJryvmKzd0Ge30pjQSPLiA_13_5"/>
      <w:bookmarkStart w:id="1250" w:name="Tc_Rravt2N_kUOXP7KK3BWL2Q_13_2"/>
      <w:bookmarkStart w:id="1251" w:name="Tc_1gc1SyAUcU6Cbk-f6DTOwg_13_0"/>
      <w:bookmarkStart w:id="1252" w:name="Tc_2o7KniVEP0WAWjXFBCKa2g_12_0"/>
      <w:bookmarkStart w:id="1253" w:name="Tc_d9lbeHSYW0qSzb7OWjGyJw_11_2"/>
      <w:bookmarkStart w:id="1254" w:name="Tc_dBoMWjS5VEq18iotZdvq3g_10_5"/>
      <w:bookmarkStart w:id="1255" w:name="Tc_m1fM4O9870aLYSpXGJ3RvQ_10_2"/>
      <w:bookmarkStart w:id="1256" w:name="Tc_GTxcdrpmjE2FA27tcKn1gg_9_5"/>
      <w:bookmarkStart w:id="1257" w:name="Tc_LR3yxfXUaECmUuyPj9G_-g_9_2"/>
      <w:bookmarkStart w:id="1258" w:name="Tc_mERlChIeBUeLcr_kvjv7_g_8_2"/>
      <w:bookmarkStart w:id="1259" w:name="Tc_8wytCRpgZEGwgAbv8sRLUg_6_11"/>
      <w:bookmarkStart w:id="1260" w:name="Tc_pKw1ilu6HkeypHDKiECq6w_6_8"/>
      <w:bookmarkStart w:id="1261" w:name="Tc_BzZfcL5rz0CGM6XrOeeCqw_6_5"/>
      <w:bookmarkStart w:id="1262" w:name="Tc_DB517BJjIkmtwDrV0RYzig_6_2"/>
      <w:bookmarkStart w:id="1263" w:name="Tc_whVksGfpPk-_CbsFz8kAng_6_0"/>
      <w:bookmarkStart w:id="1264" w:name="Tc_CEFIoIeC_0-xD4tAornckw_5_0"/>
      <w:bookmarkStart w:id="1265" w:name="Tc_iaPhHJzRb020p6jWbjV3kA_4_2"/>
      <w:bookmarkStart w:id="1266" w:name="Tc_swzii6dRgk6uhUqBQCWVSg_3_11"/>
      <w:bookmarkStart w:id="1267" w:name="Tc_pA5DAGnk2EuzKhDZs2rN4g_3_8"/>
      <w:bookmarkStart w:id="1268" w:name="Tc_4ByB7wHJUkK6l_I30YLSkw_3_5"/>
      <w:bookmarkStart w:id="1269" w:name="Tc_Yj2XVT7BN0iueo3XHXl5xQ_3_2"/>
      <w:bookmarkStart w:id="1270" w:name="Tc_hRf2SY2vTkOxW9wWp456Uw_2_8"/>
      <w:bookmarkStart w:id="1271" w:name="Tc_SOAzhAhj70GyPV9SATbUKg_2_2"/>
      <w:bookmarkStart w:id="1272" w:name="Tc_BoJuEc5Sk06viLqdzUCOsw_1_8"/>
      <w:bookmarkStart w:id="1273" w:name="Tc_PcyfYGIzo0aH_BXU3bNGlw_1_2"/>
      <w:bookmarkStart w:id="1274" w:name="_2a5159d7_4fcc_4168_8dce_61d6ceab1a41"/>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Arial;Helvetica;sans-serif" w:hAnsi="Arial;Helvetica;sans-serif"/>
          <w:sz w:val="20"/>
        </w:rPr>
        <w:t>The table below summarizes our transactions with NagraStar:</w:t>
      </w:r>
    </w:p>
    <w:p>
      <w:pPr>
        <w:pStyle w:val="TextBody"/>
        <w:bidi w:val="0"/>
        <w:spacing w:before="0" w:after="0"/>
        <w:ind w:left="0" w:right="0" w:hanging="0"/>
        <w:jc w:val="left"/>
        <w:rPr/>
      </w:pPr>
      <w:r>
        <w:rPr/>
        <w:t>​</w:t>
      </w:r>
    </w:p>
    <w:tbl>
      <w:tblPr>
        <w:tblW w:w="9643" w:type="dxa"/>
        <w:jc w:val="left"/>
        <w:tblInd w:w="0" w:type="dxa"/>
        <w:tblLayout w:type="fixed"/>
        <w:tblCellMar>
          <w:top w:w="0" w:type="dxa"/>
          <w:left w:w="0" w:type="dxa"/>
          <w:bottom w:w="0" w:type="dxa"/>
          <w:right w:w="0" w:type="dxa"/>
        </w:tblCellMar>
      </w:tblPr>
      <w:tblGrid>
        <w:gridCol w:w="3316"/>
        <w:gridCol w:w="326"/>
        <w:gridCol w:w="376"/>
        <w:gridCol w:w="1019"/>
        <w:gridCol w:w="440"/>
        <w:gridCol w:w="364"/>
        <w:gridCol w:w="986"/>
        <w:gridCol w:w="326"/>
        <w:gridCol w:w="245"/>
        <w:gridCol w:w="785"/>
        <w:gridCol w:w="378"/>
        <w:gridCol w:w="245"/>
        <w:gridCol w:w="837"/>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05660" cy="175260"/>
                      <wp:effectExtent l="0" t="0" r="0" b="0"/>
                      <wp:wrapNone/>
                      <wp:docPr id="248" name="Frame24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38760" cy="175260"/>
                      <wp:effectExtent l="0" t="0" r="0" b="0"/>
                      <wp:wrapNone/>
                      <wp:docPr id="250" name="Frame25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7065" cy="175260"/>
                      <wp:effectExtent l="0" t="0" r="0" b="0"/>
                      <wp:wrapNone/>
                      <wp:docPr id="251" name="Frame251"/>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79400" cy="175260"/>
                      <wp:effectExtent l="0" t="0" r="0" b="0"/>
                      <wp:wrapNone/>
                      <wp:docPr id="252" name="Frame25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1140" cy="175260"/>
                      <wp:effectExtent l="0" t="0" r="0" b="0"/>
                      <wp:wrapNone/>
                      <wp:docPr id="253" name="Frame25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26110" cy="175260"/>
                      <wp:effectExtent l="0" t="0" r="0" b="0"/>
                      <wp:wrapNone/>
                      <wp:docPr id="254" name="Frame254"/>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5575" cy="175260"/>
                      <wp:effectExtent l="0" t="0" r="0" b="0"/>
                      <wp:wrapNone/>
                      <wp:docPr id="256" name="Frame25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8475" cy="175260"/>
                      <wp:effectExtent l="0" t="0" r="0" b="0"/>
                      <wp:wrapNone/>
                      <wp:docPr id="257" name="Frame257"/>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40030" cy="175260"/>
                      <wp:effectExtent l="0" t="0" r="0" b="0"/>
                      <wp:wrapNone/>
                      <wp:docPr id="258" name="Frame258"/>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5575" cy="175260"/>
                      <wp:effectExtent l="0" t="0" r="0" b="0"/>
                      <wp:wrapNone/>
                      <wp:docPr id="259" name="Frame25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1495" cy="175260"/>
                      <wp:effectExtent l="0" t="0" r="0" b="0"/>
                      <wp:wrapNone/>
                      <wp:docPr id="260" name="Frame260"/>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8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78"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6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0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Purchases (including fees): </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from NagraStar</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7,216</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7,596</w:t>
            </w:r>
          </w:p>
        </w:tc>
        <w:tc>
          <w:tcPr>
            <w:tcW w:w="326" w:type="dxa"/>
            <w:tcBorders/>
            <w:vAlign w:val="center"/>
          </w:tcPr>
          <w:p>
            <w:pPr>
              <w:pStyle w:val="TableContents"/>
              <w:bidi w:val="0"/>
              <w:spacing w:before="0" w:after="0"/>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21,494</w:t>
            </w:r>
          </w:p>
        </w:tc>
        <w:tc>
          <w:tcPr>
            <w:tcW w:w="378"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24,723</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 </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440"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96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85"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Amounts Payable and Commitments:</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1019"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9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Amounts payable to NagraStar</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4,377</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5,569</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Commitments to NagraStar</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481</w:t>
            </w:r>
          </w:p>
        </w:tc>
        <w:tc>
          <w:tcPr>
            <w:tcW w:w="440" w:type="dxa"/>
            <w:tcBorders/>
            <w:shd w:fill="CCEEFF" w:val="clear"/>
            <w:vAlign w:val="center"/>
          </w:tcPr>
          <w:p>
            <w:pPr>
              <w:pStyle w:val="TableContents"/>
              <w:bidi w:val="0"/>
              <w:spacing w:before="0" w:after="0"/>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883</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75" w:name="_7fc1e282_a62a_429f_9709_e81107eb2228"/>
      <w:bookmarkEnd w:id="1275"/>
      <w:r>
        <w:rPr/>
        <w:t>​</w:t>
      </w:r>
    </w:p>
    <w:p>
      <w:pPr>
        <w:pStyle w:val="TextBody"/>
        <w:bidi w:val="0"/>
        <w:spacing w:before="0" w:after="0"/>
        <w:ind w:left="0" w:right="0" w:hanging="0"/>
        <w:jc w:val="left"/>
        <w:rPr>
          <w:rFonts w:ascii="Times New Roman;Times;serif" w:hAnsi="Times New Roman;Times;serif"/>
          <w:sz w:val="20"/>
        </w:rPr>
      </w:pPr>
      <w:bookmarkStart w:id="1276" w:name="Item2MANAGEMENTSNARRATIVEANALYSISOFRESUL"/>
      <w:bookmarkEnd w:id="1276"/>
      <w:r>
        <w:rPr>
          <w:rFonts w:ascii="Arial;Helvetica;sans-serif" w:hAnsi="Arial;Helvetica;sans-serif"/>
          <w:b/>
          <w:i w:val="false"/>
          <w:caps w:val="false"/>
          <w:smallCaps w:val="false"/>
          <w:sz w:val="20"/>
        </w:rPr>
        <w:t>Item 2.</w:t>
      </w:r>
      <w:r>
        <w:rPr>
          <w:rFonts w:ascii="Arial;Helvetica;sans-serif" w:hAnsi="Arial;Helvetica;sans-serif"/>
          <w:b/>
          <w:sz w:val="20"/>
        </w:rPr>
        <w:t>MANAGEMENT’S NARRATIVE ANALYSIS OF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pacing w:val="-2"/>
          <w:sz w:val="20"/>
        </w:rPr>
        <w:t xml:space="preserve">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w:t>
      </w:r>
      <w:r>
        <w:rPr>
          <w:rFonts w:ascii="Arial;Helvetica;sans-serif" w:hAnsi="Arial;Helvetica;sans-serif"/>
          <w:i/>
          <w:sz w:val="20"/>
        </w:rPr>
        <w:t>2024</w:t>
      </w:r>
      <w:r>
        <w:rPr>
          <w:rFonts w:ascii="Times New Roman;Times;serif" w:hAnsi="Times New Roman;Times;serif"/>
          <w:spacing w:val="-2"/>
          <w:sz w:val="20"/>
        </w:rPr>
        <w:t xml:space="preserve"> </w:t>
      </w:r>
      <w:r>
        <w:rPr>
          <w:rFonts w:ascii="Arial;Helvetica;sans-serif" w:hAnsi="Arial;Helvetica;sans-serif"/>
          <w:i/>
          <w:spacing w:val="-2"/>
          <w:sz w:val="20"/>
        </w:rPr>
        <w:t>and this Quarterly Report on Form 10-Q under the caption “Item 1A. Risk Factors.”</w:t>
      </w:r>
      <w:r>
        <w:rPr>
          <w:rFonts w:ascii="Times New Roman;Times;serif" w:hAnsi="Times New Roman;Times;serif"/>
          <w:spacing w:val="-2"/>
          <w:sz w:val="20"/>
        </w:rPr>
        <w:t xml:space="preserve"> </w:t>
      </w:r>
      <w:r>
        <w:rPr>
          <w:rFonts w:ascii="Arial;Helvetica;sans-serif" w:hAnsi="Arial;Helvetica;sans-serif"/>
          <w:i/>
          <w:spacing w:val="-2"/>
          <w:sz w:val="20"/>
        </w:rPr>
        <w:t>Furthermore, such forward-looking statements speak only as of the date of this Quarterly Report on Form 10-Q, and we expressly disclaim any obligation to update any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Recent Developments</w:t>
      </w:r>
    </w:p>
    <w:p>
      <w:pPr>
        <w:pStyle w:val="TextBody"/>
        <w:bidi w:val="0"/>
        <w:spacing w:before="0" w:after="0"/>
        <w:ind w:left="0" w:right="0" w:hanging="0"/>
        <w:jc w:val="left"/>
        <w:rPr/>
      </w:pPr>
      <w:r>
        <w:rPr/>
        <w:t>​</w:t>
      </w:r>
    </w:p>
    <w:p>
      <w:pPr>
        <w:pStyle w:val="TextBody"/>
        <w:bidi w:val="0"/>
        <w:spacing w:lineRule="auto" w:line="300" w:before="0" w:after="240"/>
        <w:ind w:left="0" w:right="139" w:hanging="0"/>
        <w:jc w:val="left"/>
        <w:rPr>
          <w:rFonts w:ascii="Arial;Helvetica;sans-serif" w:hAnsi="Arial;Helvetica;sans-serif"/>
          <w:b/>
          <w:sz w:val="20"/>
        </w:rPr>
      </w:pPr>
      <w:r>
        <w:rPr>
          <w:rFonts w:ascii="Arial;Helvetica;sans-serif" w:hAnsi="Arial;Helvetica;sans-serif"/>
          <w:b/>
          <w:sz w:val="20"/>
        </w:rPr>
        <w:t>FCC Review</w:t>
      </w:r>
    </w:p>
    <w:p>
      <w:pPr>
        <w:pStyle w:val="TextBody"/>
        <w:bidi w:val="0"/>
        <w:spacing w:lineRule="auto" w:line="300" w:before="0" w:after="0"/>
        <w:ind w:left="0" w:right="139" w:hanging="0"/>
        <w:jc w:val="left"/>
        <w:rPr>
          <w:rFonts w:ascii="Times New Roman;Times;serif" w:hAnsi="Times New Roman;Times;serif"/>
          <w:sz w:val="20"/>
        </w:rPr>
      </w:pPr>
      <w:r>
        <w:rPr>
          <w:rFonts w:ascii="Arial;Helvetica;sans-serif" w:hAnsi="Arial;Helvetica;sans-serif"/>
          <w:sz w:val="20"/>
        </w:rPr>
        <w:t xml:space="preserve">In the third quarter of 2025, our ultimate parent, EchoStar resolved the previously disclosed review by the Federal Communications Commission (the “FCC”) into EchoStar’s compliance with the build-out milestones and other obligations regarding EchoStar’s federal spectrum licenses. EchoStar had previously </w:t>
      </w:r>
      <w:r>
        <w:rPr>
          <w:rFonts w:ascii="Arial;Helvetica;sans-serif" w:hAnsi="Arial;Helvetica;sans-serif"/>
          <w:color w:val="222222"/>
          <w:sz w:val="20"/>
        </w:rPr>
        <w:t>received a letter from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Helvetica;sans-serif" w:hAnsi="Arial;Helvetica;sans-serif"/>
          <w:sz w:val="20"/>
        </w:rPr>
        <w:t>.</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Arial;Helvetica;sans-serif" w:hAnsi="Arial;Helvetica;sans-serif"/>
          <w:sz w:val="20"/>
        </w:rPr>
      </w:pPr>
      <w:r>
        <w:rPr>
          <w:rFonts w:ascii="Arial;Helvetica;sans-serif" w:hAnsi="Arial;Helvetica;sans-serif"/>
          <w:sz w:val="20"/>
        </w:rPr>
        <w:t>During the second quarter and the beginning of the third quarter of 2025, the potential ramifications of the FCC review to EchoStar’s business required them to, among other things, reevaluate the deployment of their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 See Note 7 in the Notes to our Condensed Consolidated Financial Statements for further information.</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Arial;Helvetica;sans-serif" w:hAnsi="Arial;Helvetica;sans-serif"/>
          <w:sz w:val="20"/>
        </w:rPr>
      </w:pPr>
      <w:r>
        <w:rPr>
          <w:rFonts w:ascii="Arial;Helvetica;sans-serif" w:hAnsi="Arial;Helvetica;sans-serif"/>
          <w:sz w:val="20"/>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below, whereby EchoStar agreed to sell a material amount of their spectrum licenses. In August 2025, following these transactions, EchoStar began the abandonment and decommission process for certain portions of their 5G Network that will not be utilized in their Hybrid MNO business. Furthermore, EchoStar believes the FCC’s actions and the resulting AT&amp;T Transactions constitute one or more force majeure events under certain of their 5G Network-related contracts.</w:t>
      </w:r>
    </w:p>
    <w:p>
      <w:pPr>
        <w:pStyle w:val="TextBody"/>
        <w:bidi w:val="0"/>
        <w:spacing w:lineRule="auto" w:line="300" w:before="0" w:after="0"/>
        <w:ind w:left="0" w:right="139" w:hanging="0"/>
        <w:jc w:val="left"/>
        <w:rPr/>
      </w:pPr>
      <w:r>
        <w:rPr/>
        <w:t>​</w:t>
      </w:r>
    </w:p>
    <w:p>
      <w:pPr>
        <w:pStyle w:val="TextBody"/>
        <w:bidi w:val="0"/>
        <w:spacing w:lineRule="auto" w:line="300" w:before="0" w:after="0"/>
        <w:ind w:left="0" w:right="139" w:hanging="0"/>
        <w:jc w:val="left"/>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2025, our parent, DISH Network, our ultimate parent, EchoStar, 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terms and subject to the conditions set forth in the AT&amp;T License Purchase Agreement, DISH Network and EchoStar have agreed to sell all 3.45–3.55 GHz and 600 MHz spectrum licenses (collectively, the “3.45 GHz and 600 MHz Licenses”), and to a 99-year extension of existing leases for AT&amp;T’s exclusive use of certain wireless spectrum licenses in Hawaii for an aggregate purchase price of $22.650 billion in cash, subject to certain potential adjustments (the “Closing Purchase Price”). The AT&amp;T License Purchase Agreement also extends to AT&amp;T the right to lease certain 3.45 GHz licenses from DISH Network and EchoStar,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Closing Purchase Price is subject to downward adjustment in the event certain 3.45 GHz and 600 MHz Licenses are ultimately excluded by either DISH Network or EchoStar, or AT&amp;T, under certain circumstances. DISH Network and EchoStar are not obligated to consummate the AT&amp;T Transactions if the Closing Purchase Price, after giving effect to the aggregate amount of any such adjustments, is less than $18.6 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color w:val="222222"/>
          <w:sz w:val="20"/>
          <w:shd w:fill="FFFFFF" w:val="clear"/>
        </w:rPr>
        <w:t xml:space="preserve">The AT&amp;T License Purchase Agreement provides that, at the closing of the AT&amp;T Transactions, any amounts outstanding under that certain Loan and Security Agreement, dated November 26, 2021, between us as lender and DISH Network will be repaid in full using proceeds from the AT&amp;T Transactions to the respective holders of the </w:t>
      </w:r>
      <w:r>
        <w:rPr>
          <w:rFonts w:ascii="Arial;Helvetica;sans-serif" w:hAnsi="Arial;Helvetica;sans-serif"/>
          <w:sz w:val="20"/>
        </w:rPr>
        <w:t>Intercompany Loan – DISH Network</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(the “DISH 2021 Intercompany Loan Payoff”). The DISH 2021 Intercompany Loan Payoff includes $2.844 billion due to us as of September 30, 2025 for the </w:t>
      </w:r>
      <w:r>
        <w:rPr>
          <w:rFonts w:ascii="Arial;Helvetica;sans-serif" w:hAnsi="Arial;Helvetica;sans-serif"/>
          <w:sz w:val="20"/>
        </w:rPr>
        <w:t>Intercompany Loan – DISH Network – 2028 Tranche</w:t>
      </w:r>
      <w:r>
        <w:rPr>
          <w:rFonts w:ascii="Arial;Helvetica;sans-serif" w:hAnsi="Arial;Helvetica;sans-serif"/>
          <w:color w:val="222222"/>
          <w:sz w:val="20"/>
          <w:shd w:fill="FFFFFF" w:val="clear"/>
        </w:rPr>
        <w:t xml:space="preserve">. The </w:t>
      </w:r>
      <w:r>
        <w:rPr>
          <w:rFonts w:ascii="Arial;Helvetica;sans-serif" w:hAnsi="Arial;Helvetica;sans-serif"/>
          <w:sz w:val="20"/>
        </w:rPr>
        <w:t>Intercompany Loan – DISH Network</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 xml:space="preserve">is secured by DISH Network’s 3.45 GHz Licenses and certain other wireless spectrum licenses. </w:t>
      </w:r>
      <w:r>
        <w:rPr>
          <w:rFonts w:ascii="Arial;Helvetica;sans-serif" w:hAnsi="Arial;Helvetica;sans-serif"/>
          <w:sz w:val="20"/>
        </w:rPr>
        <w:t>See Note 11 in the Notes to our Condensed Consolidated Financial Statements 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all outstanding 11 3/4%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September 30, 2025, the aggregate principal amount outstanding of DISH Network’s 11 3/4% Senior Secured Notes due November 15, 2027 was $3.5 billion and is secured by the 600 MHz 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 The AT&amp;T License Purchase Agreement also provides for specified termination rights by each party in certain circumstances. The closing is expected to occur in the first half of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description of the AT&amp;T License Purchase Agreement is not complete and is qualified in its entirety by reference to the License Purchase Agreement filed as an exhibit to EchoStar’s Quarterly Report on Form 10-Q for the quarter ended September 30, 2025.</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Future Capital Requirements</w:t>
      </w:r>
    </w:p>
    <w:p>
      <w:pPr>
        <w:pStyle w:val="TextBody"/>
        <w:bidi w:val="0"/>
        <w:spacing w:before="0" w:after="0"/>
        <w:ind w:left="0" w:right="0" w:hanging="0"/>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Our cash and cash equivalents and marketable investment securities totaled $947 million as of September 30, 2025 (“Cash on Hand”). As reflected in the condensed consolidated financial statements as of September 30, 2025, we have $2.0 billion of debt maturing in July 2026.</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 xml:space="preserve">As detailed above, upon the closing of the AT&amp;T Transactions, subject to certain conditions and adjustments, our parent, DISH Network, and our ultimate parent, EchoStar, will receive $22.650 billion in cash. The AT&amp;T Transactions also contemplate the repayment of certain of DISH Network’s debt, including DISH Network’s </w:t>
      </w:r>
      <w:r>
        <w:rPr>
          <w:rFonts w:ascii="Arial;Helvetica;sans-serif" w:hAnsi="Arial;Helvetica;sans-serif"/>
          <w:color w:val="222222"/>
          <w:sz w:val="20"/>
          <w:shd w:fill="FFFFFF" w:val="clear"/>
        </w:rPr>
        <w:t>$2.844 billion due to us as of September 30, 2025 for the </w:t>
      </w:r>
      <w:r>
        <w:rPr>
          <w:rFonts w:ascii="Arial;Helvetica;sans-serif" w:hAnsi="Arial;Helvetica;sans-serif"/>
          <w:sz w:val="20"/>
        </w:rPr>
        <w:t xml:space="preserve">Intercompany Loan </w:t>
      </w:r>
      <w:r>
        <w:rPr>
          <w:rFonts w:ascii="Helvetica;sans-serif" w:hAnsi="Helvetica;sans-serif"/>
          <w:sz w:val="20"/>
        </w:rPr>
        <w:t xml:space="preserve">– </w:t>
      </w:r>
      <w:r>
        <w:rPr>
          <w:rFonts w:ascii="Arial;Helvetica;sans-serif" w:hAnsi="Arial;Helvetica;sans-serif"/>
          <w:sz w:val="20"/>
        </w:rPr>
        <w:t xml:space="preserve">DISH Network </w:t>
      </w:r>
      <w:r>
        <w:rPr>
          <w:rFonts w:ascii="Helvetica;sans-serif" w:hAnsi="Helvetica;sans-serif"/>
          <w:sz w:val="20"/>
        </w:rPr>
        <w:t xml:space="preserve">– </w:t>
      </w:r>
      <w:r>
        <w:rPr>
          <w:rFonts w:ascii="Arial;Helvetica;sans-serif" w:hAnsi="Arial;Helvetica;sans-serif"/>
          <w:sz w:val="20"/>
        </w:rPr>
        <w:t>2028 Tranche</w:t>
      </w:r>
      <w:r>
        <w:rPr>
          <w:rFonts w:ascii="Helvetica;sans-serif" w:hAnsi="Helvetica;sans-serif"/>
          <w:sz w:val="20"/>
        </w:rPr>
        <w:t xml:space="preserve"> </w:t>
      </w:r>
      <w:r>
        <w:rPr>
          <w:rFonts w:ascii="Arial;Helvetica;sans-serif" w:hAnsi="Arial;Helvetica;sans-serif"/>
          <w:sz w:val="20"/>
        </w:rPr>
        <w:t>as described above in “</w:t>
      </w:r>
      <w:r>
        <w:rPr>
          <w:rFonts w:ascii="Arial;Helvetica;sans-serif" w:hAnsi="Arial;Helvetica;sans-serif"/>
          <w:i/>
          <w:sz w:val="20"/>
        </w:rPr>
        <w:t>AT&amp;T Transactions.</w:t>
      </w:r>
      <w:r>
        <w:rPr>
          <w:rFonts w:ascii="Helvetica;sans-serif" w:hAnsi="Helvetica;sans-serif"/>
          <w:sz w:val="20"/>
        </w:rPr>
        <w:t xml:space="preserve">” </w:t>
      </w:r>
      <w:r>
        <w:rPr>
          <w:rFonts w:ascii="Arial;Helvetica;sans-serif" w:hAnsi="Arial;Helvetica;sans-serif"/>
          <w:sz w:val="20"/>
        </w:rPr>
        <w:t>However, until the closing of the these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In addition, until the closing of the AT&amp;T Transactions, DISH Network, and EchoStar, may not be able to provide additional liquidity in the future as substantial doubt exists about their ability to continue as a going concern. For further information on EchoStar’s recent transactions and future capital requirements refer to EchoStar’s 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and our ultimate parent, EchoStar, cannot provide assurances that the AT&amp;T Transactions will be approved and consummated on the predicted timeline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do not include any adjustments to the amount and classification of assets and liabilities that may be necessary should we not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currently operate one business segment, 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Our Pay-TV business strategy is to be the best provider of video services in the United States by providing products with the best technology, outstanding customer service, and great value. We offer pay-TV services under the DISH</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brand and the SLING</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 xml:space="preserve">brand (collectively “Pay-TV” services). We promote our Pay-TV services by providing our subscribers with a better “price-to-value” relationship and experience than those available from other subscription television service providers.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w:t>
      </w:r>
      <w:r>
        <w:rPr>
          <w:rFonts w:ascii="Arial;Helvetica;sans-serif" w:hAnsi="Arial;Helvetica;sans-serif"/>
          <w:sz w:val="24"/>
        </w:rPr>
        <w:t xml:space="preserve">. </w:t>
      </w:r>
      <w:r>
        <w:rPr>
          <w:rFonts w:ascii="Arial;Helvetica;sans-serif" w:hAnsi="Arial;Helvetica;sans-serif"/>
          <w:sz w:val="20"/>
        </w:rPr>
        <w:t>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Economic Environment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shd w:fill="FFFFFF" w:val="clear"/>
        </w:rPr>
        <w:t xml:space="preserve">During 2024 and the first nine months of 2025, we experienced inflationary pressures in our commodity and labor costs resulting from the macroeconomic environment in the United States, which has impacted our overall operating results. </w:t>
      </w:r>
      <w:r>
        <w:rPr>
          <w:rFonts w:ascii="Arial;Helvetica;sans-serif" w:hAnsi="Arial;Helvetica;sans-serif"/>
          <w:sz w:val="20"/>
        </w:rPr>
        <w:t xml:space="preserve">In addition,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Operational Liquidity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make general investments in property such as, among others, satellites, set-top boxes, information technology and facilities that support our Pay-TV business. For some of these investments, changes in trade policies, including, but not limited to, tariffs and other restrictions, could increase, among other things, our costs, disrupt our supply chain and negatively affect our business, operations and financial condition. Since we are primarily a subscriber-based company, we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Finally, our future cash flow is impacted by, among other things, the rate at which we make general investments, investments in satellites, incur litigation expense, make cash interest payments, and any cash flow from financing activities. In addition, declines in our Pay-TV subscriber base and any decrease in subscriber-related margins negatively impact our cash flow, and there can be no assurance that our subscriber declines will not continue.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Future Capital Requirements</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 xml:space="preserve">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w:t>
      </w:r>
      <w:r>
        <w:rPr>
          <w:rFonts w:ascii="Arial;Helvetica;sans-serif" w:hAnsi="Arial;Helvetica;sans-serif"/>
          <w:color w:val="222222"/>
          <w:sz w:val="20"/>
          <w:shd w:fill="FFFFFF" w:val="clear"/>
        </w:rPr>
        <w:t>$2.844 billion of cash received from DISH Network for the repayment of the </w:t>
      </w:r>
      <w:r>
        <w:rPr>
          <w:rFonts w:ascii="Arial;Helvetica;sans-serif" w:hAnsi="Arial;Helvetica;sans-serif"/>
          <w:sz w:val="20"/>
        </w:rPr>
        <w:t xml:space="preserve">Intercompany Loan </w:t>
      </w:r>
      <w:r>
        <w:rPr>
          <w:rFonts w:ascii="Times New Roman;Times;serif" w:hAnsi="Times New Roman;Times;serif"/>
          <w:sz w:val="16"/>
        </w:rPr>
        <w:t xml:space="preserve">– </w:t>
      </w:r>
      <w:r>
        <w:rPr>
          <w:rFonts w:ascii="Arial;Helvetica;sans-serif" w:hAnsi="Arial;Helvetica;sans-serif"/>
          <w:sz w:val="20"/>
        </w:rPr>
        <w:t xml:space="preserve">DISH Network </w:t>
      </w:r>
      <w:r>
        <w:rPr>
          <w:rFonts w:ascii="Times New Roman;Times;serif" w:hAnsi="Times New Roman;Times;serif"/>
          <w:sz w:val="16"/>
        </w:rPr>
        <w:t xml:space="preserve">– </w:t>
      </w:r>
      <w:r>
        <w:rPr>
          <w:rFonts w:ascii="Arial;Helvetica;sans-serif" w:hAnsi="Arial;Helvetica;sans-serif"/>
          <w:sz w:val="20"/>
        </w:rPr>
        <w:t>2028 Tranche, as detailed in Note 1 in the Notes to our Condensed Consolidated Financial Statements, and through raising additional capital. We do not currently have cash, cash equivalents, marketable investment securities balances and/or projected future cash flows to fully fund our 2026 debt maturities. We will need to refinance or restructure all or a portion of such obligations prior to maturity.</w:t>
      </w:r>
      <w:r>
        <w:rPr>
          <w:rFonts w:ascii="Times New Roman;Times;serif" w:hAnsi="Times New Roman;Times;serif"/>
          <w:sz w:val="16"/>
        </w:rPr>
        <w:t xml:space="preserv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We have made cash distributions and intercompany loans to partially finance the development of DISH Network’s 5G Network, including, but not limited to, the purchase of wireless spectrum licenses and the wireless business to date, and we may make additional funds available to DISH Network in the form of cash distributions or loans to finance, in whole or in part, DISH Network’s future efforts. These factors, including, but not limited to, debt maturities, continuing investment in our business, financing acquisitions and other strategic transactions,</w:t>
      </w:r>
      <w:r>
        <w:rPr>
          <w:rFonts w:ascii="Times New Roman;Times;serif" w:hAnsi="Times New Roman;Times;serif"/>
          <w:sz w:val="20"/>
        </w:rPr>
        <w:t xml:space="preserve"> </w:t>
      </w:r>
      <w:r>
        <w:rPr>
          <w:rFonts w:ascii="Arial;Helvetica;sans-serif" w:hAnsi="Arial;Helvetica;sans-serif"/>
          <w:sz w:val="20"/>
        </w:rPr>
        <w:t>will</w:t>
      </w:r>
      <w:r>
        <w:rPr>
          <w:rFonts w:ascii="Times New Roman;Times;serif" w:hAnsi="Times New Roman;Times;serif"/>
          <w:spacing w:val="-2"/>
          <w:sz w:val="20"/>
        </w:rPr>
        <w:t xml:space="preserve"> </w:t>
      </w:r>
      <w:r>
        <w:rPr>
          <w:rFonts w:ascii="Arial;Helvetica;sans-serif" w:hAnsi="Arial;Helvetica;sans-serif"/>
          <w:spacing w:val="-2"/>
          <w:sz w:val="20"/>
        </w:rPr>
        <w:t>require us to raise additional capital in the future which may not be available on favorable terms,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Availability of Credit and Effect on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Debt Issuances and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Term Loan Due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Term Loan Due 2025 with an aggregate principal balance of $500 million was redeemed as of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Covenants and Restrictions Related to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subject to the covenants and restrictions set forth in the indentures related to our long-term debt. In particular, the indentures related to our outstanding senior notes and senior secured notes contain restrictive covenants that, among other things, impose limitations on our ability to: (i) incur additional indebtedness; (ii) enter into sale and leaseback transactions; (iii) pay dividends or make distributions on our capital stock or repurchase our capital stock; (iv) make certain investments;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the date of filing of this Quarterly Report on Form 10-Q, we were in compliance with the covenants and restrictions related to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See Note 2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EXPLANATION OF KEY METRICS AND OTHER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Service revenue” consists principally of Pay-TV subscriber revenue. Certain of the amounts included in “Service revenue” are not recurring on a monthly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Equipment sales and other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Equipment sales and other revenue” principally includes the non-subsidized sales of Pay-TV equipment and the licensing of certain intellectual property.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Cost of services” principally includes Pay-TV programming expenses and other operating costs related to our Pay-TV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sales - equipment and other.</w:t>
      </w:r>
      <w:r>
        <w:rPr>
          <w:rFonts w:ascii="Times New Roman;Times;serif" w:hAnsi="Times New Roman;Times;serif"/>
          <w:sz w:val="20"/>
        </w:rPr>
        <w:t xml:space="preserve"> “</w:t>
      </w:r>
      <w:r>
        <w:rPr>
          <w:rFonts w:ascii="Arial;Helvetica;sans-serif" w:hAnsi="Arial;Helvetica;sans-serif"/>
          <w:sz w:val="20"/>
        </w:rPr>
        <w:t>Cost of sales – equipment and other” principally includes the cost of the non-subsidized sales of Pay-TV equipment. Costs are generally recognized as products are delivered to customers and the related revenue is recognized.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Selling, general and administrative expenses</w:t>
      </w:r>
      <w:r>
        <w:rPr>
          <w:rFonts w:ascii="Arial;Helvetica;sans-serif" w:hAnsi="Arial;Helvetica;sans-serif"/>
          <w:b/>
          <w:spacing w:val="-2"/>
          <w:sz w:val="20"/>
        </w:rPr>
        <w:t>.</w:t>
      </w:r>
      <w:r>
        <w:rPr>
          <w:rFonts w:ascii="Times New Roman;Times;serif" w:hAnsi="Times New Roman;Times;serif"/>
          <w:spacing w:val="-2"/>
          <w:sz w:val="20"/>
        </w:rPr>
        <w:t xml:space="preserve"> “</w:t>
      </w:r>
      <w:r>
        <w:rPr>
          <w:rFonts w:ascii="Arial;Helvetica;sans-serif" w:hAnsi="Arial;Helvetica;sans-serif"/>
          <w:spacing w:val="-2"/>
          <w:sz w:val="20"/>
        </w:rPr>
        <w:t>Selling, general and administrative expenses” consists primarily of direct sales costs, advertising and selling costs, third-party commissions related to the acquisition of subscribers</w:t>
      </w:r>
      <w:r>
        <w:rPr>
          <w:rFonts w:ascii="Times New Roman;Times;serif" w:hAnsi="Times New Roman;Times;serif"/>
          <w:sz w:val="20"/>
        </w:rPr>
        <w:t xml:space="preserve"> </w:t>
      </w:r>
      <w:r>
        <w:rPr>
          <w:rFonts w:ascii="Arial;Helvetica;sans-serif" w:hAnsi="Arial;Helvetica;sans-serif"/>
          <w:sz w:val="20"/>
        </w:rPr>
        <w:t>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Interest expense, net of amounts capitalized.</w:t>
      </w:r>
      <w:r>
        <w:rPr>
          <w:rFonts w:ascii="Times New Roman;Times;serif" w:hAnsi="Times New Roman;Times;serif"/>
          <w:sz w:val="20"/>
        </w:rPr>
        <w:t xml:space="preserve"> “</w:t>
      </w:r>
      <w:r>
        <w:rPr>
          <w:rFonts w:ascii="Arial;Helvetica;sans-serif" w:hAnsi="Arial;Helvetica;sans-serif"/>
          <w:sz w:val="20"/>
        </w:rPr>
        <w:t>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Other, net.</w:t>
      </w:r>
      <w:r>
        <w:rPr>
          <w:rFonts w:ascii="Times New Roman;Times;serif" w:hAnsi="Times New Roman;Times;serif"/>
          <w:sz w:val="20"/>
        </w:rPr>
        <w:t xml:space="preserve"> </w:t>
      </w:r>
      <w:r>
        <w:rPr>
          <w:rFonts w:ascii="Arial;Helvetica;sans-serif" w:hAnsi="Arial;Helvetica;sans-serif"/>
          <w:sz w:val="20"/>
        </w:rPr>
        <w:t>The main components of “Other, net” are gains and losses realized on the sale and/or conversion of marketable and non-marketable investment securities, impairment of marketable and non-marketable investment securities, unrealized gains and losses from changes in fair value of certain marketable and non-marketable investment securities, the sale of businesses or business assets gains and losses, debt extinguishment gains and losses, and equity in earnings and losses of our affiliates.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 xml:space="preserve">Operating income before depreciation and amortization (“OIBDA”). </w:t>
      </w:r>
      <w:r>
        <w:rPr>
          <w:rFonts w:ascii="Arial;Helvetica;sans-serif" w:hAnsi="Arial;Helvetica;sans-serif"/>
          <w:sz w:val="20"/>
        </w:rPr>
        <w:t>OIBDA is defined as “Operating income (loss)” plus “Depreciation and amortization.” This non-GAAP measure is reconciled to “Operating income (loss)” in our discussion of “Results of Operations” below.</w:t>
      </w:r>
    </w:p>
    <w:p>
      <w:pPr>
        <w:pStyle w:val="TextBody"/>
        <w:bidi w:val="0"/>
        <w:spacing w:lineRule="atLeast" w:line="220"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b/>
          <w:i/>
          <w:sz w:val="20"/>
        </w:rPr>
        <w:t>DISH TV subscribers.</w:t>
      </w:r>
      <w:r>
        <w:rPr>
          <w:rFonts w:ascii="Helvetica;sans-serif" w:hAnsi="Helvetica;sans-serif"/>
          <w:sz w:val="20"/>
        </w:rPr>
        <w:t xml:space="preserve"> </w:t>
      </w:r>
      <w:r>
        <w:rPr>
          <w:rFonts w:ascii="Arial;Helvetica;sans-serif" w:hAnsi="Arial;Helvetica;sans-serif"/>
          <w:sz w:val="20"/>
        </w:rPr>
        <w:t>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SLING TV subscribers.</w:t>
      </w:r>
      <w:r>
        <w:rPr>
          <w:rFonts w:ascii="Times New Roman;Times;serif" w:hAnsi="Times New Roman;Times;serif"/>
          <w:spacing w:val="-2"/>
          <w:sz w:val="20"/>
        </w:rPr>
        <w:t xml:space="preserve"> </w:t>
      </w:r>
      <w:r>
        <w:rPr>
          <w:rFonts w:ascii="Arial;Helvetica;sans-serif" w:hAnsi="Arial;Helvetica;sans-serif"/>
          <w:sz w:val="20"/>
        </w:rPr>
        <w:t>We include customers obtained through direct sales and third-party marketing agreements in our SLING TV subscriber count. SLING TV subscriber additions are recorded net of disconnects. For customers who subscribe to multiple SLING TV packages, each customer is only counted as one SLING TV subscriber. Prior to August 2025, SLING TV customers receiving SLING TV Freestream service, non-recurring video services, or service for no charge, under certain new subscriber promotions, were excluded from our SLING TV subscriber count. Beginning in August 2025, for certain SLING TV Freestream, Day Pass, Weekend Pass and Week Pass subscribers, and other non-recurring video service accounts where we receive non-recurring user and ad insertion revenue (“SLING TV Flexible Offerings”), we divide our total SLING TV Flexible Offerings revenue related to these services by the price of our lowest tier programming package under which a new subscriber can activate, and include the resulting number, which is substantially smaller than the actual number of SLING TV customers receiving SLING TV Flexible Offerings, in the SLING TV subscriber count. The impact of this change was an increase to our third quarter of 2025 subscriber count</w:t>
      </w:r>
      <w:r>
        <w:rPr>
          <w:rFonts w:ascii="Times New Roman;Times;serif" w:hAnsi="Times New Roman;Times;serif"/>
          <w:sz w:val="20"/>
        </w:rPr>
        <w:t xml:space="preserve"> </w:t>
      </w:r>
      <w:r>
        <w:rPr>
          <w:rFonts w:ascii="Arial;Helvetica;sans-serif" w:hAnsi="Arial;Helvetica;sans-serif"/>
          <w:sz w:val="20"/>
        </w:rPr>
        <w:t>of approximately 51,000 subscribers, representing the opening impact of the new calculation to our existing SLING TV subscriber base. All new SLING TV Flexible Offerings subscriber activations after this adjustment are included in net SLING TV subscriber additions for the period, based on the calculation above.</w:t>
      </w:r>
    </w:p>
    <w:p>
      <w:pPr>
        <w:pStyle w:val="TextBody"/>
        <w:bidi w:val="0"/>
        <w:spacing w:before="0" w:after="0"/>
        <w:ind w:left="0" w:right="0" w:hanging="0"/>
        <w:jc w:val="left"/>
        <w:rPr>
          <w:spacing w:val="-2"/>
        </w:rPr>
      </w:pPr>
      <w:r>
        <w:rPr>
          <w:spacing w:val="-2"/>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Pay-TV subscribers.</w:t>
      </w:r>
      <w:r>
        <w:rPr>
          <w:rFonts w:ascii="Times New Roman;Times;serif" w:hAnsi="Times New Roman;Times;serif"/>
          <w:sz w:val="20"/>
        </w:rPr>
        <w:t xml:space="preserve"> </w:t>
      </w:r>
      <w:r>
        <w:rPr>
          <w:rFonts w:ascii="Arial;Helvetica;sans-serif" w:hAnsi="Arial;Helvetica;sans-serif"/>
          <w:sz w:val="20"/>
        </w:rPr>
        <w:t>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average monthly revenue per subscriber (“Pay-TV ARPU”).</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“Service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average monthly subscriber churn rate (“DISH TV churn rate”).</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SAC.</w:t>
      </w:r>
      <w:r>
        <w:rPr>
          <w:rFonts w:ascii="Times New Roman;Times;serif" w:hAnsi="Times New Roman;Times;serif"/>
          <w:sz w:val="20"/>
        </w:rPr>
        <w:t xml:space="preserve"> </w:t>
      </w:r>
      <w:r>
        <w:rPr>
          <w:rFonts w:ascii="Arial;Helvetica;sans-serif" w:hAnsi="Arial;Helvetica;sans-serif"/>
          <w:sz w:val="20"/>
        </w:rPr>
        <w:t>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77" w:name="_DV_C1154"/>
      <w:bookmarkEnd w:id="1277"/>
      <w:r>
        <w:rPr>
          <w:rFonts w:ascii="Arial;Helvetica;sans-serif" w:hAnsi="Arial;Helvetica;sans-serif"/>
          <w:sz w:val="20"/>
        </w:rPr>
        <w:t>We offer Pay-TV services under the DISH brand and the SLING brand. As of September 30, 2025, we had 7.166 million Pay-TV subscribers in the United States, including 5.171 million DISH TV subscribers and 1.995 million SLING TV subscribers. 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w:t>
      </w:r>
      <w:r>
        <w:rPr>
          <w:rFonts w:ascii="Times New Roman;Times;serif" w:hAnsi="Times New Roman;Times;serif"/>
          <w:sz w:val="20"/>
        </w:rPr>
        <w:t xml:space="preserve"> </w:t>
      </w:r>
      <w:r>
        <w:rPr>
          <w:rFonts w:ascii="Arial;Helvetica;sans-serif" w:hAnsi="Arial;Helvetica;sans-serif"/>
          <w:sz w:val="20"/>
        </w:rPr>
        <w:t>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Trends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 We incur significant costs to retain our existing DISH TV subscribers, generally as a result of upgrading their equipment to next generation receivers, primarily including our Hopper</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receivers, and by providing retention credits. Our DISH TV subscriber retention costs may vary significantly from period to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ESPN Unlimited, FOX One, Peacock, Fubo, Philo and Tubi and certain bundles of these offerings.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Programming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Furthermore, our net Pay-TV subscriber additions, gross new DISH TV subscriber activations and DISH TV churn rate may be negatively impacted if we are unable to renew our long-term programming carriage contracts on acceptable terms or at all.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 xml:space="preserve">Three Months Ended </w:t>
      </w:r>
      <w:r>
        <w:rPr>
          <w:rFonts w:ascii="Arial;Helvetica;sans-serif" w:hAnsi="Arial;Helvetica;sans-serif"/>
          <w:sz w:val="20"/>
        </w:rPr>
        <w:t>September 30, 2025</w:t>
      </w:r>
      <w:r>
        <w:rPr>
          <w:rFonts w:ascii="Times New Roman;Times;serif" w:hAnsi="Times New Roman;Times;serif"/>
          <w:sz w:val="20"/>
        </w:rPr>
        <w:t xml:space="preserve"> </w:t>
      </w:r>
      <w:r>
        <w:rPr>
          <w:rFonts w:ascii="Arial;Helvetica;sans-serif" w:hAnsi="Arial;Helvetica;sans-serif"/>
          <w:i/>
          <w:sz w:val="20"/>
        </w:rPr>
        <w:t xml:space="preserve">Compared to the Three Months Ended </w:t>
      </w:r>
      <w:r>
        <w:rPr>
          <w:rFonts w:ascii="Arial;Helvetica;sans-serif" w:hAnsi="Arial;Helvetica;sans-serif"/>
          <w:sz w:val="20"/>
        </w:rPr>
        <w:t>September 30, 2024</w:t>
      </w:r>
      <w:r>
        <w:rPr>
          <w:rFonts w:ascii="Arial;Helvetica;sans-serif" w:hAnsi="Arial;Helvetica;sans-serif"/>
          <w:i/>
          <w:sz w:val="20"/>
        </w:rPr>
        <w:t>.</w:t>
      </w:r>
    </w:p>
    <w:p>
      <w:pPr>
        <w:pStyle w:val="TextBody"/>
        <w:bidi w:val="0"/>
        <w:spacing w:before="0" w:after="0"/>
        <w:ind w:left="0" w:right="0" w:hanging="0"/>
        <w:jc w:val="left"/>
        <w:rPr/>
      </w:pPr>
      <w:r>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953385" cy="175260"/>
                      <wp:effectExtent l="0" t="0" r="0" b="0"/>
                      <wp:wrapNone/>
                      <wp:docPr id="261" name="Frame261"/>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91185" cy="175260"/>
                      <wp:effectExtent l="0" t="0" r="0" b="0"/>
                      <wp:wrapNone/>
                      <wp:docPr id="264" name="Frame2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91185" cy="175260"/>
                      <wp:effectExtent l="0" t="0" r="0" b="0"/>
                      <wp:wrapNone/>
                      <wp:docPr id="267" name="Frame2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72135" cy="175260"/>
                      <wp:effectExtent l="0" t="0" r="0" b="0"/>
                      <wp:wrapNone/>
                      <wp:docPr id="270" name="Frame2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00685" cy="175260"/>
                      <wp:effectExtent l="0" t="0" r="0" b="0"/>
                      <wp:wrapNone/>
                      <wp:docPr id="272" name="Frame2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1"/>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4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2,323,402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2,590,379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(266,977)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(10.3)</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11,423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2,333,953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2,601,802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(267,849)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(10.3)</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1,505,923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1,675,206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(169,283)</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64.8</w:t>
            </w:r>
          </w:p>
        </w:tc>
        <w:tc>
          <w:tcPr>
            <w:tcW w:w="32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64.7</w:t>
            </w:r>
          </w:p>
        </w:tc>
        <w:tc>
          <w:tcPr>
            <w:tcW w:w="32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18,157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(9,679)</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(53.3)</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256,143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273,792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(17,649)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11.0</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10.5</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50,223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73,290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(23,067)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(31.5)</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1,820,767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2,040,445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(219,678)</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513,186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561,357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(48,171)</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91,356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79,312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12,044</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(229,670)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(184,543)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(45,127)</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4,492</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(137,092)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(28,591)</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(26.4)</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376,094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452,856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(76,762)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(92,682)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(113,029)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20,347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xml:space="preserve">Effective tax rate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24.6</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25.0</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283,412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339,827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(56,415)</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(16.6)</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(0.865)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(0.717)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0.050</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DISH TV subscriber additions (losses), net (in millions)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0.014</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(0.018)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w:t>
            </w:r>
          </w:p>
        </w:tc>
        <w:tc>
          <w:tcPr>
            <w:tcW w:w="537" w:type="dxa"/>
            <w:gridSpan w:val="2"/>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1.47</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(0.14)</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37,032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20,567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16,465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563,409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634,647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(71,238)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w:t>
            </w:r>
          </w:p>
        </w:tc>
      </w:tr>
    </w:tbl>
    <w:p>
      <w:pPr>
        <w:pStyle w:val="TextBody"/>
        <w:pBdr/>
        <w:bidi w:val="0"/>
        <w:spacing w:lineRule="auto" w:line="302" w:before="0" w:after="120"/>
        <w:ind w:left="0" w:right="0" w:hanging="360"/>
        <w:jc w:val="left"/>
        <w:rPr/>
      </w:pPr>
      <w:r>
        <w:rPr/>
        <w:t>​</w:t>
      </w:r>
    </w:p>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9997" w:type="dxa"/>
            <w:tcBorders/>
            <w:vAlign w:val="center"/>
          </w:tcPr>
          <w:p>
            <w:pPr>
              <w:pStyle w:val="TableContents"/>
              <w:bidi w:val="0"/>
              <w:spacing w:lineRule="auto" w:line="302" w:before="0" w:after="0"/>
              <w:jc w:val="left"/>
              <w:rPr>
                <w:rFonts w:ascii="Helvetica;sans-serif" w:hAnsi="Helvetica;sans-serif"/>
                <w:sz w:val="22"/>
              </w:rPr>
            </w:pPr>
            <w:r>
              <w:rPr>
                <w:rFonts w:ascii="Arial;Helvetica;sans-serif" w:hAnsi="Arial;Helvetica;sans-serif"/>
                <w:sz w:val="20"/>
              </w:rPr>
              <w:t>Beginning in August 2025, we changed our calculation of SLING TV subscribers. The impact of this change was an increase to our period end SLING TV subscriber count</w:t>
            </w:r>
            <w:r>
              <w:rPr>
                <w:rFonts w:ascii="Helvetica;sans-serif" w:hAnsi="Helvetica;sans-serif"/>
                <w:sz w:val="22"/>
              </w:rPr>
              <w:t xml:space="preserve"> </w:t>
            </w:r>
            <w:r>
              <w:rPr>
                <w:rFonts w:ascii="Arial;Helvetica;sans-serif" w:hAnsi="Arial;Helvetica;sans-serif"/>
                <w:sz w:val="20"/>
              </w:rPr>
              <w:t xml:space="preserve">of approximately 51,000 subscribers during the three months ended September 30, 2025, representing the opening impact of the new calculation to our existing SLING TV subscriber base. All new SLING TV Flexible Offerings subscriber activations after this adjustment are included in net SLING TV subscriber additions for the period. This change had no material impact on any other reported subscriber metrics, other than our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lineRule="auto" w:line="302" w:before="0" w:after="120"/>
        <w:ind w:left="360" w:right="0" w:hanging="0"/>
        <w:jc w:val="left"/>
        <w:rPr>
          <w:rFonts w:ascii="Helvetica;sans-serif" w:hAnsi="Helvetica;sans-serif"/>
          <w:sz w:val="20"/>
        </w:rPr>
      </w:pPr>
      <w:r>
        <w:rPr>
          <w:rFonts w:ascii="Arial;Helvetica;sans-serif" w:hAnsi="Arial;Helvetica;sans-serif"/>
          <w:sz w:val="20"/>
        </w:rPr>
        <w:t>period end SLING TV subscriber count. See “</w:t>
      </w:r>
      <w:r>
        <w:rPr>
          <w:rFonts w:ascii="Arial;Helvetica;sans-serif" w:hAnsi="Arial;Helvetica;sans-serif"/>
          <w:i/>
          <w:sz w:val="20"/>
        </w:rPr>
        <w:t>Explanation of Key Metrics and Other Items – SLING TV subscribers</w:t>
      </w:r>
      <w:r>
        <w:rPr>
          <w:rFonts w:ascii="Helvetica;sans-serif" w:hAnsi="Helvetica;sans-serif"/>
          <w:sz w:val="20"/>
        </w:rPr>
        <w:t xml:space="preserve">” </w:t>
      </w:r>
      <w:r>
        <w:rPr>
          <w:rFonts w:ascii="Arial;Helvetica;sans-serif" w:hAnsi="Arial;Helvetica;sans-serif"/>
          <w:sz w:val="20"/>
        </w:rPr>
        <w:t>for further information.</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Pay-TV Subscribers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We lost approximately 152,000 net DISH TV subscribers during the three months ended September 30, 2025 compared to the loss of approximately 188,000 net DISH TV subscribers during the same period in 2024. This decrease in net DISH TV subscriber losses primarily resulted from a lower DISH TV churn rate, partially offset by lower gross new DISH TV subscriber activations.</w:t>
      </w:r>
    </w:p>
    <w:p>
      <w:pPr>
        <w:pStyle w:val="TextBody"/>
        <w:bidi w:val="0"/>
        <w:spacing w:before="0" w:after="0"/>
        <w:ind w:left="0" w:right="0" w:hanging="0"/>
        <w:jc w:val="left"/>
        <w:rPr/>
      </w:pPr>
      <w:r>
        <w:rPr/>
        <w:t>​</w:t>
      </w:r>
    </w:p>
    <w:p>
      <w:pPr>
        <w:pStyle w:val="TextBody"/>
        <w:pBdr/>
        <w:bidi w:val="0"/>
        <w:spacing w:lineRule="auto" w:line="302" w:before="0" w:after="0"/>
        <w:ind w:left="0" w:right="0" w:hanging="14"/>
        <w:jc w:val="left"/>
        <w:rPr>
          <w:rFonts w:ascii="Helvetica;sans-serif" w:hAnsi="Helvetica;sans-serif"/>
          <w:sz w:val="20"/>
        </w:rPr>
      </w:pPr>
      <w:r>
        <w:rPr>
          <w:rFonts w:ascii="Arial;Helvetica;sans-serif" w:hAnsi="Arial;Helvetica;sans-serif"/>
          <w:b/>
          <w:i/>
          <w:sz w:val="20"/>
        </w:rPr>
        <w:t>SLING TV subscribers.</w:t>
      </w:r>
      <w:r>
        <w:rPr>
          <w:rFonts w:ascii="Helvetica;sans-serif" w:hAnsi="Helvetica;sans-serif"/>
          <w:sz w:val="20"/>
        </w:rPr>
        <w:t xml:space="preserve"> </w:t>
      </w:r>
      <w:r>
        <w:rPr>
          <w:rFonts w:ascii="Arial;Helvetica;sans-serif" w:hAnsi="Arial;Helvetica;sans-serif"/>
          <w:sz w:val="20"/>
        </w:rPr>
        <w:t>We added approximately 159,000 net SLING TV subscribers during the three months ended September 30, 2025 compared to the addition of approximately 145,000 net SLING TV subscribers during the same period in 2024. The increase in net SLING TV subscriber additions was primarily related to higher SLING TV subscriber activations resulting from the launch of SLING TV Flexible Offerings and lower SLING TV subscriber disconnects in 2025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 gross.</w:t>
      </w:r>
      <w:r>
        <w:rPr>
          <w:rFonts w:ascii="Times New Roman;Times;serif" w:hAnsi="Times New Roman;Times;serif"/>
          <w:sz w:val="20"/>
        </w:rPr>
        <w:t xml:space="preserve"> </w:t>
      </w:r>
      <w:r>
        <w:rPr>
          <w:rFonts w:ascii="Arial;Helvetica;sans-serif" w:hAnsi="Arial;Helvetica;sans-serif"/>
          <w:sz w:val="20"/>
        </w:rPr>
        <w:t>During the three months ended September 30, 2025, we activated approximately 57,000 gross new DISH TV subscribers compared to approximately 75,000 gross new DISH TV subscribers during the same period in 2024, a decrease of 24.0%. This decrease in our gross new DISH TV subscriber activations was primarily related to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churn rate.</w:t>
      </w:r>
      <w:r>
        <w:rPr>
          <w:rFonts w:ascii="Times New Roman;Times;serif" w:hAnsi="Times New Roman;Times;serif"/>
          <w:sz w:val="20"/>
        </w:rPr>
        <w:t xml:space="preserve"> </w:t>
      </w:r>
      <w:r>
        <w:rPr>
          <w:rFonts w:ascii="Arial;Helvetica;sans-serif" w:hAnsi="Arial;Helvetica;sans-serif"/>
          <w:sz w:val="20"/>
        </w:rPr>
        <w:t>Our DISH TV churn rate for the three months ended September 30, 2025 was 1.33% compared to 1.47% for the same period in 2024. Our DISH TV churn rates for the three months ended September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Times New Roman;Times;serif" w:hAnsi="Times New Roman;Times;serif"/>
          <w:sz w:val="20"/>
        </w:rPr>
        <w:t xml:space="preserve"> “</w:t>
      </w:r>
      <w:r>
        <w:rPr>
          <w:rFonts w:ascii="Arial;Helvetica;sans-serif" w:hAnsi="Arial;Helvetica;sans-serif"/>
          <w:sz w:val="20"/>
        </w:rPr>
        <w:t>Service revenue” totaled $2.323 billion for the three months ended September 30, 2025, a decrease of $267 million or 10.3% compared to the same period in 2024. The decrease in “Service revenue” compared to the same period in 2024</w:t>
      </w:r>
      <w:r>
        <w:rPr>
          <w:rFonts w:ascii="Times New Roman;Times;serif" w:hAnsi="Times New Roman;Times;serif"/>
          <w:sz w:val="20"/>
        </w:rPr>
        <w:t xml:space="preserve"> </w:t>
      </w:r>
      <w:r>
        <w:rPr>
          <w:rFonts w:ascii="Arial;Helvetica;sans-serif" w:hAnsi="Arial;Helvetica;sans-serif"/>
          <w:sz w:val="20"/>
        </w:rPr>
        <w:t>was primarily related to lower average Pay-TV subscriber base, partially offset by an increase in Pay-TV ARPU,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ARPU.</w:t>
      </w:r>
      <w:r>
        <w:rPr>
          <w:rFonts w:ascii="Times New Roman;Times;serif" w:hAnsi="Times New Roman;Times;serif"/>
          <w:sz w:val="20"/>
        </w:rPr>
        <w:t xml:space="preserve"> </w:t>
      </w:r>
      <w:r>
        <w:rPr>
          <w:rFonts w:ascii="Arial;Helvetica;sans-serif" w:hAnsi="Arial;Helvetica;sans-serif"/>
          <w:sz w:val="20"/>
        </w:rPr>
        <w:t>Pay-TV ARPU was $109.97 during the three months ended September 30, 2025 versus $108.88 during the same period in 2024. The $1.09 or 1.0% increase in Pay-TV ARPU was primarily attributable to the DISH TV and SLING TV programming price increases, partially offset by lower ad sales revenue. The DISH TV and SLING TV programming package price increases were effective in the third and fourth quarter of 2024, respectively. The three months ended September 30, 2025 was immaterially impacted by the DISH TV programming package increase effective in September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Times New Roman;Times;serif" w:hAnsi="Times New Roman;Times;serif"/>
          <w:sz w:val="20"/>
        </w:rPr>
        <w:t xml:space="preserve"> “</w:t>
      </w:r>
      <w:r>
        <w:rPr>
          <w:rFonts w:ascii="Arial;Helvetica;sans-serif" w:hAnsi="Arial;Helvetica;sans-serif"/>
          <w:sz w:val="20"/>
        </w:rPr>
        <w:t>Cost of services” totaled $1.506 billion during the three months ended September 30, 2025, a decrease of $169 million or 10.1% compared to the same period in 2024. The decrease in “Cost of services” was primarily attributable to a lower average Pay-TV subscriber base, partially offset by higher programming costs per subscriber. Programming costs per subscriber increased during the three months ended September 30, 2025 due to rate increases in certain of our programming contracts, including the renewal of certain contracts at higher rates, particularly for local broadcast channels. “Cost of services” represented 64.8% and 64.7% of “Service revenue” during the three months ended September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Times New Roman;Times;serif" w:hAnsi="Times New Roman;Times;serif"/>
          <w:spacing w:val="-4"/>
          <w:sz w:val="20"/>
        </w:rPr>
        <w:t xml:space="preserve"> </w:t>
      </w:r>
      <w:r>
        <w:rPr>
          <w:rFonts w:ascii="Times New Roman;Times;serif" w:hAnsi="Times New Roman;Times;serif"/>
          <w:sz w:val="20"/>
        </w:rPr>
        <w:t>“</w:t>
      </w:r>
      <w:r>
        <w:rPr>
          <w:rFonts w:ascii="Arial;Helvetica;sans-serif" w:hAnsi="Arial;Helvetica;sans-serif"/>
          <w:sz w:val="20"/>
        </w:rPr>
        <w:t xml:space="preserve">Selling, general and administrative expenses” totaled $256 million during the three months ended September 30, 2025, a $18 million or 6.4% decrease compared to the same period in 2024. This change was primarily driven by a decrease in professional fees and a decrease in subscriber acquisition costs resulting from lower gross new DISH TV subscriber activations. The three months ended September 30, 2024 was negatively impacted by merger related costs from the DIRECTV transaction.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Depreciation and amortization.</w:t>
      </w:r>
      <w:r>
        <w:rPr>
          <w:rFonts w:ascii="Times New Roman;Times;serif" w:hAnsi="Times New Roman;Times;serif"/>
          <w:sz w:val="20"/>
        </w:rPr>
        <w:t xml:space="preserve"> “</w:t>
      </w:r>
      <w:r>
        <w:rPr>
          <w:rFonts w:ascii="Arial;Helvetica;sans-serif" w:hAnsi="Arial;Helvetica;sans-serif"/>
          <w:sz w:val="20"/>
        </w:rPr>
        <w:t xml:space="preserve">Depreciation and amortization” expense totaled $50 million during the three months ended September 30, 2025, a $23 million or 31.5%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w:t>
      </w:r>
      <w:r>
        <w:rPr>
          <w:rFonts w:ascii="Arial;Helvetica;sans-serif" w:hAnsi="Arial;Helvetica;sans-serif"/>
          <w:sz w:val="20"/>
        </w:rPr>
        <w:t>the expiration of our Nimiq 5 finance lease in September 2024, and our EchoStar XV satellite being fully depreciated in July 2025.</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Arial;Helvetica;sans-serif" w:hAnsi="Arial;Helvetica;sans-serif"/>
          <w:b/>
          <w:i/>
          <w:sz w:val="20"/>
        </w:rPr>
        <w:t>DISH TV SAC.</w:t>
      </w:r>
      <w:r>
        <w:rPr>
          <w:rFonts w:ascii="Helvetica;sans-serif" w:hAnsi="Helvetica;sans-serif"/>
          <w:sz w:val="20"/>
        </w:rPr>
        <w:t xml:space="preserve"> </w:t>
      </w:r>
      <w:r>
        <w:rPr>
          <w:rFonts w:ascii="Arial;Helvetica;sans-serif" w:hAnsi="Arial;Helvetica;sans-serif"/>
          <w:sz w:val="20"/>
        </w:rPr>
        <w:t>DISH TV SAC was $1,334 during the three months ended September 30, 2025 compared to $985 during the same period in 2024, an increase of $349 or 35.4%.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three months ended September 30, 2025 and 2024, the amount of equipment capitalized under our lease program for new DISH TV subscribers totaled $8 million and $6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“DISH TV SAC” may materially increase in the future to the extent that we, among other things, transition to newer technologies, introduce more aggressive promotions, or provide greater equipment subsidies.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Interest income.</w:t>
      </w:r>
      <w:r>
        <w:rPr>
          <w:rFonts w:ascii="Times New Roman;Times;serif" w:hAnsi="Times New Roman;Times;serif"/>
          <w:spacing w:val="-2"/>
          <w:sz w:val="20"/>
        </w:rPr>
        <w:t xml:space="preserve"> “</w:t>
      </w:r>
      <w:r>
        <w:rPr>
          <w:rFonts w:ascii="Arial;Helvetica;sans-serif" w:hAnsi="Arial;Helvetica;sans-serif"/>
          <w:spacing w:val="-2"/>
          <w:sz w:val="20"/>
        </w:rPr>
        <w:t xml:space="preserve">Interest income” totaled $91 million during the three months ended </w:t>
      </w:r>
      <w:r>
        <w:rPr>
          <w:rFonts w:ascii="Arial;Helvetica;sans-serif" w:hAnsi="Arial;Helvetica;sans-serif"/>
          <w:sz w:val="20"/>
        </w:rPr>
        <w:t>September 30, 2025</w:t>
      </w:r>
      <w:r>
        <w:rPr>
          <w:rFonts w:ascii="Arial;Helvetica;sans-serif" w:hAnsi="Arial;Helvetica;sans-serif"/>
          <w:spacing w:val="-2"/>
          <w:sz w:val="20"/>
        </w:rPr>
        <w:t xml:space="preserve">, an increase of $12 million compared to the same period in 2024. </w:t>
      </w:r>
      <w:r>
        <w:rPr>
          <w:rFonts w:ascii="Arial;Helvetica;sans-serif" w:hAnsi="Arial;Helvetica;sans-serif"/>
          <w:sz w:val="20"/>
        </w:rPr>
        <w:t>This increase in interest income was primarily associated with the intercompany loans to DISH Network during the second and third quarter of 2024, partially offset by a reduction in interest income associated with the Intercompany Loan – DISH Network – 2028 Tranche. See Note 11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4"/>
          <w:sz w:val="20"/>
        </w:rPr>
        <w:t>Interest expense, net of amounts capitalized.</w:t>
      </w:r>
      <w:r>
        <w:rPr>
          <w:rFonts w:ascii="Times New Roman;Times;serif" w:hAnsi="Times New Roman;Times;serif"/>
          <w:spacing w:val="-4"/>
          <w:sz w:val="20"/>
        </w:rPr>
        <w:t xml:space="preserve"> “</w:t>
      </w:r>
      <w:r>
        <w:rPr>
          <w:rFonts w:ascii="Arial;Helvetica;sans-serif" w:hAnsi="Arial;Helvetica;sans-serif"/>
          <w:spacing w:val="-4"/>
          <w:sz w:val="20"/>
        </w:rPr>
        <w:t xml:space="preserve">Interest expense, net of amounts capitalized” totaled $230 million </w:t>
      </w:r>
      <w:r>
        <w:rPr>
          <w:rFonts w:ascii="Arial;Helvetica;sans-serif" w:hAnsi="Arial;Helvetica;sans-serif"/>
          <w:sz w:val="20"/>
        </w:rPr>
        <w:t>during the three months ended September 30, 2025, an increase of $45 million or 24.5% compared to the same period in 2024. This increase primarily resulted from a debt issuance in the third quarter of 2024, partially offset by the redemption of debt that matured in November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Income tax (provision) benefit, net.</w:t>
      </w:r>
      <w:r>
        <w:rPr>
          <w:rFonts w:ascii="Times New Roman;Times;serif" w:hAnsi="Times New Roman;Times;serif"/>
          <w:sz w:val="20"/>
        </w:rPr>
        <w:t xml:space="preserve"> </w:t>
      </w:r>
      <w:r>
        <w:rPr>
          <w:rFonts w:ascii="Arial;Helvetica;sans-serif" w:hAnsi="Arial;Helvetica;sans-serif"/>
          <w:sz w:val="20"/>
        </w:rPr>
        <w:t xml:space="preserve">Our income tax provision was $93 million during the three months ended September 30, 2025, a decrease of $20 million or 18.0% compared to the same period in 2024. The change was primarily related to a decrease in “Income (loss) before income taxes.”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 xml:space="preserve">Nine Months Ended </w:t>
      </w:r>
      <w:r>
        <w:rPr>
          <w:rFonts w:ascii="Arial;Helvetica;sans-serif" w:hAnsi="Arial;Helvetica;sans-serif"/>
          <w:sz w:val="20"/>
        </w:rPr>
        <w:t>September 30, 2025</w:t>
      </w:r>
      <w:r>
        <w:rPr>
          <w:rFonts w:ascii="Times New Roman;Times;serif" w:hAnsi="Times New Roman;Times;serif"/>
          <w:sz w:val="20"/>
        </w:rPr>
        <w:t xml:space="preserve"> </w:t>
      </w:r>
      <w:r>
        <w:rPr>
          <w:rFonts w:ascii="Arial;Helvetica;sans-serif" w:hAnsi="Arial;Helvetica;sans-serif"/>
          <w:i/>
          <w:sz w:val="20"/>
        </w:rPr>
        <w:t xml:space="preserve">Compared to the Nine Months Ended </w:t>
      </w:r>
      <w:r>
        <w:rPr>
          <w:rFonts w:ascii="Arial;Helvetica;sans-serif" w:hAnsi="Arial;Helvetica;sans-serif"/>
          <w:sz w:val="20"/>
        </w:rPr>
        <w:t>September 30, 2024</w:t>
      </w:r>
      <w:r>
        <w:rPr>
          <w:rFonts w:ascii="Arial;Helvetica;sans-serif" w:hAnsi="Arial;Helvetica;sans-serif"/>
          <w:i/>
          <w:sz w:val="20"/>
        </w:rPr>
        <w:t>.</w:t>
      </w:r>
    </w:p>
    <w:p>
      <w:pPr>
        <w:pStyle w:val="TextBody"/>
        <w:bidi w:val="0"/>
        <w:spacing w:before="0" w:after="0"/>
        <w:ind w:left="0" w:right="0" w:hanging="0"/>
        <w:jc w:val="left"/>
        <w:rPr/>
      </w:pPr>
      <w:r>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953385" cy="175260"/>
                      <wp:effectExtent l="0" t="0" r="0" b="0"/>
                      <wp:wrapNone/>
                      <wp:docPr id="273" name="Frame273"/>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91185" cy="175260"/>
                      <wp:effectExtent l="0" t="0" r="0" b="0"/>
                      <wp:wrapNone/>
                      <wp:docPr id="276" name="Frame2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91185" cy="175260"/>
                      <wp:effectExtent l="0" t="0" r="0" b="0"/>
                      <wp:wrapNone/>
                      <wp:docPr id="279" name="Frame2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72135" cy="175260"/>
                      <wp:effectExtent l="0" t="0" r="0" b="0"/>
                      <wp:wrapNone/>
                      <wp:docPr id="282" name="Frame2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00685" cy="175260"/>
                      <wp:effectExtent l="0" t="0" r="0" b="0"/>
                      <wp:wrapNone/>
                      <wp:docPr id="284" name="Frame28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4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7,277,622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7,922,880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(645,258)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(9,401)</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(20.7)</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7,313,638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7,968,297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(654,659)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4,691,543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5,049,403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(357,860)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64.5</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63.7</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(21,732)</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(44.4)</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736,212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821,486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(85,274)</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10.1</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(52,013)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5,617,282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6,134,161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(516,879)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1,696,356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1,834,136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(137,780)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267,467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210,678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56,789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(709,508)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(155,324)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69,076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(441,100)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(411,641)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(29,459)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1,255,256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1,422,495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(167,239)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(307,260)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(366,203)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58,943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24.5</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25.7</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947,996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1,056,292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(108,296)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(0.865)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(0.717)</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0.096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37,507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57.6</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1,858,652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2,048,445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(189,793)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w:t>
            </w:r>
          </w:p>
        </w:tc>
      </w:tr>
    </w:tbl>
    <w:p>
      <w:pPr>
        <w:pStyle w:val="TextBody"/>
        <w:bidi w:val="0"/>
        <w:spacing w:before="0" w:after="0"/>
        <w:ind w:left="0" w:right="0" w:hanging="0"/>
        <w:jc w:val="left"/>
        <w:rPr/>
      </w:pPr>
      <w:r>
        <w:rPr/>
        <w:t>​</w:t>
      </w:r>
    </w:p>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9987"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During the second quarter of 2025, we removed approximately 28,000 subscribers from our period end DISH TV subscriber count representing DISH TV subscribers sold during the nine months ended September 30, 2025. This removal had no material impact on any other reported subscriber metrics, other than our period end DISH TV subscriber count.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9979" w:type="dxa"/>
            <w:tcBorders/>
            <w:vAlign w:val="center"/>
          </w:tcPr>
          <w:p>
            <w:pPr>
              <w:pStyle w:val="TableContents"/>
              <w:bidi w:val="0"/>
              <w:spacing w:lineRule="auto" w:line="302" w:before="0" w:after="0"/>
              <w:jc w:val="left"/>
              <w:rPr>
                <w:rFonts w:ascii="Helvetica;sans-serif" w:hAnsi="Helvetica;sans-serif"/>
                <w:sz w:val="22"/>
              </w:rPr>
            </w:pPr>
            <w:r>
              <w:rPr>
                <w:rFonts w:ascii="Arial;Helvetica;sans-serif" w:hAnsi="Arial;Helvetica;sans-serif"/>
                <w:sz w:val="20"/>
              </w:rPr>
              <w:t>Beginning in August 2025, we changed our calculation of SLING TV subscribers. The impact of this change was an increase to our period end SLING TV subscriber count</w:t>
            </w:r>
            <w:r>
              <w:rPr>
                <w:rFonts w:ascii="Helvetica;sans-serif" w:hAnsi="Helvetica;sans-serif"/>
                <w:sz w:val="22"/>
              </w:rPr>
              <w:t xml:space="preserve"> </w:t>
            </w:r>
            <w:r>
              <w:rPr>
                <w:rFonts w:ascii="Arial;Helvetica;sans-serif" w:hAnsi="Arial;Helvetica;sans-serif"/>
                <w:sz w:val="20"/>
              </w:rPr>
              <w:t xml:space="preserve">of approximately 51,000 subscribers during the nine months ended September 30, 2025, representing the opening impact of the new calculation to our existing SLING TV subscriber base. All new SLING TV Flexible Offerings subscriber activations after this adjustment are included in net SLING TV subscriber additions for the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lineRule="auto" w:line="302" w:before="0" w:after="0"/>
        <w:ind w:left="360" w:right="0" w:hanging="0"/>
        <w:jc w:val="left"/>
        <w:rPr>
          <w:rFonts w:ascii="Helvetica;sans-serif" w:hAnsi="Helvetica;sans-serif"/>
          <w:sz w:val="20"/>
        </w:rPr>
      </w:pPr>
      <w:r>
        <w:rPr>
          <w:rFonts w:ascii="Arial;Helvetica;sans-serif" w:hAnsi="Arial;Helvetica;sans-serif"/>
          <w:sz w:val="20"/>
        </w:rPr>
        <w:t>period. This change had no material impact on any other reported subscriber metrics, other than our period end SLING TV subscriber count. See “</w:t>
      </w:r>
      <w:r>
        <w:rPr>
          <w:rFonts w:ascii="Arial;Helvetica;sans-serif" w:hAnsi="Arial;Helvetica;sans-serif"/>
          <w:i/>
          <w:sz w:val="20"/>
        </w:rPr>
        <w:t>Explanation of Key Metrics and Other Items – SLING TV subscribers</w:t>
      </w:r>
      <w:r>
        <w:rPr>
          <w:rFonts w:ascii="Helvetica;sans-serif" w:hAnsi="Helvetica;sans-serif"/>
          <w:sz w:val="20"/>
        </w:rPr>
        <w:t xml:space="preserve">” </w:t>
      </w:r>
      <w:r>
        <w:rPr>
          <w:rFonts w:ascii="Arial;Helvetica;sans-serif" w:hAnsi="Arial;Helvetica;sans-serif"/>
          <w:sz w:val="20"/>
        </w:rPr>
        <w:t>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Pay-TV Subscribers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We lost approximately 487,000 net DISH TV subscribers during the nine months ended September 30, 2025 compared to the loss of approximately 583,000 net DISH TV subscribers during the same period in 2024. This decrease in net DISH TV subscriber losses primarily resulted from a lower DISH TV churn rate, partially offset by lower gross new DISH TV subscriber activations.</w:t>
      </w:r>
    </w:p>
    <w:p>
      <w:pPr>
        <w:pStyle w:val="TextBody"/>
        <w:bidi w:val="0"/>
        <w:spacing w:before="0" w:after="0"/>
        <w:ind w:left="0" w:right="0" w:hanging="0"/>
        <w:jc w:val="left"/>
        <w:rPr/>
      </w:pPr>
      <w:r>
        <w:rPr/>
        <w:t>​</w:t>
      </w:r>
    </w:p>
    <w:p>
      <w:pPr>
        <w:pStyle w:val="TextBody"/>
        <w:pBdr/>
        <w:bidi w:val="0"/>
        <w:spacing w:lineRule="auto" w:line="302" w:before="0" w:after="0"/>
        <w:ind w:left="0" w:right="0" w:hanging="14"/>
        <w:jc w:val="left"/>
        <w:rPr>
          <w:rFonts w:ascii="Helvetica;sans-serif" w:hAnsi="Helvetica;sans-serif"/>
          <w:sz w:val="20"/>
        </w:rPr>
      </w:pPr>
      <w:r>
        <w:rPr>
          <w:rFonts w:ascii="Arial;Helvetica;sans-serif" w:hAnsi="Arial;Helvetica;sans-serif"/>
          <w:b/>
          <w:i/>
          <w:sz w:val="20"/>
        </w:rPr>
        <w:t>SLING TV subscribers.</w:t>
      </w:r>
      <w:r>
        <w:rPr>
          <w:rFonts w:ascii="Helvetica;sans-serif" w:hAnsi="Helvetica;sans-serif"/>
          <w:sz w:val="20"/>
        </w:rPr>
        <w:t xml:space="preserve"> </w:t>
      </w:r>
      <w:r>
        <w:rPr>
          <w:rFonts w:ascii="Arial;Helvetica;sans-serif" w:hAnsi="Arial;Helvetica;sans-serif"/>
          <w:sz w:val="20"/>
        </w:rPr>
        <w:t>We lost approximately 148,000 net SLING TV subscribers during the nine months ended September 30, 2025 compared to the addition of approximately 88,000 net SLING TV subscribers during the same period in 2024. The change in net SLING TV subscribers was primarily related to lower SLING TV subscriber activations, partially offset by lower SLING TV subscriber disconnects in 2025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 gross.</w:t>
      </w:r>
      <w:r>
        <w:rPr>
          <w:rFonts w:ascii="Times New Roman;Times;serif" w:hAnsi="Times New Roman;Times;serif"/>
          <w:sz w:val="20"/>
        </w:rPr>
        <w:t xml:space="preserve"> </w:t>
      </w:r>
      <w:r>
        <w:rPr>
          <w:rFonts w:ascii="Arial;Helvetica;sans-serif" w:hAnsi="Arial;Helvetica;sans-serif"/>
          <w:sz w:val="20"/>
        </w:rPr>
        <w:t>During the nine months ended September 30, 2025, we activated approximately 160,000 gross new DISH TV subscribers compared to approximately 230,000 gross new DISH TV subscribers during the same period in 2024, a decrease of 30.4%.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churn rate.</w:t>
      </w:r>
      <w:r>
        <w:rPr>
          <w:rFonts w:ascii="Times New Roman;Times;serif" w:hAnsi="Times New Roman;Times;serif"/>
          <w:sz w:val="20"/>
        </w:rPr>
        <w:t xml:space="preserve"> </w:t>
      </w:r>
      <w:r>
        <w:rPr>
          <w:rFonts w:ascii="Arial;Helvetica;sans-serif" w:hAnsi="Arial;Helvetica;sans-serif"/>
          <w:sz w:val="20"/>
        </w:rPr>
        <w:t>Our DISH TV churn rate for the nine months ended September 30, 2025 was 1.33% compared to 1.46% for the same period in 2024. Our DISH TV churn rates for the nine months ended September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Times New Roman;Times;serif" w:hAnsi="Times New Roman;Times;serif"/>
          <w:sz w:val="20"/>
        </w:rPr>
        <w:t xml:space="preserve"> “</w:t>
      </w:r>
      <w:r>
        <w:rPr>
          <w:rFonts w:ascii="Arial;Helvetica;sans-serif" w:hAnsi="Arial;Helvetica;sans-serif"/>
          <w:sz w:val="20"/>
        </w:rPr>
        <w:t>Service revenue” totaled $7.278 billion for the nine months ended September 30, 2025, a decrease of $645 million or 8.1% compared to the same period in 2024. The decrease in “Service revenue” compared to the same period in 2024</w:t>
      </w:r>
      <w:r>
        <w:rPr>
          <w:rFonts w:ascii="Times New Roman;Times;serif" w:hAnsi="Times New Roman;Times;serif"/>
          <w:sz w:val="20"/>
        </w:rPr>
        <w:t xml:space="preserve"> </w:t>
      </w:r>
      <w:r>
        <w:rPr>
          <w:rFonts w:ascii="Arial;Helvetica;sans-serif" w:hAnsi="Arial;Helvetica;sans-serif"/>
          <w:sz w:val="20"/>
        </w:rPr>
        <w:t>was primarily related to lower average Pay-TV subscriber base, partially offset by an increase in Pay-TV ARPU,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ARPU.</w:t>
      </w:r>
      <w:r>
        <w:rPr>
          <w:rFonts w:ascii="Times New Roman;Times;serif" w:hAnsi="Times New Roman;Times;serif"/>
          <w:sz w:val="20"/>
        </w:rPr>
        <w:t xml:space="preserve"> </w:t>
      </w:r>
      <w:r>
        <w:rPr>
          <w:rFonts w:ascii="Arial;Helvetica;sans-serif" w:hAnsi="Arial;Helvetica;sans-serif"/>
          <w:sz w:val="20"/>
        </w:rPr>
        <w:t>Pay-TV ARPU was $110.79 during the nine months ended September 30, 2025 versus $108.21 during the same period in 2024. The $2.58 or 2.4% increase in Pay-TV ARPU was primarily attributable to the DISH TV and SLING TV programming price increases, partially offset by lower ad sales revenue. The DISH TV and SLING TV programming package price increases were effective in the third and fourth quarter of 2024, respectively. The nine months ended September 30, 2025 was immaterially impacted by the DISH TV programming package increase effective in September 2025.</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Times New Roman;Times;serif" w:hAnsi="Times New Roman;Times;serif"/>
          <w:sz w:val="20"/>
        </w:rPr>
        <w:t xml:space="preserve"> “</w:t>
      </w:r>
      <w:r>
        <w:rPr>
          <w:rFonts w:ascii="Arial;Helvetica;sans-serif" w:hAnsi="Arial;Helvetica;sans-serif"/>
          <w:sz w:val="20"/>
        </w:rPr>
        <w:t>Cost of services” totaled $4.692 billion during the nine months ended September 30, 2025, a decrease of $358 million or 7.1% compared to the same period in 2024. The decrease in “Cost of services” was primarily attributable to a lower average Pay-TV subscriber base, partially offset by higher programming costs per subscriber. Programming costs per subscriber increased during the nine months ended September 30, 2025 due to rate increases in certain of our programming contracts, including the renewal of certain contracts at higher rates, particularly for local broadcast channels. “Cost of services” represented 64.5% and 63.7% of “Service revenue” during the nine months ended September 30, 2025 and 2024, respectively. This increase primarily related to higher programming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Times New Roman;Times;serif" w:hAnsi="Times New Roman;Times;serif"/>
          <w:spacing w:val="-4"/>
          <w:sz w:val="20"/>
        </w:rPr>
        <w:t xml:space="preserve"> </w:t>
      </w:r>
      <w:r>
        <w:rPr>
          <w:rFonts w:ascii="Times New Roman;Times;serif" w:hAnsi="Times New Roman;Times;serif"/>
          <w:sz w:val="20"/>
        </w:rPr>
        <w:t>“</w:t>
      </w:r>
      <w:r>
        <w:rPr>
          <w:rFonts w:ascii="Arial;Helvetica;sans-serif" w:hAnsi="Arial;Helvetica;sans-serif"/>
          <w:sz w:val="20"/>
        </w:rPr>
        <w:t>Selling, general and administrative expenses” totaled $736 million during the nine months ended September</w:t>
      </w:r>
      <w:r>
        <w:rPr>
          <w:rFonts w:ascii="Times New Roman;Times;serif" w:hAnsi="Times New Roman;Times;serif"/>
          <w:sz w:val="20"/>
        </w:rPr>
        <w:t xml:space="preserve"> </w:t>
      </w:r>
      <w:r>
        <w:rPr>
          <w:rFonts w:ascii="Arial;Helvetica;sans-serif" w:hAnsi="Arial;Helvetica;sans-serif"/>
          <w:sz w:val="20"/>
        </w:rPr>
        <w:t>30, 2025, a $85 million or 10.4% decrease compared to the same period in 2024. This change was primarily driven by a decrease in subscriber acquisition costs resulting from lower gross new DISH TV subscriber activations, and a decrease in personnel costs and professional fees. The nine months ended September 30, 2024 was negatively impacted by merger related costs from the DIRECTV transaction.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Depreciation and amortization.</w:t>
      </w:r>
      <w:r>
        <w:rPr>
          <w:rFonts w:ascii="Times New Roman;Times;serif" w:hAnsi="Times New Roman;Times;serif"/>
          <w:sz w:val="20"/>
        </w:rPr>
        <w:t xml:space="preserve"> “</w:t>
      </w:r>
      <w:r>
        <w:rPr>
          <w:rFonts w:ascii="Arial;Helvetica;sans-serif" w:hAnsi="Arial;Helvetica;sans-serif"/>
          <w:sz w:val="20"/>
        </w:rPr>
        <w:t xml:space="preserve">Depreciation and amortization” expense totaled $162 million during the nine months ended September 30, 2025, a $52 million or 24.3%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w:t>
      </w:r>
      <w:r>
        <w:rPr>
          <w:rFonts w:ascii="Arial;Helvetica;sans-serif" w:hAnsi="Arial;Helvetica;sans-serif"/>
          <w:sz w:val="20"/>
        </w:rPr>
        <w:t>the expiration of our Nimiq 5 finance lease in September 2024, and our EchoStar XV satellite being fully depreciated in July 2025.</w:t>
      </w:r>
    </w:p>
    <w:p>
      <w:pPr>
        <w:pStyle w:val="TextBody"/>
        <w:bidi w:val="0"/>
        <w:spacing w:before="0" w:after="0"/>
        <w:ind w:left="0" w:right="0" w:hanging="0"/>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Arial;Helvetica;sans-serif" w:hAnsi="Arial;Helvetica;sans-serif"/>
          <w:b/>
          <w:i/>
          <w:sz w:val="20"/>
        </w:rPr>
        <w:t>DISH TV SAC.</w:t>
      </w:r>
      <w:r>
        <w:rPr>
          <w:rFonts w:ascii="Helvetica;sans-serif" w:hAnsi="Helvetica;sans-serif"/>
          <w:sz w:val="20"/>
        </w:rPr>
        <w:t xml:space="preserve"> </w:t>
      </w:r>
      <w:r>
        <w:rPr>
          <w:rFonts w:ascii="Arial;Helvetica;sans-serif" w:hAnsi="Arial;Helvetica;sans-serif"/>
          <w:sz w:val="20"/>
        </w:rPr>
        <w:t>DISH TV SAC was $1,215 during the nine months ended September 30, 2025 compared to $993 during the same period in 2024, an increase of $222 or 22.4%.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 While our marketing expenditures decreased during the nine months ended September 30, 2025 compared to the same period in 2024, our gross new DISH TV subscriber activations decreased at a higher rate, resulting in an increase in advertising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nine months ended September 30, 2025 and 2024, the amount of equipment capitalized under our lease program for new DISH TV subscribers totaled $23 million and $19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Interest income.</w:t>
      </w:r>
      <w:r>
        <w:rPr>
          <w:rFonts w:ascii="Times New Roman;Times;serif" w:hAnsi="Times New Roman;Times;serif"/>
          <w:spacing w:val="-2"/>
          <w:sz w:val="20"/>
        </w:rPr>
        <w:t xml:space="preserve"> “</w:t>
      </w:r>
      <w:r>
        <w:rPr>
          <w:rFonts w:ascii="Arial;Helvetica;sans-serif" w:hAnsi="Arial;Helvetica;sans-serif"/>
          <w:spacing w:val="-2"/>
          <w:sz w:val="20"/>
        </w:rPr>
        <w:t xml:space="preserve">Interest income” totaled $267 million during the nine months ended </w:t>
      </w:r>
      <w:r>
        <w:rPr>
          <w:rFonts w:ascii="Arial;Helvetica;sans-serif" w:hAnsi="Arial;Helvetica;sans-serif"/>
          <w:sz w:val="20"/>
        </w:rPr>
        <w:t>September 30, 2025</w:t>
      </w:r>
      <w:r>
        <w:rPr>
          <w:rFonts w:ascii="Arial;Helvetica;sans-serif" w:hAnsi="Arial;Helvetica;sans-serif"/>
          <w:spacing w:val="-2"/>
          <w:sz w:val="20"/>
        </w:rPr>
        <w:t xml:space="preserve">, an increase of $57 million compared to the same period in 2024. </w:t>
      </w:r>
      <w:r>
        <w:rPr>
          <w:rFonts w:ascii="Arial;Helvetica;sans-serif" w:hAnsi="Arial;Helvetica;sans-serif"/>
          <w:sz w:val="20"/>
        </w:rPr>
        <w:t>This increase in interest income was primarily associated with the intercompany loans to DISH Network during the second and third quarter of 2024, partially offset by a reduction in interest income associated with the Intercompany Loan – DISH Network – 2028 Tranche. See Note 11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4"/>
          <w:sz w:val="20"/>
        </w:rPr>
        <w:t>Interest expense, net of amounts capitalized.</w:t>
      </w:r>
      <w:r>
        <w:rPr>
          <w:rFonts w:ascii="Times New Roman;Times;serif" w:hAnsi="Times New Roman;Times;serif"/>
          <w:spacing w:val="-4"/>
          <w:sz w:val="20"/>
        </w:rPr>
        <w:t xml:space="preserve"> “</w:t>
      </w:r>
      <w:r>
        <w:rPr>
          <w:rFonts w:ascii="Arial;Helvetica;sans-serif" w:hAnsi="Arial;Helvetica;sans-serif"/>
          <w:spacing w:val="-4"/>
          <w:sz w:val="20"/>
        </w:rPr>
        <w:t xml:space="preserve">Interest expense, net of amounts capitalized” totaled $710 million </w:t>
      </w:r>
      <w:r>
        <w:rPr>
          <w:rFonts w:ascii="Arial;Helvetica;sans-serif" w:hAnsi="Arial;Helvetica;sans-serif"/>
          <w:sz w:val="20"/>
        </w:rPr>
        <w:t>during the nine months ended September 30, 2025, an increase of $155 million or 28.0% compared to the same period in 2024. This increase primarily resulted from a debt issuance in the third quarter of 2024, partially offset by the redemption of debt that matured in November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Income tax (provision) benefit, net.</w:t>
      </w:r>
      <w:r>
        <w:rPr>
          <w:rFonts w:ascii="Times New Roman;Times;serif" w:hAnsi="Times New Roman;Times;serif"/>
          <w:sz w:val="20"/>
        </w:rPr>
        <w:t xml:space="preserve"> </w:t>
      </w:r>
      <w:r>
        <w:rPr>
          <w:rFonts w:ascii="Arial;Helvetica;sans-serif" w:hAnsi="Arial;Helvetica;sans-serif"/>
          <w:sz w:val="20"/>
        </w:rPr>
        <w:t>Our income tax provision was $307 million during the nine months ended September 30, 2025, a decrease of $59 million or 16.1% compared to the same period in 2024. The change was primarily related to a decrease in “Income (loss) before income taxes.” Our effective tax rate during the nine months ended September 30, 2024 was impacted by federal valuation allowances.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Non-GAAP Performance Measures and Reconciliation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It is management’s intent to provide non-GAAP financial information to enhance the understanding of our financial information prepared in accordance with </w:t>
      </w:r>
      <w:r>
        <w:rPr>
          <w:rFonts w:ascii="Arial;Helvetica;sans-serif" w:hAnsi="Arial;Helvetica;sans-serif"/>
          <w:spacing w:val="-4"/>
          <w:sz w:val="20"/>
        </w:rPr>
        <w:t>accounting principles generally accepted in the United States (“GAAP”)</w:t>
      </w:r>
      <w:r>
        <w:rPr>
          <w:rFonts w:ascii="Arial;Helvetica;sans-serif" w:hAnsi="Arial;Helvetica;sans-serif"/>
          <w:sz w:val="20"/>
        </w:rPr>
        <w:t>,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OIBDA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tbl>
      <w:tblPr>
        <w:tblW w:w="8498" w:type="dxa"/>
        <w:jc w:val="left"/>
        <w:tblInd w:w="0" w:type="dxa"/>
        <w:tblLayout w:type="fixed"/>
        <w:tblCellMar>
          <w:top w:w="0" w:type="dxa"/>
          <w:left w:w="0" w:type="dxa"/>
          <w:bottom w:w="0" w:type="dxa"/>
          <w:right w:w="0" w:type="dxa"/>
        </w:tblCellMar>
      </w:tblPr>
      <w:tblGrid>
        <w:gridCol w:w="2581"/>
        <w:gridCol w:w="326"/>
        <w:gridCol w:w="233"/>
        <w:gridCol w:w="862"/>
        <w:gridCol w:w="360"/>
        <w:gridCol w:w="233"/>
        <w:gridCol w:w="862"/>
        <w:gridCol w:w="326"/>
        <w:gridCol w:w="211"/>
        <w:gridCol w:w="931"/>
        <w:gridCol w:w="326"/>
        <w:gridCol w:w="211"/>
        <w:gridCol w:w="10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38935" cy="175260"/>
                      <wp:effectExtent l="0" t="0" r="0" b="0"/>
                      <wp:wrapNone/>
                      <wp:docPr id="285" name="Frame285"/>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7955" cy="175260"/>
                      <wp:effectExtent l="0" t="0" r="0" b="0"/>
                      <wp:wrapNone/>
                      <wp:docPr id="287" name="Frame28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47370" cy="175260"/>
                      <wp:effectExtent l="0" t="0" r="0" b="0"/>
                      <wp:wrapNone/>
                      <wp:docPr id="288" name="Frame28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8600" cy="175260"/>
                      <wp:effectExtent l="0" t="0" r="0" b="0"/>
                      <wp:wrapNone/>
                      <wp:docPr id="289" name="Frame2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7955" cy="175260"/>
                      <wp:effectExtent l="0" t="0" r="0" b="0"/>
                      <wp:wrapNone/>
                      <wp:docPr id="290" name="Frame29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47370" cy="175260"/>
                      <wp:effectExtent l="0" t="0" r="0" b="0"/>
                      <wp:wrapNone/>
                      <wp:docPr id="291" name="Frame29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91185" cy="175260"/>
                      <wp:effectExtent l="0" t="0" r="0" b="0"/>
                      <wp:wrapNone/>
                      <wp:docPr id="294" name="Frame2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57860" cy="175260"/>
                      <wp:effectExtent l="0" t="0" r="0" b="0"/>
                      <wp:wrapNone/>
                      <wp:docPr id="297" name="Frame2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0"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4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513,186</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1,696,356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1,834,136</w:t>
            </w:r>
          </w:p>
        </w:tc>
      </w:tr>
      <w:tr>
        <w:trPr/>
        <w:tc>
          <w:tcPr>
            <w:tcW w:w="25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50,223</w:t>
            </w:r>
          </w:p>
        </w:tc>
        <w:tc>
          <w:tcPr>
            <w:tcW w:w="360"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73,290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214,309</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563,409</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634,647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1,858,652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2,048,445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changes in OIBDA during the three and nine months ended September 30, 2025, compared to the same period in 2024, were primarily a result of the factors described in connection with operating revenues and operating expenses.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GUARANTOR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registered senior notes, consisting of our 7 3/4% Senior Notes due 2026, 7 3/8% Senior Notes due 2028, and 5 1/8% Senior Notes due 2029, are fully and unconditionally guaranteed, jointly and severally on a senior unsecured basis by certain of our wholly-owned subsidiaries (the “Guarantors”).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of our wholly-owned subsidiaries are designated as “Unrestricted Subsidiaries” and do not guarantee any of our registered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and our subsidiaries participate with our parent company, DISH Network, in a centralized system for the management of our cash and marketable investment securities. Please see Note 3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guarantee of a Guarantor will be deemed automatically discharged and released in accordance with the terms of the applicable indenture: (i) 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 provisions of the indenture; (ii) if such Guarantor is dissolved or liquidated in accordance with the provisions of the indenture; (iii) if we designate any such Guarantor as an “Unrestricted Subsidiary” in compliance with the terms of the indenture; or (iv) with respect to a Guarantor which constitutes a Non-Core Asset (as such term is defined in the applicable indenture), upon the sale or other disposition of certain equity interests of such Guarantor, if such sale or disposition is made in compliance with the applicable provisions of the indenture. There are no restrictions on our ability to obtain cash dividends or other distributions of funds from the Guarantors, except those imposed by applicable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rights of holders of the registered senior notes against the Guarantors may be limited under the U.S. Bankruptcy Code or state fraudulent transfer or conveyance law. Under certain circumstances (including a finding that a Guarantor was insolvent at the time its guarantee of the registered senior notes was issued), a court could hold that the obligations of a Guarantor under a guarantee may be voided or are subordinate to other obligations of the Guarantor. Each guarantee contains a provision intended to limit the Guarantor’s liability to the maximum amount that it could incur without causing the incurrence of obligations under its guarantee to be a fraudulent conveyance or transfer under U.S. federal or state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balance sheet information for the combined obligor group of our registered senior notes is presented in the table below.</w:t>
      </w:r>
    </w:p>
    <w:p>
      <w:pPr>
        <w:pStyle w:val="TextBody"/>
        <w:bidi w:val="0"/>
        <w:spacing w:before="0" w:after="0"/>
        <w:ind w:left="0" w:right="0" w:hanging="0"/>
        <w:jc w:val="left"/>
        <w:rPr/>
      </w:pPr>
      <w:r>
        <w:rPr/>
        <w:t>​</w:t>
      </w:r>
    </w:p>
    <w:tbl>
      <w:tblPr>
        <w:tblW w:w="5573" w:type="dxa"/>
        <w:jc w:val="left"/>
        <w:tblInd w:w="0" w:type="dxa"/>
        <w:tblLayout w:type="fixed"/>
        <w:tblCellMar>
          <w:top w:w="0" w:type="dxa"/>
          <w:left w:w="0" w:type="dxa"/>
          <w:bottom w:w="0" w:type="dxa"/>
          <w:right w:w="0" w:type="dxa"/>
        </w:tblCellMar>
      </w:tblPr>
      <w:tblGrid>
        <w:gridCol w:w="2176"/>
        <w:gridCol w:w="326"/>
        <w:gridCol w:w="236"/>
        <w:gridCol w:w="1159"/>
        <w:gridCol w:w="326"/>
        <w:gridCol w:w="220"/>
        <w:gridCol w:w="1130"/>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81760" cy="175260"/>
                      <wp:effectExtent l="0" t="0" r="0" b="0"/>
                      <wp:wrapNone/>
                      <wp:docPr id="298" name="Frame298"/>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9860" cy="175260"/>
                      <wp:effectExtent l="0" t="0" r="0" b="0"/>
                      <wp:wrapNone/>
                      <wp:docPr id="300" name="Frame30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35965" cy="175260"/>
                      <wp:effectExtent l="0" t="0" r="0" b="0"/>
                      <wp:wrapNone/>
                      <wp:docPr id="301" name="Frame301"/>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9700" cy="175260"/>
                      <wp:effectExtent l="0" t="0" r="0" b="0"/>
                      <wp:wrapNone/>
                      <wp:docPr id="303" name="Frame30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17550" cy="175260"/>
                      <wp:effectExtent l="0" t="0" r="0" b="0"/>
                      <wp:wrapNone/>
                      <wp:docPr id="304" name="Frame304"/>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31,</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5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1"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2,161,670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1,780,162</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Noncurrent assets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6,457,545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6,395,280</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4,081,949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2,147,507</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Noncurrent liabilities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10,840,290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12,617,150</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from non-guarantors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618,780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594,492</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from related parties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5,080,522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4,928,291</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to non-guarantors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2,609,390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2,403,527</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to related parties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34,460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34,273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results of operations information for the combined obligor group of our registered senior notes is presented in the table below.</w:t>
      </w:r>
    </w:p>
    <w:p>
      <w:pPr>
        <w:pStyle w:val="TextBody"/>
        <w:bidi w:val="0"/>
        <w:spacing w:before="0" w:after="0"/>
        <w:ind w:left="0" w:right="0" w:hanging="0"/>
        <w:jc w:val="left"/>
        <w:rPr/>
      </w:pPr>
      <w:r>
        <w:rPr/>
        <w:t>​</w:t>
      </w:r>
    </w:p>
    <w:tbl>
      <w:tblPr>
        <w:tblW w:w="5997" w:type="dxa"/>
        <w:jc w:val="left"/>
        <w:tblInd w:w="0" w:type="dxa"/>
        <w:tblLayout w:type="fixed"/>
        <w:tblCellMar>
          <w:top w:w="0" w:type="dxa"/>
          <w:left w:w="0" w:type="dxa"/>
          <w:bottom w:w="0" w:type="dxa"/>
          <w:right w:w="0" w:type="dxa"/>
        </w:tblCellMar>
      </w:tblPr>
      <w:tblGrid>
        <w:gridCol w:w="3181"/>
        <w:gridCol w:w="326"/>
        <w:gridCol w:w="442"/>
        <w:gridCol w:w="2048"/>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19935" cy="175260"/>
                      <wp:effectExtent l="0" t="0" r="0" b="0"/>
                      <wp:wrapNone/>
                      <wp:docPr id="305" name="Frame305"/>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80670" cy="175260"/>
                      <wp:effectExtent l="0" t="0" r="0" b="0"/>
                      <wp:wrapNone/>
                      <wp:docPr id="307" name="Frame30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00480" cy="175260"/>
                      <wp:effectExtent l="0" t="0" r="0" b="0"/>
                      <wp:wrapNone/>
                      <wp:docPr id="308" name="Frame308"/>
                      <a:graphic xmlns:a="http://schemas.openxmlformats.org/drawingml/2006/main">
                        <a:graphicData uri="http://schemas.microsoft.com/office/word/2010/wordprocessingShape">
                          <wps:wsp>
                            <wps:cNvSpPr txBox="1"/>
                            <wps:spPr>
                              <a:xfrm>
                                <a:off x="0" y="0"/>
                                <a:ext cx="1300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Nine Months Ended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September 30, 2025</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2"/>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0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3,362,220</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0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549,522</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20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106,822</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expenses to related parties</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0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174,117</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income from related parties</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20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237,529</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expense to non-guarantors</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048"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205,863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78" w:name="Item4CONTROLSANDPROCEDURES_789267"/>
      <w:bookmarkStart w:id="1279" w:name="_a3de13ba_9295_4f96_8d0c_0b0b25fd4813"/>
      <w:bookmarkEnd w:id="1278"/>
      <w:bookmarkEnd w:id="1279"/>
      <w:r>
        <w:rPr>
          <w:rFonts w:ascii="Arial;Helvetica;sans-serif" w:hAnsi="Arial;Helvetica;sans-serif"/>
          <w:b/>
          <w:i w:val="false"/>
          <w:caps w:val="false"/>
          <w:smallCaps w:val="false"/>
          <w:sz w:val="20"/>
        </w:rPr>
        <w:t>Item 4.</w:t>
      </w:r>
      <w:r>
        <w:rPr>
          <w:rFonts w:ascii="Arial;Helvetica;sans-serif" w:hAnsi="Arial;Helvetica;sans-serif"/>
          <w:b/>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Conclusion regarding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280" w:name="PARTIIOTHERINFORMATION_502540"/>
      <w:bookmarkStart w:id="1281" w:name="_f0ba11fd_8f58_4bcd_9139_e4c6c96d96f0"/>
      <w:bookmarkEnd w:id="1280"/>
      <w:bookmarkEnd w:id="1281"/>
      <w:r>
        <w:rPr>
          <w:rFonts w:ascii="Arial;Helvetica;sans-serif" w:hAnsi="Arial;Helvetica;sans-serif"/>
          <w:b/>
          <w:sz w:val="20"/>
        </w:rPr>
        <w:t>PART II —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2" w:name="Item1LEGALPROCEEDINGS_610706"/>
      <w:bookmarkEnd w:id="1282"/>
      <w:r>
        <w:rPr>
          <w:rFonts w:ascii="Arial;Helvetica;sans-serif" w:hAnsi="Arial;Helvetica;sans-serif"/>
          <w:b/>
          <w:i w:val="false"/>
          <w:caps w:val="false"/>
          <w:smallCaps w:val="false"/>
          <w:sz w:val="20"/>
        </w:rPr>
        <w:t>Item 1.</w:t>
      </w:r>
      <w:r>
        <w:rPr>
          <w:rFonts w:ascii="Arial;Helvetica;sans-serif" w:hAnsi="Arial;Helvetica;san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See Note 8 “</w:t>
      </w:r>
      <w:r>
        <w:rPr>
          <w:rFonts w:ascii="Arial;Helvetica;sans-serif" w:hAnsi="Arial;Helvetica;sans-serif"/>
          <w:i/>
          <w:sz w:val="20"/>
        </w:rPr>
        <w:t>Commitments and Contingencies – Contingencies – Litigation</w:t>
      </w:r>
      <w:r>
        <w:rPr>
          <w:rFonts w:ascii="Times New Roman;Times;serif" w:hAnsi="Times New Roman;Times;serif"/>
          <w:sz w:val="20"/>
        </w:rPr>
        <w:t xml:space="preserve">” </w:t>
      </w:r>
      <w:r>
        <w:rPr>
          <w:rFonts w:ascii="Arial;Helvetica;sans-serif" w:hAnsi="Arial;Helvetica;sans-serif"/>
          <w:sz w:val="20"/>
        </w:rPr>
        <w:t>in the Notes to our Condensed Consolidated Financial Statements for information regarding certain legal proceedings in which we are involved.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3" w:name="Item1ARISKFACTORS_237900"/>
      <w:bookmarkStart w:id="1284" w:name="_02c2ea4f_dfeb_4e71_b54c_b01c6c483533"/>
      <w:bookmarkEnd w:id="1283"/>
      <w:bookmarkEnd w:id="1284"/>
      <w:r>
        <w:rPr>
          <w:rFonts w:ascii="Arial;Helvetica;sans-serif" w:hAnsi="Arial;Helvetica;sans-serif"/>
          <w:b/>
          <w:sz w:val="20"/>
        </w:rPr>
        <w:t>Item 1A.</w:t>
      </w:r>
      <w:r>
        <w:rPr>
          <w:rFonts w:ascii="Times New Roman;Times;serif" w:hAnsi="Times New Roman;Times;serif"/>
          <w:sz w:val="20"/>
        </w:rPr>
        <w:t xml:space="preserve"> </w:t>
      </w:r>
      <w:r>
        <w:rPr>
          <w:rFonts w:ascii="Arial;Helvetica;sans-serif" w:hAnsi="Arial;Helvetica;san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The timing and closing of the AT&amp;T Transactions are not certain, and are subject to certain conditions, some of which we and our ultimate parent, EchoStar, cannot control, which could result in the AT&amp;T Transactions not being completed or being completed later than expected, which could have a material adverse impact on our expected leverage and available cash-on-hand, as well as costs and revenues, or otherwise reducing the anticipated benefits to us of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transaction agreements governing the AT&amp;T Transactions (the “Transaction Agreements”) are subject to certain closing conditions including the satisfaction of certain antitrust, FCC and other regulatory approvals, none of which have been satisfied yet. Governmental agencies might not approve the AT&amp;T Transactions or may impose conditions to any such approval or require changes to the terms of such transactions. Any such condition or change could have the effect of delaying completion of the AT&amp;T Transactions, imposing costs on or otherwise reducing the anticipated benefits of the transactions. Furthermore, under the Transaction Agreements, each party’s obligation to consummate the transactions are also subject to the accuracy of the representations and warranties of the other party (subject to certain qualifications and exceptions) and the performance in all material respects of the other party’s covenants under the Transaction Agreements.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result of these conditions, we and our ultimate parent, EchoStar, cannot provide assurance that the AT&amp;T Transactions will be completed on the terms or timeline currently contemplated, or at all. If such conditions are not fulfilled by the deadlines in the applicable Transaction Agreements (including applicable extensions provided under the Transaction Agreements), the Transaction Agreements may be terminated and the AT&amp;T Transactions may not be completed.</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sz w:val="20"/>
        </w:rPr>
      </w:pPr>
      <w:r>
        <w:rPr>
          <w:rFonts w:ascii="Arial;Helvetica;sans-serif" w:hAnsi="Arial;Helvetica;sans-serif"/>
          <w:sz w:val="20"/>
        </w:rPr>
        <w:t>Conditions, delays or other changes may adversely impact our business, financial condition, results of operations, liquidity or the market value of our securities. If completed, the AT&amp;T Transactions would result in significant cash being recognized by us and as a result, our future results and success depend on the completion of such transactions. Any delay in completion of the AT&amp;T Transactions, material conditions imposed or other event or condition which negatively impacts those transactions may adversely impact our business, financial condition, results of operations, liquidity or the market value of our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do not expect approval of the AT&amp;T Transactions during a government shutdown, and the continuation of a government shutdown may materially delay our ability to consummate the AT&amp;T Transactions. Any delay in approval may adversely impact our business, financial condition, results of operations, liquidity or the market value of our securities.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i/>
          <w:color w:val="222222"/>
          <w:sz w:val="20"/>
        </w:rPr>
      </w:pPr>
      <w:r>
        <w:rPr>
          <w:rFonts w:ascii="Arial;Helvetica;sans-serif" w:hAnsi="Arial;Helvetica;sans-serif"/>
          <w:b/>
          <w:i/>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depend on suppliers, including suppliers with manufacturing in China and other countries, for various materials in our satellite and related infrastructure, for our Pay-TV business. Changes in U.S. or foreign trade policies, including, but not limited to, new or increased tariffs, export controls, trade restrictions or sanctions, have resulted, and may continue to result in higher costs for equipment we procure.</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Supply chain disruptions, customs delays, new compliance requirements and other challenges may cause delays in deploying customer equipment, increase our operational expenses, and impact our ability to meet customer demand. Although we attempt to mitigate these risks through alternative sourcing and operational efficiencies, these efforts may not be successful or sufficient.</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If we are unable to pass on increased costs to customers without negatively impacting demand, or offset them through other measures, our business, financial condition and results of operations could be materially adversely affected.</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We currently do not have the necessary cash on hand, projected future cash flows, or committed financing to fund our obligations over the next twelve months, which raises substantial doubt about our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the date of this report, we currently do not have the necessary cash on hand, projected future cash flows or committed financing to fund our anticipated working capital needs, capital expenditures, interest payments, debt maturities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Because the AT&amp;T Transactions, defined herein, are signed at our parent and/or its subsidiaries, we do not expect completion of the AT&amp;T Transactions to resolve our going concern qualification. 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event that the going concern qualification continues after the completion or non-completion of the AT&amp;T Transactions, we may take additional actions to protect our interest in our assets that may negatively impact the value of your investment in our securities, including, under certain circumstances, filing for relief under Chapter 11 of Title 11 of the United States Code, if we determine that such an action is in the best interests of the Company and our stakeholders.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actions that we, or certain of our subsidiaries, may take, including a potential voluntary Chapter 11 bankruptcy filing could have material adverse consequences to us, including, but not limited to: (i) disruption of relationships with vendors, suppliers, employees and customers; (ii) limitations on the ability to access capital markets or otherwise obtain financing on favorable terms or at all; (iii) limitations on the ability to take advantage of business opportunities; (iv) reputational harm; and (v) significant administrative costs and diversion of management attention. Furthermore, the outcome of any of the actions that we, or certain of our subsidiaries, may take, including a filing for relief under Chapter 11, is inherently uncertain and may result in a loss of control by our ultimate parent, EchoStar’s principal stockholder or a material reduction in the value or change in the relative priority of existing equity or debt securities.</w:t>
      </w:r>
    </w:p>
    <w:p>
      <w:pPr>
        <w:pStyle w:val="TextBody"/>
        <w:bidi w:val="0"/>
        <w:spacing w:before="0" w:after="0"/>
        <w:ind w:left="0" w:right="0" w:hanging="0"/>
        <w:jc w:val="left"/>
        <w:rPr/>
      </w:pPr>
      <w:bookmarkStart w:id="1285" w:name="_174e36dd_c5b4_4e9e_94e7_42daa3421ce5"/>
      <w:bookmarkEnd w:id="1285"/>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6" w:name="Item6EXHIBITS_631479"/>
      <w:bookmarkEnd w:id="1286"/>
      <w:r>
        <w:rPr>
          <w:rFonts w:ascii="Arial;Helvetica;sans-serif" w:hAnsi="Arial;Helvetica;sans-serif"/>
          <w:b/>
          <w:i w:val="false"/>
          <w:caps w:val="false"/>
          <w:smallCaps w:val="false"/>
          <w:sz w:val="20"/>
        </w:rPr>
        <w:t>Item 6.</w:t>
      </w:r>
      <w:r>
        <w:rPr>
          <w:rFonts w:ascii="Arial;Helvetica;sans-serif" w:hAnsi="Arial;Helvetica;sans-serif"/>
          <w:b/>
          <w:sz w:val="20"/>
        </w:rPr>
        <w:t>EXHIBITS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Exhibits.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6"/>
        <w:gridCol w:w="109"/>
        <w:gridCol w:w="9570"/>
      </w:tblGrid>
      <w:tr>
        <w:trPr/>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9570" w:type="dxa"/>
            <w:tcBorders/>
            <w:vAlign w:val="center"/>
          </w:tcPr>
          <w:p>
            <w:pPr>
              <w:pStyle w:val="TableContents"/>
              <w:bidi w:val="0"/>
              <w:spacing w:before="0" w:after="283"/>
              <w:ind w:left="0" w:right="0" w:hanging="0"/>
              <w:jc w:val="left"/>
              <w:rPr>
                <w:sz w:val="4"/>
                <w:szCs w:val="4"/>
              </w:rPr>
            </w:pPr>
            <w:r>
              <w:rPr>
                <w:sz w:val="4"/>
                <w:szCs w:val="4"/>
              </w:rPr>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22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w:anchor="ddbs-20250930xex22.htm">
              <w:r>
                <w:rPr>
                  <w:rStyle w:val="InternetLink"/>
                  <w:rFonts w:ascii="Times New Roman;Times;serif" w:hAnsi="Times New Roman;Times;serif"/>
                  <w:b w:val="false"/>
                  <w:i w:val="false"/>
                  <w:caps w:val="false"/>
                  <w:smallCaps w:val="false"/>
                  <w:sz w:val="24"/>
                </w:rPr>
                <w:t>List of Subsidiary Guarantors</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31.1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w:anchor="ddbs-20250930xex31d1.htm">
              <w:r>
                <w:rPr>
                  <w:rStyle w:val="InternetLink"/>
                  <w:rFonts w:ascii="Times New Roman;Times;serif" w:hAnsi="Times New Roman;Times;serif"/>
                  <w:b w:val="false"/>
                  <w:i w:val="false"/>
                  <w:caps w:val="false"/>
                  <w:smallCaps w:val="false"/>
                  <w:sz w:val="24"/>
                </w:rPr>
                <w:t>Section 302 Certification of Chief Executive Officer.</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31.2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w:anchor="ddbs-20250930xex31d2.htm">
              <w:r>
                <w:rPr>
                  <w:rStyle w:val="InternetLink"/>
                  <w:rFonts w:ascii="Times New Roman;Times;serif" w:hAnsi="Times New Roman;Times;serif"/>
                  <w:b w:val="false"/>
                  <w:i w:val="false"/>
                  <w:caps w:val="false"/>
                  <w:smallCaps w:val="false"/>
                  <w:sz w:val="24"/>
                </w:rPr>
                <w:t>Section 302 Certification of Chief Financial Officer.</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32.1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w:anchor="ddbs-20250930xex32d1.htm">
              <w:r>
                <w:rPr>
                  <w:rStyle w:val="InternetLink"/>
                  <w:rFonts w:ascii="Times New Roman;Times;serif" w:hAnsi="Times New Roman;Times;serif"/>
                  <w:b w:val="false"/>
                  <w:i w:val="false"/>
                  <w:caps w:val="false"/>
                  <w:smallCaps w:val="false"/>
                  <w:sz w:val="24"/>
                </w:rPr>
                <w:t>Section 906 Certification of Chief Executive Officer.</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32.2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w:anchor="ddbs-20250930xex32d2.htm">
              <w:r>
                <w:rPr>
                  <w:rStyle w:val="InternetLink"/>
                  <w:rFonts w:ascii="Times New Roman;Times;serif" w:hAnsi="Times New Roman;Times;serif"/>
                  <w:b w:val="false"/>
                  <w:i w:val="false"/>
                  <w:caps w:val="false"/>
                  <w:smallCaps w:val="false"/>
                  <w:sz w:val="24"/>
                </w:rPr>
                <w:t>Section 906 Certification of Chief Financial Officer.</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99.1*</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r:id="rId2">
              <w:r>
                <w:rPr>
                  <w:rStyle w:val="InternetLink"/>
                  <w:rFonts w:ascii="Times New Roman;Times;serif" w:hAnsi="Times New Roman;Times;serif"/>
                  <w:b w:val="false"/>
                  <w:i w:val="false"/>
                  <w:caps w:val="false"/>
                  <w:smallCaps w:val="false"/>
                  <w:sz w:val="24"/>
                </w:rPr>
                <w:t>Letter to EchoStar regarding review of compliance with its federal obligations to provide 5G service throughout the United States, dated May 9, 2025 (incorporated by reference from Exhibit 99.1 to EchoStar Corporation’s Current Report on Form 8-K filed May 13, 2025).</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99.2*</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hyperlink r:id="rId3">
              <w:r>
                <w:rPr>
                  <w:rStyle w:val="InternetLink"/>
                  <w:rFonts w:ascii="Times New Roman;Times;serif" w:hAnsi="Times New Roman;Times;serif"/>
                  <w:b w:val="false"/>
                  <w:i w:val="false"/>
                  <w:caps w:val="false"/>
                  <w:smallCaps w:val="false"/>
                  <w:sz w:val="24"/>
                </w:rPr>
                <w:t>Letter to EchoStar regarding review of compliance with its federal obligations to provide 5G service throughout the United States, dated September 8, 2025 (incorporated by reference from Exhibit 99.1 to EchoStar Corporation’s Current Report on Form 8-K filed September 9, 2025).</w:t>
              </w:r>
            </w:hyperlink>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both"/>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101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The following materials from the Quarterly Report on Form 10-Q of DISH DBS for the quarter ended September 30, 2025, filed on November 14,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526"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left"/>
              <w:rPr/>
            </w:pPr>
            <w:r>
              <w:rPr/>
              <w:t>​</w:t>
            </w:r>
          </w:p>
        </w:tc>
      </w:tr>
      <w:tr>
        <w:trPr/>
        <w:tc>
          <w:tcPr>
            <w:tcW w:w="526"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104</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70"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p>
      <w:pPr>
        <w:pStyle w:val="TextBody"/>
        <w:bidi w:val="0"/>
        <w:spacing w:before="0" w:after="0"/>
        <w:ind w:left="0" w:right="0" w:hanging="0"/>
        <w:jc w:val="left"/>
        <w:rPr/>
      </w:pPr>
      <w:r>
        <w:rPr>
          <w:caps w:val="false"/>
          <w:smallCaps w:val="false"/>
        </w:rPr>
        <w:t>☐</w:t>
      </w:r>
      <w:r>
        <w:rPr>
          <w:rFonts w:ascii="Arial;Helvetica;sans-serif" w:hAnsi="Arial;Helvetica;sans-serif"/>
          <w:sz w:val="20"/>
        </w:rPr>
        <w:t>Filed herewith.</w:t>
      </w:r>
    </w:p>
    <w:tbl>
      <w:tblPr>
        <w:tblW w:w="2627" w:type="dxa"/>
        <w:jc w:val="left"/>
        <w:tblInd w:w="0" w:type="dxa"/>
        <w:tblLayout w:type="fixed"/>
        <w:tblCellMar>
          <w:top w:w="0" w:type="dxa"/>
          <w:left w:w="0" w:type="dxa"/>
          <w:bottom w:w="0" w:type="dxa"/>
          <w:right w:w="0" w:type="dxa"/>
        </w:tblCellMar>
      </w:tblPr>
      <w:tblGrid>
        <w:gridCol w:w="196"/>
        <w:gridCol w:w="2431"/>
      </w:tblGrid>
      <w:tr>
        <w:trPr/>
        <w:tc>
          <w:tcPr>
            <w:tcW w:w="19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 w:type="dxa"/>
            <w:tcBorders/>
            <w:vAlign w:val="center"/>
          </w:tcPr>
          <w:p>
            <w:pPr>
              <w:pStyle w:val="TableContents"/>
              <w:bidi w:val="0"/>
              <w:spacing w:lineRule="auto" w:line="302" w:before="0" w:after="120"/>
              <w:ind w:left="0" w:right="0" w:hanging="0"/>
              <w:jc w:val="left"/>
              <w:rPr>
                <w:rFonts w:ascii="Arial;Helvetica;sans-serif" w:hAnsi="Arial;Helvetica;sans-serif"/>
                <w:sz w:val="20"/>
              </w:rPr>
            </w:pPr>
            <w:r>
              <w:rPr>
                <w:rFonts w:ascii="Arial;Helvetica;sans-serif" w:hAnsi="Arial;Helvetica;sans-serif"/>
                <w:sz w:val="20"/>
              </w:rPr>
              <w:t>*</w:t>
            </w:r>
          </w:p>
        </w:tc>
        <w:tc>
          <w:tcPr>
            <w:tcW w:w="2431" w:type="dxa"/>
            <w:tcBorders/>
            <w:vAlign w:val="center"/>
          </w:tcPr>
          <w:p>
            <w:pPr>
              <w:pStyle w:val="TableContents"/>
              <w:bidi w:val="0"/>
              <w:spacing w:lineRule="auto" w:line="302" w:before="0" w:after="120"/>
              <w:ind w:left="0" w:right="0" w:hanging="0"/>
              <w:jc w:val="left"/>
              <w:rPr>
                <w:rFonts w:ascii="Arial;Helvetica;sans-serif" w:hAnsi="Arial;Helvetica;sans-serif"/>
                <w:sz w:val="20"/>
              </w:rPr>
            </w:pPr>
            <w:r>
              <w:rPr>
                <w:rFonts w:ascii="Arial;Helvetica;sans-serif" w:hAnsi="Arial;Helvetica;sans-serif"/>
                <w:sz w:val="20"/>
              </w:rPr>
              <w:t>Incorporated by reference.</w:t>
            </w:r>
          </w:p>
        </w:tc>
      </w:tr>
      <w:tr>
        <w:trPr/>
        <w:tc>
          <w:tcPr>
            <w:tcW w:w="19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NARRATIVE ANALYSIS OF RESULTS OF OPERATIONS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both"/>
        <w:rPr/>
      </w:pPr>
      <w:bookmarkStart w:id="1287" w:name="_4e8ca338_8fb0_4330_a0d0_cde7a69a7f5d"/>
      <w:bookmarkEnd w:id="1287"/>
      <w:r>
        <w:rPr/>
        <w:t>​</w:t>
      </w:r>
    </w:p>
    <w:p>
      <w:pPr>
        <w:pStyle w:val="TextBody"/>
        <w:bidi w:val="0"/>
        <w:spacing w:before="0" w:after="0"/>
        <w:ind w:left="0" w:right="0" w:hanging="0"/>
        <w:jc w:val="center"/>
        <w:rPr>
          <w:rFonts w:ascii="Arial;Helvetica;sans-serif" w:hAnsi="Arial;Helvetica;sans-serif"/>
          <w:b/>
          <w:sz w:val="20"/>
        </w:rPr>
      </w:pPr>
      <w:bookmarkStart w:id="1288" w:name="SIGNATURES_672987"/>
      <w:bookmarkEnd w:id="1288"/>
      <w:r>
        <w:rPr>
          <w:rFonts w:ascii="Arial;Helvetica;sans-serif" w:hAnsi="Arial;Helvetica;sans-serif"/>
          <w:b/>
          <w:sz w:val="20"/>
        </w:rPr>
        <w:t>SIGNATURES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5901" w:type="dxa"/>
        <w:jc w:val="left"/>
        <w:tblInd w:w="0" w:type="dxa"/>
        <w:tblLayout w:type="fixed"/>
        <w:tblCellMar>
          <w:top w:w="0" w:type="dxa"/>
          <w:left w:w="0" w:type="dxa"/>
          <w:bottom w:w="0" w:type="dxa"/>
          <w:right w:w="0" w:type="dxa"/>
        </w:tblCellMar>
      </w:tblPr>
      <w:tblGrid>
        <w:gridCol w:w="124"/>
        <w:gridCol w:w="466"/>
        <w:gridCol w:w="5311"/>
      </w:tblGrid>
      <w:tr>
        <w:trPr/>
        <w:tc>
          <w:tcPr>
            <w:tcW w:w="124"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53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DISH DBS CORPORATION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 xml:space="preserve">By: </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 xml:space="preserve">/s/ </w:t>
            </w:r>
            <w:r>
              <w:rPr>
                <w:rFonts w:ascii="Arial;Helvetica;sans-serif" w:hAnsi="Arial;Helvetica;sans-serif"/>
                <w:i/>
                <w:sz w:val="20"/>
              </w:rPr>
              <w:t>Hamid Akhavan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Hamid Akhavan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(Duly Authorized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 xml:space="preserve">By: </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/s/</w:t>
            </w:r>
            <w:r>
              <w:rPr>
                <w:rFonts w:ascii="Times New Roman;Times;serif" w:hAnsi="Times New Roman;Times;serif"/>
                <w:sz w:val="20"/>
              </w:rPr>
              <w:t xml:space="preserve"> </w:t>
            </w:r>
            <w:r>
              <w:rPr>
                <w:rFonts w:ascii="Arial;Helvetica;sans-serif" w:hAnsi="Arial;Helvetica;sans-serif"/>
                <w:i/>
                <w:sz w:val="20"/>
              </w:rPr>
              <w:t>Paul W. Orban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Paul W. Orban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(Principal Financial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/s/ James S. Allen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top w:val="single" w:sz="2" w:space="0" w:color="000000"/>
            </w:tcBorders>
            <w:tcMar>
              <w:top w:w="28" w:type="dxa"/>
            </w:tcMar>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James S. Allen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Senior Vice President and Chief Accounting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(Principal 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Date: November 14, 2025</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0"/>
        <w:ind w:left="0" w:right="0" w:hanging="0"/>
        <w:jc w:val="left"/>
        <w:rPr/>
      </w:pPr>
      <w:bookmarkStart w:id="1289" w:name="ddbs-20250930xex22.htm"/>
      <w:bookmarkStart w:id="1290" w:name="ksddbs20250930xex22"/>
      <w:bookmarkEnd w:id="1289"/>
      <w:bookmarkEnd w:id="1290"/>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22</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Guarantor Subsidiaries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5.875% Senior Notes due 2024, 7.75% Senior Notes due 2026, 7.375% Senior Notes due 2028 and 5.125% Senior Notes due 2029 issued by DISH DBS Corporation (incorporated in Colorado) are jointly and severally guaranteed on a full and unconditional basis by the following 100% owned subsidiaries of DISH DBS Corporation as of September 30, 2025: </w:t>
      </w:r>
    </w:p>
    <w:tbl>
      <w:tblPr>
        <w:tblW w:w="7035" w:type="dxa"/>
        <w:jc w:val="left"/>
        <w:tblInd w:w="0" w:type="dxa"/>
        <w:tblLayout w:type="fixed"/>
        <w:tblCellMar>
          <w:top w:w="0" w:type="dxa"/>
          <w:left w:w="0" w:type="dxa"/>
          <w:bottom w:w="0" w:type="dxa"/>
          <w:right w:w="0" w:type="dxa"/>
        </w:tblCellMar>
      </w:tblPr>
      <w:tblGrid>
        <w:gridCol w:w="1078"/>
        <w:gridCol w:w="946"/>
        <w:gridCol w:w="961"/>
        <w:gridCol w:w="1184"/>
        <w:gridCol w:w="1184"/>
        <w:gridCol w:w="1682"/>
      </w:tblGrid>
      <w:tr>
        <w:trPr/>
        <w:tc>
          <w:tcPr>
            <w:tcW w:w="1078" w:type="dxa"/>
            <w:tcBorders/>
            <w:vAlign w:val="center"/>
          </w:tcPr>
          <w:p>
            <w:pPr>
              <w:pStyle w:val="TableContents"/>
              <w:bidi w:val="0"/>
              <w:spacing w:before="0" w:after="283"/>
              <w:ind w:left="0" w:right="0" w:hanging="0"/>
              <w:jc w:val="left"/>
              <w:rPr>
                <w:sz w:val="4"/>
                <w:szCs w:val="4"/>
              </w:rPr>
            </w:pPr>
            <w:r>
              <w:rPr>
                <w:sz w:val="4"/>
                <w:szCs w:val="4"/>
              </w:rPr>
            </w:r>
          </w:p>
        </w:tc>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1078" w:type="dxa"/>
            <w:tcBorders/>
            <w:vAlign w:val="center"/>
          </w:tcPr>
          <w:p>
            <w:pPr>
              <w:pStyle w:val="TableContents"/>
              <w:bidi w:val="0"/>
              <w:spacing w:before="0" w:after="283"/>
              <w:ind w:left="0" w:right="0" w:hanging="0"/>
              <w:jc w:val="left"/>
              <w:rPr>
                <w:sz w:val="4"/>
                <w:szCs w:val="4"/>
              </w:rPr>
            </w:pPr>
            <w:r>
              <w:rPr>
                <w:sz w:val="4"/>
                <w:szCs w:val="4"/>
              </w:rPr>
            </w:r>
          </w:p>
        </w:tc>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Entity</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 or Organization</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Operating L.L.C. (1)</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Echosphere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Service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Broadcasting Corporation (1)</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Technologies L.L.C. (1)</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5043" w:type="dxa"/>
        <w:jc w:val="left"/>
        <w:tblInd w:w="0" w:type="dxa"/>
        <w:tblLayout w:type="fixed"/>
        <w:tblCellMar>
          <w:top w:w="0" w:type="dxa"/>
          <w:left w:w="0" w:type="dxa"/>
          <w:bottom w:w="0" w:type="dxa"/>
          <w:right w:w="0" w:type="dxa"/>
        </w:tblCellMar>
      </w:tblPr>
      <w:tblGrid>
        <w:gridCol w:w="23"/>
        <w:gridCol w:w="245"/>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wholly-owned subsidiary of DISH Network L.L.C.</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291" w:name="ddbs-20250930xex31d1.htm"/>
      <w:bookmarkStart w:id="1292" w:name="ksddbs20250930xex31d1"/>
      <w:bookmarkEnd w:id="1291"/>
      <w:bookmarkEnd w:id="1292"/>
      <w:r>
        <w:rPr>
          <w:rFonts w:ascii="Arial;Helvetica;sans-serif" w:hAnsi="Arial;Helvetica;san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Arial;Helvetica;sans-serif" w:hAnsi="Arial;Helvetica;sans-serif"/>
          <w:sz w:val="20"/>
        </w:rPr>
      </w:pPr>
      <w:r>
        <w:rPr>
          <w:rFonts w:ascii="Arial;Helvetica;sans-serif" w:hAnsi="Arial;Helvetica;sans-serif"/>
          <w:sz w:val="20"/>
        </w:rPr>
        <w:t>I, Hamid Akhavan, certify that:</w:t>
      </w:r>
    </w:p>
    <w:p>
      <w:pPr>
        <w:pStyle w:val="TextBody"/>
        <w:bidi w:val="0"/>
        <w:spacing w:lineRule="auto" w:line="285" w:before="0" w:after="0"/>
        <w:ind w:left="0" w:right="0" w:hanging="0"/>
        <w:jc w:val="left"/>
        <w:rPr/>
      </w:pPr>
      <w:r>
        <w:rPr/>
        <w:t>​</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1.</w:t>
            </w:r>
          </w:p>
        </w:tc>
        <w:tc>
          <w:tcPr>
            <w:tcW w:w="683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I have reviewed this Quarterly Report on Form 10-Q of DISH DBS Corporation;</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p>
      <w:pPr>
        <w:pStyle w:val="TextBody"/>
        <w:bidi w:val="0"/>
        <w:spacing w:lineRule="auto" w:line="285" w:before="0" w:after="0"/>
        <w:ind w:left="0" w:right="0" w:hanging="0"/>
        <w:jc w:val="left"/>
        <w:rPr/>
      </w:pPr>
      <w:r>
        <w:rPr/>
        <w:t>​</w:t>
      </w:r>
    </w:p>
    <w:tbl>
      <w:tblPr>
        <w:tblW w:w="3560" w:type="dxa"/>
        <w:jc w:val="left"/>
        <w:tblInd w:w="0" w:type="dxa"/>
        <w:tblLayout w:type="fixed"/>
        <w:tblCellMar>
          <w:top w:w="0" w:type="dxa"/>
          <w:left w:w="0" w:type="dxa"/>
          <w:bottom w:w="0" w:type="dxa"/>
          <w:right w:w="0" w:type="dxa"/>
        </w:tblCellMar>
      </w:tblPr>
      <w:tblGrid>
        <w:gridCol w:w="3406"/>
        <w:gridCol w:w="154"/>
      </w:tblGrid>
      <w:tr>
        <w:trPr/>
        <w:tc>
          <w:tcPr>
            <w:tcW w:w="340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293" w:name="ddbs-20250930xex31d2.htm"/>
      <w:bookmarkStart w:id="1294" w:name="ksddbs20250930xex31d2"/>
      <w:bookmarkEnd w:id="1293"/>
      <w:bookmarkEnd w:id="1294"/>
      <w:r>
        <w:rPr>
          <w:rFonts w:ascii="Arial;Helvetica;sans-serif" w:hAnsi="Arial;Helvetica;san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Paul W. Orban, certify that:</w:t>
      </w:r>
    </w:p>
    <w:p>
      <w:pPr>
        <w:pStyle w:val="TextBody"/>
        <w:bidi w:val="0"/>
        <w:spacing w:before="0" w:after="0"/>
        <w:ind w:left="0" w:right="0" w:hanging="0"/>
        <w:jc w:val="left"/>
        <w:rPr/>
      </w:pPr>
      <w:r>
        <w:rPr/>
        <w:t>​</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683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 have reviewed this Quarterly Report on Form 10-Q of DISH DBS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5281"/>
        <w:gridCol w:w="154"/>
      </w:tblGrid>
      <w:tr>
        <w:trPr/>
        <w:tc>
          <w:tcPr>
            <w:tcW w:w="52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295" w:name="ddbs-20250930xex32d1.htm"/>
      <w:bookmarkStart w:id="1296" w:name="ksddbs20250930xex32d1"/>
      <w:bookmarkEnd w:id="1295"/>
      <w:bookmarkEnd w:id="1296"/>
      <w:r>
        <w:rPr>
          <w:rFonts w:ascii="Arial;Helvetica;sans-serif" w:hAnsi="Arial;Helvetica;san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DBS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4236" w:type="dxa"/>
        <w:jc w:val="left"/>
        <w:tblInd w:w="0" w:type="dxa"/>
        <w:tblLayout w:type="fixed"/>
        <w:tblCellMar>
          <w:top w:w="0" w:type="dxa"/>
          <w:left w:w="0" w:type="dxa"/>
          <w:bottom w:w="0" w:type="dxa"/>
          <w:right w:w="0" w:type="dxa"/>
        </w:tblCellMar>
      </w:tblPr>
      <w:tblGrid>
        <w:gridCol w:w="124"/>
        <w:gridCol w:w="67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bookmarkStart w:id="1297" w:name="ddbs-20250930xex32d2.htm"/>
      <w:bookmarkStart w:id="1298" w:name="ksddbs20250930xex32d2"/>
      <w:bookmarkEnd w:id="1297"/>
      <w:bookmarkEnd w:id="1298"/>
      <w:r>
        <w:rPr>
          <w:rFonts w:ascii="Arial;Helvetica;sans-serif" w:hAnsi="Arial;Helvetica;sans-serif"/>
          <w:b/>
          <w:sz w:val="20"/>
        </w:rPr>
        <w:t>E</w:t>
      </w:r>
      <w:bookmarkStart w:id="1299" w:name="_793453"/>
      <w:bookmarkEnd w:id="1299"/>
      <w:r>
        <w:rPr>
          <w:rFonts w:ascii="Arial;Helvetica;sans-serif" w:hAnsi="Arial;Helvetica;sans-serif"/>
          <w:b/>
          <w:sz w:val="20"/>
        </w:rPr>
        <w:t>XHIBIT 32.2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DBS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124"/>
        <w:gridCol w:w="676"/>
        <w:gridCol w:w="5311"/>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53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41540425000010/tmb-20250509xex99d1.htm" TargetMode="External"/><Relationship Id="rId3" Type="http://schemas.openxmlformats.org/officeDocument/2006/relationships/hyperlink" Target="https://www.sec.gov/Archives/edgar/data/1001082/000141540425000045/tmb-20250908xex99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36898</Words>
  <Characters>206663</Characters>
  <CharactersWithSpaces>245483</CharactersWithSpaces>
  <Paragraphs>7121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