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560" w:right="2800" w:hanging="3554"/>
        <w:spacing w:after="0" w:line="256" w:lineRule="auto"/>
        <w:tabs>
          <w:tab w:leader="none" w:pos="305"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0" w:lineRule="exact"/>
        <w:rPr>
          <w:sz w:val="24"/>
          <w:szCs w:val="24"/>
          <w:color w:val="auto"/>
        </w:rPr>
      </w:pPr>
    </w:p>
    <w:p>
      <w:pPr>
        <w:ind w:left="300" w:hanging="294"/>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3360"/>
        <w:spacing w:after="0"/>
        <w:tabs>
          <w:tab w:leader="none" w:pos="6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3995420</wp:posOffset>
            </wp:positionH>
            <wp:positionV relativeFrom="paragraph">
              <wp:posOffset>-16510</wp:posOffset>
            </wp:positionV>
            <wp:extent cx="1007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168910</wp:posOffset>
            </wp:positionV>
            <wp:extent cx="1682750" cy="421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2750" cy="421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9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9"/>
              </w:rPr>
              <w:t>Nevada</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26-1232727</w:t>
            </w:r>
          </w:p>
        </w:tc>
      </w:tr>
      <w:tr>
        <w:trPr>
          <w:trHeight w:val="208"/>
        </w:trPr>
        <w:tc>
          <w:tcPr>
            <w:tcW w:w="4660" w:type="dxa"/>
            <w:vAlign w:val="bottom"/>
          </w:tcPr>
          <w:p>
            <w:pPr>
              <w:jc w:val="center"/>
              <w:ind w:right="398"/>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9"/>
              </w:rPr>
              <w:t>(I.R.S. Employer Identification No.)</w:t>
            </w:r>
          </w:p>
        </w:tc>
      </w:tr>
      <w:tr>
        <w:trPr>
          <w:trHeight w:val="415"/>
        </w:trPr>
        <w:tc>
          <w:tcPr>
            <w:tcW w:w="4660" w:type="dxa"/>
            <w:vAlign w:val="bottom"/>
          </w:tcPr>
          <w:p>
            <w:pPr>
              <w:jc w:val="center"/>
              <w:ind w:right="398"/>
              <w:spacing w:after="0"/>
              <w:rPr>
                <w:sz w:val="20"/>
                <w:szCs w:val="20"/>
                <w:color w:val="auto"/>
              </w:rPr>
            </w:pPr>
            <w:r>
              <w:rPr>
                <w:rFonts w:ascii="Arial" w:cs="Arial" w:eastAsia="Arial" w:hAnsi="Arial"/>
                <w:sz w:val="18"/>
                <w:szCs w:val="18"/>
                <w:b w:val="1"/>
                <w:bCs w:val="1"/>
                <w:color w:val="auto"/>
                <w:w w:val="97"/>
              </w:rPr>
              <w:t>100 Inverness Terrace East, Englewood, Colorado</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80112-5308</w:t>
            </w:r>
          </w:p>
        </w:tc>
      </w:tr>
      <w:tr>
        <w:trPr>
          <w:trHeight w:val="20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(Address of principal executive offices)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(Zip Code)</w:t>
            </w:r>
          </w:p>
        </w:tc>
      </w:tr>
      <w:tr>
        <w:trPr>
          <w:trHeight w:val="335"/>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7"/>
              </w:rPr>
              <w:t>(303) 706-4000</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8"/>
              </w:rPr>
              <w:t>Not Applicable</w:t>
            </w:r>
          </w:p>
        </w:tc>
      </w:tr>
      <w:tr>
        <w:trPr>
          <w:trHeight w:val="175"/>
        </w:trPr>
        <w:tc>
          <w:tcPr>
            <w:tcW w:w="4660" w:type="dxa"/>
            <w:vAlign w:val="bottom"/>
          </w:tcPr>
          <w:p>
            <w:pPr>
              <w:jc w:val="center"/>
              <w:ind w:right="418"/>
              <w:spacing w:after="0" w:line="175" w:lineRule="exact"/>
              <w:rPr>
                <w:sz w:val="20"/>
                <w:szCs w:val="20"/>
                <w:color w:val="auto"/>
              </w:rPr>
            </w:pPr>
            <w:r>
              <w:rPr>
                <w:rFonts w:ascii="Arial" w:cs="Arial" w:eastAsia="Arial" w:hAnsi="Arial"/>
                <w:sz w:val="16"/>
                <w:szCs w:val="16"/>
                <w:color w:val="auto"/>
                <w:w w:val="98"/>
              </w:rPr>
              <w:t>(Registrant’s telephone number, including area code)</w:t>
            </w:r>
          </w:p>
        </w:tc>
        <w:tc>
          <w:tcPr>
            <w:tcW w:w="5740" w:type="dxa"/>
            <w:vAlign w:val="bottom"/>
          </w:tcPr>
          <w:p>
            <w:pPr>
              <w:jc w:val="center"/>
              <w:ind w:left="418"/>
              <w:spacing w:after="0" w:line="175" w:lineRule="exact"/>
              <w:rPr>
                <w:sz w:val="20"/>
                <w:szCs w:val="20"/>
                <w:color w:val="auto"/>
              </w:rPr>
            </w:pPr>
            <w:r>
              <w:rPr>
                <w:rFonts w:ascii="Arial" w:cs="Arial" w:eastAsia="Arial" w:hAnsi="Arial"/>
                <w:sz w:val="16"/>
                <w:szCs w:val="16"/>
                <w:color w:val="auto"/>
                <w:w w:val="98"/>
              </w:rPr>
              <w:t>(Former name, former address and former fiscal year, if changed since last</w:t>
            </w:r>
          </w:p>
        </w:tc>
      </w:tr>
      <w:tr>
        <w:trPr>
          <w:trHeight w:val="192"/>
        </w:trPr>
        <w:tc>
          <w:tcPr>
            <w:tcW w:w="4660" w:type="dxa"/>
            <w:vAlign w:val="bottom"/>
          </w:tcPr>
          <w:p>
            <w:pPr>
              <w:spacing w:after="0"/>
              <w:rPr>
                <w:sz w:val="16"/>
                <w:szCs w:val="16"/>
                <w:color w:val="auto"/>
              </w:rPr>
            </w:pP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report)</w:t>
            </w:r>
          </w:p>
        </w:tc>
      </w:tr>
      <w:tr>
        <w:trPr>
          <w:trHeight w:val="31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5740" w:type="dxa"/>
            <w:vAlign w:val="bottom"/>
          </w:tcPr>
          <w:p>
            <w:pPr>
              <w:spacing w:after="0"/>
              <w:rPr>
                <w:sz w:val="24"/>
                <w:szCs w:val="24"/>
                <w:color w:val="auto"/>
              </w:rPr>
            </w:pPr>
          </w:p>
        </w:tc>
      </w:tr>
      <w:tr>
        <w:trPr>
          <w:trHeight w:val="212"/>
        </w:trPr>
        <w:tc>
          <w:tcPr>
            <w:tcW w:w="4660" w:type="dxa"/>
            <w:vAlign w:val="bottom"/>
          </w:tcPr>
          <w:p>
            <w:pPr>
              <w:jc w:val="center"/>
              <w:ind w:right="438"/>
              <w:spacing w:after="0"/>
              <w:rPr>
                <w:sz w:val="20"/>
                <w:szCs w:val="20"/>
                <w:color w:val="auto"/>
              </w:rPr>
            </w:pPr>
            <w:r>
              <w:rPr>
                <w:rFonts w:ascii="Arial" w:cs="Arial" w:eastAsia="Arial" w:hAnsi="Arial"/>
                <w:sz w:val="16"/>
                <w:szCs w:val="16"/>
                <w:b w:val="1"/>
                <w:bCs w:val="1"/>
                <w:color w:val="auto"/>
              </w:rPr>
              <w:t>Class A common stock $0.001 par value</w:t>
            </w:r>
          </w:p>
        </w:tc>
        <w:tc>
          <w:tcPr>
            <w:tcW w:w="5740" w:type="dxa"/>
            <w:vAlign w:val="bottom"/>
          </w:tcPr>
          <w:p>
            <w:pPr>
              <w:jc w:val="center"/>
              <w:ind w:left="418"/>
              <w:spacing w:after="0"/>
              <w:rPr>
                <w:sz w:val="20"/>
                <w:szCs w:val="20"/>
                <w:color w:val="auto"/>
              </w:rPr>
            </w:pPr>
            <w:r>
              <w:rPr>
                <w:rFonts w:ascii="Arial" w:cs="Arial" w:eastAsia="Arial" w:hAnsi="Arial"/>
                <w:sz w:val="16"/>
                <w:szCs w:val="16"/>
                <w:b w:val="1"/>
                <w:bCs w:val="1"/>
                <w:color w:val="auto"/>
                <w:w w:val="99"/>
              </w:rPr>
              <w:t>The NASDAQ Stock Market LLC</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(Title of each class)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8"/>
              </w:rPr>
              <w:t>(Name of each exchange on which registered)</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b w:val="1"/>
                <w:bCs w:val="1"/>
                <w:color w:val="auto"/>
                <w:w w:val="93"/>
              </w:rPr>
              <w:t>SATS</w:t>
            </w:r>
          </w:p>
        </w:tc>
        <w:tc>
          <w:tcPr>
            <w:tcW w:w="5740" w:type="dxa"/>
            <w:vAlign w:val="bottom"/>
          </w:tcPr>
          <w:p>
            <w:pPr>
              <w:spacing w:after="0"/>
              <w:rPr>
                <w:sz w:val="18"/>
                <w:szCs w:val="18"/>
                <w:color w:val="auto"/>
              </w:rPr>
            </w:pP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(Ticker symbol)</w:t>
            </w:r>
          </w:p>
        </w:tc>
        <w:tc>
          <w:tcPr>
            <w:tcW w:w="5740" w:type="dxa"/>
            <w:vAlign w:val="bottom"/>
          </w:tcPr>
          <w:p>
            <w:pPr>
              <w:spacing w:after="0"/>
              <w:rPr>
                <w:sz w:val="18"/>
                <w:szCs w:val="18"/>
                <w:color w:val="auto"/>
              </w:rPr>
            </w:pPr>
          </w:p>
        </w:tc>
      </w:tr>
    </w:tbl>
    <w:p>
      <w:pPr>
        <w:spacing w:after="0" w:line="245"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jc w:val="both"/>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p>
      <w:pPr>
        <w:ind w:left="1480"/>
        <w:spacing w:after="0" w:line="184" w:lineRule="exact"/>
        <w:tabs>
          <w:tab w:leader="none" w:pos="3920" w:val="left"/>
          <w:tab w:leader="none" w:pos="6700" w:val="left"/>
          <w:tab w:leader="none" w:pos="95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66" w:lineRule="exact"/>
        <w:rPr>
          <w:sz w:val="24"/>
          <w:szCs w:val="24"/>
          <w:color w:val="auto"/>
        </w:rPr>
      </w:pPr>
    </w:p>
    <w:p>
      <w:pPr>
        <w:ind w:left="1480"/>
        <w:spacing w:after="0" w:line="184" w:lineRule="exact"/>
        <w:tabs>
          <w:tab w:leader="none" w:pos="3920" w:val="left"/>
          <w:tab w:leader="none" w:pos="67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37" w:lineRule="exact"/>
        <w:rPr>
          <w:sz w:val="24"/>
          <w:szCs w:val="24"/>
          <w:color w:val="auto"/>
        </w:rPr>
      </w:pPr>
    </w:p>
    <w:p>
      <w:pPr>
        <w:jc w:val="both"/>
        <w:spacing w:after="0" w:line="18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4" w:lineRule="exact"/>
        <w:rPr>
          <w:sz w:val="24"/>
          <w:szCs w:val="24"/>
          <w:color w:val="auto"/>
        </w:rPr>
      </w:pPr>
    </w:p>
    <w:p>
      <w:pPr>
        <w:jc w:val="both"/>
        <w:spacing w:after="0" w:line="252" w:lineRule="auto"/>
        <w:rPr>
          <w:sz w:val="20"/>
          <w:szCs w:val="20"/>
          <w:color w:val="auto"/>
        </w:rPr>
      </w:pPr>
      <w:r>
        <w:rPr>
          <w:rFonts w:ascii="Arial" w:cs="Arial" w:eastAsia="Arial" w:hAnsi="Arial"/>
          <w:sz w:val="16"/>
          <w:szCs w:val="16"/>
          <w:color w:val="auto"/>
        </w:rPr>
        <w:t>As of July 29, 2021, the registrant’s outstanding common stock consisted of 41,238,406 shares of Class A common stock and 47,687,039 shares of Class B common stock, each $0.001 par value.</w:t>
      </w:r>
    </w:p>
    <w:p>
      <w:pPr>
        <w:sectPr>
          <w:pgSz w:w="11900" w:h="16838" w:orient="portrait"/>
          <w:cols w:equalWidth="0" w:num="1">
            <w:col w:w="11240"/>
          </w:cols>
          <w:pgMar w:left="320" w:top="245" w:right="3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29"/>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40" w:type="dxa"/>
            <w:vAlign w:val="bottom"/>
            <w:gridSpan w:val="12"/>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0240" w:type="dxa"/>
            <w:vAlign w:val="bottom"/>
            <w:gridSpan w:val="2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Disclosure Regarding Forward Looking Statements</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3"/>
          </w:tcPr>
          <w:p>
            <w:pPr>
              <w:jc w:val="center"/>
              <w:ind w:right="3140"/>
              <w:spacing w:after="0"/>
              <w:rPr>
                <w:rFonts w:ascii="Arial" w:cs="Arial" w:eastAsia="Arial" w:hAnsi="Arial"/>
                <w:sz w:val="18"/>
                <w:szCs w:val="18"/>
                <w:b w:val="1"/>
                <w:bCs w:val="1"/>
                <w:color w:val="0000FF"/>
                <w:w w:val="96"/>
              </w:rPr>
            </w:pPr>
            <w:hyperlink w:anchor="page3">
              <w:r>
                <w:rPr>
                  <w:rFonts w:ascii="Arial" w:cs="Arial" w:eastAsia="Arial" w:hAnsi="Arial"/>
                  <w:sz w:val="18"/>
                  <w:szCs w:val="18"/>
                  <w:b w:val="1"/>
                  <w:bCs w:val="1"/>
                  <w:color w:val="0000FF"/>
                  <w:w w:val="96"/>
                </w:rPr>
                <w:t>PART I - FINANCIAL INFORMATION</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2780" w:type="dxa"/>
            <w:vAlign w:val="bottom"/>
            <w:gridSpan w:val="1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940" w:type="dxa"/>
            <w:vAlign w:val="bottom"/>
            <w:tcBorders>
              <w:top w:val="single" w:sz="8" w:color="0000FF"/>
            </w:tcBorders>
            <w:gridSpan w:val="5"/>
          </w:tcPr>
          <w:p>
            <w:pPr>
              <w:spacing w:after="0"/>
              <w:rPr>
                <w:sz w:val="24"/>
                <w:szCs w:val="24"/>
                <w:color w:val="auto"/>
              </w:rPr>
            </w:pPr>
          </w:p>
        </w:tc>
        <w:tc>
          <w:tcPr>
            <w:tcW w:w="3140" w:type="dxa"/>
            <w:vAlign w:val="bottom"/>
            <w:gridSpan w:val="8"/>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Consolidated Balance Sheets as of June 30, 2021 (unaudited) and December 31, 2020 (audited)</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Operations for the three and six months ended June 30, 2021 and 2020</w:t>
              </w:r>
            </w:hyperlink>
          </w:p>
        </w:tc>
        <w:tc>
          <w:tcPr>
            <w:tcW w:w="94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78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(unaudited)</w:t>
              </w:r>
            </w:hyperlink>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Comprehensive Income (Loss) for the three and six months ended June 30,</w:t>
              </w:r>
            </w:hyperlink>
          </w:p>
        </w:tc>
        <w:tc>
          <w:tcPr>
            <w:tcW w:w="94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tcBorders>
              <w:top w:val="single" w:sz="8" w:color="0000FF"/>
            </w:tcBorders>
            <w:gridSpan w:val="9"/>
          </w:tcPr>
          <w:p>
            <w:pPr>
              <w:spacing w:after="0" w:line="152" w:lineRule="exact"/>
              <w:rPr>
                <w:rFonts w:ascii="Arial" w:cs="Arial" w:eastAsia="Arial" w:hAnsi="Arial"/>
                <w:sz w:val="17"/>
                <w:szCs w:val="17"/>
                <w:color w:val="0000FF"/>
              </w:rPr>
            </w:pPr>
            <w:hyperlink w:anchor="page6">
              <w:r>
                <w:rPr>
                  <w:rFonts w:ascii="Arial" w:cs="Arial" w:eastAsia="Arial" w:hAnsi="Arial"/>
                  <w:sz w:val="17"/>
                  <w:szCs w:val="17"/>
                  <w:color w:val="0000FF"/>
                </w:rPr>
                <w:t>2021 and 2020 (unaudited)</w:t>
              </w:r>
            </w:hyperlink>
          </w:p>
        </w:tc>
        <w:tc>
          <w:tcPr>
            <w:tcW w:w="6000" w:type="dxa"/>
            <w:vAlign w:val="bottom"/>
            <w:tcBorders>
              <w:top w:val="single" w:sz="8" w:color="0000FF"/>
            </w:tcBorders>
            <w:gridSpan w:val="15"/>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Statements of Stockholders’ Equity for the three months ended June 30, 2021 and 2020</w:t>
              </w:r>
            </w:hyperlink>
          </w:p>
        </w:tc>
        <w:tc>
          <w:tcPr>
            <w:tcW w:w="940" w:type="dxa"/>
            <w:vAlign w:val="bottom"/>
            <w:gridSpan w:val="3"/>
            <w:vMerge w:val="restart"/>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92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(unaudited)</w:t>
              </w:r>
            </w:hyperlink>
          </w:p>
        </w:tc>
        <w:tc>
          <w:tcPr>
            <w:tcW w:w="8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Statements of Stockholders’ Equity for the six months ended June 30, 2021 and 2020</w:t>
              </w:r>
            </w:hyperlink>
          </w:p>
        </w:tc>
        <w:tc>
          <w:tcPr>
            <w:tcW w:w="940" w:type="dxa"/>
            <w:vAlign w:val="bottom"/>
            <w:gridSpan w:val="3"/>
            <w:vMerge w:val="restart"/>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74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(unaudited)</w:t>
              </w:r>
            </w:hyperlink>
          </w:p>
        </w:tc>
        <w:tc>
          <w:tcPr>
            <w:tcW w:w="260" w:type="dxa"/>
            <w:vAlign w:val="bottom"/>
            <w:gridSpan w:val="3"/>
          </w:tcPr>
          <w:p>
            <w:pPr>
              <w:spacing w:after="0"/>
              <w:rPr>
                <w:sz w:val="13"/>
                <w:szCs w:val="13"/>
                <w:color w:val="auto"/>
              </w:rPr>
            </w:pPr>
          </w:p>
        </w:tc>
        <w:tc>
          <w:tcPr>
            <w:tcW w:w="860" w:type="dxa"/>
            <w:vAlign w:val="bottom"/>
            <w:gridSpan w:val="2"/>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0" w:type="dxa"/>
            <w:vAlign w:val="bottom"/>
            <w:gridSpan w:val="23"/>
          </w:tcPr>
          <w:p>
            <w:pPr>
              <w:spacing w:after="0" w:line="205" w:lineRule="exact"/>
              <w:rPr>
                <w:rFonts w:ascii="Arial" w:cs="Arial" w:eastAsia="Arial" w:hAnsi="Arial"/>
                <w:sz w:val="18"/>
                <w:szCs w:val="18"/>
                <w:color w:val="0000FF"/>
                <w:w w:val="97"/>
              </w:rPr>
            </w:pPr>
            <w:hyperlink w:anchor="page9">
              <w:r>
                <w:rPr>
                  <w:rFonts w:ascii="Arial" w:cs="Arial" w:eastAsia="Arial" w:hAnsi="Arial"/>
                  <w:sz w:val="18"/>
                  <w:szCs w:val="18"/>
                  <w:color w:val="0000FF"/>
                  <w:w w:val="97"/>
                </w:rPr>
                <w:t>Consolidated Statements of Cash Flows for the six months ended June 30, 2021 and 2020 (unaudited)</w:t>
              </w:r>
            </w:hyperlink>
          </w:p>
        </w:tc>
        <w:tc>
          <w:tcPr>
            <w:tcW w:w="860" w:type="dxa"/>
            <w:vAlign w:val="bottom"/>
            <w:gridSpan w:val="2"/>
          </w:tcPr>
          <w:p>
            <w:pPr>
              <w:spacing w:after="0"/>
              <w:rPr>
                <w:sz w:val="17"/>
                <w:szCs w:val="17"/>
                <w:color w:val="auto"/>
              </w:rPr>
            </w:pPr>
          </w:p>
        </w:tc>
        <w:tc>
          <w:tcPr>
            <w:tcW w:w="940" w:type="dxa"/>
            <w:vAlign w:val="bottom"/>
            <w:gridSpan w:val="3"/>
          </w:tcPr>
          <w:p>
            <w:pPr>
              <w:jc w:val="right"/>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0" w:type="dxa"/>
            <w:vAlign w:val="bottom"/>
            <w:gridSpan w:val="23"/>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the Consolidated Financial Statements (unaudited)</w:t>
              </w:r>
            </w:hyperlink>
          </w:p>
        </w:tc>
        <w:tc>
          <w:tcPr>
            <w:tcW w:w="860" w:type="dxa"/>
            <w:vAlign w:val="bottom"/>
            <w:gridSpan w:val="2"/>
          </w:tcPr>
          <w:p>
            <w:pPr>
              <w:spacing w:after="0"/>
              <w:rPr>
                <w:sz w:val="17"/>
                <w:szCs w:val="17"/>
                <w:color w:val="auto"/>
              </w:rPr>
            </w:pPr>
          </w:p>
        </w:tc>
        <w:tc>
          <w:tcPr>
            <w:tcW w:w="940" w:type="dxa"/>
            <w:vAlign w:val="bottom"/>
            <w:gridSpan w:val="3"/>
          </w:tcPr>
          <w:p>
            <w:pPr>
              <w:jc w:val="right"/>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205" w:lineRule="exact"/>
              <w:rPr>
                <w:sz w:val="20"/>
                <w:szCs w:val="20"/>
                <w:color w:val="auto"/>
              </w:rPr>
            </w:pPr>
            <w:r>
              <w:rPr>
                <w:rFonts w:ascii="Arial" w:cs="Arial" w:eastAsia="Arial" w:hAnsi="Arial"/>
                <w:sz w:val="18"/>
                <w:szCs w:val="18"/>
                <w:color w:val="0000FF"/>
              </w:rPr>
              <w:t>Item 3.</w:t>
            </w:r>
          </w:p>
        </w:tc>
        <w:tc>
          <w:tcPr>
            <w:tcW w:w="720" w:type="dxa"/>
            <w:vAlign w:val="bottom"/>
          </w:tcPr>
          <w:p>
            <w:pPr>
              <w:spacing w:after="0"/>
              <w:rPr>
                <w:sz w:val="17"/>
                <w:szCs w:val="17"/>
                <w:color w:val="auto"/>
              </w:rPr>
            </w:pPr>
          </w:p>
        </w:tc>
        <w:tc>
          <w:tcPr>
            <w:tcW w:w="6920" w:type="dxa"/>
            <w:vAlign w:val="bottom"/>
            <w:tcBorders>
              <w:top w:val="single" w:sz="8" w:color="0000FF"/>
            </w:tcBorders>
            <w:gridSpan w:val="18"/>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Quantitative and Qualitative Disclosures about Market Risk</w:t>
              </w:r>
            </w:hyperlink>
          </w:p>
        </w:tc>
        <w:tc>
          <w:tcPr>
            <w:tcW w:w="19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3"/>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Item 4.</w:t>
              </w:r>
            </w:hyperlink>
          </w:p>
        </w:tc>
        <w:tc>
          <w:tcPr>
            <w:tcW w:w="8860" w:type="dxa"/>
            <w:vAlign w:val="bottom"/>
            <w:gridSpan w:val="25"/>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Controls and Procedures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40" w:type="dxa"/>
            <w:vAlign w:val="bottom"/>
            <w:gridSpan w:val="12"/>
          </w:tcPr>
          <w:p>
            <w:pPr>
              <w:jc w:val="center"/>
              <w:ind w:right="3280"/>
              <w:spacing w:after="0"/>
              <w:rPr>
                <w:rFonts w:ascii="Arial" w:cs="Arial" w:eastAsia="Arial" w:hAnsi="Arial"/>
                <w:sz w:val="18"/>
                <w:szCs w:val="18"/>
                <w:b w:val="1"/>
                <w:bCs w:val="1"/>
                <w:color w:val="0000FF"/>
                <w:w w:val="96"/>
              </w:rPr>
            </w:pPr>
            <w:hyperlink w:anchor="page60">
              <w:r>
                <w:rPr>
                  <w:rFonts w:ascii="Arial" w:cs="Arial" w:eastAsia="Arial" w:hAnsi="Arial"/>
                  <w:sz w:val="18"/>
                  <w:szCs w:val="18"/>
                  <w:b w:val="1"/>
                  <w:bCs w:val="1"/>
                  <w:color w:val="0000FF"/>
                  <w:w w:val="96"/>
                </w:rPr>
                <w:t>PART II - OTHER INFORMATION</w:t>
              </w:r>
            </w:hyperlink>
          </w:p>
        </w:tc>
        <w:tc>
          <w:tcPr>
            <w:tcW w:w="7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Item 1.</w:t>
              </w:r>
            </w:hyperlink>
          </w:p>
        </w:tc>
        <w:tc>
          <w:tcPr>
            <w:tcW w:w="2920" w:type="dxa"/>
            <w:vAlign w:val="bottom"/>
            <w:gridSpan w:val="13"/>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2660" w:type="dxa"/>
            <w:vAlign w:val="bottom"/>
            <w:tcBorders>
              <w:top w:val="single" w:sz="8" w:color="0000FF"/>
            </w:tcBorders>
            <w:gridSpan w:val="3"/>
          </w:tcPr>
          <w:p>
            <w:pPr>
              <w:spacing w:after="0"/>
              <w:rPr>
                <w:sz w:val="24"/>
                <w:szCs w:val="24"/>
                <w:color w:val="auto"/>
              </w:rPr>
            </w:pPr>
          </w:p>
        </w:tc>
        <w:tc>
          <w:tcPr>
            <w:tcW w:w="3280" w:type="dxa"/>
            <w:vAlign w:val="bottom"/>
            <w:gridSpan w:val="9"/>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3"/>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1A.</w:t>
              </w:r>
            </w:hyperlink>
          </w:p>
        </w:tc>
        <w:tc>
          <w:tcPr>
            <w:tcW w:w="8860" w:type="dxa"/>
            <w:vAlign w:val="bottom"/>
            <w:gridSpan w:val="25"/>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Risk Factors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2.</w:t>
              </w:r>
            </w:hyperlink>
          </w:p>
        </w:tc>
        <w:tc>
          <w:tcPr>
            <w:tcW w:w="720" w:type="dxa"/>
            <w:vAlign w:val="bottom"/>
          </w:tcPr>
          <w:p>
            <w:pPr>
              <w:spacing w:after="0"/>
              <w:rPr>
                <w:sz w:val="17"/>
                <w:szCs w:val="17"/>
                <w:color w:val="auto"/>
              </w:rPr>
            </w:pPr>
          </w:p>
        </w:tc>
        <w:tc>
          <w:tcPr>
            <w:tcW w:w="8860" w:type="dxa"/>
            <w:vAlign w:val="bottom"/>
            <w:gridSpan w:val="25"/>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Unregistered Sales of Equity Securities and Use of Proceeds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3"/>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3.</w:t>
              </w:r>
            </w:hyperlink>
          </w:p>
        </w:tc>
        <w:tc>
          <w:tcPr>
            <w:tcW w:w="8860" w:type="dxa"/>
            <w:vAlign w:val="bottom"/>
            <w:gridSpan w:val="25"/>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Defaults Upon Senior Securities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3"/>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4.</w:t>
              </w:r>
            </w:hyperlink>
          </w:p>
        </w:tc>
        <w:tc>
          <w:tcPr>
            <w:tcW w:w="8860" w:type="dxa"/>
            <w:vAlign w:val="bottom"/>
            <w:gridSpan w:val="25"/>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3"/>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5.</w:t>
              </w:r>
            </w:hyperlink>
          </w:p>
        </w:tc>
        <w:tc>
          <w:tcPr>
            <w:tcW w:w="8860" w:type="dxa"/>
            <w:vAlign w:val="bottom"/>
            <w:gridSpan w:val="25"/>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Other Information</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520" w:type="dxa"/>
            <w:vAlign w:val="bottom"/>
            <w:gridSpan w:val="2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3"/>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Item 6.</w:t>
              </w:r>
            </w:hyperlink>
          </w:p>
        </w:tc>
        <w:tc>
          <w:tcPr>
            <w:tcW w:w="8860" w:type="dxa"/>
            <w:vAlign w:val="bottom"/>
            <w:gridSpan w:val="25"/>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940" w:type="dxa"/>
            <w:vAlign w:val="bottom"/>
            <w:gridSpan w:val="3"/>
          </w:tcPr>
          <w:p>
            <w:pPr>
              <w:jc w:val="right"/>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0" w:type="dxa"/>
            <w:vAlign w:val="bottom"/>
            <w:gridSpan w:val="2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205" w:lineRule="exact"/>
              <w:rPr>
                <w:rFonts w:ascii="Arial" w:cs="Arial" w:eastAsia="Arial" w:hAnsi="Arial"/>
                <w:sz w:val="18"/>
                <w:szCs w:val="18"/>
                <w:color w:val="0000FF"/>
                <w:w w:val="95"/>
              </w:rPr>
            </w:pPr>
            <w:hyperlink w:anchor="page63">
              <w:r>
                <w:rPr>
                  <w:rFonts w:ascii="Arial" w:cs="Arial" w:eastAsia="Arial" w:hAnsi="Arial"/>
                  <w:sz w:val="18"/>
                  <w:szCs w:val="18"/>
                  <w:color w:val="0000FF"/>
                  <w:w w:val="95"/>
                </w:rPr>
                <w:t>Signatures</w:t>
              </w:r>
            </w:hyperlink>
          </w:p>
        </w:tc>
        <w:tc>
          <w:tcPr>
            <w:tcW w:w="8000" w:type="dxa"/>
            <w:vAlign w:val="bottom"/>
            <w:gridSpan w:val="23"/>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4"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9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8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2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1380" w:type="dxa"/>
            <w:vAlign w:val="bottom"/>
            <w:tcBorders>
              <w:top w:val="single" w:sz="8" w:color="0000FF"/>
            </w:tcBorders>
          </w:tcPr>
          <w:p>
            <w:pPr>
              <w:spacing w:after="0"/>
              <w:rPr>
                <w:sz w:val="24"/>
                <w:szCs w:val="24"/>
                <w:color w:val="auto"/>
              </w:rPr>
            </w:pPr>
          </w:p>
        </w:tc>
        <w:tc>
          <w:tcPr>
            <w:tcW w:w="6580" w:type="dxa"/>
            <w:vAlign w:val="bottom"/>
          </w:tcPr>
          <w:p>
            <w:pPr>
              <w:jc w:val="center"/>
              <w:ind w:left="1812"/>
              <w:spacing w:after="0"/>
              <w:rPr>
                <w:sz w:val="20"/>
                <w:szCs w:val="20"/>
                <w:color w:val="auto"/>
              </w:rPr>
            </w:pPr>
            <w:r>
              <w:rPr>
                <w:rFonts w:ascii="Arial" w:cs="Arial" w:eastAsia="Arial" w:hAnsi="Arial"/>
                <w:sz w:val="18"/>
                <w:szCs w:val="18"/>
                <w:b w:val="1"/>
                <w:bCs w:val="1"/>
                <w:color w:val="auto"/>
                <w:w w:val="97"/>
              </w:rPr>
              <w:t>PART I — FINANCIAL INFORMATION</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380" w:type="dxa"/>
            <w:vAlign w:val="bottom"/>
          </w:tcPr>
          <w:p>
            <w:pPr>
              <w:spacing w:after="0"/>
              <w:rPr>
                <w:sz w:val="24"/>
                <w:szCs w:val="24"/>
                <w:color w:val="auto"/>
              </w:rPr>
            </w:pPr>
          </w:p>
        </w:tc>
        <w:tc>
          <w:tcPr>
            <w:tcW w:w="6580" w:type="dxa"/>
            <w:vAlign w:val="bottom"/>
          </w:tcPr>
          <w:p>
            <w:pPr>
              <w:jc w:val="center"/>
              <w:ind w:left="1832"/>
              <w:spacing w:after="0"/>
              <w:rPr>
                <w:sz w:val="20"/>
                <w:szCs w:val="20"/>
                <w:color w:val="auto"/>
              </w:rPr>
            </w:pPr>
            <w:r>
              <w:rPr>
                <w:rFonts w:ascii="Arial" w:cs="Arial" w:eastAsia="Arial" w:hAnsi="Arial"/>
                <w:sz w:val="18"/>
                <w:szCs w:val="18"/>
                <w:b w:val="1"/>
                <w:bCs w:val="1"/>
                <w:color w:val="auto"/>
                <w:w w:val="97"/>
              </w:rPr>
              <w:t>ECHOSTAR CORPORATION</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6580" w:type="dxa"/>
            <w:vAlign w:val="bottom"/>
          </w:tcPr>
          <w:p>
            <w:pPr>
              <w:jc w:val="center"/>
              <w:ind w:left="1832"/>
              <w:spacing w:after="0"/>
              <w:rPr>
                <w:sz w:val="20"/>
                <w:szCs w:val="20"/>
                <w:color w:val="auto"/>
              </w:rPr>
            </w:pPr>
            <w:r>
              <w:rPr>
                <w:rFonts w:ascii="Arial" w:cs="Arial" w:eastAsia="Arial" w:hAnsi="Arial"/>
                <w:sz w:val="18"/>
                <w:szCs w:val="18"/>
                <w:b w:val="1"/>
                <w:bCs w:val="1"/>
                <w:color w:val="auto"/>
                <w:w w:val="97"/>
              </w:rPr>
              <w:t>CONSOLIDATED BALANCE SHEETS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6740" w:type="dxa"/>
            <w:vAlign w:val="bottom"/>
            <w:gridSpan w:val="2"/>
          </w:tcPr>
          <w:p>
            <w:pPr>
              <w:jc w:val="center"/>
              <w:ind w:left="1652"/>
              <w:spacing w:after="0"/>
              <w:rPr>
                <w:sz w:val="20"/>
                <w:szCs w:val="20"/>
                <w:color w:val="auto"/>
              </w:rPr>
            </w:pPr>
            <w:r>
              <w:rPr>
                <w:rFonts w:ascii="Arial" w:cs="Arial" w:eastAsia="Arial" w:hAnsi="Arial"/>
                <w:sz w:val="18"/>
                <w:szCs w:val="18"/>
                <w:color w:val="auto"/>
                <w:w w:val="98"/>
              </w:rPr>
              <w:t>(Amounts in thousands, except share and per share amounts)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6580" w:type="dxa"/>
            <w:vAlign w:val="bottom"/>
          </w:tcPr>
          <w:p>
            <w:pPr>
              <w:jc w:val="center"/>
              <w:ind w:left="1812"/>
              <w:spacing w:after="0"/>
              <w:rPr>
                <w:sz w:val="20"/>
                <w:szCs w:val="20"/>
                <w:color w:val="auto"/>
              </w:rPr>
            </w:pPr>
            <w:r>
              <w:rPr>
                <w:rFonts w:ascii="Arial" w:cs="Arial" w:eastAsia="Arial" w:hAnsi="Arial"/>
                <w:sz w:val="18"/>
                <w:szCs w:val="18"/>
                <w:color w:val="auto"/>
                <w:w w:val="97"/>
              </w:rPr>
              <w:t>(Unaudited)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3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c>
          <w:tcPr>
            <w:tcW w:w="0" w:type="dxa"/>
            <w:vAlign w:val="bottom"/>
          </w:tcPr>
          <w:p>
            <w:pPr>
              <w:spacing w:after="0"/>
              <w:rPr>
                <w:sz w:val="1"/>
                <w:szCs w:val="1"/>
                <w:color w:val="auto"/>
              </w:rPr>
            </w:pPr>
          </w:p>
        </w:tc>
      </w:tr>
      <w:tr>
        <w:trPr>
          <w:trHeight w:val="225"/>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Marketable investment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841,521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1,638,271</w:t>
            </w:r>
          </w:p>
        </w:tc>
        <w:tc>
          <w:tcPr>
            <w:tcW w:w="0" w:type="dxa"/>
            <w:vAlign w:val="bottom"/>
          </w:tcPr>
          <w:p>
            <w:pPr>
              <w:spacing w:after="0"/>
              <w:rPr>
                <w:sz w:val="1"/>
                <w:szCs w:val="1"/>
                <w:color w:val="auto"/>
              </w:rPr>
            </w:pPr>
          </w:p>
        </w:tc>
      </w:tr>
      <w:tr>
        <w:trPr>
          <w:trHeight w:val="226"/>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183,989</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c>
          <w:tcPr>
            <w:tcW w:w="0" w:type="dxa"/>
            <w:vAlign w:val="bottom"/>
          </w:tcPr>
          <w:p>
            <w:pPr>
              <w:spacing w:after="0"/>
              <w:rPr>
                <w:sz w:val="1"/>
                <w:szCs w:val="1"/>
                <w:color w:val="auto"/>
              </w:rPr>
            </w:pPr>
          </w:p>
        </w:tc>
      </w:tr>
      <w:tr>
        <w:trPr>
          <w:trHeight w:val="219"/>
        </w:trPr>
        <w:tc>
          <w:tcPr>
            <w:tcW w:w="7960" w:type="dxa"/>
            <w:vAlign w:val="bottom"/>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1,939,083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2,908,086</w:t>
            </w:r>
          </w:p>
        </w:tc>
        <w:tc>
          <w:tcPr>
            <w:tcW w:w="0" w:type="dxa"/>
            <w:vAlign w:val="bottom"/>
          </w:tcPr>
          <w:p>
            <w:pPr>
              <w:spacing w:after="0"/>
              <w:rPr>
                <w:sz w:val="1"/>
                <w:szCs w:val="1"/>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2,431,653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2,390,313</w:t>
            </w:r>
          </w:p>
        </w:tc>
        <w:tc>
          <w:tcPr>
            <w:tcW w:w="0" w:type="dxa"/>
            <w:vAlign w:val="bottom"/>
          </w:tcPr>
          <w:p>
            <w:pPr>
              <w:spacing w:after="0"/>
              <w:rPr>
                <w:sz w:val="1"/>
                <w:szCs w:val="1"/>
                <w:color w:val="auto"/>
              </w:rPr>
            </w:pPr>
          </w:p>
        </w:tc>
      </w:tr>
      <w:tr>
        <w:trPr>
          <w:trHeight w:val="225"/>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131,931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128,303</w:t>
            </w:r>
          </w:p>
        </w:tc>
        <w:tc>
          <w:tcPr>
            <w:tcW w:w="0" w:type="dxa"/>
            <w:vAlign w:val="bottom"/>
          </w:tcPr>
          <w:p>
            <w:pPr>
              <w:spacing w:after="0"/>
              <w:rPr>
                <w:sz w:val="1"/>
                <w:szCs w:val="1"/>
                <w:color w:val="auto"/>
              </w:rPr>
            </w:pPr>
          </w:p>
        </w:tc>
      </w:tr>
      <w:tr>
        <w:trPr>
          <w:trHeight w:val="226"/>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511,597</w:t>
            </w:r>
          </w:p>
        </w:tc>
        <w:tc>
          <w:tcPr>
            <w:tcW w:w="0" w:type="dxa"/>
            <w:vAlign w:val="bottom"/>
          </w:tcPr>
          <w:p>
            <w:pPr>
              <w:spacing w:after="0"/>
              <w:rPr>
                <w:sz w:val="1"/>
                <w:szCs w:val="1"/>
                <w:color w:val="auto"/>
              </w:rPr>
            </w:pPr>
          </w:p>
        </w:tc>
      </w:tr>
      <w:tr>
        <w:trPr>
          <w:trHeight w:val="225"/>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Regulatory authorizations,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474,770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6"/>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18,433</w:t>
            </w:r>
          </w:p>
        </w:tc>
        <w:tc>
          <w:tcPr>
            <w:tcW w:w="0" w:type="dxa"/>
            <w:vAlign w:val="bottom"/>
          </w:tcPr>
          <w:p>
            <w:pPr>
              <w:spacing w:after="0"/>
              <w:rPr>
                <w:sz w:val="1"/>
                <w:szCs w:val="1"/>
                <w:color w:val="auto"/>
              </w:rPr>
            </w:pPr>
          </w:p>
        </w:tc>
      </w:tr>
      <w:tr>
        <w:trPr>
          <w:trHeight w:val="225"/>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Other investments,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284,937</w:t>
            </w:r>
          </w:p>
        </w:tc>
        <w:tc>
          <w:tcPr>
            <w:tcW w:w="0" w:type="dxa"/>
            <w:vAlign w:val="bottom"/>
          </w:tcPr>
          <w:p>
            <w:pPr>
              <w:spacing w:after="0"/>
              <w:rPr>
                <w:sz w:val="1"/>
                <w:szCs w:val="1"/>
                <w:color w:val="auto"/>
              </w:rPr>
            </w:pPr>
          </w:p>
        </w:tc>
      </w:tr>
      <w:tr>
        <w:trPr>
          <w:trHeight w:val="226"/>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gridSpan w:val="2"/>
          </w:tcPr>
          <w:p>
            <w:pPr>
              <w:ind w:left="460"/>
              <w:spacing w:after="0" w:line="204" w:lineRule="exact"/>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4,270,523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4,165,266</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122,366</w:t>
            </w:r>
          </w:p>
        </w:tc>
        <w:tc>
          <w:tcPr>
            <w:tcW w:w="0" w:type="dxa"/>
            <w:vAlign w:val="bottom"/>
          </w:tcPr>
          <w:p>
            <w:pPr>
              <w:spacing w:after="0"/>
              <w:rPr>
                <w:sz w:val="1"/>
                <w:szCs w:val="1"/>
                <w:color w:val="auto"/>
              </w:rPr>
            </w:pPr>
          </w:p>
        </w:tc>
      </w:tr>
      <w:tr>
        <w:trPr>
          <w:trHeight w:val="225"/>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 net</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898,237</w:t>
            </w:r>
          </w:p>
        </w:tc>
        <w:tc>
          <w:tcPr>
            <w:tcW w:w="0" w:type="dxa"/>
            <w:vAlign w:val="bottom"/>
          </w:tcPr>
          <w:p>
            <w:pPr>
              <w:spacing w:after="0"/>
              <w:rPr>
                <w:sz w:val="1"/>
                <w:szCs w:val="1"/>
                <w:color w:val="auto"/>
              </w:rPr>
            </w:pPr>
          </w:p>
        </w:tc>
      </w:tr>
      <w:tr>
        <w:trPr>
          <w:trHeight w:val="226"/>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104,569</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219"/>
        </w:trPr>
        <w:tc>
          <w:tcPr>
            <w:tcW w:w="7960" w:type="dxa"/>
            <w:vAlign w:val="bottom"/>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1,425,171</w:t>
            </w:r>
          </w:p>
        </w:tc>
        <w:tc>
          <w:tcPr>
            <w:tcW w:w="0" w:type="dxa"/>
            <w:vAlign w:val="bottom"/>
          </w:tcPr>
          <w:p>
            <w:pPr>
              <w:spacing w:after="0"/>
              <w:rPr>
                <w:sz w:val="1"/>
                <w:szCs w:val="1"/>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0" w:type="dxa"/>
            <w:vAlign w:val="bottom"/>
          </w:tcPr>
          <w:p>
            <w:pPr>
              <w:spacing w:after="0"/>
              <w:rPr>
                <w:sz w:val="1"/>
                <w:szCs w:val="1"/>
                <w:color w:val="auto"/>
              </w:rPr>
            </w:pPr>
          </w:p>
        </w:tc>
      </w:tr>
      <w:tr>
        <w:trPr>
          <w:trHeight w:val="225"/>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359,896</w:t>
            </w:r>
          </w:p>
        </w:tc>
        <w:tc>
          <w:tcPr>
            <w:tcW w:w="0" w:type="dxa"/>
            <w:vAlign w:val="bottom"/>
          </w:tcPr>
          <w:p>
            <w:pPr>
              <w:spacing w:after="0"/>
              <w:rPr>
                <w:sz w:val="1"/>
                <w:szCs w:val="1"/>
                <w:color w:val="auto"/>
              </w:rPr>
            </w:pPr>
          </w:p>
        </w:tc>
      </w:tr>
      <w:tr>
        <w:trPr>
          <w:trHeight w:val="226"/>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114,886</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70,893</w:t>
            </w:r>
          </w:p>
        </w:tc>
        <w:tc>
          <w:tcPr>
            <w:tcW w:w="0" w:type="dxa"/>
            <w:vAlign w:val="bottom"/>
          </w:tcPr>
          <w:p>
            <w:pPr>
              <w:spacing w:after="0"/>
              <w:rPr>
                <w:sz w:val="1"/>
                <w:szCs w:val="1"/>
                <w:color w:val="auto"/>
              </w:rPr>
            </w:pPr>
          </w:p>
        </w:tc>
      </w:tr>
      <w:tr>
        <w:trPr>
          <w:trHeight w:val="219"/>
        </w:trPr>
        <w:tc>
          <w:tcPr>
            <w:tcW w:w="7960" w:type="dxa"/>
            <w:vAlign w:val="bottom"/>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2,077,597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2,040,931</w:t>
            </w: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2,624,701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3,466,102</w:t>
            </w:r>
          </w:p>
        </w:tc>
        <w:tc>
          <w:tcPr>
            <w:tcW w:w="0" w:type="dxa"/>
            <w:vAlign w:val="bottom"/>
          </w:tcPr>
          <w:p>
            <w:pPr>
              <w:spacing w:after="0"/>
              <w:rPr>
                <w:sz w:val="1"/>
                <w:szCs w:val="1"/>
                <w:color w:val="auto"/>
              </w:rPr>
            </w:pPr>
          </w:p>
        </w:tc>
      </w:tr>
      <w:tr>
        <w:trPr>
          <w:trHeight w:val="232"/>
        </w:trPr>
        <w:tc>
          <w:tcPr>
            <w:tcW w:w="1380" w:type="dxa"/>
            <w:vAlign w:val="bottom"/>
            <w:shd w:val="clear" w:color="auto" w:fill="CCEEFF"/>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5"/>
        </w:trPr>
        <w:tc>
          <w:tcPr>
            <w:tcW w:w="8080" w:type="dxa"/>
            <w:vAlign w:val="bottom"/>
          </w:tcPr>
          <w:p>
            <w:pPr>
              <w:ind w:left="280"/>
              <w:spacing w:after="0" w:line="185" w:lineRule="exact"/>
              <w:rPr>
                <w:sz w:val="20"/>
                <w:szCs w:val="20"/>
                <w:color w:val="auto"/>
              </w:rPr>
            </w:pPr>
            <w:r>
              <w:rPr>
                <w:rFonts w:ascii="Arial" w:cs="Arial" w:eastAsia="Arial" w:hAnsi="Arial"/>
                <w:sz w:val="18"/>
                <w:szCs w:val="18"/>
                <w:color w:val="auto"/>
              </w:rPr>
              <w:t>Preferred stock, $0.001 par value, 20,000,000 shares authorized, none issued and outstanding at</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2"/>
        </w:trPr>
        <w:tc>
          <w:tcPr>
            <w:tcW w:w="8080" w:type="dxa"/>
            <w:vAlign w:val="bottom"/>
          </w:tcPr>
          <w:p>
            <w:pPr>
              <w:ind w:left="280"/>
              <w:spacing w:after="0"/>
              <w:rPr>
                <w:sz w:val="20"/>
                <w:szCs w:val="20"/>
                <w:color w:val="auto"/>
              </w:rPr>
            </w:pPr>
            <w:r>
              <w:rPr>
                <w:rFonts w:ascii="Arial" w:cs="Arial" w:eastAsia="Arial" w:hAnsi="Arial"/>
                <w:sz w:val="18"/>
                <w:szCs w:val="18"/>
                <w:color w:val="auto"/>
              </w:rPr>
              <w:t>both June 30, 2021 and December 31, 2020</w:t>
            </w:r>
          </w:p>
        </w:tc>
        <w:tc>
          <w:tcPr>
            <w:tcW w:w="4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5"/>
        </w:trPr>
        <w:tc>
          <w:tcPr>
            <w:tcW w:w="8080" w:type="dxa"/>
            <w:vAlign w:val="bottom"/>
          </w:tcPr>
          <w:p>
            <w:pPr>
              <w:ind w:left="460"/>
              <w:spacing w:after="0" w:line="185" w:lineRule="exact"/>
              <w:rPr>
                <w:sz w:val="20"/>
                <w:szCs w:val="20"/>
                <w:color w:val="auto"/>
              </w:rPr>
            </w:pPr>
            <w:r>
              <w:rPr>
                <w:rFonts w:ascii="Arial" w:cs="Arial" w:eastAsia="Arial" w:hAnsi="Arial"/>
                <w:sz w:val="18"/>
                <w:szCs w:val="18"/>
                <w:color w:val="auto"/>
              </w:rPr>
              <w:t>Class A common stock, $0.001 par value, 1,600,000,000 shares authorized, 57,825,270 shares</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2"/>
        </w:trPr>
        <w:tc>
          <w:tcPr>
            <w:tcW w:w="8080" w:type="dxa"/>
            <w:vAlign w:val="bottom"/>
          </w:tcPr>
          <w:p>
            <w:pPr>
              <w:ind w:left="460"/>
              <w:spacing w:after="0" w:line="172" w:lineRule="exact"/>
              <w:rPr>
                <w:sz w:val="20"/>
                <w:szCs w:val="20"/>
                <w:color w:val="auto"/>
              </w:rPr>
            </w:pPr>
            <w:r>
              <w:rPr>
                <w:rFonts w:ascii="Arial" w:cs="Arial" w:eastAsia="Arial" w:hAnsi="Arial"/>
                <w:sz w:val="18"/>
                <w:szCs w:val="18"/>
                <w:color w:val="auto"/>
              </w:rPr>
              <w:t>issued and 42,289,277 shares outstanding at June 30, 2021 and 57,254,201 shares issued and</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2"/>
        </w:trPr>
        <w:tc>
          <w:tcPr>
            <w:tcW w:w="8080" w:type="dxa"/>
            <w:vAlign w:val="bottom"/>
          </w:tcPr>
          <w:p>
            <w:pPr>
              <w:ind w:left="460"/>
              <w:spacing w:after="0"/>
              <w:rPr>
                <w:sz w:val="20"/>
                <w:szCs w:val="20"/>
                <w:color w:val="auto"/>
              </w:rPr>
            </w:pPr>
            <w:r>
              <w:rPr>
                <w:rFonts w:ascii="Arial" w:cs="Arial" w:eastAsia="Arial" w:hAnsi="Arial"/>
                <w:sz w:val="18"/>
                <w:szCs w:val="18"/>
                <w:color w:val="auto"/>
              </w:rPr>
              <w:t>48,863,374 shares outstanding at December 31, 2020</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85"/>
        </w:trPr>
        <w:tc>
          <w:tcPr>
            <w:tcW w:w="808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3"/>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47,687,039 shares issued and outstanding at both June 30, 2021 and December 31, 2020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5"/>
        </w:trPr>
        <w:tc>
          <w:tcPr>
            <w:tcW w:w="8080" w:type="dxa"/>
            <w:vAlign w:val="bottom"/>
          </w:tcPr>
          <w:p>
            <w:pPr>
              <w:ind w:left="460"/>
              <w:spacing w:after="0" w:line="185" w:lineRule="exact"/>
              <w:rPr>
                <w:sz w:val="20"/>
                <w:szCs w:val="20"/>
                <w:color w:val="auto"/>
              </w:rPr>
            </w:pPr>
            <w:r>
              <w:rPr>
                <w:rFonts w:ascii="Arial" w:cs="Arial" w:eastAsia="Arial" w:hAnsi="Arial"/>
                <w:sz w:val="18"/>
                <w:szCs w:val="18"/>
                <w:color w:val="auto"/>
              </w:rPr>
              <w:t>Class C convertible common stock, $0.001 par value, 800,000,000 shares authorized, none</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2"/>
        </w:trPr>
        <w:tc>
          <w:tcPr>
            <w:tcW w:w="8080" w:type="dxa"/>
            <w:vAlign w:val="bottom"/>
          </w:tcPr>
          <w:p>
            <w:pPr>
              <w:ind w:left="460"/>
              <w:spacing w:after="0"/>
              <w:rPr>
                <w:sz w:val="20"/>
                <w:szCs w:val="20"/>
                <w:color w:val="auto"/>
              </w:rPr>
            </w:pPr>
            <w:r>
              <w:rPr>
                <w:rFonts w:ascii="Arial" w:cs="Arial" w:eastAsia="Arial" w:hAnsi="Arial"/>
                <w:sz w:val="18"/>
                <w:szCs w:val="18"/>
                <w:color w:val="auto"/>
              </w:rPr>
              <w:t>issued and outstanding at both June 30, 2021 and December 31, 2020</w:t>
            </w:r>
          </w:p>
        </w:tc>
        <w:tc>
          <w:tcPr>
            <w:tcW w:w="4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5"/>
        </w:trPr>
        <w:tc>
          <w:tcPr>
            <w:tcW w:w="808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D common stock, $0.001 par value, 800,000,000 shares authorized, none issued and</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3"/>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at both June 30, 2021 and December 31, 2020</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3,337,190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3,321,426</w:t>
            </w:r>
          </w:p>
        </w:tc>
      </w:tr>
      <w:tr>
        <w:trPr>
          <w:trHeight w:val="22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(187,876)</w:t>
            </w:r>
          </w:p>
        </w:tc>
      </w:tr>
      <w:tr>
        <w:trPr>
          <w:trHeight w:val="225"/>
        </w:trPr>
        <w:tc>
          <w:tcPr>
            <w:tcW w:w="808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583,591</w:t>
            </w:r>
          </w:p>
        </w:tc>
      </w:tr>
      <w:tr>
        <w:trPr>
          <w:trHeight w:val="22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(174,912)</w:t>
            </w:r>
          </w:p>
        </w:tc>
      </w:tr>
      <w:tr>
        <w:trPr>
          <w:trHeight w:val="218"/>
        </w:trPr>
        <w:tc>
          <w:tcPr>
            <w:tcW w:w="8080" w:type="dxa"/>
            <w:vAlign w:val="bottom"/>
          </w:tcPr>
          <w:p>
            <w:pPr>
              <w:ind w:left="460"/>
              <w:spacing w:after="0" w:line="204" w:lineRule="exact"/>
              <w:rPr>
                <w:sz w:val="20"/>
                <w:szCs w:val="20"/>
                <w:color w:val="auto"/>
              </w:rPr>
            </w:pPr>
            <w:r>
              <w:rPr>
                <w:rFonts w:ascii="Arial" w:cs="Arial" w:eastAsia="Arial" w:hAnsi="Arial"/>
                <w:sz w:val="18"/>
                <w:szCs w:val="18"/>
                <w:color w:val="auto"/>
              </w:rPr>
              <w:t>Total EchoStar Corporation stockholders' equity</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3,510,606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3,542,334</w:t>
            </w:r>
          </w:p>
        </w:tc>
      </w:tr>
      <w:tr>
        <w:trPr>
          <w:trHeight w:val="22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64,916</w:t>
            </w:r>
          </w:p>
        </w:tc>
      </w:tr>
      <w:tr>
        <w:trPr>
          <w:trHeight w:val="218"/>
        </w:trPr>
        <w:tc>
          <w:tcPr>
            <w:tcW w:w="8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3,584,905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3,607,250</w:t>
            </w:r>
          </w:p>
        </w:tc>
      </w:tr>
      <w:tr>
        <w:trPr>
          <w:trHeight w:val="243"/>
        </w:trPr>
        <w:tc>
          <w:tcPr>
            <w:tcW w:w="8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2"/>
        </w:trPr>
        <w:tc>
          <w:tcPr>
            <w:tcW w:w="1380" w:type="dxa"/>
            <w:vAlign w:val="bottom"/>
            <w:tcBorders>
              <w:top w:val="single" w:sz="8" w:color="0000FF"/>
            </w:tcBorders>
          </w:tcPr>
          <w:p>
            <w:pPr>
              <w:spacing w:after="0"/>
              <w:rPr>
                <w:sz w:val="24"/>
                <w:szCs w:val="24"/>
                <w:color w:val="auto"/>
              </w:rPr>
            </w:pPr>
          </w:p>
        </w:tc>
        <w:tc>
          <w:tcPr>
            <w:tcW w:w="5980" w:type="dxa"/>
            <w:vAlign w:val="bottom"/>
            <w:gridSpan w:val="4"/>
          </w:tcPr>
          <w:p>
            <w:pPr>
              <w:jc w:val="center"/>
              <w:ind w:left="2432"/>
              <w:spacing w:after="0"/>
              <w:rPr>
                <w:sz w:val="20"/>
                <w:szCs w:val="20"/>
                <w:color w:val="auto"/>
              </w:rPr>
            </w:pPr>
            <w:r>
              <w:rPr>
                <w:rFonts w:ascii="Arial" w:cs="Arial" w:eastAsia="Arial" w:hAnsi="Arial"/>
                <w:sz w:val="18"/>
                <w:szCs w:val="18"/>
                <w:b w:val="1"/>
                <w:bCs w:val="1"/>
                <w:color w:val="auto"/>
                <w:w w:val="97"/>
              </w:rPr>
              <w:t>ECHOSTAR CORPORATION</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6360" w:type="dxa"/>
            <w:vAlign w:val="bottom"/>
            <w:gridSpan w:val="5"/>
          </w:tcPr>
          <w:p>
            <w:pPr>
              <w:jc w:val="center"/>
              <w:ind w:left="203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6360" w:type="dxa"/>
            <w:vAlign w:val="bottom"/>
            <w:gridSpan w:val="5"/>
          </w:tcPr>
          <w:p>
            <w:pPr>
              <w:jc w:val="center"/>
              <w:ind w:left="2032"/>
              <w:spacing w:after="0"/>
              <w:rPr>
                <w:sz w:val="20"/>
                <w:szCs w:val="20"/>
                <w:color w:val="auto"/>
              </w:rPr>
            </w:pPr>
            <w:r>
              <w:rPr>
                <w:rFonts w:ascii="Arial" w:cs="Arial" w:eastAsia="Arial" w:hAnsi="Arial"/>
                <w:sz w:val="18"/>
                <w:szCs w:val="18"/>
                <w:color w:val="auto"/>
                <w:w w:val="97"/>
              </w:rPr>
              <w:t>(Amounts in thousands, except per share amounts)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4760" w:type="dxa"/>
            <w:vAlign w:val="bottom"/>
            <w:gridSpan w:val="2"/>
          </w:tcPr>
          <w:p>
            <w:pPr>
              <w:jc w:val="center"/>
              <w:ind w:left="3632"/>
              <w:spacing w:after="0"/>
              <w:rPr>
                <w:sz w:val="20"/>
                <w:szCs w:val="20"/>
                <w:color w:val="auto"/>
              </w:rPr>
            </w:pPr>
            <w:r>
              <w:rPr>
                <w:rFonts w:ascii="Arial" w:cs="Arial" w:eastAsia="Arial" w:hAnsi="Arial"/>
                <w:sz w:val="18"/>
                <w:szCs w:val="18"/>
                <w:color w:val="auto"/>
                <w:w w:val="97"/>
              </w:rPr>
              <w:t>(Unaudited)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spacing w:after="0" w:line="200" w:lineRule="exact"/>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7"/>
                <w:szCs w:val="17"/>
                <w:color w:val="auto"/>
              </w:rPr>
            </w:pPr>
          </w:p>
        </w:tc>
        <w:tc>
          <w:tcPr>
            <w:tcW w:w="2400" w:type="dxa"/>
            <w:vAlign w:val="bottom"/>
            <w:gridSpan w:val="4"/>
          </w:tcPr>
          <w:p>
            <w:pPr>
              <w:jc w:val="right"/>
              <w:ind w:right="112"/>
              <w:spacing w:after="0" w:line="200" w:lineRule="exact"/>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Services and 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431,279</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417,043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861,616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825,400</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99,732</w:t>
            </w: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gridSpan w:val="2"/>
          </w:tcPr>
          <w:p>
            <w:pPr>
              <w:ind w:left="46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459,466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982,416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06"/>
        </w:trPr>
        <w:tc>
          <w:tcPr>
            <w:tcW w:w="60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20" w:type="dxa"/>
            <w:vAlign w:val="bottom"/>
            <w:gridSpan w:val="2"/>
          </w:tcPr>
          <w:p>
            <w:pPr>
              <w:ind w:left="220"/>
              <w:spacing w:after="0" w:line="185" w:lineRule="exact"/>
              <w:rPr>
                <w:sz w:val="20"/>
                <w:szCs w:val="20"/>
                <w:color w:val="auto"/>
              </w:rPr>
            </w:pPr>
            <w:r>
              <w:rPr>
                <w:rFonts w:ascii="Arial" w:cs="Arial" w:eastAsia="Arial" w:hAnsi="Arial"/>
                <w:sz w:val="18"/>
                <w:szCs w:val="18"/>
                <w:color w:val="auto"/>
              </w:rPr>
              <w:t>Cost of sales - services and other (exclusive of depreciation and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272,336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286,271</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78,450</w:t>
            </w:r>
          </w:p>
        </w:tc>
        <w:tc>
          <w:tcPr>
            <w:tcW w:w="0" w:type="dxa"/>
            <w:vAlign w:val="bottom"/>
          </w:tcPr>
          <w:p>
            <w:pPr>
              <w:spacing w:after="0"/>
              <w:rPr>
                <w:sz w:val="1"/>
                <w:szCs w:val="1"/>
                <w:color w:val="auto"/>
              </w:rPr>
            </w:pPr>
          </w:p>
        </w:tc>
      </w:tr>
      <w:tr>
        <w:trPr>
          <w:trHeight w:val="225"/>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228,157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239,079</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13,702</w:t>
            </w:r>
          </w:p>
        </w:tc>
        <w:tc>
          <w:tcPr>
            <w:tcW w:w="0" w:type="dxa"/>
            <w:vAlign w:val="bottom"/>
          </w:tcPr>
          <w:p>
            <w:pPr>
              <w:spacing w:after="0"/>
              <w:rPr>
                <w:sz w:val="1"/>
                <w:szCs w:val="1"/>
                <w:color w:val="auto"/>
              </w:rPr>
            </w:pPr>
          </w:p>
        </w:tc>
      </w:tr>
      <w:tr>
        <w:trPr>
          <w:trHeight w:val="225"/>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129,887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248,268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262,255</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gridSpan w:val="2"/>
          </w:tcPr>
          <w:p>
            <w:pPr>
              <w:ind w:left="460"/>
              <w:spacing w:after="0" w:line="204" w:lineRule="exact"/>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434,526</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424,694</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863,646</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879,757</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26,343</w:t>
            </w:r>
          </w:p>
        </w:tc>
        <w:tc>
          <w:tcPr>
            <w:tcW w:w="0" w:type="dxa"/>
            <w:vAlign w:val="bottom"/>
          </w:tcPr>
          <w:p>
            <w:pPr>
              <w:spacing w:after="0"/>
              <w:rPr>
                <w:sz w:val="1"/>
                <w:szCs w:val="1"/>
                <w:color w:val="auto"/>
              </w:rPr>
            </w:pPr>
          </w:p>
        </w:tc>
      </w:tr>
      <w:tr>
        <w:trPr>
          <w:trHeight w:val="225"/>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(74,491)</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(52,762)</w:t>
            </w:r>
          </w:p>
        </w:tc>
        <w:tc>
          <w:tcPr>
            <w:tcW w:w="0" w:type="dxa"/>
            <w:vAlign w:val="bottom"/>
          </w:tcPr>
          <w:p>
            <w:pPr>
              <w:spacing w:after="0"/>
              <w:rPr>
                <w:sz w:val="1"/>
                <w:szCs w:val="1"/>
                <w:color w:val="auto"/>
              </w:rPr>
            </w:pPr>
          </w:p>
        </w:tc>
      </w:tr>
      <w:tr>
        <w:trPr>
          <w:trHeight w:val="225"/>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25"/>
        </w:trPr>
        <w:tc>
          <w:tcPr>
            <w:tcW w:w="6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(114,596)</w:t>
            </w:r>
          </w:p>
        </w:tc>
        <w:tc>
          <w:tcPr>
            <w:tcW w:w="0" w:type="dxa"/>
            <w:vAlign w:val="bottom"/>
          </w:tcPr>
          <w:p>
            <w:pPr>
              <w:spacing w:after="0"/>
              <w:rPr>
                <w:sz w:val="1"/>
                <w:szCs w:val="1"/>
                <w:color w:val="auto"/>
              </w:rPr>
            </w:pPr>
          </w:p>
        </w:tc>
      </w:tr>
      <w:tr>
        <w:trPr>
          <w:trHeight w:val="218"/>
        </w:trPr>
        <w:tc>
          <w:tcPr>
            <w:tcW w:w="6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155,886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(69,221)</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8"/>
        </w:trPr>
        <w:tc>
          <w:tcPr>
            <w:tcW w:w="6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(72,580)</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8"/>
        </w:trPr>
        <w:tc>
          <w:tcPr>
            <w:tcW w:w="6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(65,707)</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38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2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8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752"/>
        </w:trPr>
        <w:tc>
          <w:tcPr>
            <w:tcW w:w="1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760" w:type="dxa"/>
            <w:vAlign w:val="bottom"/>
            <w:gridSpan w:val="4"/>
          </w:tcPr>
          <w:p>
            <w:pPr>
              <w:jc w:val="center"/>
              <w:ind w:left="2652"/>
              <w:spacing w:after="0"/>
              <w:rPr>
                <w:sz w:val="20"/>
                <w:szCs w:val="20"/>
                <w:color w:val="auto"/>
              </w:rPr>
            </w:pPr>
            <w:r>
              <w:rPr>
                <w:rFonts w:ascii="Arial" w:cs="Arial" w:eastAsia="Arial" w:hAnsi="Arial"/>
                <w:sz w:val="18"/>
                <w:szCs w:val="18"/>
                <w:b w:val="1"/>
                <w:bCs w:val="1"/>
                <w:color w:val="auto"/>
                <w:w w:val="97"/>
              </w:rPr>
              <w:t>ECHOSTAR CORPORATION</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00" w:type="dxa"/>
            <w:vAlign w:val="bottom"/>
            <w:gridSpan w:val="8"/>
          </w:tcPr>
          <w:p>
            <w:pPr>
              <w:jc w:val="center"/>
              <w:ind w:left="1092"/>
              <w:spacing w:after="0"/>
              <w:rPr>
                <w:sz w:val="20"/>
                <w:szCs w:val="20"/>
                <w:color w:val="auto"/>
              </w:rPr>
            </w:pPr>
            <w:r>
              <w:rPr>
                <w:rFonts w:ascii="Arial" w:cs="Arial" w:eastAsia="Arial" w:hAnsi="Arial"/>
                <w:sz w:val="18"/>
                <w:szCs w:val="18"/>
                <w:b w:val="1"/>
                <w:bCs w:val="1"/>
                <w:color w:val="auto"/>
                <w:w w:val="97"/>
              </w:rPr>
              <w:t>CONSOLIDATED STATEMENTS OF COMPREHENSIVE INCOME (LOSS)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2"/>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gridSpan w:val="4"/>
          </w:tcPr>
          <w:p>
            <w:pPr>
              <w:jc w:val="center"/>
              <w:ind w:left="2652"/>
              <w:spacing w:after="0"/>
              <w:rPr>
                <w:sz w:val="20"/>
                <w:szCs w:val="20"/>
                <w:color w:val="auto"/>
              </w:rPr>
            </w:pPr>
            <w:r>
              <w:rPr>
                <w:rFonts w:ascii="Arial" w:cs="Arial" w:eastAsia="Arial" w:hAnsi="Arial"/>
                <w:sz w:val="18"/>
                <w:szCs w:val="18"/>
                <w:color w:val="auto"/>
                <w:w w:val="97"/>
              </w:rPr>
              <w:t>(Amounts 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gridSpan w:val="4"/>
          </w:tcPr>
          <w:p>
            <w:pPr>
              <w:jc w:val="center"/>
              <w:ind w:left="2632"/>
              <w:spacing w:after="0"/>
              <w:rPr>
                <w:sz w:val="20"/>
                <w:szCs w:val="20"/>
                <w:color w:val="auto"/>
              </w:rPr>
            </w:pPr>
            <w:r>
              <w:rPr>
                <w:rFonts w:ascii="Arial" w:cs="Arial" w:eastAsia="Arial" w:hAnsi="Arial"/>
                <w:sz w:val="18"/>
                <w:szCs w:val="18"/>
                <w:color w:val="auto"/>
                <w:w w:val="97"/>
              </w:rPr>
              <w:t>(Unaudited)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spacing w:after="0" w:line="200" w:lineRule="exact"/>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60" w:type="dxa"/>
            <w:vAlign w:val="bottom"/>
            <w:gridSpan w:val="4"/>
          </w:tcPr>
          <w:p>
            <w:pPr>
              <w:jc w:val="right"/>
              <w:ind w:right="172"/>
              <w:spacing w:after="0" w:line="200" w:lineRule="exact"/>
              <w:rPr>
                <w:sz w:val="20"/>
                <w:szCs w:val="20"/>
                <w:color w:val="auto"/>
              </w:rPr>
            </w:pPr>
            <w:r>
              <w:rPr>
                <w:rFonts w:ascii="Arial" w:cs="Arial" w:eastAsia="Arial" w:hAnsi="Arial"/>
                <w:sz w:val="18"/>
                <w:szCs w:val="18"/>
                <w:b w:val="1"/>
                <w:bCs w:val="1"/>
                <w:color w:val="auto"/>
                <w:w w:val="99"/>
              </w:rPr>
              <w:t>For the six months ended</w:t>
            </w:r>
          </w:p>
        </w:tc>
      </w:tr>
      <w:tr>
        <w:trPr>
          <w:trHeight w:val="225"/>
        </w:trPr>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9"/>
        </w:trPr>
        <w:tc>
          <w:tcPr>
            <w:tcW w:w="1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r>
      <w:tr>
        <w:trPr>
          <w:trHeight w:val="218"/>
        </w:trPr>
        <w:tc>
          <w:tcPr>
            <w:tcW w:w="12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(72,580)</w:t>
            </w:r>
          </w:p>
        </w:tc>
      </w:tr>
      <w:tr>
        <w:trPr>
          <w:trHeight w:val="225"/>
        </w:trPr>
        <w:tc>
          <w:tcPr>
            <w:tcW w:w="120" w:type="dxa"/>
            <w:vAlign w:val="bottom"/>
          </w:tcPr>
          <w:p>
            <w:pPr>
              <w:spacing w:after="0"/>
              <w:rPr>
                <w:sz w:val="19"/>
                <w:szCs w:val="19"/>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(100,515)</w:t>
            </w:r>
          </w:p>
        </w:tc>
      </w:tr>
      <w:tr>
        <w:trPr>
          <w:trHeight w:val="225"/>
        </w:trPr>
        <w:tc>
          <w:tcPr>
            <w:tcW w:w="120" w:type="dxa"/>
            <w:vAlign w:val="bottom"/>
          </w:tcPr>
          <w:p>
            <w:pPr>
              <w:spacing w:after="0"/>
              <w:rPr>
                <w:sz w:val="19"/>
                <w:szCs w:val="19"/>
                <w:color w:val="auto"/>
              </w:rPr>
            </w:pPr>
          </w:p>
        </w:tc>
        <w:tc>
          <w:tcPr>
            <w:tcW w:w="5680" w:type="dxa"/>
            <w:vAlign w:val="bottom"/>
            <w:gridSpan w:val="2"/>
          </w:tcPr>
          <w:p>
            <w:pPr>
              <w:ind w:left="120"/>
              <w:spacing w:after="0"/>
              <w:rPr>
                <w:sz w:val="20"/>
                <w:szCs w:val="20"/>
                <w:color w:val="auto"/>
              </w:rPr>
            </w:pPr>
            <w:r>
              <w:rPr>
                <w:rFonts w:ascii="Arial" w:cs="Arial" w:eastAsia="Arial" w:hAnsi="Arial"/>
                <w:sz w:val="18"/>
                <w:szCs w:val="18"/>
                <w:color w:val="auto"/>
              </w:rPr>
              <w:t>Unrealized gains (losses) on available-for-sale securities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6"/>
        </w:trPr>
        <w:tc>
          <w:tcPr>
            <w:tcW w:w="120" w:type="dxa"/>
            <w:vAlign w:val="bottom"/>
          </w:tcPr>
          <w:p>
            <w:pPr>
              <w:spacing w:after="0"/>
              <w:rPr>
                <w:sz w:val="19"/>
                <w:szCs w:val="19"/>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25"/>
        </w:trPr>
        <w:tc>
          <w:tcPr>
            <w:tcW w:w="120" w:type="dxa"/>
            <w:vAlign w:val="bottom"/>
          </w:tcPr>
          <w:p>
            <w:pPr>
              <w:spacing w:after="0"/>
              <w:rPr>
                <w:sz w:val="19"/>
                <w:szCs w:val="19"/>
                <w:color w:val="auto"/>
              </w:rPr>
            </w:pPr>
          </w:p>
        </w:tc>
        <w:tc>
          <w:tcPr>
            <w:tcW w:w="568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Amounts reclassified to net income (loss):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Realized losses (gains) on available-for-sale debt securities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120" w:type="dxa"/>
            <w:vAlign w:val="bottom"/>
          </w:tcPr>
          <w:p>
            <w:pPr>
              <w:spacing w:after="0"/>
              <w:rPr>
                <w:sz w:val="19"/>
                <w:szCs w:val="19"/>
                <w:color w:val="auto"/>
              </w:rPr>
            </w:pPr>
          </w:p>
        </w:tc>
        <w:tc>
          <w:tcPr>
            <w:tcW w:w="5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(103,368)</w:t>
            </w:r>
          </w:p>
        </w:tc>
      </w:tr>
      <w:tr>
        <w:trPr>
          <w:trHeight w:val="219"/>
        </w:trPr>
        <w:tc>
          <w:tcPr>
            <w:tcW w:w="12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(175,948)</w:t>
            </w:r>
          </w:p>
        </w:tc>
      </w:tr>
      <w:tr>
        <w:trPr>
          <w:trHeight w:val="185"/>
        </w:trPr>
        <w:tc>
          <w:tcPr>
            <w:tcW w:w="120" w:type="dxa"/>
            <w:vAlign w:val="bottom"/>
          </w:tcPr>
          <w:p>
            <w:pPr>
              <w:spacing w:after="0"/>
              <w:rPr>
                <w:sz w:val="16"/>
                <w:szCs w:val="16"/>
                <w:color w:val="auto"/>
              </w:rPr>
            </w:pPr>
          </w:p>
        </w:tc>
        <w:tc>
          <w:tcPr>
            <w:tcW w:w="5680" w:type="dxa"/>
            <w:vAlign w:val="bottom"/>
            <w:gridSpan w:val="2"/>
          </w:tcPr>
          <w:p>
            <w:pPr>
              <w:ind w:left="120"/>
              <w:spacing w:after="0" w:line="185" w:lineRule="exact"/>
              <w:rPr>
                <w:sz w:val="20"/>
                <w:szCs w:val="20"/>
                <w:color w:val="auto"/>
              </w:rPr>
            </w:pPr>
            <w:r>
              <w:rPr>
                <w:rFonts w:ascii="Arial" w:cs="Arial" w:eastAsia="Arial" w:hAnsi="Arial"/>
                <w:sz w:val="18"/>
                <w:szCs w:val="18"/>
                <w:color w:val="auto"/>
              </w:rPr>
              <w:t>Less: Comprehensive loss (income) attributable to 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2"/>
        </w:trPr>
        <w:tc>
          <w:tcPr>
            <w:tcW w:w="120" w:type="dxa"/>
            <w:vAlign w:val="bottom"/>
          </w:tcPr>
          <w:p>
            <w:pPr>
              <w:spacing w:after="0"/>
              <w:rPr>
                <w:sz w:val="18"/>
                <w:szCs w:val="18"/>
                <w:color w:val="auto"/>
              </w:rPr>
            </w:pPr>
          </w:p>
        </w:tc>
        <w:tc>
          <w:tcPr>
            <w:tcW w:w="5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25,569</w:t>
            </w:r>
          </w:p>
        </w:tc>
      </w:tr>
      <w:tr>
        <w:trPr>
          <w:trHeight w:val="244"/>
        </w:trPr>
        <w:tc>
          <w:tcPr>
            <w:tcW w:w="120" w:type="dxa"/>
            <w:vAlign w:val="bottom"/>
          </w:tcPr>
          <w:p>
            <w:pPr>
              <w:spacing w:after="0"/>
              <w:rPr>
                <w:sz w:val="20"/>
                <w:szCs w:val="20"/>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(150,379)</w:t>
            </w:r>
          </w:p>
        </w:tc>
      </w:tr>
      <w:tr>
        <w:trPr>
          <w:trHeight w:val="20"/>
        </w:trPr>
        <w:tc>
          <w:tcPr>
            <w:tcW w:w="1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0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1"/>
                <w:szCs w:val="11"/>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3,307,360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(192,218)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58,229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3,605,575</w:t>
            </w:r>
          </w:p>
        </w:tc>
        <w:tc>
          <w:tcPr>
            <w:tcW w:w="0" w:type="dxa"/>
            <w:vAlign w:val="bottom"/>
          </w:tcPr>
          <w:p>
            <w:pPr>
              <w:spacing w:after="0"/>
              <w:rPr>
                <w:sz w:val="1"/>
                <w:szCs w:val="1"/>
                <w:color w:val="auto"/>
              </w:rPr>
            </w:pPr>
          </w:p>
        </w:tc>
      </w:tr>
      <w:tr>
        <w:trPr>
          <w:trHeight w:val="185"/>
        </w:trPr>
        <w:tc>
          <w:tcPr>
            <w:tcW w:w="3560" w:type="dxa"/>
            <w:vAlign w:val="bottom"/>
          </w:tcPr>
          <w:p>
            <w:pPr>
              <w:ind w:left="12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5"/>
        </w:trPr>
        <w:tc>
          <w:tcPr>
            <w:tcW w:w="3560" w:type="dxa"/>
            <w:vAlign w:val="bottom"/>
          </w:tcPr>
          <w:p>
            <w:pPr>
              <w:ind w:left="24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185"/>
        </w:trPr>
        <w:tc>
          <w:tcPr>
            <w:tcW w:w="3560" w:type="dxa"/>
            <w:vAlign w:val="bottom"/>
          </w:tcPr>
          <w:p>
            <w:pPr>
              <w:ind w:left="12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c>
          <w:tcPr>
            <w:tcW w:w="0" w:type="dxa"/>
            <w:vAlign w:val="bottom"/>
          </w:tcPr>
          <w:p>
            <w:pPr>
              <w:spacing w:after="0"/>
              <w:rPr>
                <w:sz w:val="1"/>
                <w:szCs w:val="1"/>
                <w:color w:val="auto"/>
              </w:rPr>
            </w:pPr>
          </w:p>
        </w:tc>
      </w:tr>
      <w:tr>
        <w:trPr>
          <w:trHeight w:val="186"/>
        </w:trPr>
        <w:tc>
          <w:tcPr>
            <w:tcW w:w="35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(14,843)</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3,311,861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(206,810)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558,034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58,425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3,584,268</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56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3,333,047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(215,476)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662,110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(285,681)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63,759</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3,557,865</w:t>
            </w: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24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85"/>
        </w:trPr>
        <w:tc>
          <w:tcPr>
            <w:tcW w:w="3560" w:type="dxa"/>
            <w:vAlign w:val="bottom"/>
          </w:tcPr>
          <w:p>
            <w:pPr>
              <w:ind w:left="12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4,480</w:t>
            </w: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41,590</w:t>
            </w:r>
          </w:p>
        </w:tc>
        <w:tc>
          <w:tcPr>
            <w:tcW w:w="0" w:type="dxa"/>
            <w:vAlign w:val="bottom"/>
          </w:tcPr>
          <w:p>
            <w:pPr>
              <w:spacing w:after="0"/>
              <w:rPr>
                <w:sz w:val="1"/>
                <w:szCs w:val="1"/>
                <w:color w:val="auto"/>
              </w:rPr>
            </w:pPr>
          </w:p>
        </w:tc>
      </w:tr>
      <w:tr>
        <w:trPr>
          <w:trHeight w:val="185"/>
        </w:trPr>
        <w:tc>
          <w:tcPr>
            <w:tcW w:w="35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35,015</w:t>
            </w: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(58,188)</w:t>
            </w: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3,337,190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(182,226)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699,405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(343,869)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74,299</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3,584,905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1"/>
                <w:szCs w:val="11"/>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632,809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3,745,553</w:t>
            </w: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rPr>
                <w:sz w:val="20"/>
                <w:szCs w:val="20"/>
                <w:color w:val="auto"/>
              </w:rPr>
            </w:pPr>
            <w:r>
              <w:rPr>
                <w:rFonts w:ascii="Arial" w:cs="Arial" w:eastAsia="Arial" w:hAnsi="Arial"/>
                <w:sz w:val="14"/>
                <w:szCs w:val="14"/>
                <w:color w:val="auto"/>
              </w:rPr>
              <w:t>Cumulative effect of accounting changes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17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623,741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75,508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3,736,245</w:t>
            </w:r>
          </w:p>
        </w:tc>
        <w:tc>
          <w:tcPr>
            <w:tcW w:w="0" w:type="dxa"/>
            <w:vAlign w:val="bottom"/>
          </w:tcPr>
          <w:p>
            <w:pPr>
              <w:spacing w:after="0"/>
              <w:rPr>
                <w:sz w:val="1"/>
                <w:szCs w:val="1"/>
                <w:color w:val="auto"/>
              </w:rPr>
            </w:pPr>
          </w:p>
        </w:tc>
      </w:tr>
      <w:tr>
        <w:trPr>
          <w:trHeight w:val="186"/>
        </w:trPr>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86"/>
        </w:trPr>
        <w:tc>
          <w:tcPr>
            <w:tcW w:w="3580" w:type="dxa"/>
            <w:vAlign w:val="bottom"/>
          </w:tcPr>
          <w:p>
            <w:pPr>
              <w:ind w:left="24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186"/>
        </w:trPr>
        <w:tc>
          <w:tcPr>
            <w:tcW w:w="3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185"/>
        </w:trPr>
        <w:tc>
          <w:tcPr>
            <w:tcW w:w="35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4,509</w:t>
            </w:r>
          </w:p>
        </w:tc>
        <w:tc>
          <w:tcPr>
            <w:tcW w:w="0" w:type="dxa"/>
            <w:vAlign w:val="bottom"/>
          </w:tcPr>
          <w:p>
            <w:pPr>
              <w:spacing w:after="0"/>
              <w:rPr>
                <w:sz w:val="1"/>
                <w:szCs w:val="1"/>
                <w:color w:val="auto"/>
              </w:rPr>
            </w:pPr>
          </w:p>
        </w:tc>
      </w:tr>
      <w:tr>
        <w:trPr>
          <w:trHeight w:val="150"/>
        </w:trPr>
        <w:tc>
          <w:tcPr>
            <w:tcW w:w="35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Issuance of equity and contribution of assets</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68"/>
        </w:trPr>
        <w:tc>
          <w:tcPr>
            <w:tcW w:w="3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pursuant to the Yahsat JV formation</w:t>
            </w: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3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(103,368)</w:t>
            </w:r>
          </w:p>
        </w:tc>
        <w:tc>
          <w:tcPr>
            <w:tcW w:w="0" w:type="dxa"/>
            <w:vAlign w:val="bottom"/>
          </w:tcPr>
          <w:p>
            <w:pPr>
              <w:spacing w:after="0"/>
              <w:rPr>
                <w:sz w:val="1"/>
                <w:szCs w:val="1"/>
                <w:color w:val="auto"/>
              </w:rPr>
            </w:pPr>
          </w:p>
        </w:tc>
      </w:tr>
      <w:tr>
        <w:trPr>
          <w:trHeight w:val="186"/>
        </w:trPr>
        <w:tc>
          <w:tcPr>
            <w:tcW w:w="358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(65,707)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(72,580)</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86"/>
        </w:trPr>
        <w:tc>
          <w:tcPr>
            <w:tcW w:w="35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4"/>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3,311,861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558,034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3,584,268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3,321,426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3,607,250</w:t>
            </w:r>
          </w:p>
        </w:tc>
        <w:tc>
          <w:tcPr>
            <w:tcW w:w="0" w:type="dxa"/>
            <w:vAlign w:val="bottom"/>
          </w:tcPr>
          <w:p>
            <w:pPr>
              <w:spacing w:after="0"/>
              <w:rPr>
                <w:sz w:val="1"/>
                <w:szCs w:val="1"/>
                <w:color w:val="auto"/>
              </w:rPr>
            </w:pPr>
          </w:p>
        </w:tc>
      </w:tr>
      <w:tr>
        <w:trPr>
          <w:trHeight w:val="186"/>
        </w:trPr>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Employee benefits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85"/>
        </w:trPr>
        <w:tc>
          <w:tcPr>
            <w:tcW w:w="3580" w:type="dxa"/>
            <w:vAlign w:val="bottom"/>
          </w:tcPr>
          <w:p>
            <w:pPr>
              <w:ind w:left="24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4,815</w:t>
            </w:r>
          </w:p>
        </w:tc>
        <w:tc>
          <w:tcPr>
            <w:tcW w:w="0" w:type="dxa"/>
            <w:vAlign w:val="bottom"/>
          </w:tcPr>
          <w:p>
            <w:pPr>
              <w:spacing w:after="0"/>
              <w:rPr>
                <w:sz w:val="1"/>
                <w:szCs w:val="1"/>
                <w:color w:val="auto"/>
              </w:rPr>
            </w:pPr>
          </w:p>
        </w:tc>
      </w:tr>
      <w:tr>
        <w:trPr>
          <w:trHeight w:val="186"/>
        </w:trPr>
        <w:tc>
          <w:tcPr>
            <w:tcW w:w="3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w:t>
            </w: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9,880</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115,814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112,587</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(168,957)</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3,337,190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(182,226)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699,405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(343,869)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74,299</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3,584,905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93"/>
        </w:trPr>
        <w:tc>
          <w:tcPr>
            <w:tcW w:w="1380" w:type="dxa"/>
            <w:vAlign w:val="bottom"/>
            <w:tcBorders>
              <w:top w:val="single" w:sz="8" w:color="0000FF"/>
            </w:tcBorders>
          </w:tcPr>
          <w:p>
            <w:pPr>
              <w:spacing w:after="0"/>
              <w:rPr>
                <w:sz w:val="24"/>
                <w:szCs w:val="24"/>
                <w:color w:val="auto"/>
              </w:rPr>
            </w:pPr>
          </w:p>
        </w:tc>
        <w:tc>
          <w:tcPr>
            <w:tcW w:w="6580" w:type="dxa"/>
            <w:vAlign w:val="bottom"/>
          </w:tcPr>
          <w:p>
            <w:pPr>
              <w:jc w:val="center"/>
              <w:ind w:left="1832"/>
              <w:spacing w:after="0"/>
              <w:rPr>
                <w:sz w:val="20"/>
                <w:szCs w:val="20"/>
                <w:color w:val="auto"/>
              </w:rPr>
            </w:pPr>
            <w:r>
              <w:rPr>
                <w:rFonts w:ascii="Arial" w:cs="Arial" w:eastAsia="Arial" w:hAnsi="Arial"/>
                <w:sz w:val="18"/>
                <w:szCs w:val="18"/>
                <w:b w:val="1"/>
                <w:bCs w:val="1"/>
                <w:color w:val="auto"/>
                <w:w w:val="97"/>
              </w:rPr>
              <w:t>ECHOSTAR CORPORATION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6580" w:type="dxa"/>
            <w:vAlign w:val="bottom"/>
          </w:tcPr>
          <w:p>
            <w:pPr>
              <w:jc w:val="center"/>
              <w:ind w:left="1812"/>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2"/>
        </w:trPr>
        <w:tc>
          <w:tcPr>
            <w:tcW w:w="1380" w:type="dxa"/>
            <w:vAlign w:val="bottom"/>
          </w:tcPr>
          <w:p>
            <w:pPr>
              <w:spacing w:after="0"/>
              <w:rPr>
                <w:sz w:val="18"/>
                <w:szCs w:val="18"/>
                <w:color w:val="auto"/>
              </w:rPr>
            </w:pPr>
          </w:p>
        </w:tc>
        <w:tc>
          <w:tcPr>
            <w:tcW w:w="6580" w:type="dxa"/>
            <w:vAlign w:val="bottom"/>
          </w:tcPr>
          <w:p>
            <w:pPr>
              <w:jc w:val="center"/>
              <w:ind w:left="1832"/>
              <w:spacing w:after="0"/>
              <w:rPr>
                <w:sz w:val="20"/>
                <w:szCs w:val="20"/>
                <w:color w:val="auto"/>
              </w:rPr>
            </w:pPr>
            <w:r>
              <w:rPr>
                <w:rFonts w:ascii="Arial" w:cs="Arial" w:eastAsia="Arial" w:hAnsi="Arial"/>
                <w:sz w:val="18"/>
                <w:szCs w:val="18"/>
                <w:color w:val="auto"/>
                <w:w w:val="97"/>
              </w:rPr>
              <w:t>(Amounts in thousands)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6580" w:type="dxa"/>
            <w:vAlign w:val="bottom"/>
          </w:tcPr>
          <w:p>
            <w:pPr>
              <w:jc w:val="center"/>
              <w:ind w:left="1812"/>
              <w:spacing w:after="0"/>
              <w:rPr>
                <w:sz w:val="20"/>
                <w:szCs w:val="20"/>
                <w:color w:val="auto"/>
              </w:rPr>
            </w:pPr>
            <w:r>
              <w:rPr>
                <w:rFonts w:ascii="Arial" w:cs="Arial" w:eastAsia="Arial" w:hAnsi="Arial"/>
                <w:sz w:val="18"/>
                <w:szCs w:val="18"/>
                <w:color w:val="auto"/>
                <w:w w:val="97"/>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45"/>
        </w:trPr>
        <w:tc>
          <w:tcPr>
            <w:tcW w:w="13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9"/>
              </w:rPr>
              <w:t>For the six months ended June 30,</w:t>
            </w:r>
          </w:p>
        </w:tc>
      </w:tr>
      <w:tr>
        <w:trPr>
          <w:trHeight w:val="219"/>
        </w:trPr>
        <w:tc>
          <w:tcPr>
            <w:tcW w:w="138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8"/>
                <w:szCs w:val="18"/>
                <w:b w:val="1"/>
                <w:bCs w:val="1"/>
                <w:color w:val="auto"/>
              </w:rPr>
              <w:t>2020</w:t>
            </w:r>
          </w:p>
        </w:tc>
      </w:tr>
      <w:tr>
        <w:trPr>
          <w:trHeight w:val="192"/>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0"/>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112,587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(72,580)</w:t>
            </w:r>
          </w:p>
        </w:tc>
      </w:tr>
      <w:tr>
        <w:trPr>
          <w:trHeight w:val="214"/>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Adjustments to reconcile net income (loss) to cash flows provided by (used for) operating activities: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9"/>
        </w:trPr>
        <w:tc>
          <w:tcPr>
            <w:tcW w:w="7960" w:type="dxa"/>
            <w:vAlign w:val="bottom"/>
            <w:gridSpan w:val="2"/>
          </w:tcPr>
          <w:p>
            <w:pPr>
              <w:ind w:left="4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248,268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262,255</w:t>
            </w:r>
          </w:p>
        </w:tc>
      </w:tr>
      <w:tr>
        <w:trPr>
          <w:trHeight w:val="228"/>
        </w:trPr>
        <w:tc>
          <w:tcPr>
            <w:tcW w:w="7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long-lived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960" w:type="dxa"/>
            <w:vAlign w:val="bottom"/>
            <w:gridSpan w:val="2"/>
          </w:tcPr>
          <w:p>
            <w:pPr>
              <w:ind w:left="440"/>
              <w:spacing w:after="0"/>
              <w:rPr>
                <w:sz w:val="20"/>
                <w:szCs w:val="20"/>
                <w:color w:val="auto"/>
              </w:rPr>
            </w:pPr>
            <w:r>
              <w:rPr>
                <w:rFonts w:ascii="Arial" w:cs="Arial" w:eastAsia="Arial" w:hAnsi="Arial"/>
                <w:sz w:val="16"/>
                <w:szCs w:val="16"/>
                <w:color w:val="auto"/>
              </w:rPr>
              <w:t>Losses (gains) on investments,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(109,233)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52,762</w:t>
            </w:r>
          </w:p>
        </w:tc>
      </w:tr>
      <w:tr>
        <w:trPr>
          <w:trHeight w:val="214"/>
        </w:trPr>
        <w:tc>
          <w:tcPr>
            <w:tcW w:w="7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w:t>
            </w:r>
          </w:p>
        </w:tc>
      </w:tr>
      <w:tr>
        <w:trPr>
          <w:trHeight w:val="209"/>
        </w:trPr>
        <w:tc>
          <w:tcPr>
            <w:tcW w:w="7960" w:type="dxa"/>
            <w:vAlign w:val="bottom"/>
            <w:gridSpan w:val="2"/>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9,284</w:t>
            </w:r>
          </w:p>
        </w:tc>
      </w:tr>
      <w:tr>
        <w:trPr>
          <w:trHeight w:val="215"/>
        </w:trPr>
        <w:tc>
          <w:tcPr>
            <w:tcW w:w="7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Deferred tax provision (benefit),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r>
      <w:tr>
        <w:trPr>
          <w:trHeight w:val="210"/>
        </w:trPr>
        <w:tc>
          <w:tcPr>
            <w:tcW w:w="796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4,509</w:t>
            </w:r>
          </w:p>
        </w:tc>
      </w:tr>
      <w:tr>
        <w:trPr>
          <w:trHeight w:val="214"/>
        </w:trPr>
        <w:tc>
          <w:tcPr>
            <w:tcW w:w="79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r>
      <w:tr>
        <w:trPr>
          <w:trHeight w:val="209"/>
        </w:trPr>
        <w:tc>
          <w:tcPr>
            <w:tcW w:w="7960" w:type="dxa"/>
            <w:vAlign w:val="bottom"/>
            <w:gridSpan w:val="2"/>
          </w:tcPr>
          <w:p>
            <w:pPr>
              <w:ind w:left="44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(7,295)</w:t>
            </w:r>
          </w:p>
        </w:tc>
      </w:tr>
      <w:tr>
        <w:trPr>
          <w:trHeight w:val="214"/>
        </w:trPr>
        <w:tc>
          <w:tcPr>
            <w:tcW w:w="796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(5,262)</w:t>
            </w:r>
          </w:p>
        </w:tc>
      </w:tr>
      <w:tr>
        <w:trPr>
          <w:trHeight w:val="214"/>
        </w:trPr>
        <w:tc>
          <w:tcPr>
            <w:tcW w:w="7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current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(11,642)</w:t>
            </w:r>
          </w:p>
        </w:tc>
      </w:tr>
      <w:tr>
        <w:trPr>
          <w:trHeight w:val="210"/>
        </w:trPr>
        <w:tc>
          <w:tcPr>
            <w:tcW w:w="7960" w:type="dxa"/>
            <w:vAlign w:val="bottom"/>
            <w:gridSpan w:val="2"/>
          </w:tcPr>
          <w:p>
            <w:pPr>
              <w:ind w:left="660"/>
              <w:spacing w:after="0"/>
              <w:rPr>
                <w:sz w:val="20"/>
                <w:szCs w:val="20"/>
                <w:color w:val="auto"/>
              </w:rPr>
            </w:pPr>
            <w:r>
              <w:rPr>
                <w:rFonts w:ascii="Arial" w:cs="Arial" w:eastAsia="Arial" w:hAnsi="Arial"/>
                <w:sz w:val="16"/>
                <w:szCs w:val="16"/>
                <w:color w:val="auto"/>
              </w:rPr>
              <w:t>Trade accounts payable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(11,701)</w:t>
            </w:r>
          </w:p>
        </w:tc>
      </w:tr>
      <w:tr>
        <w:trPr>
          <w:trHeight w:val="214"/>
        </w:trPr>
        <w:tc>
          <w:tcPr>
            <w:tcW w:w="7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Contract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(11,229)</w:t>
            </w:r>
          </w:p>
        </w:tc>
      </w:tr>
      <w:tr>
        <w:trPr>
          <w:trHeight w:val="209"/>
        </w:trPr>
        <w:tc>
          <w:tcPr>
            <w:tcW w:w="7960" w:type="dxa"/>
            <w:vAlign w:val="bottom"/>
            <w:gridSpan w:val="2"/>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27,050</w:t>
            </w:r>
          </w:p>
        </w:tc>
      </w:tr>
      <w:tr>
        <w:trPr>
          <w:trHeight w:val="215"/>
        </w:trPr>
        <w:tc>
          <w:tcPr>
            <w:tcW w:w="7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5,729</w:t>
            </w:r>
          </w:p>
        </w:tc>
      </w:tr>
      <w:tr>
        <w:trPr>
          <w:trHeight w:val="203"/>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308,640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245,280</w:t>
            </w:r>
          </w:p>
        </w:tc>
      </w:tr>
      <w:tr>
        <w:trPr>
          <w:trHeight w:val="194"/>
        </w:trPr>
        <w:tc>
          <w:tcPr>
            <w:tcW w:w="1380" w:type="dxa"/>
            <w:vAlign w:val="bottom"/>
            <w:shd w:val="clear" w:color="auto" w:fill="CCEEFF"/>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2"/>
        </w:trPr>
        <w:tc>
          <w:tcPr>
            <w:tcW w:w="79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(939,255)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(555,367)</w:t>
            </w:r>
          </w:p>
        </w:tc>
      </w:tr>
      <w:tr>
        <w:trPr>
          <w:trHeight w:val="210"/>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Sales and maturities of marketable investment securities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1,824,332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977,532</w:t>
            </w:r>
          </w:p>
        </w:tc>
      </w:tr>
      <w:tr>
        <w:trPr>
          <w:trHeight w:val="215"/>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(196,904)</w:t>
            </w: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Expenditures for externally marketed software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(19,237)</w:t>
            </w:r>
          </w:p>
        </w:tc>
      </w:tr>
      <w:tr>
        <w:trPr>
          <w:trHeight w:val="215"/>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other investments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0"/>
        </w:trPr>
        <w:tc>
          <w:tcPr>
            <w:tcW w:w="7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Sales of other investments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566,292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200,524</w:t>
            </w:r>
          </w:p>
        </w:tc>
      </w:tr>
      <w:tr>
        <w:trPr>
          <w:trHeight w:val="195"/>
        </w:trPr>
        <w:tc>
          <w:tcPr>
            <w:tcW w:w="13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2"/>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Repurchase and maturity of the 2021 Senior Unsecured Notes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(901,818)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Payment of finance lease obligations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0"/>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15"/>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proceeds from Class A common stock options exercised</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0"/>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Net proceeds from Class A common stock issued under the Employee Stock Purchase Plan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5,300</w:t>
            </w:r>
          </w:p>
        </w:tc>
      </w:tr>
      <w:tr>
        <w:trPr>
          <w:trHeight w:val="215"/>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Treasury share repurchase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Contribution by non-controlling interest holder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3"/>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(1,053,818)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9,075</w:t>
            </w:r>
          </w:p>
        </w:tc>
      </w:tr>
      <w:tr>
        <w:trPr>
          <w:trHeight w:val="194"/>
        </w:trPr>
        <w:tc>
          <w:tcPr>
            <w:tcW w:w="1380" w:type="dxa"/>
            <w:vAlign w:val="bottom"/>
            <w:shd w:val="clear" w:color="auto" w:fill="CCEEFF"/>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0"/>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(19,232)</w:t>
            </w:r>
          </w:p>
        </w:tc>
      </w:tr>
      <w:tr>
        <w:trPr>
          <w:trHeight w:val="208"/>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435,647</w:t>
            </w:r>
          </w:p>
        </w:tc>
      </w:tr>
      <w:tr>
        <w:trPr>
          <w:trHeight w:val="209"/>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3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717,483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1,957,536</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6" w:lineRule="exact"/>
        <w:rPr>
          <w:sz w:val="20"/>
          <w:szCs w:val="20"/>
          <w:color w:val="auto"/>
        </w:rPr>
      </w:pPr>
    </w:p>
    <w:p>
      <w:pPr>
        <w:jc w:val="both"/>
        <w:ind w:left="640" w:hanging="316"/>
        <w:spacing w:after="0" w:line="252"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40" w:hanging="316"/>
        <w:spacing w:after="0" w:line="261"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United States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14. Segment Reporting</w:t>
      </w:r>
      <w:r>
        <w:rPr>
          <w:rFonts w:ascii="Arial" w:cs="Arial" w:eastAsia="Arial" w:hAnsi="Arial"/>
          <w:sz w:val="18"/>
          <w:szCs w:val="18"/>
          <w:color w:val="auto"/>
        </w:rPr>
        <w:t xml:space="preserve"> for further detail.</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12"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On January 1, 2021, we adopted Accounting Standard Update (“ASU”) No. 2019-12 -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Financial Accounting Standards Board (“FASB”) overall simplification initiative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seeks to simplify the accounting for income taxes by updating certain guidance and removing certain exceptions. Our adoption of this ASU did not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9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79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Trade accounts receivable and contract assets, net:</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149,204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149,513</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8"/>
        </w:trPr>
        <w:tc>
          <w:tcPr>
            <w:tcW w:w="7960" w:type="dxa"/>
            <w:vAlign w:val="bottom"/>
          </w:tcPr>
          <w:p>
            <w:pPr>
              <w:ind w:left="460"/>
              <w:spacing w:after="0" w:line="204" w:lineRule="exact"/>
              <w:rPr>
                <w:sz w:val="20"/>
                <w:szCs w:val="20"/>
                <w:color w:val="auto"/>
              </w:rPr>
            </w:pPr>
            <w:r>
              <w:rPr>
                <w:rFonts w:ascii="Arial" w:cs="Arial" w:eastAsia="Arial" w:hAnsi="Arial"/>
                <w:sz w:val="18"/>
                <w:szCs w:val="18"/>
                <w:color w:val="auto"/>
              </w:rPr>
              <w:t>Total trade accounts receivable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154,067</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trade accounts receivable and 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127,820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104,569</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0" w:type="dxa"/>
            <w:vAlign w:val="bottom"/>
          </w:tcPr>
          <w:p>
            <w:pPr>
              <w:spacing w:after="0"/>
              <w:rPr>
                <w:sz w:val="1"/>
                <w:szCs w:val="1"/>
                <w:color w:val="auto"/>
              </w:rPr>
            </w:pPr>
          </w:p>
        </w:tc>
      </w:tr>
      <w:tr>
        <w:trPr>
          <w:trHeight w:val="218"/>
        </w:trPr>
        <w:tc>
          <w:tcPr>
            <w:tcW w:w="7960" w:type="dxa"/>
            <w:vAlign w:val="bottom"/>
          </w:tcPr>
          <w:p>
            <w:pPr>
              <w:ind w:left="460"/>
              <w:spacing w:after="0" w:line="204" w:lineRule="exact"/>
              <w:rPr>
                <w:sz w:val="20"/>
                <w:szCs w:val="20"/>
                <w:color w:val="auto"/>
              </w:rPr>
            </w:pPr>
            <w:r>
              <w:rPr>
                <w:rFonts w:ascii="Arial" w:cs="Arial" w:eastAsia="Arial" w:hAnsi="Arial"/>
                <w:sz w:val="18"/>
                <w:szCs w:val="18"/>
                <w:color w:val="auto"/>
              </w:rPr>
              <w:t>Total 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115,088</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revenue recognized in the Consolidated Statement of Operations that was previously included within contract liabilities: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1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For the 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65,022</w:t>
            </w: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Acquisition Costs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440" w:type="dxa"/>
            <w:vAlign w:val="bottom"/>
            <w:gridSpan w:val="4"/>
          </w:tcPr>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92"/>
              <w:spacing w:after="0"/>
              <w:rPr>
                <w:sz w:val="20"/>
                <w:szCs w:val="20"/>
                <w:color w:val="auto"/>
              </w:rPr>
            </w:pPr>
            <w:r>
              <w:rPr>
                <w:rFonts w:ascii="Arial" w:cs="Arial" w:eastAsia="Arial" w:hAnsi="Arial"/>
                <w:sz w:val="18"/>
                <w:szCs w:val="18"/>
                <w:b w:val="1"/>
                <w:bCs w:val="1"/>
                <w:color w:val="auto"/>
                <w:w w:val="99"/>
              </w:rPr>
              <w:t>For the six months ended June 30,</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0" w:type="dxa"/>
            <w:vAlign w:val="bottom"/>
          </w:tcPr>
          <w:p>
            <w:pPr>
              <w:spacing w:after="0"/>
              <w:rPr>
                <w:sz w:val="1"/>
                <w:szCs w:val="1"/>
                <w:color w:val="auto"/>
              </w:rPr>
            </w:pP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49,366</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(51,265)</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3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92,723</w:t>
            </w: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right="2260"/>
        <w:spacing w:after="0" w:line="251" w:lineRule="auto"/>
        <w:rPr>
          <w:sz w:val="20"/>
          <w:szCs w:val="20"/>
          <w:color w:val="auto"/>
        </w:rPr>
      </w:pPr>
      <w:r>
        <w:rPr>
          <w:rFonts w:ascii="Arial" w:cs="Arial" w:eastAsia="Arial" w:hAnsi="Arial"/>
          <w:sz w:val="18"/>
          <w:szCs w:val="18"/>
          <w:color w:val="auto"/>
        </w:rPr>
        <w:t>We recognized amortization expenses related to contract acquisition costs of $22.4 million and $25.6 million for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2021, the remaining performance obligations for our customer contracts with original expected durations of more than one year was $991.2 million. Performance obligations expected to be satisfied within one year and greater than one year are 38% and 62%,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June 30,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405,101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412,657</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46,996</w:t>
            </w: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384,623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390,817</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34,588</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459,466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803,860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818,117</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90,026</w:t>
            </w: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74,273</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767,338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780,624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68,109</w:t>
            </w: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76,399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76,399</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June 30,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418,547</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431,279</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35,057</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8"/>
        </w:trPr>
        <w:tc>
          <w:tcPr>
            <w:tcW w:w="4800" w:type="dxa"/>
            <w:vAlign w:val="bottom"/>
          </w:tcPr>
          <w:p>
            <w:pPr>
              <w:ind w:left="66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68,555</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403,254</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417,043</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22,668</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8"/>
        </w:trPr>
        <w:tc>
          <w:tcPr>
            <w:tcW w:w="4800" w:type="dxa"/>
            <w:vAlign w:val="bottom"/>
          </w:tcPr>
          <w:p>
            <w:pPr>
              <w:ind w:left="66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42,423</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459,466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835,920</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861,616</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59,555</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56,693</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8"/>
        </w:trPr>
        <w:tc>
          <w:tcPr>
            <w:tcW w:w="4800" w:type="dxa"/>
            <w:vAlign w:val="bottom"/>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120,795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120,800</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797,307</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825,400</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54,225</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8"/>
        </w:trPr>
        <w:tc>
          <w:tcPr>
            <w:tcW w:w="4800" w:type="dxa"/>
            <w:vAlign w:val="bottom"/>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99,732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99,732</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05"/>
        </w:trPr>
        <w:tc>
          <w:tcPr>
            <w:tcW w:w="4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Sales-type lease 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2,150</w:t>
            </w:r>
          </w:p>
        </w:tc>
      </w:tr>
      <w:tr>
        <w:trPr>
          <w:trHeight w:val="225"/>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8"/>
        </w:trPr>
        <w:tc>
          <w:tcPr>
            <w:tcW w:w="4820" w:type="dxa"/>
            <w:vAlign w:val="bottom"/>
          </w:tcPr>
          <w:p>
            <w:pPr>
              <w:ind w:left="440"/>
              <w:spacing w:after="0"/>
              <w:rPr>
                <w:sz w:val="20"/>
                <w:szCs w:val="20"/>
                <w:color w:val="auto"/>
              </w:rPr>
            </w:pPr>
            <w:r>
              <w:rPr>
                <w:rFonts w:ascii="Arial" w:cs="Arial" w:eastAsia="Arial" w:hAnsi="Arial"/>
                <w:sz w:val="18"/>
                <w:szCs w:val="18"/>
                <w:color w:val="auto"/>
              </w:rPr>
              <w:t>Total sales-type lease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25"/>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27,929</w:t>
            </w:r>
          </w:p>
        </w:tc>
      </w:tr>
      <w:tr>
        <w:trPr>
          <w:trHeight w:val="219"/>
        </w:trPr>
        <w:tc>
          <w:tcPr>
            <w:tcW w:w="4820" w:type="dxa"/>
            <w:vAlign w:val="bottom"/>
          </w:tcPr>
          <w:p>
            <w:pPr>
              <w:ind w:left="240"/>
              <w:spacing w:after="0"/>
              <w:rPr>
                <w:sz w:val="20"/>
                <w:szCs w:val="20"/>
                <w:color w:val="auto"/>
              </w:rPr>
            </w:pPr>
            <w:r>
              <w:rPr>
                <w:rFonts w:ascii="Arial" w:cs="Arial" w:eastAsia="Arial" w:hAnsi="Arial"/>
                <w:sz w:val="18"/>
                <w:szCs w:val="18"/>
                <w:color w:val="auto"/>
              </w:rPr>
              <w:t>Total lease revenue</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30,243</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EARNINGS PER SHARE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Net income (loss) attributable to EchoStar Corporation</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37,295</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115,814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0" w:type="dxa"/>
            <w:vAlign w:val="bottom"/>
          </w:tcPr>
          <w:p>
            <w:pPr>
              <w:spacing w:after="0"/>
              <w:rPr>
                <w:sz w:val="1"/>
                <w:szCs w:val="1"/>
                <w:color w:val="auto"/>
              </w:rPr>
            </w:pPr>
          </w:p>
        </w:tc>
      </w:tr>
      <w:tr>
        <w:trPr>
          <w:trHeight w:val="206"/>
        </w:trPr>
        <w:tc>
          <w:tcPr>
            <w:tcW w:w="48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97,879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97,845</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impact of stock awards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20" w:type="dxa"/>
            <w:vAlign w:val="bottom"/>
          </w:tcPr>
          <w:p>
            <w:pPr>
              <w:ind w:left="240"/>
              <w:spacing w:after="0" w:line="204"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97,879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92,296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97,845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3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98"/>
              </w:rPr>
              <w:t>For the three months ended June 30,</w:t>
            </w:r>
          </w:p>
        </w:tc>
        <w:tc>
          <w:tcPr>
            <w:tcW w:w="100" w:type="dxa"/>
            <w:vAlign w:val="bottom"/>
          </w:tcPr>
          <w:p>
            <w:pPr>
              <w:spacing w:after="0"/>
              <w:rPr>
                <w:sz w:val="20"/>
                <w:szCs w:val="20"/>
                <w:color w:val="auto"/>
              </w:rPr>
            </w:pPr>
          </w:p>
        </w:tc>
        <w:tc>
          <w:tcPr>
            <w:tcW w:w="316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5.  MARKETABLE INVESTMENT SECURITIES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840" w:type="dxa"/>
            <w:vAlign w:val="bottom"/>
            <w:gridSpan w:val="2"/>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584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Marketable investment securities:</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40" w:type="dxa"/>
            <w:vAlign w:val="bottom"/>
            <w:gridSpan w:val="2"/>
          </w:tcPr>
          <w:p>
            <w:pPr>
              <w:ind w:left="240"/>
              <w:spacing w:after="0"/>
              <w:rPr>
                <w:sz w:val="20"/>
                <w:szCs w:val="20"/>
                <w:color w:val="auto"/>
              </w:rPr>
            </w:pPr>
            <w:r>
              <w:rPr>
                <w:rFonts w:ascii="Arial" w:cs="Arial" w:eastAsia="Arial" w:hAnsi="Arial"/>
                <w:sz w:val="18"/>
                <w:szCs w:val="18"/>
                <w:b w:val="1"/>
                <w:bCs w:val="1"/>
                <w:color w:val="auto"/>
              </w:rPr>
              <w:t>Available-for-sale debt securities: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179,548</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25"/>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Commercial paper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427,542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18"/>
        </w:trPr>
        <w:tc>
          <w:tcPr>
            <w:tcW w:w="5840" w:type="dxa"/>
            <w:vAlign w:val="bottom"/>
            <w:gridSpan w:val="2"/>
          </w:tcPr>
          <w:p>
            <w:pPr>
              <w:ind w:left="660"/>
              <w:spacing w:after="0" w:line="204" w:lineRule="exact"/>
              <w:rPr>
                <w:sz w:val="20"/>
                <w:szCs w:val="20"/>
                <w:color w:val="auto"/>
              </w:rPr>
            </w:pPr>
            <w:r>
              <w:rPr>
                <w:rFonts w:ascii="Arial" w:cs="Arial" w:eastAsia="Arial" w:hAnsi="Arial"/>
                <w:sz w:val="18"/>
                <w:szCs w:val="18"/>
                <w:color w:val="auto"/>
              </w:rPr>
              <w:t>Total available-for-sale debt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668,917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18"/>
        </w:trPr>
        <w:tc>
          <w:tcPr>
            <w:tcW w:w="5840" w:type="dxa"/>
            <w:vAlign w:val="bottom"/>
            <w:gridSpan w:val="2"/>
          </w:tcPr>
          <w:p>
            <w:pPr>
              <w:ind w:left="440"/>
              <w:spacing w:after="0" w:line="204" w:lineRule="exact"/>
              <w:rPr>
                <w:sz w:val="20"/>
                <w:szCs w:val="20"/>
                <w:color w:val="auto"/>
              </w:rPr>
            </w:pPr>
            <w:r>
              <w:rPr>
                <w:rFonts w:ascii="Arial" w:cs="Arial" w:eastAsia="Arial" w:hAnsi="Arial"/>
                <w:sz w:val="18"/>
                <w:szCs w:val="18"/>
                <w:color w:val="auto"/>
                <w:w w:val="99"/>
              </w:rPr>
              <w:t>Total marketable investment securities, including restricted amounts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855,745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1,647,361</w:t>
            </w: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18"/>
        </w:trPr>
        <w:tc>
          <w:tcPr>
            <w:tcW w:w="5840" w:type="dxa"/>
            <w:vAlign w:val="bottom"/>
            <w:gridSpan w:val="2"/>
          </w:tcPr>
          <w:p>
            <w:pPr>
              <w:ind w:left="440"/>
              <w:spacing w:after="0" w:line="204" w:lineRule="exact"/>
              <w:rPr>
                <w:sz w:val="20"/>
                <w:szCs w:val="20"/>
                <w:color w:val="auto"/>
              </w:rPr>
            </w:pPr>
            <w:r>
              <w:rPr>
                <w:rFonts w:ascii="Arial" w:cs="Arial" w:eastAsia="Arial" w:hAnsi="Arial"/>
                <w:sz w:val="18"/>
                <w:szCs w:val="18"/>
                <w:color w:val="auto"/>
              </w:rPr>
              <w:t>Total marketable investment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841,521</w:t>
            </w:r>
          </w:p>
        </w:tc>
        <w:tc>
          <w:tcPr>
            <w:tcW w:w="6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1,638,271</w:t>
            </w:r>
          </w:p>
        </w:tc>
        <w:tc>
          <w:tcPr>
            <w:tcW w:w="0" w:type="dxa"/>
            <w:vAlign w:val="bottom"/>
          </w:tcPr>
          <w:p>
            <w:pPr>
              <w:spacing w:after="0"/>
              <w:rPr>
                <w:sz w:val="1"/>
                <w:szCs w:val="1"/>
                <w:color w:val="auto"/>
              </w:rPr>
            </w:pPr>
          </w:p>
        </w:tc>
      </w:tr>
      <w:tr>
        <w:trPr>
          <w:trHeight w:val="21"/>
        </w:trPr>
        <w:tc>
          <w:tcPr>
            <w:tcW w:w="5840" w:type="dxa"/>
            <w:vAlign w:val="bottom"/>
            <w:gridSpan w:val="2"/>
            <w:vMerge w:val="restart"/>
          </w:tcPr>
          <w:p>
            <w:pPr>
              <w:ind w:left="552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5"/>
        </w:trPr>
        <w:tc>
          <w:tcPr>
            <w:tcW w:w="58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Amortized</w:t>
            </w: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0"/>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2021</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179,536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179,548</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427,542</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61,827</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668,917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25"/>
        </w:trPr>
        <w:tc>
          <w:tcPr>
            <w:tcW w:w="48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18"/>
        </w:trPr>
        <w:tc>
          <w:tcPr>
            <w:tcW w:w="4800" w:type="dxa"/>
            <w:vAlign w:val="bottom"/>
          </w:tcPr>
          <w:p>
            <w:pPr>
              <w:ind w:left="460"/>
              <w:spacing w:after="0" w:line="204"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1,622,882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80" w:type="dxa"/>
            <w:vAlign w:val="bottom"/>
            <w:gridSpan w:val="7"/>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3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2021, we have $558.0 million of available-for-sale debt securities with contractual maturities of one year or less and $110.9 million with contractual maturities greater than one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Option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8"/>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3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investments, net</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of our equity securities: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820" w:type="dxa"/>
            <w:vAlign w:val="bottom"/>
          </w:tcPr>
          <w:p>
            <w:pPr>
              <w:ind w:left="20"/>
              <w:spacing w:after="0" w:line="198" w:lineRule="exact"/>
              <w:rPr>
                <w:sz w:val="20"/>
                <w:szCs w:val="20"/>
                <w:color w:val="auto"/>
              </w:rPr>
            </w:pPr>
            <w:r>
              <w:rPr>
                <w:rFonts w:ascii="Arial" w:cs="Arial" w:eastAsia="Arial" w:hAnsi="Arial"/>
                <w:sz w:val="18"/>
                <w:szCs w:val="18"/>
                <w:color w:val="auto"/>
              </w:rPr>
              <w:t>Gains (losses) on investments, net</w:t>
            </w:r>
          </w:p>
        </w:tc>
        <w:tc>
          <w:tcPr>
            <w:tcW w:w="3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28,533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2,512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94,101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(8,603)</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Total</w:t>
            </w:r>
          </w:p>
        </w:tc>
      </w:tr>
      <w:tr>
        <w:trPr>
          <w:trHeight w:val="206"/>
        </w:trPr>
        <w:tc>
          <w:tcPr>
            <w:tcW w:w="62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 of June 30, 2021</w:t>
            </w: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579,979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179,548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179,548</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427,542</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61,827</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668,917</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186,828</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855,745</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(14,224)</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841,521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810,114</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372,746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372,746</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1,622,926</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1,647,361</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(9,090)</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1,638,271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we did not have any investments that were categorized within Level 3 of the fair value hierarchy.</w:t>
      </w:r>
    </w:p>
    <w:p>
      <w:pPr>
        <w:sectPr>
          <w:pgSz w:w="11900" w:h="16838" w:orient="portrait"/>
          <w:cols w:equalWidth="0" w:num="1">
            <w:col w:w="11240"/>
          </w:cols>
          <w:pgMar w:left="320" w:top="140" w:right="339" w:bottom="1440" w:gutter="0" w:footer="0" w:header="0"/>
        </w:sectPr>
      </w:pP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components of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32"/>
              <w:spacing w:after="0" w:line="167"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30"/>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1,651,933</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1,602,076</w:t>
            </w:r>
          </w:p>
        </w:tc>
        <w:tc>
          <w:tcPr>
            <w:tcW w:w="0" w:type="dxa"/>
            <w:vAlign w:val="bottom"/>
          </w:tcPr>
          <w:p>
            <w:pPr>
              <w:spacing w:after="0"/>
              <w:rPr>
                <w:sz w:val="1"/>
                <w:szCs w:val="1"/>
                <w:color w:val="auto"/>
              </w:rPr>
            </w:pPr>
          </w:p>
        </w:tc>
      </w:tr>
      <w:tr>
        <w:trPr>
          <w:trHeight w:val="226"/>
        </w:trPr>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788,237</w:t>
            </w:r>
          </w:p>
        </w:tc>
        <w:tc>
          <w:tcPr>
            <w:tcW w:w="0" w:type="dxa"/>
            <w:vAlign w:val="bottom"/>
          </w:tcPr>
          <w:p>
            <w:pPr>
              <w:spacing w:after="0"/>
              <w:rPr>
                <w:sz w:val="1"/>
                <w:szCs w:val="1"/>
                <w:color w:val="auto"/>
              </w:rPr>
            </w:pPr>
          </w:p>
        </w:tc>
      </w:tr>
      <w:tr>
        <w:trPr>
          <w:trHeight w:val="219"/>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2,431,653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2,390,313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June 30, 2021, our operating satellite fleet consisted of ten satellites, seven of which are owned and three of which are leased. They are all in geosynchronous orbit, approximately 22,300 miles above the equator.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satellite fleet as of June 30, 2021 which consists of both owned and leased satellites: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Depreciable Life</w:t>
            </w:r>
          </w:p>
        </w:tc>
        <w:tc>
          <w:tcPr>
            <w:tcW w:w="0" w:type="dxa"/>
            <w:vAlign w:val="bottom"/>
          </w:tcPr>
          <w:p>
            <w:pPr>
              <w:spacing w:after="0"/>
              <w:rPr>
                <w:sz w:val="1"/>
                <w:szCs w:val="1"/>
                <w:color w:val="auto"/>
              </w:rPr>
            </w:pPr>
          </w:p>
        </w:tc>
      </w:tr>
      <w:tr>
        <w:trPr>
          <w:trHeight w:val="172"/>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Satellite</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Segment</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Launch Date</w:t>
            </w:r>
          </w:p>
        </w:tc>
        <w:tc>
          <w:tcPr>
            <w:tcW w:w="192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98"/>
              </w:rPr>
              <w:t>Orbital Location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8"/>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2"/>
                <w:szCs w:val="22"/>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2"/>
                <w:szCs w:val="22"/>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2"/>
                <w:szCs w:val="22"/>
                <w:color w:val="auto"/>
                <w:vertAlign w:val="superscript"/>
              </w:rPr>
              <w:t>(3)</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2"/>
                <w:szCs w:val="22"/>
                <w:color w:val="auto"/>
                <w:vertAlign w:val="superscript"/>
              </w:rPr>
              <w:t>(4)</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June 2017</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hanging="314"/>
        <w:spacing w:after="0" w:line="237" w:lineRule="auto"/>
        <w:tabs>
          <w:tab w:leader="none" w:pos="346"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20" w:hanging="314"/>
        <w:spacing w:after="0" w:line="237"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4"/>
        <w:spacing w:after="0" w:line="23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ind w:left="320" w:hanging="314"/>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680" w:type="dxa"/>
            <w:vAlign w:val="bottom"/>
            <w:gridSpan w:val="2"/>
          </w:tcPr>
          <w:p>
            <w:pPr>
              <w:jc w:val="center"/>
              <w:ind w:right="120"/>
              <w:spacing w:after="0" w:line="180" w:lineRule="exact"/>
              <w:rPr>
                <w:sz w:val="20"/>
                <w:szCs w:val="20"/>
                <w:color w:val="auto"/>
              </w:rPr>
            </w:pPr>
            <w:r>
              <w:rPr>
                <w:rFonts w:ascii="Arial" w:cs="Arial" w:eastAsia="Arial" w:hAnsi="Arial"/>
                <w:sz w:val="18"/>
                <w:szCs w:val="18"/>
                <w:b w:val="1"/>
                <w:bCs w:val="1"/>
                <w:color w:val="auto"/>
                <w:w w:val="97"/>
              </w:rPr>
              <w:t>Depreciable Life</w:t>
            </w:r>
          </w:p>
        </w:tc>
        <w:tc>
          <w:tcPr>
            <w:tcW w:w="160" w:type="dxa"/>
            <w:vAlign w:val="bottom"/>
          </w:tcPr>
          <w:p>
            <w:pPr>
              <w:spacing w:after="0"/>
              <w:rPr>
                <w:sz w:val="15"/>
                <w:szCs w:val="15"/>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5"/>
                <w:szCs w:val="15"/>
                <w:color w:val="auto"/>
              </w:rPr>
            </w:pPr>
          </w:p>
        </w:tc>
        <w:tc>
          <w:tcPr>
            <w:tcW w:w="1400" w:type="dxa"/>
            <w:vAlign w:val="bottom"/>
          </w:tcPr>
          <w:p>
            <w:pPr>
              <w:jc w:val="right"/>
              <w:ind w:right="132"/>
              <w:spacing w:after="0" w:line="180"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628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 Years)</w:t>
            </w: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62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Satellites, net:</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1,807,136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1,805,590</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352,245</w:t>
            </w:r>
          </w:p>
        </w:tc>
        <w:tc>
          <w:tcPr>
            <w:tcW w:w="0" w:type="dxa"/>
            <w:vAlign w:val="bottom"/>
          </w:tcPr>
          <w:p>
            <w:pPr>
              <w:spacing w:after="0"/>
              <w:rPr>
                <w:sz w:val="1"/>
                <w:szCs w:val="1"/>
                <w:color w:val="auto"/>
              </w:rPr>
            </w:pP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satellites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2,687,794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2,566,867</w:t>
            </w:r>
          </w:p>
        </w:tc>
        <w:tc>
          <w:tcPr>
            <w:tcW w:w="0" w:type="dxa"/>
            <w:vAlign w:val="bottom"/>
          </w:tcPr>
          <w:p>
            <w:pPr>
              <w:spacing w:after="0"/>
              <w:rPr>
                <w:sz w:val="1"/>
                <w:szCs w:val="1"/>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Satellites - owned</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(890,783)</w:t>
            </w:r>
          </w:p>
        </w:tc>
        <w:tc>
          <w:tcPr>
            <w:tcW w:w="0" w:type="dxa"/>
            <w:vAlign w:val="bottom"/>
          </w:tcPr>
          <w:p>
            <w:pPr>
              <w:spacing w:after="0"/>
              <w:rPr>
                <w:sz w:val="1"/>
                <w:szCs w:val="1"/>
                <w:color w:val="auto"/>
              </w:rPr>
            </w:pPr>
          </w:p>
        </w:tc>
      </w:tr>
      <w:tr>
        <w:trPr>
          <w:trHeight w:val="225"/>
        </w:trPr>
        <w:tc>
          <w:tcPr>
            <w:tcW w:w="6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Satellites - acquired under finance leases</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(74,008)</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auto"/>
              </w:rPr>
              <w:t>Total accumulated depreciation</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(964,791)</w:t>
            </w:r>
          </w:p>
        </w:tc>
        <w:tc>
          <w:tcPr>
            <w:tcW w:w="0" w:type="dxa"/>
            <w:vAlign w:val="bottom"/>
          </w:tcPr>
          <w:p>
            <w:pPr>
              <w:spacing w:after="0"/>
              <w:rPr>
                <w:sz w:val="1"/>
                <w:szCs w:val="1"/>
                <w:color w:val="auto"/>
              </w:rPr>
            </w:pPr>
          </w:p>
        </w:tc>
      </w:tr>
      <w:tr>
        <w:trPr>
          <w:trHeight w:val="218"/>
        </w:trPr>
        <w:tc>
          <w:tcPr>
            <w:tcW w:w="6280" w:type="dxa"/>
            <w:vAlign w:val="bottom"/>
          </w:tcPr>
          <w:p>
            <w:pPr>
              <w:ind w:left="780"/>
              <w:spacing w:after="0" w:line="204" w:lineRule="exact"/>
              <w:rPr>
                <w:sz w:val="20"/>
                <w:szCs w:val="20"/>
                <w:color w:val="auto"/>
              </w:rPr>
            </w:pPr>
            <w:r>
              <w:rPr>
                <w:rFonts w:ascii="Arial" w:cs="Arial" w:eastAsia="Arial" w:hAnsi="Arial"/>
                <w:sz w:val="18"/>
                <w:szCs w:val="18"/>
                <w:color w:val="auto"/>
              </w:rPr>
              <w:t>Total satellites, net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1,651,933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1,602,076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05"/>
        </w:trPr>
        <w:tc>
          <w:tcPr>
            <w:tcW w:w="4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Depreciation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32,073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54,742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64,147</w:t>
            </w:r>
          </w:p>
        </w:tc>
      </w:tr>
      <w:tr>
        <w:trPr>
          <w:trHeight w:val="225"/>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13,218</w:t>
            </w:r>
          </w:p>
        </w:tc>
      </w:tr>
      <w:tr>
        <w:trPr>
          <w:trHeight w:val="219"/>
        </w:trPr>
        <w:tc>
          <w:tcPr>
            <w:tcW w:w="4820" w:type="dxa"/>
            <w:vAlign w:val="bottom"/>
          </w:tcPr>
          <w:p>
            <w:pPr>
              <w:ind w:left="440"/>
              <w:spacing w:after="0"/>
              <w:rPr>
                <w:sz w:val="20"/>
                <w:szCs w:val="20"/>
                <w:color w:val="auto"/>
              </w:rPr>
            </w:pPr>
            <w:r>
              <w:rPr>
                <w:rFonts w:ascii="Arial" w:cs="Arial" w:eastAsia="Arial" w:hAnsi="Arial"/>
                <w:sz w:val="18"/>
                <w:szCs w:val="18"/>
                <w:color w:val="auto"/>
              </w:rPr>
              <w:t>Total depreciation expense</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77,365</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Capital expenditures associated with the construction and launch of the EchoStar XXIV satellite are included in Corporate and Other in our segment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2021 and December 31, 2020 our satellite-related commitments were $385.1 million and $487.7 million, respectively. These include payments pursuant to: i) agreements for the construction of the EchoStar XXIV satellite, ii) the EchoStar XXIV launch contract, iii) to regulatory authorizations, and non-lease costs associated with our finance lease satellites, in-orbit incentives relating to certain satellites and commitments for satellite service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and six months ended June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2021 and December 31, 2020, the fair values of our in-orbit incentive obligations approximated their carrying amounts of $54.0 million and $55.4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REGULATORY AUTHORIZATIONS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Finite lived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Cost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2"/>
              <w:spacing w:after="0" w:line="166"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auto"/>
              </w:rPr>
              <w:t>Indefinite lived</w:t>
            </w:r>
          </w:p>
        </w:tc>
        <w:tc>
          <w:tcPr>
            <w:tcW w:w="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5"/>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440,291</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(22,329)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34,966</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439,497</w:t>
            </w:r>
          </w:p>
        </w:tc>
        <w:tc>
          <w:tcPr>
            <w:tcW w:w="6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474,463</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61,381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(26,639)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444,020</w:t>
            </w:r>
          </w:p>
        </w:tc>
        <w:tc>
          <w:tcPr>
            <w:tcW w:w="6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(896)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443,124</w:t>
            </w: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474,770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OTHER INVESTMENTS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97"/>
              </w:rPr>
              <w:t>As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4"/>
            <w:vMerge w:val="restart"/>
          </w:tcPr>
          <w:p>
            <w:pPr>
              <w:jc w:val="right"/>
              <w:ind w:right="92"/>
              <w:spacing w:after="0"/>
              <w:rPr>
                <w:sz w:val="20"/>
                <w:szCs w:val="20"/>
                <w:color w:val="auto"/>
              </w:rPr>
            </w:pPr>
            <w:r>
              <w:rPr>
                <w:rFonts w:ascii="Arial" w:cs="Arial" w:eastAsia="Arial" w:hAnsi="Arial"/>
                <w:sz w:val="18"/>
                <w:szCs w:val="18"/>
                <w:b w:val="1"/>
                <w:bCs w:val="1"/>
                <w:color w:val="auto"/>
              </w:rPr>
              <w:t>June 30, 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tcPr>
          <w:p>
            <w:pPr>
              <w:ind w:left="40"/>
              <w:spacing w:after="0" w:line="16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4"/>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Other investments,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147,868</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151,070</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102,205</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340,688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own 49% of DISH Mexico, S. de R.L. de C.V. and its subsidiaries (“Dish Mexico”), a joint venture that we entered into in 2008 to provide direct-to-home satellite services in Mexico.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6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82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820" w:type="dxa"/>
            <w:vAlign w:val="bottom"/>
          </w:tcPr>
          <w:p>
            <w:pPr>
              <w:spacing w:after="0"/>
              <w:rPr>
                <w:sz w:val="24"/>
                <w:szCs w:val="24"/>
                <w:color w:val="auto"/>
              </w:rPr>
            </w:pPr>
          </w:p>
        </w:tc>
        <w:tc>
          <w:tcPr>
            <w:tcW w:w="31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For the three months ended June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340" w:type="dxa"/>
            <w:vAlign w:val="bottom"/>
          </w:tcPr>
          <w:p>
            <w:pPr>
              <w:ind w:left="20"/>
              <w:spacing w:after="0" w:line="198"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2,766</w:t>
            </w:r>
          </w:p>
        </w:tc>
        <w:tc>
          <w:tcPr>
            <w:tcW w:w="100" w:type="dxa"/>
            <w:vAlign w:val="bottom"/>
          </w:tcPr>
          <w:p>
            <w:pPr>
              <w:spacing w:after="0"/>
              <w:rPr>
                <w:sz w:val="17"/>
                <w:szCs w:val="17"/>
                <w:color w:val="auto"/>
              </w:rPr>
            </w:pPr>
          </w:p>
        </w:tc>
        <w:tc>
          <w:tcPr>
            <w:tcW w:w="34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2,784</w:t>
            </w:r>
          </w:p>
        </w:tc>
        <w:tc>
          <w:tcPr>
            <w:tcW w:w="20" w:type="dxa"/>
            <w:vAlign w:val="bottom"/>
          </w:tcPr>
          <w:p>
            <w:pPr>
              <w:spacing w:after="0"/>
              <w:rPr>
                <w:sz w:val="17"/>
                <w:szCs w:val="17"/>
                <w:color w:val="auto"/>
              </w:rPr>
            </w:pPr>
          </w:p>
        </w:tc>
        <w:tc>
          <w:tcPr>
            <w:tcW w:w="2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8" w:lineRule="exact"/>
              <w:rPr>
                <w:sz w:val="20"/>
                <w:szCs w:val="20"/>
                <w:color w:val="auto"/>
              </w:rPr>
            </w:pPr>
            <w:r>
              <w:rPr>
                <w:rFonts w:ascii="Arial" w:cs="Arial" w:eastAsia="Arial" w:hAnsi="Arial"/>
                <w:sz w:val="18"/>
                <w:szCs w:val="18"/>
                <w:color w:val="auto"/>
              </w:rPr>
              <w:t>4,114</w:t>
            </w:r>
          </w:p>
        </w:tc>
        <w:tc>
          <w:tcPr>
            <w:tcW w:w="60" w:type="dxa"/>
            <w:vAlign w:val="bottom"/>
          </w:tcPr>
          <w:p>
            <w:pPr>
              <w:spacing w:after="0"/>
              <w:rPr>
                <w:sz w:val="17"/>
                <w:szCs w:val="17"/>
                <w:color w:val="auto"/>
              </w:rPr>
            </w:pPr>
          </w:p>
        </w:tc>
        <w:tc>
          <w:tcPr>
            <w:tcW w:w="24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8" w:lineRule="exact"/>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right"/>
              <w:ind w:right="132"/>
              <w:spacing w:after="0"/>
              <w:rPr>
                <w:sz w:val="20"/>
                <w:szCs w:val="20"/>
                <w:color w:val="auto"/>
              </w:rPr>
            </w:pPr>
            <w:r>
              <w:rPr>
                <w:rFonts w:ascii="Arial" w:cs="Arial" w:eastAsia="Arial" w:hAnsi="Arial"/>
                <w:sz w:val="18"/>
                <w:szCs w:val="18"/>
                <w:b w:val="1"/>
                <w:bCs w:val="1"/>
                <w:color w:val="auto"/>
              </w:rPr>
              <w:t>June 30, 2021</w:t>
            </w:r>
          </w:p>
        </w:tc>
        <w:tc>
          <w:tcPr>
            <w:tcW w:w="6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Arial" w:cs="Arial" w:eastAsia="Arial" w:hAnsi="Arial"/>
                <w:sz w:val="18"/>
                <w:szCs w:val="18"/>
                <w:color w:val="auto"/>
              </w:rPr>
              <w:t>8,525</w:t>
            </w:r>
          </w:p>
        </w:tc>
        <w:tc>
          <w:tcPr>
            <w:tcW w:w="60" w:type="dxa"/>
            <w:vAlign w:val="bottom"/>
          </w:tcPr>
          <w:p>
            <w:pPr>
              <w:spacing w:after="0"/>
              <w:rPr>
                <w:sz w:val="17"/>
                <w:szCs w:val="17"/>
                <w:color w:val="auto"/>
              </w:rPr>
            </w:pPr>
          </w:p>
        </w:tc>
        <w:tc>
          <w:tcPr>
            <w:tcW w:w="24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8" w:lineRule="exact"/>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investments: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8"/>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LONG-TERM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1"/>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December 31, 2020</w:t>
            </w:r>
          </w:p>
        </w:tc>
      </w:tr>
      <w:tr>
        <w:trPr>
          <w:trHeight w:val="180"/>
        </w:trPr>
        <w:tc>
          <w:tcPr>
            <w:tcW w:w="2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6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w w:val="98"/>
              </w:rPr>
              <w:t>Effective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80" w:lineRule="exact"/>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5"/>
                <w:szCs w:val="15"/>
                <w:color w:val="auto"/>
              </w:rPr>
            </w:pPr>
          </w:p>
        </w:tc>
        <w:tc>
          <w:tcPr>
            <w:tcW w:w="1120" w:type="dxa"/>
            <w:vAlign w:val="bottom"/>
            <w:gridSpan w:val="2"/>
          </w:tcPr>
          <w:p>
            <w:pPr>
              <w:jc w:val="center"/>
              <w:ind w:right="360"/>
              <w:spacing w:after="0" w:line="180"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5"/>
                <w:szCs w:val="15"/>
                <w:color w:val="auto"/>
              </w:rPr>
            </w:pPr>
          </w:p>
        </w:tc>
        <w:tc>
          <w:tcPr>
            <w:tcW w:w="1160" w:type="dxa"/>
            <w:vAlign w:val="bottom"/>
            <w:gridSpan w:val="2"/>
          </w:tcPr>
          <w:p>
            <w:pPr>
              <w:jc w:val="center"/>
              <w:ind w:right="340"/>
              <w:spacing w:after="0" w:line="180"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020" w:type="dxa"/>
            <w:vAlign w:val="bottom"/>
          </w:tcPr>
          <w:p>
            <w:pPr>
              <w:jc w:val="right"/>
              <w:ind w:right="392"/>
              <w:spacing w:after="0" w:line="180" w:lineRule="exact"/>
              <w:rPr>
                <w:sz w:val="20"/>
                <w:szCs w:val="20"/>
                <w:color w:val="auto"/>
              </w:rPr>
            </w:pPr>
            <w:r>
              <w:rPr>
                <w:rFonts w:ascii="Arial" w:cs="Arial" w:eastAsia="Arial" w:hAnsi="Arial"/>
                <w:sz w:val="18"/>
                <w:szCs w:val="18"/>
                <w:b w:val="1"/>
                <w:bCs w:val="1"/>
                <w:color w:val="auto"/>
              </w:rPr>
              <w:t>Fair</w:t>
            </w:r>
          </w:p>
        </w:tc>
      </w:tr>
      <w:tr>
        <w:trPr>
          <w:trHeight w:val="225"/>
        </w:trPr>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Interest Rate</w:t>
            </w:r>
          </w:p>
        </w:tc>
        <w:tc>
          <w:tcPr>
            <w:tcW w:w="20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c>
          <w:tcPr>
            <w:tcW w:w="24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Value</w:t>
            </w:r>
          </w:p>
        </w:tc>
      </w:tr>
      <w:tr>
        <w:trPr>
          <w:trHeight w:val="205"/>
        </w:trPr>
        <w:tc>
          <w:tcPr>
            <w:tcW w:w="444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25"/>
        </w:trPr>
        <w:tc>
          <w:tcPr>
            <w:tcW w:w="240" w:type="dxa"/>
            <w:vAlign w:val="bottom"/>
          </w:tcPr>
          <w:p>
            <w:pPr>
              <w:ind w:left="120"/>
              <w:spacing w:after="0"/>
              <w:rPr>
                <w:sz w:val="20"/>
                <w:szCs w:val="20"/>
                <w:color w:val="auto"/>
              </w:rPr>
            </w:pPr>
            <w:r>
              <w:rPr>
                <w:rFonts w:ascii="Arial" w:cs="Arial" w:eastAsia="Arial" w:hAnsi="Arial"/>
                <w:sz w:val="18"/>
                <w:szCs w:val="18"/>
                <w:color w:val="auto"/>
                <w:w w:val="99"/>
              </w:rPr>
              <w:t>5</w:t>
            </w:r>
          </w:p>
        </w:tc>
        <w:tc>
          <w:tcPr>
            <w:tcW w:w="4200" w:type="dxa"/>
            <w:vAlign w:val="bottom"/>
          </w:tcPr>
          <w:p>
            <w:pPr>
              <w:ind w:left="4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843,203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834,045</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240" w:type="dxa"/>
            <w:vAlign w:val="bottom"/>
          </w:tcPr>
          <w:p>
            <w:pPr>
              <w:ind w:left="120"/>
              <w:spacing w:after="0"/>
              <w:rPr>
                <w:sz w:val="20"/>
                <w:szCs w:val="20"/>
                <w:color w:val="auto"/>
              </w:rPr>
            </w:pPr>
            <w:r>
              <w:rPr>
                <w:rFonts w:ascii="Arial" w:cs="Arial" w:eastAsia="Arial" w:hAnsi="Arial"/>
                <w:sz w:val="18"/>
                <w:szCs w:val="18"/>
                <w:color w:val="auto"/>
                <w:w w:val="99"/>
              </w:rPr>
              <w:t>7</w:t>
            </w:r>
          </w:p>
        </w:tc>
        <w:tc>
          <w:tcPr>
            <w:tcW w:w="4200" w:type="dxa"/>
            <w:vAlign w:val="bottom"/>
          </w:tcPr>
          <w:p>
            <w:pPr>
              <w:ind w:left="40"/>
              <w:spacing w:after="0"/>
              <w:rPr>
                <w:sz w:val="20"/>
                <w:szCs w:val="20"/>
                <w:color w:val="auto"/>
              </w:rPr>
            </w:pPr>
            <w:r>
              <w:rPr>
                <w:rFonts w:ascii="Arial" w:cs="Arial" w:eastAsia="Arial" w:hAnsi="Arial"/>
                <w:sz w:val="18"/>
                <w:szCs w:val="18"/>
                <w:color w:val="auto"/>
              </w:rPr>
              <w:t>5/8% Senior Unsecured Notes due 2021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26"/>
        </w:trPr>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6</w:t>
            </w:r>
          </w:p>
        </w:tc>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852,810</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440" w:type="dxa"/>
            <w:vAlign w:val="bottom"/>
            <w:tcBorders>
              <w:top w:val="single" w:sz="8" w:color="CCEEFF"/>
            </w:tcBorders>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Total long-term debt</w:t>
            </w:r>
          </w:p>
        </w:tc>
        <w:tc>
          <w:tcPr>
            <w:tcW w:w="1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2,610,858</w:t>
            </w:r>
          </w:p>
        </w:tc>
      </w:tr>
      <w:tr>
        <w:trPr>
          <w:trHeight w:val="225"/>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Less: Current portion, net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44"/>
        </w:trPr>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420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Long-term debt, net</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1,686,855</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three and six months ended June 30, 2021, we repurchased $106.4 million and $196.9 million, respectively, of our 7 5/8% Senior Unsecured Notes due 2021 in open market trades. On June 15, 2021, we paid the 7 5/8% Senior Unsecured Notes due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income tax provision was $21.2 million for the three months ended June 30, 2021 compared to our income tax provision of $10.9 million for the three months ended June 30, 2020. Our estimated effective income tax rate was 37.7% and (271.8)% for the three months ended June 30, 2021 and 2020, respectively. The variations in our effective tax rate from the U.S. federal statutory rate for the three months ended June 30, 2021 were primarily due to excluded foreign losses where the Company carries a full valuation allowance and the impact of state and local taxes. The variations in our effective tax rate from the U.S. federal statutory rate for the three months ended June 30, 2020 were primarily due to the increase in our valuation allowance associated with certain foreign losses and the impact of state and local taxes, partially offset by research and experimentation credits.</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income tax provision was $43.3 million for the six months ended June 30, 2021 compared to our income tax provision of $3.4 million for the six months ended June 30, 2020. Our estimated effective income tax rate was 27.8% and (4.9)% for the six months ended June 30, 2021 and 2020, respectively. The variations in our effective tax rate from the U.S. federal statutory rate for the six months ended June 30, 2021 were primarily due to excluded foreign losses where the Company carries a full valuation allowance and the impact of state and local taxes. The variations in our effective tax rate from the U.S. federal statutory rate for the six months ended June 30, 2020 were primarily due to the increase in our valuation allowance associated with certain foreign losses and the impact of state and local taxes, partially offset by the change in net unrealized losses that are capital in nature and research and experimentation credits.</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RELATED PARTY TRANSACTIONS - DISH NETWORK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EchoStar Technologies businesses and certain other assets (collectively, the “Share Exchange”). The Tracking Stock was retired in March 2017.</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(“DISH Network”) and our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43"/>
        </w:trPr>
        <w:tc>
          <w:tcPr>
            <w:tcW w:w="48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Services and other revenue - DISH Network</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9,029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7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4"/>
                <w:szCs w:val="14"/>
                <w:color w:val="auto"/>
              </w:rPr>
            </w:pPr>
          </w:p>
        </w:tc>
        <w:tc>
          <w:tcPr>
            <w:tcW w:w="1400" w:type="dxa"/>
            <w:vAlign w:val="bottom"/>
          </w:tcPr>
          <w:p>
            <w:pPr>
              <w:jc w:val="center"/>
              <w:ind w:right="92"/>
              <w:spacing w:after="0" w:line="166"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IX satellite. Subject to availability, DISH Network generally has the right to continue leasing satellite capacity from us on the EchoStar IX satellite on a month-to-month basis.</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Telesat Obligation Agreement. </w:t>
      </w:r>
      <w:r>
        <w:rPr>
          <w:rFonts w:ascii="Arial" w:cs="Arial" w:eastAsia="Arial" w:hAnsi="Arial"/>
          <w:sz w:val="17"/>
          <w:szCs w:val="17"/>
          <w:color w:val="auto"/>
        </w:rPr>
        <w:t>In September 2009, we entered into an agreement with Telesat Canada to lease satellite capacity from Telesat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on all 32 direct broadcast satellite (“DBS”) transponders on the Nimiq 5 satellite at the 72.7 degree west longitude orbital location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77" w:lineRule="exact"/>
        <w:rPr>
          <w:sz w:val="20"/>
          <w:szCs w:val="20"/>
          <w:color w:val="auto"/>
        </w:rPr>
      </w:pPr>
    </w:p>
    <w:p>
      <w:pPr>
        <w:jc w:val="both"/>
        <w:ind w:left="640" w:hanging="316"/>
        <w:spacing w:after="0" w:line="250" w:lineRule="auto"/>
        <w:tabs>
          <w:tab w:leader="none" w:pos="6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use certain of our space at 100 Inverness Terrace East, Englewood, Colorado for an initial period ending in December 2020. Effective December 2020, we amended this agreement to extend the license until December 2021. This agreement may be terminated by either party upon 180 days’ prior notice. Subsequent to December 2021,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09" w:lineRule="exact"/>
        <w:rPr>
          <w:rFonts w:ascii="Arial" w:cs="Arial" w:eastAsia="Arial" w:hAnsi="Arial"/>
          <w:sz w:val="18"/>
          <w:szCs w:val="18"/>
          <w:b w:val="1"/>
          <w:bCs w:val="1"/>
          <w:i w:val="1"/>
          <w:iCs w:val="1"/>
          <w:color w:val="auto"/>
        </w:rPr>
      </w:pPr>
    </w:p>
    <w:p>
      <w:pPr>
        <w:jc w:val="both"/>
        <w:ind w:left="640" w:hanging="316"/>
        <w:spacing w:after="0" w:line="256" w:lineRule="auto"/>
        <w:tabs>
          <w:tab w:leader="none" w:pos="6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2016. We and DISH Network have amended this lease over time to, among other things, extend the term through December 2021. After December 2021, this agreement may be converted by mutual consent to a month-to-month lease agreement with either party having the right to terminate upon 30 days’ notice.</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DBSD North America Agreement. </w:t>
      </w:r>
      <w:r>
        <w:rPr>
          <w:rFonts w:ascii="Arial" w:cs="Arial" w:eastAsia="Arial" w:hAnsi="Arial"/>
          <w:sz w:val="17"/>
          <w:szCs w:val="17"/>
          <w:color w:val="auto"/>
        </w:rPr>
        <w:t>In March 2012, DISH Network completed its acquisition of all of the equity of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Expenses — DISH Network</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440" w:type="dxa"/>
            <w:vAlign w:val="bottom"/>
            <w:gridSpan w:val="4"/>
          </w:tcPr>
          <w:p>
            <w:pPr>
              <w:spacing w:after="0"/>
              <w:rPr>
                <w:sz w:val="20"/>
                <w:szCs w:val="20"/>
                <w:color w:val="auto"/>
              </w:rPr>
            </w:pPr>
            <w:r>
              <w:rPr>
                <w:rFonts w:ascii="Arial" w:cs="Arial" w:eastAsia="Arial" w:hAnsi="Arial"/>
                <w:sz w:val="18"/>
                <w:szCs w:val="18"/>
                <w:color w:val="auto"/>
              </w:rPr>
              <w:t>The following table presents our operating expenses related to DISH Network:</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20" w:type="dxa"/>
            <w:vAlign w:val="bottom"/>
          </w:tcPr>
          <w:p>
            <w:pPr>
              <w:spacing w:after="0"/>
              <w:rPr>
                <w:sz w:val="24"/>
                <w:szCs w:val="24"/>
                <w:color w:val="auto"/>
              </w:rPr>
            </w:pPr>
          </w:p>
        </w:tc>
        <w:tc>
          <w:tcPr>
            <w:tcW w:w="31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For the three months ended June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expenses - DISH Network</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5200" w:type="dxa"/>
            <w:vAlign w:val="bottom"/>
            <w:gridSpan w:val="2"/>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right"/>
              <w:ind w:right="132"/>
              <w:spacing w:after="0"/>
              <w:rPr>
                <w:sz w:val="20"/>
                <w:szCs w:val="20"/>
                <w:color w:val="auto"/>
              </w:rPr>
            </w:pPr>
            <w:r>
              <w:rPr>
                <w:rFonts w:ascii="Arial" w:cs="Arial" w:eastAsia="Arial" w:hAnsi="Arial"/>
                <w:sz w:val="18"/>
                <w:szCs w:val="18"/>
                <w:b w:val="1"/>
                <w:bCs w:val="1"/>
                <w:color w:val="auto"/>
              </w:rPr>
              <w:t>June 30, 2021</w:t>
            </w:r>
          </w:p>
        </w:tc>
        <w:tc>
          <w:tcPr>
            <w:tcW w:w="6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Amended and Restated Professional Services Agreement</w:t>
      </w:r>
      <w:r>
        <w:rPr>
          <w:rFonts w:ascii="Arial" w:cs="Arial" w:eastAsia="Arial" w:hAnsi="Arial"/>
          <w:sz w:val="17"/>
          <w:szCs w:val="17"/>
          <w:color w:val="auto"/>
        </w:rPr>
        <w:t>. In connection with the Spin-off, we entered into various agreements with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2022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Effective March 2017, we entered into a lease with DISH Network for certain space at 530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The rent on a per square foot basis is comparable to per square foot rental rates of similar commercial property in the same geographic area at the time of the lease or subsequent amendments and includes our portion of the taxes, insurance, utilities and/or maintenance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November 2020, we provided a termination notice for our Englewood, Colorado agreement to be effective May 2021. In August 2017, we and DISH Network also entered into 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w:t>
      </w:r>
    </w:p>
    <w:p>
      <w:pPr>
        <w:spacing w:after="0" w:line="1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$1.9 million and $4.4 million for the three months ended June 30, 2021 and 2020, respectively, and $3.8 million and $9.0 million for the six months ended June 30, 2021 and 2020, respectively.</w:t>
      </w:r>
    </w:p>
    <w:p>
      <w:pPr>
        <w:spacing w:after="0" w:line="20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In June 2021, we amended the 2019 TT&amp;C Agreement to extend the term until September 2022 and added the option for us to renew the 2019 TT&amp;C Agreement up to an additional three years.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initial term of one year, after which time either party can provide 90 days’ written notice of its decision to terminate.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Other Receivables - DISH Network</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4"/>
                <w:szCs w:val="14"/>
                <w:color w:val="auto"/>
              </w:rPr>
            </w:pPr>
          </w:p>
        </w:tc>
        <w:tc>
          <w:tcPr>
            <w:tcW w:w="1400" w:type="dxa"/>
            <w:vAlign w:val="bottom"/>
          </w:tcPr>
          <w:p>
            <w:pPr>
              <w:jc w:val="center"/>
              <w:ind w:right="92"/>
              <w:spacing w:after="0" w:line="166"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Effective December 2007, we and DISH Network entered into a tax sharing agreement (the “Tax Sharing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w:t>
      </w:r>
    </w:p>
    <w:p>
      <w:pPr>
        <w:spacing w:after="0" w:line="1" w:lineRule="exact"/>
        <w:rPr>
          <w:sz w:val="20"/>
          <w:szCs w:val="20"/>
          <w:color w:val="auto"/>
        </w:rPr>
      </w:pPr>
    </w:p>
    <w:p>
      <w:pPr>
        <w:jc w:val="both"/>
        <w:ind w:firstLine="6"/>
        <w:spacing w:after="0" w:line="247"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and DISH Network filed combined income tax returns in certain states from 2008 through 2019. We have earned and recognized tax benefits for certain state income tax credits that we would be unable to fully utilize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upon receipt of any consideration that DISH Network pays to us in exchange for these tax credits.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Share Exchange Intellectual Property and Technology License Agreement</w:t>
      </w:r>
      <w:r>
        <w:rPr>
          <w:rFonts w:ascii="Arial" w:cs="Arial" w:eastAsia="Arial" w:hAnsi="Arial"/>
          <w:sz w:val="17"/>
          <w:szCs w:val="17"/>
          <w:color w:val="auto"/>
        </w:rPr>
        <w:t>. Effective March 2017, in connection with the Share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 - OTHER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own in the aggregate approximately 25%, on an undiluted basis, of Hughes Systique’s outstanding shares as of June 30, 2021.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$0.9 million, for the three months ended June 30, 2021 and 2020, respectively, and $0.9 million and $3.1 million for the six months ended June 30, 2021 and 2020, respectively. As of December 31, 2020, we had $0.4 million trade accounts receivable from TSI.</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48"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an additional payment on March 31, 2021.</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7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79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Additional license fees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76,871</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Payments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120"/>
              <w:spacing w:after="0" w:line="205" w:lineRule="exact"/>
              <w:rPr>
                <w:sz w:val="20"/>
                <w:szCs w:val="20"/>
                <w:color w:val="auto"/>
              </w:rPr>
            </w:pPr>
            <w:r>
              <w:rPr>
                <w:rFonts w:ascii="Arial" w:cs="Arial" w:eastAsia="Arial" w:hAnsi="Arial"/>
                <w:sz w:val="18"/>
                <w:szCs w:val="18"/>
                <w:color w:val="auto"/>
              </w:rPr>
              <w:t>Total accrual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SEGMENT REPORTING</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and ESS.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June 30, 2021</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492,276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83,232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210,194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453,172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459,466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459,466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92,300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186,619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156,824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3"/>
                <w:szCs w:val="2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3"/>
                <w:szCs w:val="2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23"/>
                <w:szCs w:val="23"/>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968,136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968,136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154,382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262,466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0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459,727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911,654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911,654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174,996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21,908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196,904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0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0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97"/>
              </w:rPr>
              <w:t>For the six months ended June 30,</w:t>
            </w:r>
          </w:p>
        </w:tc>
      </w:tr>
      <w:tr>
        <w:trPr>
          <w:trHeight w:val="219"/>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18"/>
        </w:trPr>
        <w:tc>
          <w:tcPr>
            <w:tcW w:w="48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(69,221)</w:t>
            </w: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(26,343)</w:t>
            </w:r>
          </w:p>
        </w:tc>
      </w:tr>
      <w:tr>
        <w:trPr>
          <w:trHeight w:val="22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74,491</w:t>
            </w: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262,255</w:t>
            </w:r>
          </w:p>
        </w:tc>
      </w:tr>
      <w:tr>
        <w:trPr>
          <w:trHeight w:val="22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r>
      <w:tr>
        <w:trPr>
          <w:trHeight w:val="218"/>
        </w:trPr>
        <w:tc>
          <w:tcPr>
            <w:tcW w:w="4820" w:type="dxa"/>
            <w:vAlign w:val="bottom"/>
          </w:tcPr>
          <w:p>
            <w:pPr>
              <w:ind w:left="20"/>
              <w:spacing w:after="0" w:line="204" w:lineRule="exact"/>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248,055</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SUPPLEMENTAL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4"/>
                <w:szCs w:val="14"/>
                <w:color w:val="auto"/>
              </w:rPr>
            </w:pPr>
          </w:p>
        </w:tc>
        <w:tc>
          <w:tcPr>
            <w:tcW w:w="1400" w:type="dxa"/>
            <w:vAlign w:val="bottom"/>
          </w:tcPr>
          <w:p>
            <w:pPr>
              <w:jc w:val="right"/>
              <w:ind w:right="132"/>
              <w:spacing w:after="0" w:line="166"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79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Other current assets, net:</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63,806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55,381</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19"/>
        </w:trPr>
        <w:tc>
          <w:tcPr>
            <w:tcW w:w="7960" w:type="dxa"/>
            <w:vAlign w:val="bottom"/>
          </w:tcPr>
          <w:p>
            <w:pPr>
              <w:ind w:left="460"/>
              <w:spacing w:after="0"/>
              <w:rPr>
                <w:sz w:val="20"/>
                <w:szCs w:val="20"/>
                <w:color w:val="auto"/>
              </w:rPr>
            </w:pPr>
            <w:r>
              <w:rPr>
                <w:rFonts w:ascii="Arial" w:cs="Arial" w:eastAsia="Arial" w:hAnsi="Arial"/>
                <w:sz w:val="18"/>
                <w:szCs w:val="18"/>
                <w:color w:val="auto"/>
              </w:rPr>
              <w:t>Total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116,661</w:t>
            </w: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Contract acquisition costs,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99,837</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fulfillment costs,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29,485</w:t>
            </w: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non-current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96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7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1172"/>
              <w:spacing w:after="0"/>
              <w:rPr>
                <w:sz w:val="20"/>
                <w:szCs w:val="20"/>
                <w:color w:val="auto"/>
              </w:rPr>
            </w:pPr>
            <w:r>
              <w:rPr>
                <w:rFonts w:ascii="Arial" w:cs="Arial" w:eastAsia="Arial" w:hAnsi="Arial"/>
                <w:sz w:val="18"/>
                <w:szCs w:val="18"/>
                <w:b w:val="1"/>
                <w:bCs w:val="1"/>
                <w:color w:val="auto"/>
                <w:w w:val="97"/>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7"/>
              </w:rPr>
              <w:t>June 30, 2021</w:t>
            </w:r>
          </w:p>
        </w:tc>
        <w:tc>
          <w:tcPr>
            <w:tcW w:w="180" w:type="dxa"/>
            <w:vAlign w:val="bottom"/>
          </w:tcPr>
          <w:p>
            <w:pPr>
              <w:spacing w:after="0"/>
              <w:rPr>
                <w:sz w:val="14"/>
                <w:szCs w:val="14"/>
                <w:color w:val="auto"/>
              </w:rPr>
            </w:pPr>
          </w:p>
        </w:tc>
        <w:tc>
          <w:tcPr>
            <w:tcW w:w="1400" w:type="dxa"/>
            <w:vAlign w:val="bottom"/>
          </w:tcPr>
          <w:p>
            <w:pPr>
              <w:jc w:val="center"/>
              <w:ind w:right="92"/>
              <w:spacing w:after="0" w:line="166"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5"/>
        </w:trPr>
        <w:tc>
          <w:tcPr>
            <w:tcW w:w="79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Trade accounts payable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61,164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25"/>
        </w:trPr>
        <w:tc>
          <w:tcPr>
            <w:tcW w:w="796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14,699</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159,564</w:t>
            </w:r>
          </w:p>
        </w:tc>
        <w:tc>
          <w:tcPr>
            <w:tcW w:w="0" w:type="dxa"/>
            <w:vAlign w:val="bottom"/>
          </w:tcPr>
          <w:p>
            <w:pPr>
              <w:spacing w:after="0"/>
              <w:rPr>
                <w:sz w:val="1"/>
                <w:szCs w:val="1"/>
                <w:color w:val="auto"/>
              </w:rPr>
            </w:pPr>
          </w:p>
        </w:tc>
      </w:tr>
      <w:tr>
        <w:trPr>
          <w:trHeight w:val="219"/>
        </w:trPr>
        <w:tc>
          <w:tcPr>
            <w:tcW w:w="7960" w:type="dxa"/>
            <w:vAlign w:val="bottom"/>
          </w:tcPr>
          <w:p>
            <w:pPr>
              <w:ind w:left="46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297,649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7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1172"/>
              <w:spacing w:after="0"/>
              <w:rPr>
                <w:sz w:val="20"/>
                <w:szCs w:val="20"/>
                <w:color w:val="auto"/>
              </w:rPr>
            </w:pPr>
            <w:r>
              <w:rPr>
                <w:rFonts w:ascii="Arial" w:cs="Arial" w:eastAsia="Arial" w:hAnsi="Arial"/>
                <w:sz w:val="18"/>
                <w:szCs w:val="18"/>
                <w:b w:val="1"/>
                <w:bCs w:val="1"/>
                <w:color w:val="auto"/>
                <w:w w:val="97"/>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7"/>
              </w:rPr>
              <w:t>June 30, 2021</w:t>
            </w:r>
          </w:p>
        </w:tc>
        <w:tc>
          <w:tcPr>
            <w:tcW w:w="180" w:type="dxa"/>
            <w:vAlign w:val="bottom"/>
          </w:tcPr>
          <w:p>
            <w:pPr>
              <w:spacing w:after="0"/>
              <w:rPr>
                <w:sz w:val="14"/>
                <w:szCs w:val="14"/>
                <w:color w:val="auto"/>
              </w:rPr>
            </w:pPr>
          </w:p>
        </w:tc>
        <w:tc>
          <w:tcPr>
            <w:tcW w:w="1400" w:type="dxa"/>
            <w:vAlign w:val="bottom"/>
          </w:tcPr>
          <w:p>
            <w:pPr>
              <w:jc w:val="center"/>
              <w:ind w:right="92"/>
              <w:spacing w:after="0" w:line="166"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85,148</w:t>
            </w:r>
          </w:p>
        </w:tc>
        <w:tc>
          <w:tcPr>
            <w:tcW w:w="0" w:type="dxa"/>
            <w:vAlign w:val="bottom"/>
          </w:tcPr>
          <w:p>
            <w:pPr>
              <w:spacing w:after="0"/>
              <w:rPr>
                <w:sz w:val="1"/>
                <w:szCs w:val="1"/>
                <w:color w:val="auto"/>
              </w:rPr>
            </w:pPr>
          </w:p>
        </w:tc>
      </w:tr>
      <w:tr>
        <w:trPr>
          <w:trHeight w:val="218"/>
        </w:trPr>
        <w:tc>
          <w:tcPr>
            <w:tcW w:w="7960" w:type="dxa"/>
            <w:vAlign w:val="bottom"/>
          </w:tcPr>
          <w:p>
            <w:pPr>
              <w:ind w:left="220"/>
              <w:spacing w:after="0" w:line="204" w:lineRule="exact"/>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97,992</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7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8"/>
                <w:szCs w:val="18"/>
                <w:b w:val="1"/>
                <w:bCs w:val="1"/>
                <w:color w:val="auto"/>
                <w:w w:val="98"/>
              </w:rPr>
              <w:t>For the six months ended June 30,</w:t>
            </w: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Arial" w:cs="Arial" w:eastAsia="Arial" w:hAnsi="Arial"/>
                <w:sz w:val="18"/>
                <w:szCs w:val="18"/>
                <w:color w:val="auto"/>
              </w:rPr>
              <w:t>Cash paid for interest, net of amounts capitalized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Arial" w:cs="Arial" w:eastAsia="Arial" w:hAnsi="Arial"/>
                <w:sz w:val="18"/>
                <w:szCs w:val="18"/>
                <w:color w:val="auto"/>
              </w:rPr>
              <w:t>Employee benefits paid in Class A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120"/>
              <w:spacing w:after="0" w:line="171" w:lineRule="exact"/>
              <w:rPr>
                <w:sz w:val="20"/>
                <w:szCs w:val="20"/>
                <w:color w:val="auto"/>
              </w:rPr>
            </w:pPr>
            <w:r>
              <w:rPr>
                <w:rFonts w:ascii="Arial" w:cs="Arial" w:eastAsia="Arial" w:hAnsi="Arial"/>
                <w:sz w:val="18"/>
                <w:szCs w:val="18"/>
                <w:color w:val="auto"/>
              </w:rPr>
              <w:t>Non-cash net assets received in exchange for a 20% ownership interest in our existing Brazilian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60" w:type="dxa"/>
            <w:vAlign w:val="bottom"/>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186"/>
        </w:trPr>
        <w:tc>
          <w:tcPr>
            <w:tcW w:w="7960" w:type="dxa"/>
            <w:vAlign w:val="bottom"/>
          </w:tcPr>
          <w:p>
            <w:pPr>
              <w:ind w:left="120"/>
              <w:spacing w:after="0" w:line="187" w:lineRule="exact"/>
              <w:rPr>
                <w:sz w:val="20"/>
                <w:szCs w:val="20"/>
                <w:color w:val="auto"/>
              </w:rPr>
            </w:pPr>
            <w:r>
              <w:rPr>
                <w:rFonts w:ascii="Arial" w:cs="Arial" w:eastAsia="Arial" w:hAnsi="Arial"/>
                <w:sz w:val="18"/>
                <w:szCs w:val="18"/>
                <w:color w:val="auto"/>
              </w:rPr>
              <w:t>subsidiary</w:t>
            </w:r>
          </w:p>
        </w:tc>
        <w:tc>
          <w:tcPr>
            <w:tcW w:w="14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(“Accompanying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this Management’s Discussion and Analysis, unless otherwise noted, are expressed in thousands of United States (“U.S.”) dollars, except share and per share amounts and unless otherwise noted.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June 30, 2021:</w:t>
      </w:r>
    </w:p>
    <w:p>
      <w:pPr>
        <w:spacing w:after="0" w:line="266" w:lineRule="exact"/>
        <w:rPr>
          <w:sz w:val="20"/>
          <w:szCs w:val="20"/>
          <w:color w:val="auto"/>
        </w:rPr>
      </w:pPr>
    </w:p>
    <w:p>
      <w:pPr>
        <w:ind w:left="660" w:hanging="3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$499.8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of $65.3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$35.0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income attributable to EchoStar common stock of $37.3 million and basic and diluted earnings per share of common stock of $0.41</w:t>
      </w:r>
    </w:p>
    <w:p>
      <w:pPr>
        <w:spacing w:after="0" w:line="96"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and net income attributable to non-controlling interests (“EBITDA”) of $201.1 million (see reconciliation of this non-GAAP measure in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2021:</w:t>
      </w:r>
    </w:p>
    <w:p>
      <w:pPr>
        <w:spacing w:after="0" w:line="266"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of $6.2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liabilities of $2.6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$1.6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 capacity to be launched or acquired. Our consumer revenue growth depends on our success in adding new and retaining existing subscribers across wholesale and retail channels, as well as increasing our Average Revenue Per User/subscriber (“ARPU”). Service and acquisition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We have seen a limited number of our enterprise customers file for bankruptcy protection. We have reserved an amount related to pre-petition receivables and are working closely with these customers on providing post-petition services and products, as well as working with the customer regarding collection of pre-petition amounts.</w:t>
      </w:r>
    </w:p>
    <w:p>
      <w:pPr>
        <w:spacing w:after="0" w:line="23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 to</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customers. Growth of our consumer subscriber base in the U.S. continues to be constrained where we are nearing or have reached maximum capacity in most areas. While these constraints are not expected to be resolved until we launch new satellites, we continue to focus on revenue growth in all areas and consumer subscriber growth in the areas where we have available capacity.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The EchoStar XXIV satellite is expected to be launched in the second half of 2022. Further delays or impediments could have a material adverse impact on our business operations, future revenues, financial position and prospects, the completion of manufacture of the EchoStar XXIV</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 In March 2021, we entered into an agreement for additional capacity on the Telesat T19V satellite over Puerto Rico.</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our approximate number of broadband subscribers: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7980" w:type="dxa"/>
            <w:vAlign w:val="bottom"/>
          </w:tcPr>
          <w:p>
            <w:pPr>
              <w:spacing w:after="0"/>
              <w:rPr>
                <w:sz w:val="24"/>
                <w:szCs w:val="24"/>
                <w:color w:val="auto"/>
              </w:rPr>
            </w:pPr>
          </w:p>
        </w:tc>
        <w:tc>
          <w:tcPr>
            <w:tcW w:w="3260" w:type="dxa"/>
            <w:vAlign w:val="bottom"/>
            <w:tcBorders>
              <w:bottom w:val="single" w:sz="8" w:color="auto"/>
            </w:tcBorders>
            <w:gridSpan w:val="3"/>
          </w:tcPr>
          <w:p>
            <w:pPr>
              <w:jc w:val="right"/>
              <w:ind w:right="1312"/>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2021</w:t>
            </w:r>
          </w:p>
        </w:tc>
        <w:tc>
          <w:tcPr>
            <w:tcW w:w="1580" w:type="dxa"/>
            <w:vAlign w:val="bottom"/>
          </w:tcPr>
          <w:p>
            <w:pPr>
              <w:jc w:val="right"/>
              <w:ind w:right="72"/>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1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1,144,000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1,164,000</w:t>
            </w:r>
          </w:p>
        </w:tc>
        <w:tc>
          <w:tcPr>
            <w:tcW w:w="0" w:type="dxa"/>
            <w:vAlign w:val="bottom"/>
          </w:tcPr>
          <w:p>
            <w:pPr>
              <w:spacing w:after="0"/>
              <w:rPr>
                <w:sz w:val="1"/>
                <w:szCs w:val="1"/>
                <w:color w:val="auto"/>
              </w:rPr>
            </w:pP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398,000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389,000</w:t>
            </w: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1,542,000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number of net subscriber additions: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7980" w:type="dxa"/>
            <w:vAlign w:val="bottom"/>
          </w:tcPr>
          <w:p>
            <w:pPr>
              <w:spacing w:after="0"/>
              <w:rPr>
                <w:sz w:val="24"/>
                <w:szCs w:val="24"/>
                <w:color w:val="auto"/>
              </w:rPr>
            </w:pPr>
          </w:p>
        </w:tc>
        <w:tc>
          <w:tcPr>
            <w:tcW w:w="32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2021</w:t>
            </w:r>
          </w:p>
        </w:tc>
        <w:tc>
          <w:tcPr>
            <w:tcW w:w="1580" w:type="dxa"/>
            <w:vAlign w:val="bottom"/>
          </w:tcPr>
          <w:p>
            <w:pPr>
              <w:jc w:val="right"/>
              <w:ind w:right="72"/>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1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U.S. consumer subscriber base in certain areas continues to be capacity constrained and we are managing the available capacity to maintain service quality to our existing subscribers. While the balancing of total subscribers relative to capacity utilization in the second quarter resulted in lower total subscribers, ARPU increased.</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Latin America, we continued to see growth in our subscriber base compared to the first quarter of 2021. Net subscriber additions are lower in the second quarter of 2021 mainly due to lower gross additions. Continued stay-at-home conditions throughout the region have driven increased bandwidth demand and we are experiencing capacity constraints in certain markets. Similar to the U.S., we are balancing capacity utilization with subscriber levels in the impacted areas.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2021 and December 31, 2020, our Hughes segment had $1.4 billion and $1.3 billion of contracted revenue backlog, respectively. We define Hughes contracted revenue backlog as our expected future revenue under enterprise customer contracts that are non-cancelable, including lease revenue.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our ESS segment had contracted revenue backlog of $7.5 million and $6.7 million,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define contracted revenue backlog for our ESS segment as contracted future satellite lease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and medium-earth orbit (“MEO”)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48"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We intend to continue to explore the development and deployment of S-band technologies that we expect will reduce the cost of satellite 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deploy a mobile satellite service (“MSS”) and complementary ground component (“CGC”) network in the European Union and its member states (“E.U.”), the United Kingdom (“U.K.”) and other European countries through our EchoStar XXI satellite, which was placed into service in November 2017, and the EUTELSAT 10A payload. We have positioned ourselves to continue to develop the S-band spectrum globally by acquiring Sirion Global Pty Ltd., which we have renamed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obtained milestone relief due to these force majeure events. In the second quarter of 2021, we launched our third nano-satellite. The nano-satellite was successfully commissioned and placed at the altitude prescribed in our license for the S-band frequency. We have therefore satisfied the extended conditions granted to Australia by the International Telecommunication Union (“ITU”), an important step in perfecting our rights to this spectrum. The nano-satellite will now be used to develop and test a wide range of potential S-band applications and services. We also hold licenses for S-band MSS and terrestrial services in Mexico.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5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We and third parties with whom we work face a constantly evolving landscape of cybersecurity threats in which hackers and other parties use a complex assortment of techniques and methods to execute cyberattacks. Cybersecurity incidents have increased significantly in quantity and severity and are expected to continue to increase. In addition to our efforts to mitigate cyber-attacks, we are making investments to alleviate the potential impact to our products. As a result of these efforts, we could discover new vulnerabilities within our products and systems. We may not discover all such vulnerabilities due to the scale of activities on our platforms, or due to other factors, including but not limited to issues outside of our control. In addition, our IT systems and infrastructure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problems.</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six months ended June 30, 2021.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the Three Months Ended June 30, 2020</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consolidated results of operations for the three months ended June 30, 2021 compared to the three months ended June 30,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 June 30,</w:t>
            </w:r>
          </w:p>
        </w:tc>
        <w:tc>
          <w:tcPr>
            <w:tcW w:w="28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431,279</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417,043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68,555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42,423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499,834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459,466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40,368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139,547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141,019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54,503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32,542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114,038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113,798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7,441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7,448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118,982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129,887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434,526</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424,694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9,832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65,308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34,772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199"/>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tcPr>
          <w:p>
            <w:pPr>
              <w:spacing w:after="0"/>
              <w:rPr>
                <w:sz w:val="18"/>
                <w:szCs w:val="18"/>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(28,868)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(38,258)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30,633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(6,090)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40" w:type="dxa"/>
            <w:vAlign w:val="bottom"/>
          </w:tcPr>
          <w:p>
            <w:pPr>
              <w:spacing w:after="0"/>
              <w:rPr>
                <w:sz w:val="18"/>
                <w:szCs w:val="18"/>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(12,767)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(9,141)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(38,764)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7"/>
                <w:szCs w:val="17"/>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56,167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(21,152)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(10,851)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7"/>
                <w:szCs w:val="17"/>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35,015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(14,843)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49,858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120"/>
              <w:spacing w:after="0"/>
              <w:rPr>
                <w:sz w:val="20"/>
                <w:szCs w:val="20"/>
                <w:color w:val="auto"/>
              </w:rPr>
            </w:pPr>
            <w:r>
              <w:rPr>
                <w:rFonts w:ascii="Arial" w:cs="Arial" w:eastAsia="Arial" w:hAnsi="Arial"/>
                <w:sz w:val="16"/>
                <w:szCs w:val="16"/>
                <w:color w:val="auto"/>
              </w:rPr>
              <w:t>37,295</w:t>
            </w:r>
          </w:p>
        </w:tc>
        <w:tc>
          <w:tcPr>
            <w:tcW w:w="100" w:type="dxa"/>
            <w:vAlign w:val="bottom"/>
          </w:tcPr>
          <w:p>
            <w:pPr>
              <w:spacing w:after="0"/>
              <w:rPr>
                <w:sz w:val="13"/>
                <w:szCs w:val="13"/>
                <w:color w:val="auto"/>
              </w:rPr>
            </w:pPr>
          </w:p>
        </w:tc>
        <w:tc>
          <w:tcPr>
            <w:tcW w:w="380" w:type="dxa"/>
            <w:vAlign w:val="bottom"/>
            <w:vMerge w:val="restart"/>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81"/>
              <w:spacing w:after="0"/>
              <w:rPr>
                <w:sz w:val="20"/>
                <w:szCs w:val="20"/>
                <w:color w:val="auto"/>
              </w:rPr>
            </w:pPr>
            <w:r>
              <w:rPr>
                <w:rFonts w:ascii="Arial" w:cs="Arial" w:eastAsia="Arial" w:hAnsi="Arial"/>
                <w:sz w:val="16"/>
                <w:szCs w:val="16"/>
                <w:color w:val="auto"/>
              </w:rPr>
              <w:t>(11,412)</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48,707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14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0"/>
                <w:szCs w:val="20"/>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201,057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156,824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1,542,000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1,542,000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0" w:hanging="214"/>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is not meaningful.</w:t>
      </w:r>
    </w:p>
    <w:p>
      <w:pPr>
        <w:ind w:left="320" w:hanging="314"/>
        <w:spacing w:after="0" w:line="250" w:lineRule="auto"/>
        <w:tabs>
          <w:tab w:leader="none" w:pos="363"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three months ended June 30, 2021 and 2020.</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$431.3 million for the three months ended June 30,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$14.2 million, or 3.4%, as compared to 2020. The increase was primarily attributable to increases in sales of broadband services to our consumer customers of $12.4 million. The variance reflects the positive impact of exchange rate fluctuations of $2.3 million.</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$68.6 million for the three months ended June 30, 2021, an increase of $26.1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61.6%, as compared to 2020. The increase was primarily attributable to increases in hardware sales of $27.4 million to our enterprise customers, partially offset by decreases in hardware sales of $1.5 million to our consumer customers.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$139.5 million for the three months ended June 30,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$1.5 million, or 1.0%, as compared to 2020. The decrease was attributable to lower costs of services provided to our consumer and enterprise customers primarily associated with field services and leased satellite capacity.</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$54.5 million for the three months ended June 30, 2021, an increase of $22.0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67.5%, as compared to 2020. The increase was primarily attributable to the corresponding increase in equipment revenue.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$114.0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2021, an increase of $0.2 million, or 0.2%, as compared to 2020. The increase was primarily attributable to increased sales and marketing expenses of $4.3 million mainly associated with our consumer customers and increased other selling, general and administrative expenses of $0.9 million, partially offset by decreases in bad debt expense of $5.0 million.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$119.0 million for the three months ended June 30,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$10.9 million, or 8.4%, as compared to 2020. The decrease was primarily attributable to our SPACEWAY 3 satellite which was fully depreciated at the end of the first quarter of 2021.</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$5.2 million for the three months ended June 30, 2021, a decrease of $5.5 million, or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2020, primarily attributable to decreases in the yield on our marketable investment securities and a decrease in our marketable investment securities average balance.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$28.9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a decrease of $9.4 million, or 24.5%, as compared to 2020. The decrease was primarily attributable to a decrease of $5.0 million in interest expense and the amortization of deferred financing cost as a result of the repurchases and maturity of our 7 5/8% Senior Unsecured Notes due 2021 and an increase of $2.8 million in capitalized interest relating to the EchoStar XXIV satellite program.</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$30.6 million in gains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 increase of $36.7 million, as compared to 2020. The change was primarily attributable to increased gains on marketable investment securities of $ 26.1 million in the second quarter of 2021 as compared to 2020, a gain from the sale of other equity securities of $2.1 million in the second quarter of 2021 and a $8.5 million impairment loss in 2020.</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$4.0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losses for the three months ended June 30, 2021, a decrease in losses of $2.3 million, or 36.3%, as compared to 2020. The decrease was related to net reduced losses from our investments in our equity method investees.</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$0.7 million in gains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as compared to $1.6 million in gains for the three months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ended June 30, 2020, a negative change of $0.9 million. The change was due to the net impact of foreign exchange rate fluctuations of certain foreign currencies during the quarter.</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$12.8 million in losses for the three months ended June 30, 2021, as compared to $0.4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2020. The increase was primarily attributable to a litigation expense of $16.8 million, partially offset by dividends received from certain marketable equity securities of $2.1 million.</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Income tax benefit (provision), net</w:t>
      </w:r>
      <w:r>
        <w:rPr>
          <w:rFonts w:ascii="Arial" w:cs="Arial" w:eastAsia="Arial" w:hAnsi="Arial"/>
          <w:sz w:val="17"/>
          <w:szCs w:val="17"/>
          <w:color w:val="auto"/>
        </w:rPr>
        <w:t>. Income tax benefit (provision), net was $(21.2) million for the three months ended June 30, 2021,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$(10.9) million for the three months ended June 30, 2020. Our effective income tax rate was 37.7% and (271.8)% for the three months ended June 30, 2021 and 2020, respectively. The variations in our effective tax rate from the U.S. federal statutory rate for the three months ended June 30, 2021 were primarily due to excluded foreign losses where the Company carries a full valuation allowance and the impact of state and local taxes. The variations in our current year effective tax rate from the U.S. federal statutory rate for the three months ended June 30, 2020 were primarily due to the increase in our valuation allowance associated with certain foreign losses and by the impact of state and local taxes partially offset by the change in net unrealized gains that are capital in nature and research and experimentation credits.</w:t>
      </w:r>
    </w:p>
    <w:p>
      <w:pPr>
        <w:spacing w:after="0" w:line="195"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June 30, 2020</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(12,376)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(5,520)</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9,390</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30,536</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36,723</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June 30, 2021</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reconciles EBITDA to Net income (loss), the most directly comparable U.S. GAAP measure in our Accompanying Consolidated Financial Statements: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9"/>
              </w:rPr>
              <w:t>For the three months ended June 30,</w:t>
            </w:r>
          </w:p>
        </w:tc>
        <w:tc>
          <w:tcPr>
            <w:tcW w:w="280" w:type="dxa"/>
            <w:vAlign w:val="bottom"/>
          </w:tcPr>
          <w:p>
            <w:pPr>
              <w:spacing w:after="0"/>
              <w:rPr>
                <w:sz w:val="20"/>
                <w:szCs w:val="20"/>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0"/>
                <w:szCs w:val="20"/>
                <w:color w:val="auto"/>
              </w:rPr>
            </w:pPr>
          </w:p>
        </w:tc>
      </w:tr>
      <w:tr>
        <w:trPr>
          <w:trHeight w:val="219"/>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(33.5)</w:t>
            </w: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97" w:lineRule="exact"/>
        <w:rPr>
          <w:sz w:val="20"/>
          <w:szCs w:val="20"/>
          <w:color w:val="auto"/>
        </w:rPr>
      </w:pPr>
    </w:p>
    <w:p>
      <w:pPr>
        <w:ind w:left="220" w:hanging="214"/>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09460" cy="151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9460" cy="151765"/>
                    </a:xfrm>
                    <a:prstGeom prst="rect">
                      <a:avLst/>
                    </a:prstGeom>
                    <a:noFill/>
                  </pic:spPr>
                </pic:pic>
              </a:graphicData>
            </a:graphic>
          </wp:anchor>
        </w:drawing>
      </w:r>
    </w:p>
    <w:p>
      <w:pPr>
        <w:spacing w:after="0" w:line="356" w:lineRule="exact"/>
        <w:rPr>
          <w:sz w:val="20"/>
          <w:szCs w:val="20"/>
          <w:color w:val="auto"/>
        </w:rPr>
      </w:pPr>
    </w:p>
    <w:p>
      <w:pPr>
        <w:ind w:left="220" w:right="3580" w:hanging="198"/>
        <w:spacing w:after="0" w:line="276" w:lineRule="auto"/>
        <w:rPr>
          <w:sz w:val="20"/>
          <w:szCs w:val="20"/>
          <w:color w:val="auto"/>
        </w:rPr>
      </w:pPr>
      <w:r>
        <w:rPr>
          <w:rFonts w:ascii="Arial" w:cs="Arial" w:eastAsia="Arial" w:hAnsi="Arial"/>
          <w:sz w:val="17"/>
          <w:szCs w:val="17"/>
          <w:color w:val="auto"/>
        </w:rPr>
        <w:t>EBITDA for the three months ended June 30, 2020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10946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Increase (decrease) in operating income (loss), excluding depreciation and amortization</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other, net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three months ended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8"/>
        </w:trPr>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156,824</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36,723</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19,631</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2,301</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26"/>
        </w:trPr>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r>
      <w:tr>
        <w:trPr>
          <w:trHeight w:val="219"/>
        </w:trPr>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201,057</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40"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three months ended June 30, 2021, as compared to the three months ended June 30,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Hughes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7"/>
              </w:rPr>
              <w:t>Corporate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2021</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492,276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83,232</w:t>
            </w: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210,194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201,057</w:t>
            </w:r>
          </w:p>
        </w:tc>
        <w:tc>
          <w:tcPr>
            <w:tcW w:w="0" w:type="dxa"/>
            <w:vAlign w:val="bottom"/>
          </w:tcPr>
          <w:p>
            <w:pPr>
              <w:spacing w:after="0"/>
              <w:rPr>
                <w:sz w:val="1"/>
                <w:szCs w:val="1"/>
                <w:color w:val="auto"/>
              </w:rPr>
            </w:pPr>
          </w:p>
        </w:tc>
      </w:tr>
      <w:tr>
        <w:trPr>
          <w:trHeight w:val="252"/>
        </w:trPr>
        <w:tc>
          <w:tcPr>
            <w:tcW w:w="4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June 30, 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459,466</w:t>
            </w: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92,300</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156,824</w:t>
            </w:r>
          </w:p>
        </w:tc>
        <w:tc>
          <w:tcPr>
            <w:tcW w:w="0" w:type="dxa"/>
            <w:vAlign w:val="bottom"/>
          </w:tcPr>
          <w:p>
            <w:pPr>
              <w:spacing w:after="0"/>
              <w:rPr>
                <w:sz w:val="1"/>
                <w:szCs w:val="1"/>
                <w:color w:val="auto"/>
              </w:rPr>
            </w:pPr>
          </w:p>
        </w:tc>
      </w:tr>
      <w:tr>
        <w:trPr>
          <w:trHeight w:val="542"/>
        </w:trPr>
        <w:tc>
          <w:tcPr>
            <w:tcW w:w="480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9"/>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6"/>
          </w:tcPr>
          <w:p>
            <w:pPr>
              <w:jc w:val="right"/>
              <w:ind w:right="1132"/>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(11,292)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revenue was $492.3 million for the three months ended June 30, 2021, an increase of $39.1 million, or 8.6%, as compared to 2020. Services and other revenue increased primarily due to increases in sales of broadband services to our consumer customers of $12.4 million. Equipment revenue increased primarily due to increases in hardware sales of $27.4 million to our enterprise customers, partially offset by decreases in hardware sales of $1.5 million to our consumer customers. These variances reflect the positive impact of exchange rate fluctuations of $2.5 million.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$72.2 million for the three months ended June 30, 2021, a decrease of $11.3 million, or 13.5%, as compared to 2020, primarily due to decreases in expenditures associated with our consumer business, partially offset by increased expenditures related to our enterprise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June 30, 2020</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40" w:type="dxa"/>
            <w:vAlign w:val="bottom"/>
            <w:gridSpan w:val="7"/>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Increase (decrease) in foreign currency transaction gains (losses), net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5"/>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EBITDA for the three months ended June 30, 2021</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8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tcPr>
          <w:p>
            <w:pPr>
              <w:jc w:val="right"/>
              <w:ind w:right="1112"/>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5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$4.3 million for the three months ended June 30, 2021, which is primarily flat compared to 2020.</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was $2.2 million for the three months ended June 30, 2021, an increase of $0.7 million, or 45.4%, as compared to 2020, primarily due to the recovery of a bad debt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2"/>
        </w:trPr>
        <w:tc>
          <w:tcPr>
            <w:tcW w:w="4820" w:type="dxa"/>
            <w:vAlign w:val="bottom"/>
          </w:tcPr>
          <w:p>
            <w:pPr>
              <w:spacing w:after="0"/>
              <w:rPr>
                <w:sz w:val="24"/>
                <w:szCs w:val="24"/>
                <w:color w:val="auto"/>
              </w:rPr>
            </w:pPr>
          </w:p>
        </w:tc>
        <w:tc>
          <w:tcPr>
            <w:tcW w:w="326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9"/>
              </w:rPr>
              <w:t>For the three months ended June 30,</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6"/>
              </w:rPr>
              <w:t>54.8</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center"/>
              <w:ind w:left="432"/>
              <w:spacing w:after="0"/>
              <w:rPr>
                <w:sz w:val="20"/>
                <w:szCs w:val="20"/>
                <w:color w:val="auto"/>
              </w:rPr>
            </w:pPr>
            <w:r>
              <w:rPr>
                <w:rFonts w:ascii="Arial" w:cs="Arial" w:eastAsia="Arial" w:hAnsi="Arial"/>
                <w:sz w:val="18"/>
                <w:szCs w:val="18"/>
                <w:color w:val="auto"/>
                <w:w w:val="96"/>
              </w:rPr>
              <w:t>25.2</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7"/>
              </w:rPr>
              <w:t>(63.7)</w:t>
            </w:r>
          </w:p>
        </w:tc>
      </w:tr>
    </w:tbl>
    <w:p>
      <w:pPr>
        <w:spacing w:after="0" w:line="3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$3.3 million for the three months ended June 30, 2021, an increase of $1.2 million, or 54.8%, as compared to 2020, primarily due to increased services and other revenue from DISH Network.</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Capital expenditures were $11.0 million for the three months ended June 30, 2021, an increase of $2.2 million, as compared to 2020, primarily due to increases in expenditures related to the EchoStar XXIV satellite program.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June 30, 2020</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0"/>
                <w:szCs w:val="20"/>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June 30, 2021</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98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8"/>
                <w:szCs w:val="18"/>
                <w:color w:val="auto"/>
              </w:rPr>
              <w:t>46</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4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8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the Six Months Ended June 30, 2020</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consolidated results of operations for the six months ended June 30, 2021 compared to the six months ended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861,616</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825,400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36,216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120,800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99,732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982,416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925,132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57,284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272,336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286,271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99,654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78,450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228,157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239,079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14,986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13,702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248,268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262,255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863,646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879,757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(16,111)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118,770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45,375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73,395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26,343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8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(63,535)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(74,491)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109,233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(52,762)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161,995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8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(3,732)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(13,697)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37,116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(114,596)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155,886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(69,221)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225,107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(43,299)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112,587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(72,580)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185,167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6,873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120"/>
              <w:spacing w:after="0"/>
              <w:rPr>
                <w:sz w:val="20"/>
                <w:szCs w:val="20"/>
                <w:color w:val="auto"/>
              </w:rPr>
            </w:pPr>
            <w:r>
              <w:rPr>
                <w:rFonts w:ascii="Arial" w:cs="Arial" w:eastAsia="Arial" w:hAnsi="Arial"/>
                <w:sz w:val="16"/>
                <w:szCs w:val="16"/>
                <w:color w:val="auto"/>
              </w:rPr>
              <w:t>115,814</w:t>
            </w:r>
          </w:p>
        </w:tc>
        <w:tc>
          <w:tcPr>
            <w:tcW w:w="100" w:type="dxa"/>
            <w:vAlign w:val="bottom"/>
          </w:tcPr>
          <w:p>
            <w:pPr>
              <w:spacing w:after="0"/>
              <w:rPr>
                <w:sz w:val="13"/>
                <w:szCs w:val="13"/>
                <w:color w:val="auto"/>
              </w:rPr>
            </w:pPr>
          </w:p>
        </w:tc>
        <w:tc>
          <w:tcPr>
            <w:tcW w:w="360" w:type="dxa"/>
            <w:vAlign w:val="bottom"/>
            <w:vMerge w:val="restart"/>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80"/>
              <w:spacing w:after="0"/>
              <w:rPr>
                <w:sz w:val="20"/>
                <w:szCs w:val="20"/>
                <w:color w:val="auto"/>
              </w:rPr>
            </w:pPr>
            <w:r>
              <w:rPr>
                <w:rFonts w:ascii="Arial" w:cs="Arial" w:eastAsia="Arial" w:hAnsi="Arial"/>
                <w:sz w:val="16"/>
                <w:szCs w:val="16"/>
                <w:color w:val="auto"/>
              </w:rPr>
              <w:t>(65,707)</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181,521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18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EBITDA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459,727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248,055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211,672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1,542,000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1,542,000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0" w:hanging="21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is not meaningful.</w:t>
      </w:r>
    </w:p>
    <w:p>
      <w:pPr>
        <w:ind w:left="320" w:hanging="314"/>
        <w:spacing w:after="0" w:line="237"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ind w:left="320" w:hanging="314"/>
        <w:spacing w:after="0" w:line="250" w:lineRule="auto"/>
        <w:tabs>
          <w:tab w:leader="none" w:pos="363"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six months ended June 30, 2021 and 2020.</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$861.6 million for the six months ended June 30,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$36.2 million, or 4.4%, as compared to 2020. The increase was primarily attributable to increases in sales of broadband services to our consumer customers of $39.3 million, partially offset by a decrease in sales of services to our enterprise customers of $3.5 million. These variances reflect the negative impact of exchange rate fluctuations of $3.1 million, primarily attributable to our consumer customers.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$120.8 million for the six months ended June 30, 2021, an increase of $21.1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21.1%, as compared to 2020. The increase was primarily attributable to increases in hardware sales of $26.0 million to our enterprise customers, partially offset by decreases in hardware sales of $4.6 million to our mobile satellite systems customers.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$272.3 million for the six months ended June 30,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$13.9 million, or 4.9%, as compared to 2020. The decrease was attributable to lower costs of services provided to our consumer and enterprise customers primarily associated with field services and leased satellite capacity as well as a non-recurring decrease in a certain international regulatory fee of $4.5 million.</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$99.7 million for the six months ended June 30,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$21.2 million, or 27.0%, as compared to 2020. The increase was primarily attributable to the corresponding increase in equipment revenue.</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Selling, general and administrative expenses</w:t>
      </w:r>
      <w:r>
        <w:rPr>
          <w:rFonts w:ascii="Arial" w:cs="Arial" w:eastAsia="Arial" w:hAnsi="Arial"/>
          <w:sz w:val="17"/>
          <w:szCs w:val="17"/>
          <w:color w:val="auto"/>
        </w:rPr>
        <w:t>. Selling, general and administrative expenses totaled $228.2 million for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2021, a decrease of $10.9 million, or 4.6%, as compared to 2020. The decrease was primarily attributable to decreased sales and marketing expenses of $5.2 million mainly associated with our consumer customers and decreases in bad debt expense of $7.4 million.</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$248.3 million for the six months ended June 30,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$14.0 million, or 5.3%, as compared to 2020. The decrease was primarily attributable to (i) our SPACEWAY 3 satellite which was fully depreciated at the end of the first quarter of 2021, (ii) decreases in other property and equipment depreciation expense of $2.3 million, and (iii) decreases in amortization of intangibles of $3.0 million.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$11.2 million for the six months ended June 30, 2021, a decrease of $15.2 million, or 57.5%,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2020, primarily attributable to decreases in the yield on our marketable investment securities and a decrease in our marketable investment securities average balance.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$63.5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a decrease of $11.0 million, or 14.7%, as compared to 2020. The decrease was primarily attributable to a decrease of $5.3 million in interest expense and the amortization of deferred financing cost as a result of the repurchases and maturity of our 7 5/8% Senior Unsecured Notes due 2021 and an increase of $4.7 million in capitalized interest relating to the EchoStar XXIV satellite program.</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$109.2 million in gains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 increase of $162.0 million, as compared to 2020. The change was primarily attributable to increased gains on marketable investment securities of $129.9 million in the first half of 2021 as compared to 2020, a gain from the sale of other equity securities of $2.1 million in the second quarter of 2021 and a $29.8 million impairment loss in 2020.</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$2.7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losses for the six months ended June 30, 2021, a decrease in losses of $1.1 million, or 28.5%, as compared to 2020. The decrease was related to net reduced losses from our investments in our equity method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$3.4 million in losses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as compared to $9.3 million in losses for the six months ended June 30, 2020, a positive change of $5.9 million. The change was due to the net impact of foreign exchange fluctuations of certain currencies during the quarter.</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$13.7 million in losses for the six months ended June 30, 2021, as compared to $0.7 million in losses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The increase was primarily attributable to a litigation expense of $16.8 million and losses from debt repurchases on our 7 5/8% Senior Unsecured Notes due 2021 of $1.9 million, partially offset by dividends received from certain marketable equity securities of $2.1 million.</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$(43.3) million for the six months ended June 30,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$(3.4) million for the six months ended June 30, 2020. Our effective income tax rate was 27.8% and (4.9)% for the six months ended June 30, 2021 and 2020, respectively. The variations in our current year effective tax rate from the U.S. federal statutory rate for the six months ended June 30, 2021 were primarily due to excluded foreign losses where the Company carries a full valuation allowance and the impact of state and local taxes. The variations in our effective tax rate from the U.S. federal statutory rate for the six months ended June 30, 2020 were primarily due to the increase in our valuation allowance associated with certain foreign losses and the impact of state and local taxes, partially offset by the change in net unrealized losses that are capital in nature and research and experimentation credits.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ectPr>
          <w:pgSz w:w="11900" w:h="16838" w:orient="portrait"/>
          <w:cols w:equalWidth="0" w:num="1">
            <w:col w:w="11240"/>
          </w:cols>
          <w:pgMar w:left="320" w:top="140" w:right="339" w:bottom="1440" w:gutter="0" w:footer="0" w:header="0"/>
        </w:sectPr>
      </w:pPr>
    </w:p>
    <w:p>
      <w:pPr>
        <w:spacing w:after="0" w:line="283" w:lineRule="exact"/>
        <w:rPr>
          <w:sz w:val="20"/>
          <w:szCs w:val="20"/>
          <w:color w:val="auto"/>
        </w:rPr>
      </w:pPr>
    </w:p>
    <w:p>
      <w:pPr>
        <w:ind w:left="220" w:right="880" w:hanging="198"/>
        <w:spacing w:after="0" w:line="261" w:lineRule="auto"/>
        <w:rPr>
          <w:sz w:val="20"/>
          <w:szCs w:val="20"/>
          <w:color w:val="auto"/>
        </w:rPr>
      </w:pPr>
      <w:r>
        <w:rPr>
          <w:rFonts w:ascii="Arial" w:cs="Arial" w:eastAsia="Arial" w:hAnsi="Arial"/>
          <w:sz w:val="18"/>
          <w:szCs w:val="18"/>
          <w:color w:val="auto"/>
        </w:rPr>
        <w:t>Net income (loss) attributable to EchoStar Corporation for the six months ended June 30, 2020 Decrease (increase) in income tax benefit (provision),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0946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-301625</wp:posOffset>
            </wp:positionV>
            <wp:extent cx="7109460" cy="151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interest income,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right="1280"/>
        <w:spacing w:after="0" w:line="266" w:lineRule="auto"/>
        <w:rPr>
          <w:sz w:val="20"/>
          <w:szCs w:val="20"/>
          <w:color w:val="auto"/>
        </w:rPr>
      </w:pPr>
      <w:r>
        <w:rPr>
          <w:rFonts w:ascii="Arial" w:cs="Arial" w:eastAsia="Arial" w:hAnsi="Arial"/>
          <w:sz w:val="18"/>
          <w:szCs w:val="18"/>
          <w:color w:val="auto"/>
        </w:rPr>
        <w:t>Increase (decrease) in operating income (loss), including depreciation and amortization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09460" cy="168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(loss) attributable to EchoStar Corporation for the six months ended June 30, 2021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w:t>
      </w:r>
    </w:p>
    <w:p>
      <w:pPr>
        <w:spacing w:after="0" w:line="54"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(65,707)</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(39,940)</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(15,154)</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(13,027)</w:t>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(3,646)</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1,062</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5,880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10,956</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73,395</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161,995</w:t>
      </w:r>
    </w:p>
    <w:p>
      <w:pPr>
        <w:spacing w:after="0" w:line="3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1396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8300" w:space="720"/>
            <w:col w:w="22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reconciles EBITDA to Net income (loss), the most directly comparable U.S. GAAP measure in our Accompanying Consolidated Financial Statements: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0"/>
                <w:szCs w:val="20"/>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0"/>
                <w:szCs w:val="20"/>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185,167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(53.0)</w:t>
            </w:r>
          </w:p>
        </w:tc>
      </w:tr>
      <w:tr>
        <w:trPr>
          <w:trHeight w:val="244"/>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84" w:lineRule="exact"/>
        <w:rPr>
          <w:sz w:val="20"/>
          <w:szCs w:val="20"/>
          <w:color w:val="auto"/>
        </w:rPr>
      </w:pPr>
    </w:p>
    <w:p>
      <w:pPr>
        <w:ind w:left="220" w:hanging="214"/>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is not meaningful.</w:t>
      </w:r>
    </w:p>
    <w:p>
      <w:pPr>
        <w:sectPr>
          <w:pgSz w:w="11900" w:h="16838" w:orient="portrait"/>
          <w:cols w:equalWidth="0" w:num="1">
            <w:col w:w="11240"/>
          </w:cols>
          <w:pgMar w:left="320" w:top="140" w:right="3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0946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six months ended June 30, 2020</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right="1200"/>
        <w:spacing w:after="0" w:line="261" w:lineRule="auto"/>
        <w:rPr>
          <w:sz w:val="20"/>
          <w:szCs w:val="20"/>
          <w:color w:val="auto"/>
        </w:rPr>
      </w:pPr>
      <w:r>
        <w:rPr>
          <w:rFonts w:ascii="Arial" w:cs="Arial" w:eastAsia="Arial" w:hAnsi="Arial"/>
          <w:sz w:val="18"/>
          <w:szCs w:val="18"/>
          <w:color w:val="auto"/>
        </w:rPr>
        <w:t>Increase (decrease) in operating income (loss), excluding depreciation and amortization Increase (decrease) in foreign currency transaction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09460"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other, net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six months ended June 30, 2021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780" w:type="dxa"/>
            <w:vAlign w:val="bottom"/>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25"/>
        </w:trPr>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248,055</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161,995</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59,408</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5,880</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26"/>
        </w:trPr>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r>
      <w:tr>
        <w:trPr>
          <w:trHeight w:val="218"/>
        </w:trPr>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459,727</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15" w:lineRule="exact"/>
        <w:rPr>
          <w:sz w:val="20"/>
          <w:szCs w:val="20"/>
          <w:color w:val="auto"/>
        </w:rPr>
      </w:pPr>
    </w:p>
    <w:p>
      <w:pPr>
        <w:sectPr>
          <w:pgSz w:w="11900" w:h="16838" w:orient="portrait"/>
          <w:cols w:equalWidth="0" w:num="2">
            <w:col w:w="8280" w:space="720"/>
            <w:col w:w="2240"/>
          </w:cols>
          <w:pgMar w:left="320" w:top="140" w:right="339" w:bottom="1440" w:gutter="0" w:footer="0" w:header="0"/>
          <w:type w:val="continuous"/>
        </w:sectPr>
      </w:pPr>
    </w:p>
    <w:p>
      <w:pPr>
        <w:spacing w:after="0" w:line="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six months ended June 30, 2021, as compared to the six months ended June 30, 2020: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8"/>
                <w:szCs w:val="1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262,466</w:t>
            </w:r>
          </w:p>
        </w:tc>
        <w:tc>
          <w:tcPr>
            <w:tcW w:w="0" w:type="dxa"/>
            <w:vAlign w:val="bottom"/>
          </w:tcPr>
          <w:p>
            <w:pPr>
              <w:spacing w:after="0"/>
              <w:rPr>
                <w:sz w:val="1"/>
                <w:szCs w:val="1"/>
                <w:color w:val="auto"/>
              </w:rPr>
            </w:pPr>
          </w:p>
        </w:tc>
      </w:tr>
      <w:tr>
        <w:trPr>
          <w:trHeight w:val="225"/>
        </w:trPr>
        <w:tc>
          <w:tcPr>
            <w:tcW w:w="4800" w:type="dxa"/>
            <w:vAlign w:val="bottom"/>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408,772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459,727</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2020</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25"/>
        </w:trPr>
        <w:tc>
          <w:tcPr>
            <w:tcW w:w="48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174,996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196,904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8"/>
              </w:rPr>
              <w:t>56,482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left="432"/>
              <w:spacing w:after="0"/>
              <w:rPr>
                <w:sz w:val="20"/>
                <w:szCs w:val="20"/>
                <w:color w:val="auto"/>
              </w:rPr>
            </w:pPr>
            <w:r>
              <w:rPr>
                <w:rFonts w:ascii="Arial" w:cs="Arial" w:eastAsia="Arial" w:hAnsi="Arial"/>
                <w:sz w:val="18"/>
                <w:szCs w:val="18"/>
                <w:color w:val="auto"/>
                <w:w w:val="98"/>
              </w:rPr>
              <w:t>(20,614)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8"/>
              </w:rPr>
              <w:t>67,512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bl>
    <w:p>
      <w:pPr>
        <w:spacing w:after="0" w:line="2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Total revenue was $968.1 million for the six months ended June 30, 2021, an increase of $56.5 million, or 6.2%, as compared to 2020. Services and other revenue increased primarily due to an increase of $39.3 million in sales of broadband services to our consumer customers, partially offset by a decrease of $3.5 million in sales of services to our enterprise customers. Equipment revenue increased primarily due to increases in hardware sales of $26.0 million to our enterprise customers, partially offset by decreases in hardware sales of $4.6 million to our mobile satellite systems customers. These variances reflect the negative impact of exchange rate fluctuations of $3.4 million.</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$154.4 million for the six months ended June 30, 2021, a decrease of $20.6 million, or 11.8%, as compared to 2020, primarily due to decreases in expenditures associated with our consumer business, partially offset by increased expenditures related to our enterprise business and construction of our satellite-related ground infrastructure.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4"/>
              </w:rPr>
              <w:t>Amounts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2020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00" w:type="dxa"/>
            <w:vAlign w:val="bottom"/>
            <w:gridSpan w:val="5"/>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8"/>
                <w:szCs w:val="18"/>
                <w:color w:val="auto"/>
              </w:rPr>
              <w:t>EBITDA for the six months ended June 30, 2021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408,772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ESS Segment</w:t>
            </w: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4"/>
          </w:tcPr>
          <w:p>
            <w:pPr>
              <w:jc w:val="right"/>
              <w:ind w:right="1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480" w:type="dxa"/>
            <w:vAlign w:val="bottom"/>
            <w:tcBorders>
              <w:top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$8.4 million for the six months ended June 30, 2021, a decrease of $0.5 million, or 5.2%, as compared to 2020, primarily due to a decrease in transponder services provided to third parties.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was $4.2 million for the six months ended June 30, 2021, an increase of $0.6 million, or 16.5%, as compared to 2020, primarily due to the recovery of a bad debt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40" w:type="dxa"/>
            <w:vAlign w:val="bottom"/>
          </w:tcPr>
          <w:p>
            <w:pPr>
              <w:spacing w:after="0"/>
              <w:rPr>
                <w:sz w:val="24"/>
                <w:szCs w:val="24"/>
                <w:color w:val="auto"/>
              </w:rPr>
            </w:pPr>
          </w:p>
        </w:tc>
        <w:tc>
          <w:tcPr>
            <w:tcW w:w="1900" w:type="dxa"/>
            <w:vAlign w:val="bottom"/>
            <w:gridSpan w:val="3"/>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4" w:lineRule="exact"/>
        <w:rPr>
          <w:sz w:val="20"/>
          <w:szCs w:val="20"/>
          <w:color w:val="auto"/>
        </w:rPr>
      </w:pPr>
    </w:p>
    <w:p>
      <w:pPr>
        <w:ind w:left="220" w:hanging="214"/>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Total revenue was 5.9 million for the six months ended June 30, 2021, an increase of 1.3 million, or 27.1%, as compared to 2020, primarily due to increased services and other revenue from DISH Network.</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Capital expenditures were 108.1 million for the six months ended June 30, 2021, an increase of $86.2 million, as compared to 2020, primarily due to increases in expenditures related to the EchoStar XXIV satellite program.</w:t>
      </w:r>
    </w:p>
    <w:p>
      <w:pPr>
        <w:sectPr>
          <w:pgSz w:w="11900" w:h="16838" w:orient="portrait"/>
          <w:cols w:equalWidth="0" w:num="1">
            <w:col w:w="11240"/>
          </w:cols>
          <w:pgMar w:left="320" w:top="140" w:right="3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09460" cy="151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six months ended June 30, 2020</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right="1220"/>
        <w:spacing w:after="0" w:line="261" w:lineRule="auto"/>
        <w:rPr>
          <w:sz w:val="20"/>
          <w:szCs w:val="20"/>
          <w:color w:val="auto"/>
        </w:rPr>
      </w:pPr>
      <w:r>
        <w:rPr>
          <w:rFonts w:ascii="Arial" w:cs="Arial" w:eastAsia="Arial" w:hAnsi="Arial"/>
          <w:sz w:val="18"/>
          <w:szCs w:val="18"/>
          <w:color w:val="auto"/>
        </w:rPr>
        <w:t>Increase (decrease) in operating income (loss), excluding depreciation and amortization Increase (decrease) in foreign currency transaction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09460" cy="142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right="1720"/>
        <w:spacing w:after="0" w:line="266" w:lineRule="auto"/>
        <w:rPr>
          <w:sz w:val="20"/>
          <w:szCs w:val="20"/>
          <w:color w:val="auto"/>
        </w:rPr>
      </w:pPr>
      <w:r>
        <w:rPr>
          <w:rFonts w:ascii="Arial" w:cs="Arial" w:eastAsia="Arial" w:hAnsi="Arial"/>
          <w:sz w:val="18"/>
          <w:szCs w:val="18"/>
          <w:color w:val="auto"/>
        </w:rPr>
        <w:t>Decrease (increase) in equity in earnings (losses) of unconsolidated affiliates, net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09460" cy="168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six months ended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w:t>
      </w:r>
    </w:p>
    <w:p>
      <w:pPr>
        <w:spacing w:after="0" w:line="54" w:lineRule="exact"/>
        <w:rPr>
          <w:sz w:val="20"/>
          <w:szCs w:val="20"/>
          <w:color w:val="auto"/>
        </w:rPr>
      </w:pPr>
    </w:p>
    <w:p>
      <w:pPr>
        <w:jc w:val="both"/>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(96,778)</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(16,647)</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(1,716)</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1,048</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1,140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159,746</w:t>
      </w:r>
    </w:p>
    <w:p>
      <w:pPr>
        <w:spacing w:after="0" w:line="3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1396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300" w:space="720"/>
            <w:col w:w="22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2021 our cash, cash equivalents and marketable investment securities totaled $1.6 billion, of which $0.8 billion, we held as marketable investment securities, consisting of various debt and equity instruments including corporate bonds, corporate equity securities, government bonds and mutual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5"/>
        </w:trPr>
        <w:tc>
          <w:tcPr>
            <w:tcW w:w="6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Variance</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63,360</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566,292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365,768</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(1,062,893)</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18,789</w:t>
            </w: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(614,976)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flows provided by (used for) operating activities increased by $63.4 million primarily attributable to changes in net income (loss) of $185.2 million and deferred tax provision (benefit), net of $36.5 million, partially offset by changes in gains (losses) on investments, net of $162.0 million.</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investing activities increased by $365.8 million primarily attributable to our marketable investment securities and other investments net activity and an increase in expenditures for property and equipment.</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financing activities decreased by $1.1 billion primarily attributable to the repurchase and maturity of our 7 5/8% Senior Unsecured Notes due 2021 of $901.8 million and from increased treasury share repurchases of $157.9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2021, our satellite-related commitments were $385.1 million. These primarily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51"/>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June 30, 2021</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2"/>
        </w:trPr>
        <w:tc>
          <w:tcPr>
            <w:tcW w:w="89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31,428</w:t>
            </w:r>
          </w:p>
        </w:tc>
      </w:tr>
      <w:tr>
        <w:trPr>
          <w:trHeight w:val="219"/>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49,671</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or to improve the quality of our satellite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Al Yah Satellite Communications Company PrJSC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 significant amount of outstanding indebtedness. As of June 30, 2021, our total indebtedness was $1.5 billion. Refer to our Form 10-K for a discussion of the terms of our long-term debt. On June 15, 2021, we paid the 7 5/8% Senior Unsecured Notes due 2021. Our liquidity requirements will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aspects of our business operations may also require additional capital. We also expect to owe U.S. Federal income tax for 2021.</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2020. On October 29, 2020, our Board of Directors amended and extended its prior authorization and authorized us to repurchase, pursuant to this authorization,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 During the three and six months ended June 30, 2021, we repurchased 2,374,452 and 7,145,166 shares of our Class A common stock for $58.2 million and $169.0 million, respectively under this program. The remaining authorization under this program was $287.6 million as of June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critical accounting policies are those that involve a high degree of estimation, judgment and complexity. Our critical accounting policies are those related to (i) contingent liabilities, (ii) revenue recognition and (iii) impairment of assets.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critical accounting policies are described in our Form 10-K under the heading Part II - Item 7. Management’s Discussion and Analysis of Financial Condition and Results of Operations. There have been no significant changes in our critical accounting policies from those presented in our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48" w:lineRule="exact"/>
        <w:rPr>
          <w:sz w:val="20"/>
          <w:szCs w:val="20"/>
          <w:color w:val="auto"/>
        </w:rPr>
      </w:pPr>
    </w:p>
    <w:p>
      <w:pPr>
        <w:ind w:right="700"/>
        <w:spacing w:after="0" w:line="272" w:lineRule="auto"/>
        <w:rPr>
          <w:sz w:val="20"/>
          <w:szCs w:val="20"/>
          <w:color w:val="auto"/>
        </w:rPr>
      </w:pPr>
      <w:r>
        <w:rPr>
          <w:rFonts w:ascii="Arial" w:cs="Arial" w:eastAsia="Arial" w:hAnsi="Arial"/>
          <w:sz w:val="18"/>
          <w:szCs w:val="18"/>
          <w:color w:val="auto"/>
        </w:rPr>
        <w:t xml:space="preserve">For a discussion of new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Accompanying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4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from our investments accounted for using the equity method.</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Accompanying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June 30, 2021, our market risk has not changed materially from those presented in our Form 10-K.</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June 30, 2021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13. Contingencies</w:t>
      </w:r>
      <w:r>
        <w:rPr>
          <w:rFonts w:ascii="Arial" w:cs="Arial" w:eastAsia="Arial" w:hAnsi="Arial"/>
          <w:sz w:val="18"/>
          <w:szCs w:val="18"/>
          <w:color w:val="auto"/>
        </w:rPr>
        <w:t xml:space="preserve"> - Litigation in this Form 10-Q.</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2020 includes a detailed discussion of our risk factors.</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2021. During the year ended December 31, 2020, we repurchased 1,905,906 shares of our 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June 30,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Total Number of</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9"/>
              </w:rPr>
              <w:t>Value) of Shares (or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Purchased as Part of</w:t>
            </w:r>
          </w:p>
        </w:tc>
        <w:tc>
          <w:tcPr>
            <w:tcW w:w="1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3"/>
        </w:trPr>
        <w:tc>
          <w:tcPr>
            <w:tcW w:w="4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Publicly Disclosed</w:t>
            </w:r>
          </w:p>
        </w:tc>
        <w:tc>
          <w:tcPr>
            <w:tcW w:w="120" w:type="dxa"/>
            <w:vAlign w:val="bottom"/>
          </w:tcPr>
          <w:p>
            <w:pPr>
              <w:spacing w:after="0"/>
              <w:rPr>
                <w:sz w:val="11"/>
                <w:szCs w:val="11"/>
                <w:color w:val="auto"/>
              </w:rPr>
            </w:pPr>
          </w:p>
        </w:tc>
        <w:tc>
          <w:tcPr>
            <w:tcW w:w="15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 (or Unit)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4"/>
                <w:szCs w:val="14"/>
                <w:color w:val="auto"/>
              </w:rPr>
            </w:pPr>
          </w:p>
        </w:tc>
        <w:tc>
          <w:tcPr>
            <w:tcW w:w="1540" w:type="dxa"/>
            <w:vAlign w:val="bottom"/>
          </w:tcPr>
          <w:p>
            <w:pPr>
              <w:jc w:val="center"/>
              <w:ind w:right="41"/>
              <w:spacing w:after="0" w:line="172" w:lineRule="exact"/>
              <w:rPr>
                <w:sz w:val="20"/>
                <w:szCs w:val="20"/>
                <w:color w:val="auto"/>
              </w:rPr>
            </w:pPr>
            <w:r>
              <w:rPr>
                <w:rFonts w:ascii="Arial" w:cs="Arial" w:eastAsia="Arial" w:hAnsi="Arial"/>
                <w:sz w:val="14"/>
                <w:szCs w:val="14"/>
                <w:b w:val="1"/>
                <w:bCs w:val="1"/>
                <w:color w:val="auto"/>
                <w:w w:val="99"/>
              </w:rPr>
              <w:t xml:space="preserve">Plans or Program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1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1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1,464,410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1,464,410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310,136</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May 1 -31</w:t>
            </w:r>
          </w:p>
        </w:tc>
        <w:tc>
          <w:tcPr>
            <w:tcW w:w="1540" w:type="dxa"/>
            <w:vAlign w:val="bottom"/>
          </w:tcPr>
          <w:p>
            <w:pPr>
              <w:jc w:val="right"/>
              <w:spacing w:after="0"/>
              <w:rPr>
                <w:sz w:val="20"/>
                <w:szCs w:val="20"/>
                <w:color w:val="auto"/>
              </w:rPr>
            </w:pPr>
            <w:r>
              <w:rPr>
                <w:rFonts w:ascii="Arial" w:cs="Arial" w:eastAsia="Arial" w:hAnsi="Arial"/>
                <w:sz w:val="18"/>
                <w:szCs w:val="18"/>
                <w:color w:val="auto"/>
              </w:rPr>
              <w:t>571,168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Arial" w:cs="Arial" w:eastAsia="Arial" w:hAnsi="Arial"/>
                <w:sz w:val="18"/>
                <w:szCs w:val="18"/>
                <w:color w:val="auto"/>
              </w:rPr>
              <w:t>571,168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8"/>
                <w:szCs w:val="18"/>
                <w:color w:val="auto"/>
              </w:rPr>
              <w:t>295,935</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338,874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287,584</w:t>
            </w:r>
          </w:p>
        </w:tc>
        <w:tc>
          <w:tcPr>
            <w:tcW w:w="0" w:type="dxa"/>
            <w:vAlign w:val="bottom"/>
          </w:tcPr>
          <w:p>
            <w:pPr>
              <w:spacing w:after="0"/>
              <w:rPr>
                <w:sz w:val="1"/>
                <w:szCs w:val="1"/>
                <w:color w:val="auto"/>
              </w:rPr>
            </w:pPr>
          </w:p>
        </w:tc>
      </w:tr>
      <w:tr>
        <w:trPr>
          <w:trHeight w:val="219"/>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2,374,452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2,374,452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287,584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20" w:hanging="314"/>
        <w:spacing w:after="0" w:line="227" w:lineRule="auto"/>
        <w:tabs>
          <w:tab w:leader="none" w:pos="166"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On October 29, 2020, our Board of Directors authorized us to repurchase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August 3, 2021, we issued a press release (the “Press Release”) announcing our financial results for the quarter ended June 30, 2021. A copy of the Press Release is furnished herewith as Exhibit 99.1. The foregoing information, including the exhibit related thereto, is furnished in response to Item 2.02 of Form 8-K and shall not be deemed “filed” for the purposes of Section 18 of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960" w:type="dxa"/>
            <w:vAlign w:val="bottom"/>
            <w:gridSpan w:val="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96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Exhibit No.</w:t>
            </w: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9"/>
        </w:trPr>
        <w:tc>
          <w:tcPr>
            <w:tcW w:w="1080" w:type="dxa"/>
            <w:vAlign w:val="bottom"/>
            <w:gridSpan w:val="3"/>
          </w:tcPr>
          <w:p>
            <w:pPr>
              <w:ind w:left="660"/>
              <w:spacing w:after="0" w:line="179"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80" w:type="dxa"/>
            <w:vAlign w:val="bottom"/>
            <w:gridSpan w:val="6"/>
          </w:tcPr>
          <w:p>
            <w:pPr>
              <w:spacing w:after="0" w:line="179" w:lineRule="exact"/>
              <w:rPr>
                <w:rFonts w:ascii="Arial" w:cs="Arial" w:eastAsia="Arial" w:hAnsi="Arial"/>
                <w:sz w:val="18"/>
                <w:szCs w:val="18"/>
                <w:color w:val="0000FF"/>
              </w:rPr>
            </w:pPr>
            <w:hyperlink r:id="rId97">
              <w:r>
                <w:rPr>
                  <w:rFonts w:ascii="Arial" w:cs="Arial" w:eastAsia="Arial" w:hAnsi="Arial"/>
                  <w:sz w:val="18"/>
                  <w:szCs w:val="18"/>
                  <w:color w:val="0000FF"/>
                </w:rPr>
                <w:t>Amendment No. 1 to EchoStar Corporation 2017 Non-Employee Director Stock Incentive Plan (incorporated</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bottom w:val="single" w:sz="8" w:color="0000FF"/>
            </w:tcBorders>
            <w:gridSpan w:val="6"/>
          </w:tcPr>
          <w:p>
            <w:pPr>
              <w:spacing w:after="0" w:line="152" w:lineRule="exact"/>
              <w:rPr>
                <w:rFonts w:ascii="Arial" w:cs="Arial" w:eastAsia="Arial" w:hAnsi="Arial"/>
                <w:sz w:val="17"/>
                <w:szCs w:val="17"/>
                <w:color w:val="0000FF"/>
              </w:rPr>
            </w:pPr>
            <w:hyperlink r:id="rId97">
              <w:r>
                <w:rPr>
                  <w:rFonts w:ascii="Arial" w:cs="Arial" w:eastAsia="Arial" w:hAnsi="Arial"/>
                  <w:sz w:val="17"/>
                  <w:szCs w:val="17"/>
                  <w:color w:val="0000FF"/>
                </w:rPr>
                <w:t>reference to EchoStar Corporation’s Definitive Proxy Statement on Schedule 14A, filed March 17, 2021, Commission 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bottom w:val="single" w:sz="8" w:color="0000FF"/>
            </w:tcBorders>
            <w:gridSpan w:val="3"/>
          </w:tcPr>
          <w:p>
            <w:pPr>
              <w:spacing w:after="0" w:line="152" w:lineRule="exact"/>
              <w:rPr>
                <w:rFonts w:ascii="Arial" w:cs="Arial" w:eastAsia="Arial" w:hAnsi="Arial"/>
                <w:sz w:val="17"/>
                <w:szCs w:val="17"/>
                <w:color w:val="0000FF"/>
              </w:rPr>
            </w:pPr>
            <w:hyperlink r:id="rId97">
              <w:r>
                <w:rPr>
                  <w:rFonts w:ascii="Arial" w:cs="Arial" w:eastAsia="Arial" w:hAnsi="Arial"/>
                  <w:sz w:val="17"/>
                  <w:szCs w:val="17"/>
                  <w:color w:val="0000FF"/>
                </w:rPr>
                <w:t>No. 001-33807). **</w:t>
              </w:r>
            </w:hyperlink>
          </w:p>
        </w:tc>
        <w:tc>
          <w:tcPr>
            <w:tcW w:w="79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31.</w:t>
              </w:r>
              <w:r>
                <w:rPr>
                  <w:rFonts w:ascii="Arial" w:cs="Arial" w:eastAsia="Arial" w:hAnsi="Arial"/>
                  <w:sz w:val="18"/>
                  <w:szCs w:val="18"/>
                  <w:u w:val="single" w:color="auto"/>
                  <w:color w:val="0000FF"/>
                </w:rPr>
                <w:t>1(H)</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80" w:type="dxa"/>
            <w:vAlign w:val="bottom"/>
            <w:gridSpan w:val="6"/>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Section 302 Certification of Chief Executive Officer.</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31.</w:t>
              </w:r>
              <w:r>
                <w:rPr>
                  <w:rFonts w:ascii="Arial" w:cs="Arial" w:eastAsia="Arial" w:hAnsi="Arial"/>
                  <w:sz w:val="18"/>
                  <w:szCs w:val="18"/>
                  <w:u w:val="single" w:color="auto"/>
                  <w:color w:val="0000FF"/>
                </w:rPr>
                <w:t>2(H)</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80" w:type="dxa"/>
            <w:vAlign w:val="bottom"/>
            <w:gridSpan w:val="6"/>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Section 302 Certification of Chief Financial Officer.</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bottom w:val="single" w:sz="8" w:color="0000FF"/>
            </w:tcBorders>
            <w:gridSpan w:val="3"/>
          </w:tcPr>
          <w:p>
            <w:pPr>
              <w:spacing w:after="0" w:line="205" w:lineRule="exact"/>
              <w:rPr>
                <w:rFonts w:ascii="Arial" w:cs="Arial" w:eastAsia="Arial" w:hAnsi="Arial"/>
                <w:sz w:val="18"/>
                <w:szCs w:val="18"/>
                <w:color w:val="0000FF"/>
              </w:rPr>
            </w:pPr>
            <w:hyperlink w:anchor="page67">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7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20" w:type="dxa"/>
            <w:vAlign w:val="bottom"/>
            <w:tcBorders>
              <w:bottom w:val="single" w:sz="8" w:color="0000FF"/>
            </w:tcBorders>
            <w:gridSpan w:val="4"/>
          </w:tcPr>
          <w:p>
            <w:pPr>
              <w:spacing w:after="0" w:line="205" w:lineRule="exact"/>
              <w:rPr>
                <w:rFonts w:ascii="Arial" w:cs="Arial" w:eastAsia="Arial" w:hAnsi="Arial"/>
                <w:sz w:val="18"/>
                <w:szCs w:val="18"/>
                <w:color w:val="0000FF"/>
                <w:w w:val="97"/>
              </w:rPr>
            </w:pPr>
            <w:hyperlink w:anchor="page67">
              <w:r>
                <w:rPr>
                  <w:rFonts w:ascii="Arial" w:cs="Arial" w:eastAsia="Arial" w:hAnsi="Arial"/>
                  <w:sz w:val="18"/>
                  <w:szCs w:val="18"/>
                  <w:color w:val="0000FF"/>
                  <w:w w:val="97"/>
                </w:rPr>
                <w:t>Section 906 Certifications of Chief Executive Officer and Chief Financial Officer.</w:t>
              </w:r>
            </w:hyperlink>
          </w:p>
        </w:tc>
        <w:tc>
          <w:tcPr>
            <w:tcW w:w="2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spacing w:after="0" w:line="205" w:lineRule="exact"/>
              <w:rPr>
                <w:rFonts w:ascii="Arial" w:cs="Arial" w:eastAsia="Arial" w:hAnsi="Arial"/>
                <w:sz w:val="18"/>
                <w:szCs w:val="18"/>
                <w:color w:val="0000FF"/>
              </w:rPr>
            </w:pPr>
            <w:hyperlink w:anchor="page68">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20" w:type="dxa"/>
            <w:vAlign w:val="bottom"/>
          </w:tcPr>
          <w:p>
            <w:pPr>
              <w:spacing w:after="0"/>
              <w:rPr>
                <w:sz w:val="17"/>
                <w:szCs w:val="17"/>
                <w:color w:val="auto"/>
              </w:rPr>
            </w:pPr>
          </w:p>
        </w:tc>
        <w:tc>
          <w:tcPr>
            <w:tcW w:w="300" w:type="dxa"/>
            <w:vAlign w:val="bottom"/>
            <w:vMerge w:val="restart"/>
          </w:tcPr>
          <w:p>
            <w:pPr>
              <w:spacing w:after="0"/>
              <w:rPr>
                <w:rFonts w:ascii="Arial" w:cs="Arial" w:eastAsia="Arial" w:hAnsi="Arial"/>
                <w:sz w:val="18"/>
                <w:szCs w:val="18"/>
                <w:color w:val="0000FF"/>
                <w:w w:val="71"/>
              </w:rPr>
            </w:pPr>
            <w:hyperlink w:anchor="page68">
              <w:r>
                <w:rPr>
                  <w:rFonts w:ascii="Arial" w:cs="Arial" w:eastAsia="Arial" w:hAnsi="Arial"/>
                  <w:sz w:val="18"/>
                  <w:szCs w:val="18"/>
                  <w:color w:val="0000FF"/>
                  <w:w w:val="71"/>
                </w:rPr>
                <w:t>June</w:t>
              </w:r>
            </w:hyperlink>
          </w:p>
        </w:tc>
        <w:tc>
          <w:tcPr>
            <w:tcW w:w="9080" w:type="dxa"/>
            <w:vAlign w:val="bottom"/>
            <w:gridSpan w:val="6"/>
          </w:tcPr>
          <w:p>
            <w:pPr>
              <w:spacing w:after="0" w:line="205" w:lineRule="exact"/>
              <w:rPr>
                <w:rFonts w:ascii="Arial" w:cs="Arial" w:eastAsia="Arial" w:hAnsi="Arial"/>
                <w:sz w:val="18"/>
                <w:szCs w:val="18"/>
                <w:color w:val="0000FF"/>
              </w:rPr>
            </w:pPr>
            <w:hyperlink w:anchor="page68">
              <w:r>
                <w:rPr>
                  <w:rFonts w:ascii="Arial" w:cs="Arial" w:eastAsia="Arial" w:hAnsi="Arial"/>
                  <w:sz w:val="18"/>
                  <w:szCs w:val="18"/>
                  <w:color w:val="0000FF"/>
                </w:rPr>
                <w:t xml:space="preserve">Press release dated August </w:t>
              </w:r>
            </w:hyperlink>
            <w:r>
              <w:rPr>
                <w:rFonts w:ascii="Arial" w:cs="Arial" w:eastAsia="Arial" w:hAnsi="Arial"/>
                <w:sz w:val="18"/>
                <w:szCs w:val="18"/>
                <w:color w:val="0000FF"/>
              </w:rPr>
              <w:t xml:space="preserve">3, </w:t>
            </w:r>
            <w:hyperlink w:anchor="page68">
              <w:r>
                <w:rPr>
                  <w:rFonts w:ascii="Arial" w:cs="Arial" w:eastAsia="Arial" w:hAnsi="Arial"/>
                  <w:sz w:val="18"/>
                  <w:szCs w:val="18"/>
                  <w:color w:val="0000FF"/>
                </w:rPr>
                <w:t>2021 issued by EchoStar Corporation regarding financial results for the period end</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0000FF"/>
            </w:tcBorders>
            <w:vMerge w:val="continue"/>
          </w:tcPr>
          <w:p>
            <w:pPr>
              <w:spacing w:after="0"/>
              <w:rPr>
                <w:sz w:val="13"/>
                <w:szCs w:val="13"/>
                <w:color w:val="auto"/>
              </w:rPr>
            </w:pPr>
          </w:p>
        </w:tc>
        <w:tc>
          <w:tcPr>
            <w:tcW w:w="860" w:type="dxa"/>
            <w:vAlign w:val="bottom"/>
            <w:tcBorders>
              <w:top w:val="single" w:sz="8" w:color="0000FF"/>
              <w:bottom w:val="single" w:sz="8" w:color="0000FF"/>
            </w:tcBorders>
          </w:tcPr>
          <w:p>
            <w:pPr>
              <w:ind w:left="120"/>
              <w:spacing w:after="0" w:line="152" w:lineRule="exact"/>
              <w:rPr>
                <w:rFonts w:ascii="Arial" w:cs="Arial" w:eastAsia="Arial" w:hAnsi="Arial"/>
                <w:sz w:val="17"/>
                <w:szCs w:val="17"/>
                <w:color w:val="0000FF"/>
              </w:rPr>
            </w:pPr>
            <w:hyperlink w:anchor="page68">
              <w:r>
                <w:rPr>
                  <w:rFonts w:ascii="Arial" w:cs="Arial" w:eastAsia="Arial" w:hAnsi="Arial"/>
                  <w:sz w:val="17"/>
                  <w:szCs w:val="17"/>
                  <w:color w:val="0000FF"/>
                </w:rPr>
                <w:t>30, 2021.</w:t>
              </w:r>
            </w:hyperlink>
          </w:p>
        </w:tc>
        <w:tc>
          <w:tcPr>
            <w:tcW w:w="82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spacing w:after="0" w:line="20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80" w:type="dxa"/>
            <w:vAlign w:val="bottom"/>
            <w:gridSpan w:val="6"/>
          </w:tcPr>
          <w:p>
            <w:pPr>
              <w:spacing w:after="0" w:line="205" w:lineRule="exact"/>
              <w:rPr>
                <w:sz w:val="20"/>
                <w:szCs w:val="20"/>
                <w:color w:val="auto"/>
              </w:rPr>
            </w:pPr>
            <w:r>
              <w:rPr>
                <w:rFonts w:ascii="Arial" w:cs="Arial" w:eastAsia="Arial" w:hAnsi="Arial"/>
                <w:sz w:val="18"/>
                <w:szCs w:val="18"/>
                <w:color w:val="auto"/>
                <w:w w:val="98"/>
              </w:rPr>
              <w:t>XBRL Instance Document. The instance document does not appear in the Interactive Data File because its XBRL ta</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7"/>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60" w:hanging="354"/>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Filed herewith.</w:t>
      </w:r>
    </w:p>
    <w:p>
      <w:pPr>
        <w:ind w:left="300" w:hanging="294"/>
        <w:spacing w:after="0" w:line="237"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Furnished herewith.</w:t>
      </w:r>
    </w:p>
    <w:p>
      <w:pPr>
        <w:ind w:left="220" w:hanging="214"/>
        <w:spacing w:after="0" w:line="237"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rPr>
          <w:sz w:val="20"/>
          <w:szCs w:val="20"/>
          <w:color w:val="auto"/>
        </w:rPr>
      </w:pPr>
      <w:r>
        <w:rPr>
          <w:rFonts w:ascii="Arial" w:cs="Arial" w:eastAsia="Arial" w:hAnsi="Arial"/>
          <w:sz w:val="14"/>
          <w:szCs w:val="14"/>
          <w:color w:val="auto"/>
        </w:rPr>
        <w:t>** 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56"/>
        </w:trPr>
        <w:tc>
          <w:tcPr>
            <w:tcW w:w="3240" w:type="dxa"/>
            <w:vAlign w:val="bottom"/>
          </w:tcPr>
          <w:p>
            <w:pPr>
              <w:spacing w:after="0"/>
              <w:rPr>
                <w:sz w:val="20"/>
                <w:szCs w:val="20"/>
                <w:color w:val="auto"/>
              </w:rPr>
            </w:pPr>
            <w:r>
              <w:rPr>
                <w:rFonts w:ascii="Arial" w:cs="Arial" w:eastAsia="Arial" w:hAnsi="Arial"/>
                <w:sz w:val="18"/>
                <w:szCs w:val="18"/>
                <w:color w:val="auto"/>
              </w:rPr>
              <w:t>Date: August 3, 2021</w:t>
            </w:r>
          </w:p>
        </w:tc>
        <w:tc>
          <w:tcPr>
            <w:tcW w:w="2200" w:type="dxa"/>
            <w:vAlign w:val="bottom"/>
          </w:tcPr>
          <w:p>
            <w:pPr>
              <w:ind w:left="156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18"/>
        </w:trPr>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1"/>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56"/>
        </w:trPr>
        <w:tc>
          <w:tcPr>
            <w:tcW w:w="3240" w:type="dxa"/>
            <w:vAlign w:val="bottom"/>
          </w:tcPr>
          <w:p>
            <w:pPr>
              <w:spacing w:after="0"/>
              <w:rPr>
                <w:sz w:val="20"/>
                <w:szCs w:val="20"/>
                <w:color w:val="auto"/>
              </w:rPr>
            </w:pPr>
            <w:r>
              <w:rPr>
                <w:rFonts w:ascii="Arial" w:cs="Arial" w:eastAsia="Arial" w:hAnsi="Arial"/>
                <w:sz w:val="18"/>
                <w:szCs w:val="18"/>
                <w:color w:val="auto"/>
              </w:rPr>
              <w:t>Date: August 3, 2021</w:t>
            </w:r>
          </w:p>
        </w:tc>
        <w:tc>
          <w:tcPr>
            <w:tcW w:w="2200" w:type="dxa"/>
            <w:vAlign w:val="bottom"/>
          </w:tcPr>
          <w:p>
            <w:pPr>
              <w:ind w:left="156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18"/>
        </w:trPr>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3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40" w:type="dxa"/>
            <w:vAlign w:val="bottom"/>
          </w:tcPr>
          <w:p>
            <w:pPr>
              <w:ind w:left="20"/>
              <w:spacing w:after="0" w:line="186" w:lineRule="exact"/>
              <w:rPr>
                <w:sz w:val="20"/>
                <w:szCs w:val="20"/>
                <w:color w:val="auto"/>
              </w:rPr>
            </w:pPr>
            <w:r>
              <w:rPr>
                <w:rFonts w:ascii="Arial" w:cs="Arial" w:eastAsia="Arial" w:hAnsi="Arial"/>
                <w:sz w:val="18"/>
                <w:szCs w:val="18"/>
                <w:color w:val="auto"/>
                <w:w w:val="98"/>
              </w:rPr>
              <w:t>Executive Vice President, Chief Financial Officer, Chief Operating Officer</w:t>
            </w:r>
          </w:p>
        </w:tc>
      </w:tr>
      <w:tr>
        <w:trPr>
          <w:trHeight w:val="207"/>
        </w:trPr>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230"/>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35"/>
        </w:trPr>
        <w:tc>
          <w:tcPr>
            <w:tcW w:w="3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40"/>
          </w:cols>
          <w:pgMar w:left="320" w:top="1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17" w:lineRule="exact"/>
        <w:rPr>
          <w:sz w:val="20"/>
          <w:szCs w:val="20"/>
          <w:color w:val="auto"/>
        </w:rPr>
      </w:pPr>
    </w:p>
    <w:p>
      <w:pPr>
        <w:ind w:left="340" w:hanging="33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48" w:lineRule="auto"/>
        <w:tabs>
          <w:tab w:leader="none" w:pos="4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3"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firstLine="6"/>
        <w:spacing w:after="0" w:line="248" w:lineRule="auto"/>
        <w:tabs>
          <w:tab w:leader="none" w:pos="4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2021</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19"/>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7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17" w:lineRule="exact"/>
        <w:rPr>
          <w:sz w:val="20"/>
          <w:szCs w:val="20"/>
          <w:color w:val="auto"/>
        </w:rPr>
      </w:pPr>
    </w:p>
    <w:p>
      <w:pPr>
        <w:ind w:left="340" w:hanging="33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48" w:lineRule="auto"/>
        <w:tabs>
          <w:tab w:leader="none" w:pos="4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3"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firstLine="6"/>
        <w:spacing w:after="0" w:line="248" w:lineRule="auto"/>
        <w:tabs>
          <w:tab w:leader="none" w:pos="4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2021</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David J. Rayner</w:t>
            </w:r>
          </w:p>
        </w:tc>
      </w:tr>
      <w:tr>
        <w:trPr>
          <w:trHeight w:val="218"/>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840" w:type="dxa"/>
            <w:vAlign w:val="bottom"/>
          </w:tcPr>
          <w:p>
            <w:pPr>
              <w:spacing w:after="0" w:line="186" w:lineRule="exact"/>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line="186"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2"/>
        </w:trPr>
        <w:tc>
          <w:tcPr>
            <w:tcW w:w="84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25"/>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7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for the quarter ended June 30, 2021 on Form 10-Q (the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8" w:lineRule="exact"/>
        <w:rPr>
          <w:sz w:val="20"/>
          <w:szCs w:val="20"/>
          <w:color w:val="auto"/>
        </w:rPr>
      </w:pPr>
    </w:p>
    <w:p>
      <w:pPr>
        <w:ind w:left="640" w:hanging="316"/>
        <w:spacing w:after="0" w:line="251" w:lineRule="auto"/>
        <w:tabs>
          <w:tab w:leader="none" w:pos="7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203" w:lineRule="exact"/>
        <w:rPr>
          <w:rFonts w:ascii="Arial" w:cs="Arial" w:eastAsia="Arial" w:hAnsi="Arial"/>
          <w:sz w:val="18"/>
          <w:szCs w:val="18"/>
          <w:color w:val="auto"/>
        </w:rPr>
      </w:pPr>
    </w:p>
    <w:p>
      <w:pPr>
        <w:ind w:left="640" w:hanging="316"/>
        <w:spacing w:after="0" w:line="251" w:lineRule="auto"/>
        <w:tabs>
          <w:tab w:leader="none" w:pos="7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Michael T. Dugan</w:t>
            </w:r>
          </w:p>
        </w:tc>
      </w:tr>
      <w:tr>
        <w:trPr>
          <w:trHeight w:val="218"/>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1"/>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29"/>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18"/>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960" w:type="dxa"/>
            <w:vAlign w:val="bottom"/>
          </w:tcPr>
          <w:p>
            <w:pPr>
              <w:spacing w:after="0" w:line="186" w:lineRule="exact"/>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line="186" w:lineRule="exact"/>
              <w:rPr>
                <w:sz w:val="20"/>
                <w:szCs w:val="20"/>
                <w:color w:val="auto"/>
              </w:rPr>
            </w:pPr>
            <w:r>
              <w:rPr>
                <w:rFonts w:ascii="Arial" w:cs="Arial" w:eastAsia="Arial" w:hAnsi="Arial"/>
                <w:sz w:val="18"/>
                <w:szCs w:val="18"/>
                <w:color w:val="auto"/>
                <w:w w:val="98"/>
              </w:rPr>
              <w:t>Executive Vice President, Chief Financial Officer, Chief Operating</w:t>
            </w:r>
          </w:p>
        </w:tc>
      </w:tr>
      <w:tr>
        <w:trPr>
          <w:trHeight w:val="207"/>
        </w:trPr>
        <w:tc>
          <w:tcPr>
            <w:tcW w:w="9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Six Months Ended June 30, 2021</w:t>
      </w:r>
    </w:p>
    <w:p>
      <w:pPr>
        <w:spacing w:after="0" w:line="24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Englewood, CO, August 3, 2021—</w:t>
      </w:r>
      <w:r>
        <w:rPr>
          <w:rFonts w:ascii="Arial" w:cs="Arial" w:eastAsia="Arial" w:hAnsi="Arial"/>
          <w:sz w:val="18"/>
          <w:szCs w:val="18"/>
          <w:color w:val="auto"/>
        </w:rPr>
        <w:t>EchoStar Corporation (NASDAQ: SATS) today announced its financial results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Financial Highlights:</w:t>
      </w:r>
    </w:p>
    <w:p>
      <w:pPr>
        <w:spacing w:after="0" w:line="266"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revenue of $499.8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income of $35.0 million, consolidated net income attributable to EchoStar common stock of $37.3 million, and basic and diluted earnings per share of $0.41.</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Adjusted EBITDA of $186.7 million (see discussion and the reconciliation of GAAP to this non-GAAP measure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Financial Highlights:</w:t>
      </w:r>
    </w:p>
    <w:p>
      <w:pPr>
        <w:spacing w:after="0" w:line="266"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revenue of $982.4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of $112.6 million, consolidated net income attributable to EchoStar common stock of $115.8 million, and basic and diluted earnings per share of $1.26 and $1.25, respectively.</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Adjusted EBITDA of $372.4 million (see discussion and the reconciliation of GAAP to this non-GAPP measure below).</w:t>
      </w:r>
    </w:p>
    <w:p>
      <w:pPr>
        <w:spacing w:after="0" w:line="2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financial performance in the second quarter of 2021 was outstanding - a reflection of the ongoing commitment and drive of the EchoStar team to deliver solutions that connect the world,” commented Michael Dugan, CEO and President of EchoStar. “We remain focused on increasing the yield on our existing assets and operating the business in an efficient manner while also building the ground network and operational processes to place our next satellite, EchoStar XXIV/JUPITER 3, into service as quickly as possible. We continue to seek opportunities in pursuit of our strategy of being a global connectivity provider.”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 Additional Information:</w:t>
      </w:r>
    </w:p>
    <w:p>
      <w:pPr>
        <w:spacing w:after="0" w:line="266" w:lineRule="exact"/>
        <w:rPr>
          <w:sz w:val="20"/>
          <w:szCs w:val="20"/>
          <w:color w:val="auto"/>
        </w:rPr>
      </w:pPr>
    </w:p>
    <w:p>
      <w:pPr>
        <w:ind w:left="640" w:hanging="316"/>
        <w:spacing w:after="0" w:line="28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Consolidated revenue increased 8.8% or $40.4 million year over year primarily driven by higher equipment sales of $26.1 million to our domestic and international enterprise customers and higher sales of broadband services of $12.4 million to our consumer customers.</w:t>
      </w:r>
    </w:p>
    <w:p>
      <w:pPr>
        <w:spacing w:after="0" w:line="100"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increased 16.0% or $25.8 million year over year.</w:t>
      </w:r>
    </w:p>
    <w:p>
      <w:pPr>
        <w:spacing w:after="0" w:line="124" w:lineRule="exact"/>
        <w:rPr>
          <w:rFonts w:ascii="Arial" w:cs="Arial" w:eastAsia="Arial" w:hAnsi="Arial"/>
          <w:sz w:val="18"/>
          <w:szCs w:val="18"/>
          <w:color w:val="auto"/>
        </w:rPr>
      </w:pPr>
    </w:p>
    <w:p>
      <w:pPr>
        <w:ind w:left="1280" w:hanging="320"/>
        <w:spacing w:after="0" w:line="251"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Hughes segment Adjusted EBITDA increased $21.0 million year over year. The increase was driven primarily by growth in revenue and higher Adjusted EBITDA margin.</w:t>
      </w:r>
    </w:p>
    <w:p>
      <w:pPr>
        <w:spacing w:after="0" w:line="110" w:lineRule="exact"/>
        <w:rPr>
          <w:rFonts w:ascii="Arial" w:cs="Arial" w:eastAsia="Arial" w:hAnsi="Arial"/>
          <w:sz w:val="18"/>
          <w:szCs w:val="18"/>
          <w:color w:val="auto"/>
        </w:rPr>
      </w:pPr>
    </w:p>
    <w:p>
      <w:pPr>
        <w:ind w:left="1280" w:hanging="320"/>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ESS segment Adjusted EBITDA increased $0.7 million year over year.</w:t>
      </w:r>
    </w:p>
    <w:p>
      <w:pPr>
        <w:spacing w:after="0" w:line="137" w:lineRule="exact"/>
        <w:rPr>
          <w:rFonts w:ascii="Arial" w:cs="Arial" w:eastAsia="Arial" w:hAnsi="Arial"/>
          <w:sz w:val="18"/>
          <w:szCs w:val="18"/>
          <w:color w:val="auto"/>
        </w:rPr>
      </w:pPr>
    </w:p>
    <w:p>
      <w:pPr>
        <w:ind w:left="1280" w:hanging="320"/>
        <w:spacing w:after="0" w:line="251" w:lineRule="auto"/>
        <w:tabs>
          <w:tab w:leader="none" w:pos="13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Corporate and Other segment Adjusted EBITDA increased $4.1 million year over year. The increase was primarily due to decreased losses of unconsolidated affiliates, net, and dividends received from certain marketable investment securities.</w:t>
      </w:r>
    </w:p>
    <w:p>
      <w:pPr>
        <w:spacing w:after="0" w:line="11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increased $49.9 million to $35.0 million. The increase was primarily due to higher operating income of $30.5 million and higher gains on investments, net, of $36.7 million, partially offset by higher losses in Other, net of $12.4 million that included litigation expense, and higher income tax expense, net, of $10.3 million.</w:t>
      </w:r>
    </w:p>
    <w:p>
      <w:pPr>
        <w:spacing w:after="0" w:line="11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Hughes broadband subscribers are approximately 1,542,000 as of June 30, 2021. Subscribers in the US decreased by 20,000 to approximately 1,144,000. In Latin America, subscribers increased by 9,000 to approximately 398,000.</w:t>
      </w:r>
    </w:p>
    <w:p>
      <w:pPr>
        <w:spacing w:after="0" w:line="229"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three months ended June 30, 2021, approximately 67% of Hughes segment revenue was attributable to our consumer customers with approximately 33% attributable to our enterprise customers.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 w:right="339" w:bottom="1440" w:gutter="0" w:footer="0" w:header="0"/>
        </w:sectPr>
      </w:pPr>
    </w:p>
    <w:bookmarkStart w:id="68" w:name="page69"/>
    <w:bookmarkEnd w:id="68"/>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$1.6 billion as of June 30, 2021.</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three months ended June 30, 2021, we purchased 2,374,452 shares of our Class A common stock in open market trades.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Repurchased or paid off the remaining $809.5 million of our 7 5/8% bonds which matured on June 15th, 2021.</w:t>
      </w:r>
    </w:p>
    <w:p>
      <w:pPr>
        <w:spacing w:after="0" w:line="2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Set forth below is a table highlighting certain of EchoStar’s segment results for the three and six months ended June 30, 2021 and 2020 (amounts in thousands) (all US GAAP amounts reference results from operations):</w:t>
      </w:r>
    </w:p>
    <w:tbl>
      <w:tblPr>
        <w:tblLayout w:type="fixed"/>
        <w:tblInd w:w="20" w:type="dxa"/>
        <w:tblCellMar>
          <w:top w:w="0" w:type="dxa"/>
          <w:left w:w="0" w:type="dxa"/>
          <w:bottom w:w="0" w:type="dxa"/>
          <w:right w:w="0" w:type="dxa"/>
        </w:tblCellMar>
      </w:tblPr>
      <w:tr>
        <w:trPr>
          <w:trHeight w:val="191"/>
        </w:trPr>
        <w:tc>
          <w:tcPr>
            <w:tcW w:w="5400" w:type="dxa"/>
            <w:vAlign w:val="bottom"/>
          </w:tcPr>
          <w:p>
            <w:pPr>
              <w:spacing w:after="0"/>
              <w:rPr>
                <w:sz w:val="16"/>
                <w:szCs w:val="16"/>
                <w:color w:val="auto"/>
              </w:rPr>
            </w:pPr>
          </w:p>
        </w:tc>
        <w:tc>
          <w:tcPr>
            <w:tcW w:w="2980" w:type="dxa"/>
            <w:vAlign w:val="bottom"/>
            <w:gridSpan w:val="6"/>
          </w:tcPr>
          <w:p>
            <w:pPr>
              <w:ind w:left="40"/>
              <w:spacing w:after="0" w:line="191" w:lineRule="exact"/>
              <w:rPr>
                <w:sz w:val="20"/>
                <w:szCs w:val="20"/>
                <w:color w:val="auto"/>
              </w:rPr>
            </w:pPr>
            <w:r>
              <w:rPr>
                <w:rFonts w:ascii="Arial" w:cs="Arial" w:eastAsia="Arial" w:hAnsi="Arial"/>
                <w:sz w:val="18"/>
                <w:szCs w:val="18"/>
                <w:b w:val="1"/>
                <w:bCs w:val="1"/>
                <w:color w:val="auto"/>
              </w:rPr>
              <w:t>For the three months ended June</w:t>
            </w:r>
          </w:p>
        </w:tc>
        <w:tc>
          <w:tcPr>
            <w:tcW w:w="120" w:type="dxa"/>
            <w:vAlign w:val="bottom"/>
          </w:tcPr>
          <w:p>
            <w:pPr>
              <w:spacing w:after="0"/>
              <w:rPr>
                <w:sz w:val="16"/>
                <w:szCs w:val="16"/>
                <w:color w:val="auto"/>
              </w:rPr>
            </w:pPr>
          </w:p>
        </w:tc>
        <w:tc>
          <w:tcPr>
            <w:tcW w:w="2720" w:type="dxa"/>
            <w:vAlign w:val="bottom"/>
            <w:gridSpan w:val="4"/>
          </w:tcPr>
          <w:p>
            <w:pPr>
              <w:jc w:val="right"/>
              <w:ind w:right="32"/>
              <w:spacing w:after="0" w:line="191" w:lineRule="exact"/>
              <w:rPr>
                <w:sz w:val="20"/>
                <w:szCs w:val="20"/>
                <w:color w:val="auto"/>
              </w:rPr>
            </w:pPr>
            <w:r>
              <w:rPr>
                <w:rFonts w:ascii="Arial" w:cs="Arial" w:eastAsia="Arial" w:hAnsi="Arial"/>
                <w:sz w:val="18"/>
                <w:szCs w:val="18"/>
                <w:b w:val="1"/>
                <w:bCs w:val="1"/>
                <w:color w:val="auto"/>
                <w:w w:val="96"/>
              </w:rPr>
              <w:t>For the six months ended June</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69"/>
        </w:trPr>
        <w:tc>
          <w:tcPr>
            <w:tcW w:w="54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00" w:type="dxa"/>
            <w:vAlign w:val="bottom"/>
          </w:tcPr>
          <w:p>
            <w:pPr>
              <w:ind w:left="200"/>
              <w:spacing w:after="0"/>
              <w:rPr>
                <w:sz w:val="20"/>
                <w:szCs w:val="20"/>
                <w:color w:val="auto"/>
              </w:rPr>
            </w:pPr>
            <w:r>
              <w:rPr>
                <w:rFonts w:ascii="Arial" w:cs="Arial" w:eastAsia="Arial" w:hAnsi="Arial"/>
                <w:sz w:val="18"/>
                <w:szCs w:val="18"/>
                <w:color w:val="auto"/>
              </w:rPr>
              <w:t>Hughes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492,276</w:t>
            </w:r>
          </w:p>
        </w:tc>
        <w:tc>
          <w:tcPr>
            <w:tcW w:w="120" w:type="dxa"/>
            <w:vAlign w:val="bottom"/>
          </w:tcPr>
          <w:p>
            <w:pPr>
              <w:spacing w:after="0"/>
              <w:rPr>
                <w:sz w:val="24"/>
                <w:szCs w:val="24"/>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453,172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911,654</w:t>
            </w:r>
          </w:p>
        </w:tc>
        <w:tc>
          <w:tcPr>
            <w:tcW w:w="0" w:type="dxa"/>
            <w:vAlign w:val="bottom"/>
          </w:tcPr>
          <w:p>
            <w:pPr>
              <w:spacing w:after="0"/>
              <w:rPr>
                <w:sz w:val="1"/>
                <w:szCs w:val="1"/>
                <w:color w:val="auto"/>
              </w:rPr>
            </w:pPr>
          </w:p>
        </w:tc>
      </w:tr>
      <w:tr>
        <w:trPr>
          <w:trHeight w:val="265"/>
        </w:trPr>
        <w:tc>
          <w:tcPr>
            <w:tcW w:w="540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65"/>
        </w:trPr>
        <w:tc>
          <w:tcPr>
            <w:tcW w:w="540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8"/>
        </w:trPr>
        <w:tc>
          <w:tcPr>
            <w:tcW w:w="5400" w:type="dxa"/>
            <w:vAlign w:val="bottom"/>
          </w:tcPr>
          <w:p>
            <w:pPr>
              <w:ind w:left="840"/>
              <w:spacing w:after="0" w:line="205" w:lineRule="exact"/>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499,834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459,466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925,132</w:t>
            </w: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5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00" w:type="dxa"/>
            <w:vAlign w:val="bottom"/>
          </w:tcPr>
          <w:p>
            <w:pPr>
              <w:ind w:left="200"/>
              <w:spacing w:after="0"/>
              <w:rPr>
                <w:sz w:val="20"/>
                <w:szCs w:val="20"/>
                <w:color w:val="auto"/>
              </w:rPr>
            </w:pPr>
            <w:r>
              <w:rPr>
                <w:rFonts w:ascii="Arial" w:cs="Arial" w:eastAsia="Arial" w:hAnsi="Arial"/>
                <w:sz w:val="18"/>
                <w:szCs w:val="18"/>
                <w:color w:val="auto"/>
              </w:rPr>
              <w:t>Hughes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207,317</w:t>
            </w:r>
          </w:p>
        </w:tc>
        <w:tc>
          <w:tcPr>
            <w:tcW w:w="120" w:type="dxa"/>
            <w:vAlign w:val="bottom"/>
          </w:tcPr>
          <w:p>
            <w:pPr>
              <w:spacing w:after="0"/>
              <w:rPr>
                <w:sz w:val="24"/>
                <w:szCs w:val="24"/>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186,277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409,253</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348,496</w:t>
            </w:r>
          </w:p>
        </w:tc>
        <w:tc>
          <w:tcPr>
            <w:tcW w:w="0" w:type="dxa"/>
            <w:vAlign w:val="bottom"/>
          </w:tcPr>
          <w:p>
            <w:pPr>
              <w:spacing w:after="0"/>
              <w:rPr>
                <w:sz w:val="1"/>
                <w:szCs w:val="1"/>
                <w:color w:val="auto"/>
              </w:rPr>
            </w:pPr>
          </w:p>
        </w:tc>
      </w:tr>
      <w:tr>
        <w:trPr>
          <w:trHeight w:val="265"/>
        </w:trPr>
        <w:tc>
          <w:tcPr>
            <w:tcW w:w="540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25"/>
        </w:trPr>
        <w:tc>
          <w:tcPr>
            <w:tcW w:w="540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5400" w:type="dxa"/>
            <w:vAlign w:val="bottom"/>
          </w:tcPr>
          <w:p>
            <w:pPr>
              <w:ind w:left="440"/>
              <w:spacing w:after="0"/>
              <w:rPr>
                <w:sz w:val="20"/>
                <w:szCs w:val="20"/>
                <w:color w:val="auto"/>
              </w:rPr>
            </w:pPr>
            <w:r>
              <w:rPr>
                <w:rFonts w:ascii="Arial" w:cs="Arial" w:eastAsia="Arial" w:hAnsi="Arial"/>
                <w:sz w:val="18"/>
                <w:szCs w:val="18"/>
                <w:color w:val="auto"/>
              </w:rPr>
              <w:t>Corporate overhead, operating and other</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(20,497)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(42,375)</w:t>
            </w:r>
          </w:p>
        </w:tc>
        <w:tc>
          <w:tcPr>
            <w:tcW w:w="0" w:type="dxa"/>
            <w:vAlign w:val="bottom"/>
          </w:tcPr>
          <w:p>
            <w:pPr>
              <w:spacing w:after="0"/>
              <w:rPr>
                <w:sz w:val="1"/>
                <w:szCs w:val="1"/>
                <w:color w:val="auto"/>
              </w:rPr>
            </w:pPr>
          </w:p>
        </w:tc>
      </w:tr>
      <w:tr>
        <w:trPr>
          <w:trHeight w:val="265"/>
        </w:trPr>
        <w:tc>
          <w:tcPr>
            <w:tcW w:w="5400" w:type="dxa"/>
            <w:vAlign w:val="bottom"/>
          </w:tcPr>
          <w:p>
            <w:pPr>
              <w:ind w:left="440"/>
              <w:spacing w:after="0"/>
              <w:rPr>
                <w:sz w:val="20"/>
                <w:szCs w:val="20"/>
                <w:color w:val="auto"/>
              </w:rPr>
            </w:pPr>
            <w:r>
              <w:rPr>
                <w:rFonts w:ascii="Arial" w:cs="Arial" w:eastAsia="Arial" w:hAnsi="Arial"/>
                <w:sz w:val="18"/>
                <w:szCs w:val="18"/>
                <w:color w:val="auto"/>
              </w:rPr>
              <w:t>Equity in earnings (losses) of unconsolidated affiliates,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5"/>
        </w:trPr>
        <w:tc>
          <w:tcPr>
            <w:tcW w:w="5400" w:type="dxa"/>
            <w:vAlign w:val="bottom"/>
          </w:tcPr>
          <w:p>
            <w:pPr>
              <w:ind w:left="640"/>
              <w:spacing w:after="0" w:line="205" w:lineRule="exact"/>
              <w:rPr>
                <w:sz w:val="20"/>
                <w:szCs w:val="20"/>
                <w:color w:val="auto"/>
              </w:rPr>
            </w:pPr>
            <w:r>
              <w:rPr>
                <w:rFonts w:ascii="Arial" w:cs="Arial" w:eastAsia="Arial" w:hAnsi="Arial"/>
                <w:sz w:val="18"/>
                <w:szCs w:val="18"/>
                <w:color w:val="auto"/>
              </w:rPr>
              <w:t>Total Corporate &amp; Other</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(22,866)</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(42,531)</w:t>
            </w:r>
          </w:p>
        </w:tc>
        <w:tc>
          <w:tcPr>
            <w:tcW w:w="0" w:type="dxa"/>
            <w:vAlign w:val="bottom"/>
          </w:tcPr>
          <w:p>
            <w:pPr>
              <w:spacing w:after="0"/>
              <w:rPr>
                <w:sz w:val="1"/>
                <w:szCs w:val="1"/>
                <w:color w:val="auto"/>
              </w:rPr>
            </w:pPr>
          </w:p>
        </w:tc>
      </w:tr>
      <w:tr>
        <w:trPr>
          <w:trHeight w:val="219"/>
        </w:trPr>
        <w:tc>
          <w:tcPr>
            <w:tcW w:w="5400" w:type="dxa"/>
            <w:vAlign w:val="bottom"/>
          </w:tcPr>
          <w:p>
            <w:pPr>
              <w:ind w:left="840"/>
              <w:spacing w:after="0" w:line="205" w:lineRule="exact"/>
              <w:rPr>
                <w:sz w:val="20"/>
                <w:szCs w:val="20"/>
                <w:color w:val="auto"/>
              </w:rPr>
            </w:pPr>
            <w:r>
              <w:rPr>
                <w:rFonts w:ascii="Arial" w:cs="Arial" w:eastAsia="Arial" w:hAnsi="Arial"/>
                <w:sz w:val="18"/>
                <w:szCs w:val="18"/>
                <w:color w:val="auto"/>
              </w:rPr>
              <w:t>Total Adjusted EBITDA</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35,015</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(14,843)</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112,587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(72,580)</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00" w:type="dxa"/>
            <w:vAlign w:val="bottom"/>
            <w:vMerge w:val="continue"/>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262,466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196,904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94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June</w:t>
            </w:r>
          </w:p>
        </w:tc>
        <w:tc>
          <w:tcPr>
            <w:tcW w:w="284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rPr>
              <w:t>For the six months ended June</w:t>
            </w:r>
          </w:p>
        </w:tc>
      </w:tr>
      <w:tr>
        <w:trPr>
          <w:trHeight w:val="225"/>
        </w:trPr>
        <w:tc>
          <w:tcPr>
            <w:tcW w:w="5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19"/>
                <w:szCs w:val="19"/>
                <w:color w:val="auto"/>
              </w:rPr>
            </w:pPr>
          </w:p>
        </w:tc>
      </w:tr>
      <w:tr>
        <w:trPr>
          <w:trHeight w:val="218"/>
        </w:trPr>
        <w:tc>
          <w:tcPr>
            <w:tcW w:w="5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r>
      <w:tr>
        <w:trPr>
          <w:trHeight w:val="469"/>
        </w:trPr>
        <w:tc>
          <w:tcPr>
            <w:tcW w:w="544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35,015</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(14,843)</w:t>
            </w:r>
          </w:p>
        </w:tc>
        <w:tc>
          <w:tcPr>
            <w:tcW w:w="8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112,587</w:t>
            </w:r>
          </w:p>
        </w:tc>
        <w:tc>
          <w:tcPr>
            <w:tcW w:w="8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(72,580)</w:t>
            </w:r>
          </w:p>
        </w:tc>
      </w:tr>
      <w:tr>
        <w:trPr>
          <w:trHeight w:val="225"/>
        </w:trPr>
        <w:tc>
          <w:tcPr>
            <w:tcW w:w="544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(26,343)</w:t>
            </w:r>
          </w:p>
        </w:tc>
      </w:tr>
      <w:tr>
        <w:trPr>
          <w:trHeight w:val="225"/>
        </w:trPr>
        <w:tc>
          <w:tcPr>
            <w:tcW w:w="544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74,491</w:t>
            </w:r>
          </w:p>
        </w:tc>
      </w:tr>
      <w:tr>
        <w:trPr>
          <w:trHeight w:val="225"/>
        </w:trPr>
        <w:tc>
          <w:tcPr>
            <w:tcW w:w="544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3,359</w:t>
            </w:r>
          </w:p>
        </w:tc>
      </w:tr>
      <w:tr>
        <w:trPr>
          <w:trHeight w:val="225"/>
        </w:trPr>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262,255</w:t>
            </w:r>
          </w:p>
        </w:tc>
      </w:tr>
      <w:tr>
        <w:trPr>
          <w:trHeight w:val="225"/>
        </w:trPr>
        <w:tc>
          <w:tcPr>
            <w:tcW w:w="544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r>
      <w:tr>
        <w:trPr>
          <w:trHeight w:val="245"/>
        </w:trPr>
        <w:tc>
          <w:tcPr>
            <w:tcW w:w="5440" w:type="dxa"/>
            <w:vAlign w:val="bottom"/>
          </w:tcPr>
          <w:p>
            <w:pPr>
              <w:ind w:left="440"/>
              <w:spacing w:after="0" w:line="205" w:lineRule="exact"/>
              <w:rPr>
                <w:sz w:val="20"/>
                <w:szCs w:val="20"/>
                <w:color w:val="auto"/>
              </w:rPr>
            </w:pPr>
            <w:r>
              <w:rPr>
                <w:rFonts w:ascii="Arial" w:cs="Arial" w:eastAsia="Arial" w:hAnsi="Arial"/>
                <w:sz w:val="18"/>
                <w:szCs w:val="18"/>
                <w:color w:val="auto"/>
              </w:rPr>
              <w:t>EBITDA</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201,057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459,727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248,055</w:t>
            </w:r>
          </w:p>
        </w:tc>
      </w:tr>
      <w:tr>
        <w:trPr>
          <w:trHeight w:val="265"/>
        </w:trPr>
        <w:tc>
          <w:tcPr>
            <w:tcW w:w="5440" w:type="dxa"/>
            <w:vAlign w:val="bottom"/>
          </w:tcPr>
          <w:p>
            <w:pPr>
              <w:ind w:left="440"/>
              <w:spacing w:after="0"/>
              <w:rPr>
                <w:sz w:val="20"/>
                <w:szCs w:val="20"/>
                <w:color w:val="auto"/>
              </w:rPr>
            </w:pPr>
            <w:r>
              <w:rPr>
                <w:rFonts w:ascii="Arial" w:cs="Arial" w:eastAsia="Arial" w:hAnsi="Arial"/>
                <w:sz w:val="18"/>
                <w:szCs w:val="18"/>
                <w:color w:val="auto"/>
              </w:rPr>
              <w:t>(Gains) losses on investments, net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(109,233)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52,762</w:t>
            </w:r>
          </w:p>
        </w:tc>
      </w:tr>
      <w:tr>
        <w:trPr>
          <w:trHeight w:val="225"/>
        </w:trPr>
        <w:tc>
          <w:tcPr>
            <w:tcW w:w="544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4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440" w:type="dxa"/>
            <w:vAlign w:val="bottom"/>
          </w:tcPr>
          <w:p>
            <w:pPr>
              <w:ind w:left="440"/>
              <w:spacing w:after="0"/>
              <w:rPr>
                <w:sz w:val="20"/>
                <w:szCs w:val="20"/>
                <w:color w:val="auto"/>
              </w:rPr>
            </w:pPr>
            <w:r>
              <w:rPr>
                <w:rFonts w:ascii="Arial" w:cs="Arial" w:eastAsia="Arial" w:hAnsi="Arial"/>
                <w:sz w:val="18"/>
                <w:szCs w:val="18"/>
                <w:color w:val="auto"/>
              </w:rPr>
              <w:t>License fee dispute - India, net of non-controlling interests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5"/>
        </w:trPr>
        <w:tc>
          <w:tcPr>
            <w:tcW w:w="5440" w:type="dxa"/>
            <w:vAlign w:val="bottom"/>
          </w:tcPr>
          <w:p>
            <w:pPr>
              <w:ind w:left="440"/>
              <w:spacing w:after="0"/>
              <w:rPr>
                <w:sz w:val="20"/>
                <w:szCs w:val="20"/>
                <w:color w:val="auto"/>
              </w:rPr>
            </w:pPr>
            <w:r>
              <w:rPr>
                <w:rFonts w:ascii="Arial" w:cs="Arial" w:eastAsia="Arial" w:hAnsi="Arial"/>
                <w:sz w:val="18"/>
                <w:szCs w:val="18"/>
                <w:color w:val="auto"/>
              </w:rPr>
              <w:t>Loss on Debt Repurchase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440" w:type="dxa"/>
            <w:vAlign w:val="bottom"/>
          </w:tcPr>
          <w:p>
            <w:pPr>
              <w:ind w:left="440"/>
              <w:spacing w:after="0"/>
              <w:rPr>
                <w:sz w:val="20"/>
                <w:szCs w:val="20"/>
                <w:color w:val="auto"/>
              </w:rPr>
            </w:pPr>
            <w:r>
              <w:rPr>
                <w:rFonts w:ascii="Arial" w:cs="Arial" w:eastAsia="Arial" w:hAnsi="Arial"/>
                <w:sz w:val="18"/>
                <w:szCs w:val="18"/>
                <w:color w:val="auto"/>
              </w:rPr>
              <w:t>Foreign currency transaction (gains) losses,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9,284</w:t>
            </w:r>
          </w:p>
        </w:tc>
      </w:tr>
      <w:tr>
        <w:trPr>
          <w:trHeight w:val="219"/>
        </w:trPr>
        <w:tc>
          <w:tcPr>
            <w:tcW w:w="5440" w:type="dxa"/>
            <w:vAlign w:val="bottom"/>
          </w:tcPr>
          <w:p>
            <w:pPr>
              <w:ind w:left="640"/>
              <w:spacing w:after="0" w:line="205"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372,435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309,538</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of EchoStar for the periods ended June 30, 2021 and 2020 are attached to this press release. Detailed financial data and other information are available in EchoStar’s Quarterly Report on Form 10-Q for the period ended June 30, 2021 filed today with the Securities and Exchange Commission.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will host a conference call to discuss its earnings on Tuesday, August 3, 2021 at 11:00 a.m. Eastern Time. The conference call will be broadcast live in listen-only mode on EchoStar’s investor relations website at ir.echostar.com. To ask a question, the dial in numbers are (833) 562-0124 (toll-free) and (661) 567-1102 (international), Conference ID 9641157.</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9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About EchoStar Corporation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6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2020 as filed with the Securities and Exchange Commission and in the other documents EchoStar files with the Securities and Exchange Commission from time to time.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73" w:right="339" w:bottom="1440" w:gutter="0" w:footer="0" w:header="0"/>
        </w:sectPr>
      </w:pPr>
    </w:p>
    <w:p>
      <w:pPr>
        <w:spacing w:after="0" w:line="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420"/>
        <w:spacing w:after="0"/>
        <w:rPr>
          <w:sz w:val="20"/>
          <w:szCs w:val="20"/>
          <w:color w:val="auto"/>
        </w:rPr>
      </w:pPr>
      <w:r>
        <w:rPr>
          <w:rFonts w:ascii="Arial" w:cs="Arial" w:eastAsia="Arial" w:hAnsi="Arial"/>
          <w:sz w:val="17"/>
          <w:szCs w:val="17"/>
          <w:b w:val="1"/>
          <w:bCs w:val="1"/>
          <w:color w:val="auto"/>
        </w:rPr>
        <w:t>EchoStar Media Relations</w:t>
      </w:r>
    </w:p>
    <w:p>
      <w:pPr>
        <w:spacing w:after="0" w:line="97"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199" w:lineRule="auto"/>
        <w:rPr>
          <w:sz w:val="20"/>
          <w:szCs w:val="20"/>
          <w:color w:val="auto"/>
        </w:rPr>
      </w:pPr>
      <w:r>
        <w:rPr>
          <w:rFonts w:ascii="Arial" w:cs="Arial" w:eastAsia="Arial" w:hAnsi="Arial"/>
          <w:sz w:val="18"/>
          <w:szCs w:val="18"/>
          <w:color w:val="auto"/>
        </w:rPr>
        <w:t>Phone: +1 303-728-5179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199" w:lineRule="auto"/>
        <w:rPr>
          <w:sz w:val="20"/>
          <w:szCs w:val="20"/>
          <w:color w:val="auto"/>
        </w:rPr>
      </w:pPr>
      <w:r>
        <w:rPr>
          <w:rFonts w:ascii="Arial" w:cs="Arial" w:eastAsia="Arial" w:hAnsi="Arial"/>
          <w:sz w:val="18"/>
          <w:szCs w:val="18"/>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73" w:right="339" w:bottom="1440" w:gutter="0" w:footer="0" w:header="0"/>
          <w:type w:val="continuous"/>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1421"/>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6"/>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Pr>
          <w:p>
            <w:pPr>
              <w:spacing w:after="0"/>
              <w:rPr>
                <w:sz w:val="17"/>
                <w:szCs w:val="17"/>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b w:val="1"/>
                <w:bCs w:val="1"/>
                <w:color w:val="auto"/>
                <w:w w:val="98"/>
              </w:rPr>
              <w:t>December 31, 2020</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716,522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896,005</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841,521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1,638,271</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186,945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183,989</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194,095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1,939,083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2,908,086</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2,431,653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2,390,313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131,931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128,303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511,886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511,597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474,770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478,762</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340,688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284,937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352,921</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4,270,523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0" w:type="dxa"/>
            <w:vAlign w:val="bottom"/>
          </w:tcPr>
          <w:p>
            <w:pPr>
              <w:spacing w:after="0"/>
              <w:rPr>
                <w:sz w:val="1"/>
                <w:szCs w:val="1"/>
                <w:color w:val="auto"/>
              </w:rPr>
            </w:pPr>
          </w:p>
        </w:tc>
      </w:tr>
      <w:tr>
        <w:trPr>
          <w:trHeight w:val="205"/>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6,209,606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0" w:type="dxa"/>
            <w:vAlign w:val="bottom"/>
          </w:tcPr>
          <w:p>
            <w:pPr>
              <w:spacing w:after="0"/>
              <w:rPr>
                <w:sz w:val="1"/>
                <w:szCs w:val="1"/>
                <w:color w:val="auto"/>
              </w:rPr>
            </w:pPr>
          </w:p>
        </w:tc>
      </w:tr>
      <w:tr>
        <w:trPr>
          <w:trHeight w:val="25"/>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121,635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122,366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2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898,237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104,569</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297,649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547,104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1,425,171</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1,495,619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1,495,256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394,155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359,896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114,886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69,044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2,077,597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2,040,931</w:t>
            </w:r>
          </w:p>
        </w:tc>
        <w:tc>
          <w:tcPr>
            <w:tcW w:w="0" w:type="dxa"/>
            <w:vAlign w:val="bottom"/>
          </w:tcPr>
          <w:p>
            <w:pPr>
              <w:spacing w:after="0"/>
              <w:rPr>
                <w:sz w:val="1"/>
                <w:szCs w:val="1"/>
                <w:color w:val="auto"/>
              </w:rPr>
            </w:pPr>
          </w:p>
        </w:tc>
      </w:tr>
      <w:tr>
        <w:trPr>
          <w:trHeight w:val="208"/>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2,624,701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3,466,102</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673"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9"/>
        </w:trPr>
        <w:tc>
          <w:tcPr>
            <w:tcW w:w="8220" w:type="dxa"/>
            <w:vAlign w:val="bottom"/>
          </w:tcPr>
          <w:p>
            <w:pPr>
              <w:ind w:left="200"/>
              <w:spacing w:after="0" w:line="179" w:lineRule="exact"/>
              <w:rPr>
                <w:sz w:val="20"/>
                <w:szCs w:val="20"/>
                <w:color w:val="auto"/>
              </w:rPr>
            </w:pPr>
            <w:r>
              <w:rPr>
                <w:rFonts w:ascii="Arial" w:cs="Arial" w:eastAsia="Arial" w:hAnsi="Arial"/>
                <w:sz w:val="16"/>
                <w:szCs w:val="16"/>
                <w:color w:val="auto"/>
              </w:rPr>
              <w:t>Preferred stock, $0.001 par value, 20,000,000 shares authorized, none issued and outstanding at both June 30,</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7"/>
        </w:trPr>
        <w:tc>
          <w:tcPr>
            <w:tcW w:w="8220" w:type="dxa"/>
            <w:vAlign w:val="bottom"/>
          </w:tcPr>
          <w:p>
            <w:pPr>
              <w:ind w:left="200"/>
              <w:spacing w:after="0"/>
              <w:rPr>
                <w:sz w:val="20"/>
                <w:szCs w:val="20"/>
                <w:color w:val="auto"/>
              </w:rPr>
            </w:pPr>
            <w:r>
              <w:rPr>
                <w:rFonts w:ascii="Arial" w:cs="Arial" w:eastAsia="Arial" w:hAnsi="Arial"/>
                <w:sz w:val="16"/>
                <w:szCs w:val="16"/>
                <w:color w:val="auto"/>
              </w:rPr>
              <w:t>2021 and December 31, 2020</w:t>
            </w:r>
          </w:p>
        </w:tc>
        <w:tc>
          <w:tcPr>
            <w:tcW w:w="3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22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75"/>
        </w:trPr>
        <w:tc>
          <w:tcPr>
            <w:tcW w:w="8220" w:type="dxa"/>
            <w:vAlign w:val="bottom"/>
          </w:tcPr>
          <w:p>
            <w:pPr>
              <w:ind w:left="440"/>
              <w:spacing w:after="0" w:line="175" w:lineRule="exact"/>
              <w:rPr>
                <w:sz w:val="20"/>
                <w:szCs w:val="20"/>
                <w:color w:val="auto"/>
              </w:rPr>
            </w:pPr>
            <w:r>
              <w:rPr>
                <w:rFonts w:ascii="Arial" w:cs="Arial" w:eastAsia="Arial" w:hAnsi="Arial"/>
                <w:sz w:val="16"/>
                <w:szCs w:val="16"/>
                <w:color w:val="auto"/>
              </w:rPr>
              <w:t>Class A common stock, $0.001 par value, 1,600,000,000 shares authorized, 57,825,270 shares issued and</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59"/>
        </w:trPr>
        <w:tc>
          <w:tcPr>
            <w:tcW w:w="8220" w:type="dxa"/>
            <w:vAlign w:val="bottom"/>
          </w:tcPr>
          <w:p>
            <w:pPr>
              <w:ind w:left="440"/>
              <w:spacing w:after="0" w:line="159" w:lineRule="exact"/>
              <w:rPr>
                <w:sz w:val="20"/>
                <w:szCs w:val="20"/>
                <w:color w:val="auto"/>
              </w:rPr>
            </w:pPr>
            <w:r>
              <w:rPr>
                <w:rFonts w:ascii="Arial" w:cs="Arial" w:eastAsia="Arial" w:hAnsi="Arial"/>
                <w:sz w:val="16"/>
                <w:szCs w:val="16"/>
                <w:color w:val="auto"/>
              </w:rPr>
              <w:t>42,289,277 shares outstanding at June 30, 2021 and 57,254,201 shares issued and 48,863,374 shares</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2"/>
        </w:trPr>
        <w:tc>
          <w:tcPr>
            <w:tcW w:w="8220" w:type="dxa"/>
            <w:vAlign w:val="bottom"/>
          </w:tcPr>
          <w:p>
            <w:pPr>
              <w:ind w:left="440"/>
              <w:spacing w:after="0"/>
              <w:rPr>
                <w:sz w:val="20"/>
                <w:szCs w:val="20"/>
                <w:color w:val="auto"/>
              </w:rPr>
            </w:pPr>
            <w:r>
              <w:rPr>
                <w:rFonts w:ascii="Arial" w:cs="Arial" w:eastAsia="Arial" w:hAnsi="Arial"/>
                <w:sz w:val="16"/>
                <w:szCs w:val="16"/>
                <w:color w:val="auto"/>
              </w:rPr>
              <w:t>outstanding at December 31, 2020</w:t>
            </w:r>
          </w:p>
        </w:tc>
        <w:tc>
          <w:tcPr>
            <w:tcW w:w="3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79"/>
        </w:trPr>
        <w:tc>
          <w:tcPr>
            <w:tcW w:w="8220" w:type="dxa"/>
            <w:vAlign w:val="bottom"/>
          </w:tcPr>
          <w:p>
            <w:pPr>
              <w:ind w:left="440"/>
              <w:spacing w:after="0" w:line="179" w:lineRule="exact"/>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2"/>
        </w:trPr>
        <w:tc>
          <w:tcPr>
            <w:tcW w:w="8220" w:type="dxa"/>
            <w:vAlign w:val="bottom"/>
          </w:tcPr>
          <w:p>
            <w:pPr>
              <w:ind w:left="440"/>
              <w:spacing w:after="0"/>
              <w:rPr>
                <w:sz w:val="20"/>
                <w:szCs w:val="20"/>
                <w:color w:val="auto"/>
              </w:rPr>
            </w:pPr>
            <w:r>
              <w:rPr>
                <w:rFonts w:ascii="Arial" w:cs="Arial" w:eastAsia="Arial" w:hAnsi="Arial"/>
                <w:sz w:val="16"/>
                <w:szCs w:val="16"/>
                <w:color w:val="auto"/>
              </w:rPr>
              <w:t>issued and outstanding at both June 30, 2021 and December 31, 2020</w:t>
            </w:r>
          </w:p>
        </w:tc>
        <w:tc>
          <w:tcPr>
            <w:tcW w:w="3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79"/>
        </w:trPr>
        <w:tc>
          <w:tcPr>
            <w:tcW w:w="8220" w:type="dxa"/>
            <w:vAlign w:val="bottom"/>
          </w:tcPr>
          <w:p>
            <w:pPr>
              <w:ind w:left="440"/>
              <w:spacing w:after="0" w:line="179" w:lineRule="exact"/>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2"/>
        </w:trPr>
        <w:tc>
          <w:tcPr>
            <w:tcW w:w="8220" w:type="dxa"/>
            <w:vAlign w:val="bottom"/>
          </w:tcPr>
          <w:p>
            <w:pPr>
              <w:ind w:left="440"/>
              <w:spacing w:after="0"/>
              <w:rPr>
                <w:sz w:val="20"/>
                <w:szCs w:val="20"/>
                <w:color w:val="auto"/>
              </w:rPr>
            </w:pPr>
            <w:r>
              <w:rPr>
                <w:rFonts w:ascii="Arial" w:cs="Arial" w:eastAsia="Arial" w:hAnsi="Arial"/>
                <w:sz w:val="16"/>
                <w:szCs w:val="16"/>
                <w:color w:val="auto"/>
              </w:rPr>
              <w:t>outstanding at both June 30, 2021 and December 31, 2020</w:t>
            </w:r>
          </w:p>
        </w:tc>
        <w:tc>
          <w:tcPr>
            <w:tcW w:w="3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8220" w:type="dxa"/>
            <w:vAlign w:val="bottom"/>
          </w:tcPr>
          <w:p>
            <w:pPr>
              <w:ind w:left="440"/>
              <w:spacing w:after="0" w:line="179" w:lineRule="exact"/>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2"/>
        </w:trPr>
        <w:tc>
          <w:tcPr>
            <w:tcW w:w="8220" w:type="dxa"/>
            <w:vAlign w:val="bottom"/>
          </w:tcPr>
          <w:p>
            <w:pPr>
              <w:ind w:left="440"/>
              <w:spacing w:after="0"/>
              <w:rPr>
                <w:sz w:val="20"/>
                <w:szCs w:val="20"/>
                <w:color w:val="auto"/>
              </w:rPr>
            </w:pPr>
            <w:r>
              <w:rPr>
                <w:rFonts w:ascii="Arial" w:cs="Arial" w:eastAsia="Arial" w:hAnsi="Arial"/>
                <w:sz w:val="16"/>
                <w:szCs w:val="16"/>
                <w:color w:val="auto"/>
              </w:rPr>
              <w:t>both June 30, 2021 and December 31, 2020</w:t>
            </w:r>
          </w:p>
        </w:tc>
        <w:tc>
          <w:tcPr>
            <w:tcW w:w="3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3,337,190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3,321,426</w:t>
            </w:r>
          </w:p>
        </w:tc>
      </w:tr>
      <w:tr>
        <w:trPr>
          <w:trHeight w:val="212"/>
        </w:trPr>
        <w:tc>
          <w:tcPr>
            <w:tcW w:w="82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(182,226)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(187,876)</w:t>
            </w:r>
          </w:p>
        </w:tc>
      </w:tr>
      <w:tr>
        <w:trPr>
          <w:trHeight w:val="212"/>
        </w:trPr>
        <w:tc>
          <w:tcPr>
            <w:tcW w:w="822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699,405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583,591</w:t>
            </w:r>
          </w:p>
        </w:tc>
      </w:tr>
      <w:tr>
        <w:trPr>
          <w:trHeight w:val="212"/>
        </w:trPr>
        <w:tc>
          <w:tcPr>
            <w:tcW w:w="822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(343,869)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(174,912)</w:t>
            </w:r>
          </w:p>
        </w:tc>
      </w:tr>
      <w:tr>
        <w:trPr>
          <w:trHeight w:val="205"/>
        </w:trPr>
        <w:tc>
          <w:tcPr>
            <w:tcW w:w="822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3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3,510,606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3,542,334</w:t>
            </w:r>
          </w:p>
        </w:tc>
      </w:tr>
      <w:tr>
        <w:trPr>
          <w:trHeight w:val="212"/>
        </w:trPr>
        <w:tc>
          <w:tcPr>
            <w:tcW w:w="822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74,299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r>
      <w:tr>
        <w:trPr>
          <w:trHeight w:val="205"/>
        </w:trPr>
        <w:tc>
          <w:tcPr>
            <w:tcW w:w="822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3,584,905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r>
      <w:tr>
        <w:trPr>
          <w:trHeight w:val="208"/>
        </w:trPr>
        <w:tc>
          <w:tcPr>
            <w:tcW w:w="822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6,209,606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r>
      <w:tr>
        <w:trPr>
          <w:trHeight w:val="22"/>
        </w:trPr>
        <w:tc>
          <w:tcPr>
            <w:tcW w:w="8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73"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98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June</w:t>
            </w:r>
          </w:p>
        </w:tc>
        <w:tc>
          <w:tcPr>
            <w:tcW w:w="100" w:type="dxa"/>
            <w:vAlign w:val="bottom"/>
          </w:tcPr>
          <w:p>
            <w:pPr>
              <w:spacing w:after="0"/>
              <w:rPr>
                <w:sz w:val="17"/>
                <w:szCs w:val="17"/>
                <w:color w:val="auto"/>
              </w:rPr>
            </w:pPr>
          </w:p>
        </w:tc>
        <w:tc>
          <w:tcPr>
            <w:tcW w:w="2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7"/>
              </w:rPr>
              <w:t>For the six months ended June</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52"/>
        </w:trPr>
        <w:tc>
          <w:tcPr>
            <w:tcW w:w="54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431,279</w:t>
            </w:r>
          </w:p>
        </w:tc>
        <w:tc>
          <w:tcPr>
            <w:tcW w:w="120" w:type="dxa"/>
            <w:vAlign w:val="bottom"/>
          </w:tcPr>
          <w:p>
            <w:pPr>
              <w:spacing w:after="0"/>
              <w:rPr>
                <w:sz w:val="18"/>
                <w:szCs w:val="18"/>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417,043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861,616</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825,400</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68,555</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120,800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99,732</w:t>
            </w:r>
          </w:p>
        </w:tc>
        <w:tc>
          <w:tcPr>
            <w:tcW w:w="0" w:type="dxa"/>
            <w:vAlign w:val="bottom"/>
          </w:tcPr>
          <w:p>
            <w:pPr>
              <w:spacing w:after="0"/>
              <w:rPr>
                <w:sz w:val="1"/>
                <w:szCs w:val="1"/>
                <w:color w:val="auto"/>
              </w:rPr>
            </w:pPr>
          </w:p>
        </w:tc>
      </w:tr>
      <w:tr>
        <w:trPr>
          <w:trHeight w:val="205"/>
        </w:trPr>
        <w:tc>
          <w:tcPr>
            <w:tcW w:w="540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499,834</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459,466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982,416</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925,132</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00" w:type="dxa"/>
            <w:vAlign w:val="bottom"/>
          </w:tcPr>
          <w:p>
            <w:pPr>
              <w:ind w:left="200"/>
              <w:spacing w:after="0" w:line="179" w:lineRule="exact"/>
              <w:rPr>
                <w:sz w:val="20"/>
                <w:szCs w:val="20"/>
                <w:color w:val="auto"/>
              </w:rPr>
            </w:pPr>
            <w:r>
              <w:rPr>
                <w:rFonts w:ascii="Arial" w:cs="Arial" w:eastAsia="Arial" w:hAnsi="Arial"/>
                <w:sz w:val="16"/>
                <w:szCs w:val="16"/>
                <w:color w:val="auto"/>
              </w:rPr>
              <w:t>Cost of sales - services and other (exclusive of depreciation and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40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139,547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272,336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286,271</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99,654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78,450</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114,038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113,798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228,157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239,079</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13,702</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118,982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248,268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262,255</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40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434,526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424,694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863,646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879,757</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65,308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118,770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45,375</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26,343</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(63,535)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(74,491)</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109,233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(52,762)</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(3,732)</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(9,284)</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05"/>
        </w:trPr>
        <w:tc>
          <w:tcPr>
            <w:tcW w:w="540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(114,596)</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56,167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155,886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(69,221)</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112,587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(72,580)</w:t>
            </w: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6,873</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115,814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(65,707)</w:t>
            </w:r>
          </w:p>
        </w:tc>
        <w:tc>
          <w:tcPr>
            <w:tcW w:w="0" w:type="dxa"/>
            <w:vAlign w:val="bottom"/>
          </w:tcPr>
          <w:p>
            <w:pPr>
              <w:spacing w:after="0"/>
              <w:rPr>
                <w:sz w:val="1"/>
                <w:szCs w:val="1"/>
                <w:color w:val="auto"/>
              </w:rPr>
            </w:pPr>
          </w:p>
        </w:tc>
      </w:tr>
      <w:tr>
        <w:trPr>
          <w:trHeight w:val="25"/>
        </w:trPr>
        <w:tc>
          <w:tcPr>
            <w:tcW w:w="540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5"/>
        </w:trPr>
        <w:tc>
          <w:tcPr>
            <w:tcW w:w="540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73"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For the six months ended June 30,</w:t>
            </w:r>
          </w:p>
        </w:tc>
      </w:tr>
      <w:tr>
        <w:trPr>
          <w:trHeight w:val="208"/>
        </w:trPr>
        <w:tc>
          <w:tcPr>
            <w:tcW w:w="7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r>
      <w:tr>
        <w:trPr>
          <w:trHeight w:val="386"/>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112,587</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(72,580)</w:t>
            </w:r>
          </w:p>
        </w:tc>
      </w:tr>
      <w:tr>
        <w:trPr>
          <w:trHeight w:val="164"/>
        </w:trPr>
        <w:tc>
          <w:tcPr>
            <w:tcW w:w="7760" w:type="dxa"/>
            <w:vAlign w:val="bottom"/>
          </w:tcPr>
          <w:p>
            <w:pPr>
              <w:ind w:left="200"/>
              <w:spacing w:after="0" w:line="164"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776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248,268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262,255</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Losses (gains) on investments,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(109,233)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52,762</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9,284</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Deferred tax provision (benefit),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34,024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(2,452)</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4,509</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2,120</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(7,295)</w:t>
            </w:r>
          </w:p>
        </w:tc>
      </w:tr>
      <w:tr>
        <w:trPr>
          <w:trHeight w:val="212"/>
        </w:trPr>
        <w:tc>
          <w:tcPr>
            <w:tcW w:w="7760" w:type="dxa"/>
            <w:vAlign w:val="bottom"/>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7760" w:type="dxa"/>
            <w:vAlign w:val="bottom"/>
          </w:tcPr>
          <w:p>
            <w:pPr>
              <w:ind w:left="640"/>
              <w:spacing w:after="0"/>
              <w:rPr>
                <w:sz w:val="20"/>
                <w:szCs w:val="20"/>
                <w:color w:val="auto"/>
              </w:rPr>
            </w:pPr>
            <w:r>
              <w:rPr>
                <w:rFonts w:ascii="Arial" w:cs="Arial" w:eastAsia="Arial" w:hAnsi="Arial"/>
                <w:sz w:val="16"/>
                <w:szCs w:val="16"/>
                <w:color w:val="auto"/>
              </w:rPr>
              <w:t>Trade accounts receivable and contract assets,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(5,262)</w:t>
            </w:r>
          </w:p>
        </w:tc>
      </w:tr>
      <w:tr>
        <w:trPr>
          <w:trHeight w:val="212"/>
        </w:trPr>
        <w:tc>
          <w:tcPr>
            <w:tcW w:w="7760" w:type="dxa"/>
            <w:vAlign w:val="bottom"/>
          </w:tcPr>
          <w:p>
            <w:pPr>
              <w:ind w:left="640"/>
              <w:spacing w:after="0"/>
              <w:rPr>
                <w:sz w:val="20"/>
                <w:szCs w:val="20"/>
                <w:color w:val="auto"/>
              </w:rPr>
            </w:pPr>
            <w:r>
              <w:rPr>
                <w:rFonts w:ascii="Arial" w:cs="Arial" w:eastAsia="Arial" w:hAnsi="Arial"/>
                <w:sz w:val="16"/>
                <w:szCs w:val="16"/>
                <w:color w:val="auto"/>
              </w:rPr>
              <w:t>Other current assets,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(11,642)</w:t>
            </w:r>
          </w:p>
        </w:tc>
      </w:tr>
      <w:tr>
        <w:trPr>
          <w:trHeight w:val="212"/>
        </w:trPr>
        <w:tc>
          <w:tcPr>
            <w:tcW w:w="7760" w:type="dxa"/>
            <w:vAlign w:val="bottom"/>
          </w:tcPr>
          <w:p>
            <w:pPr>
              <w:ind w:left="640"/>
              <w:spacing w:after="0"/>
              <w:rPr>
                <w:sz w:val="20"/>
                <w:szCs w:val="20"/>
                <w:color w:val="auto"/>
              </w:rPr>
            </w:pPr>
            <w:r>
              <w:rPr>
                <w:rFonts w:ascii="Arial" w:cs="Arial" w:eastAsia="Arial" w:hAnsi="Arial"/>
                <w:sz w:val="16"/>
                <w:szCs w:val="16"/>
                <w:color w:val="auto"/>
              </w:rPr>
              <w:t>Trade accounts payable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(11,701)</w:t>
            </w:r>
          </w:p>
        </w:tc>
      </w:tr>
      <w:tr>
        <w:trPr>
          <w:trHeight w:val="212"/>
        </w:trPr>
        <w:tc>
          <w:tcPr>
            <w:tcW w:w="7760" w:type="dxa"/>
            <w:vAlign w:val="bottom"/>
          </w:tcPr>
          <w:p>
            <w:pPr>
              <w:ind w:left="64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(11,229)</w:t>
            </w:r>
          </w:p>
        </w:tc>
      </w:tr>
      <w:tr>
        <w:trPr>
          <w:trHeight w:val="212"/>
        </w:trPr>
        <w:tc>
          <w:tcPr>
            <w:tcW w:w="776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27,050</w:t>
            </w:r>
          </w:p>
        </w:tc>
      </w:tr>
      <w:tr>
        <w:trPr>
          <w:trHeight w:val="212"/>
        </w:trPr>
        <w:tc>
          <w:tcPr>
            <w:tcW w:w="7760" w:type="dxa"/>
            <w:vAlign w:val="bottom"/>
          </w:tcPr>
          <w:p>
            <w:pPr>
              <w:ind w:left="640"/>
              <w:spacing w:after="0"/>
              <w:rPr>
                <w:sz w:val="20"/>
                <w:szCs w:val="20"/>
                <w:color w:val="auto"/>
              </w:rPr>
            </w:pPr>
            <w:r>
              <w:rPr>
                <w:rFonts w:ascii="Arial" w:cs="Arial" w:eastAsia="Arial" w:hAnsi="Arial"/>
                <w:sz w:val="16"/>
                <w:szCs w:val="16"/>
                <w:color w:val="auto"/>
              </w:rPr>
              <w:t>Non-current assets and non-current liabilities, net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5,729</w:t>
            </w:r>
          </w:p>
        </w:tc>
      </w:tr>
      <w:tr>
        <w:trPr>
          <w:trHeight w:val="205"/>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308,640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245,280</w:t>
            </w:r>
          </w:p>
        </w:tc>
      </w:tr>
      <w:tr>
        <w:trPr>
          <w:trHeight w:val="444"/>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(939,255)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(555,367)</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1,824,332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977,532</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(262,466)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(196,904)</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(19,237)</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566,292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200,524</w:t>
            </w:r>
          </w:p>
        </w:tc>
      </w:tr>
      <w:tr>
        <w:trPr>
          <w:trHeight w:val="444"/>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Repurchase and maturity of the 2021 Senior Unsecured Notes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(901,818)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Net proceeds from Class A common stock options exercised</w:t>
            </w:r>
          </w:p>
        </w:tc>
        <w:tc>
          <w:tcPr>
            <w:tcW w:w="2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Net proceeds from Class A common stock issued under the Employee Stock Purchase Plan</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5,300</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(163,822)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(5,893)</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Contribution by non-controlling interest holder</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r>
      <w:tr>
        <w:trPr>
          <w:trHeight w:val="208"/>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(1,053,818)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9,075</w:t>
            </w:r>
          </w:p>
        </w:tc>
      </w:tr>
      <w:tr>
        <w:trPr>
          <w:trHeight w:val="195"/>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(19,232)</w:t>
            </w: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(179,329)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435,647</w:t>
            </w: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08"/>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717,483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1,957,536</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sectPr>
      <w:pgSz w:w="11900" w:h="16838" w:orient="portrait"/>
      <w:cols w:equalWidth="0" w:num="1">
        <w:col w:w="11220"/>
      </w:cols>
      <w:pgMar w:left="340" w:top="6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3"/>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upperLetter"/>
      <w:start w:val="8"/>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lvl w:ilvl="1">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7" Type="http://schemas.openxmlformats.org/officeDocument/2006/relationships/hyperlink" Target="https://www.sec.gov/Archives/edgar/data/1415404/000141540421000011/a2021satsproxystatement.htm#i6d1879bc289540a3ba8fc082b625c96b_12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2021-08-03T05:23:10Z</dcterms:created>
  <dcterms:modified xsi:type="dcterms:W3CDTF">2021-08-03T05:23:10Z</dcterms:modified>
</cp:coreProperties>
</file>