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411480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660" w:right="60" w:hanging="328"/>
        <w:spacing w:after="0" w:line="286" w:lineRule="auto"/>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660"/>
        <w:spacing w:after="0"/>
        <w:tabs>
          <w:tab w:leader="none" w:pos="4780" w:val="left"/>
          <w:tab w:leader="none" w:pos="5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333-31929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DISH DBS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4"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w w:val="99"/>
              </w:rPr>
              <w:t>Colorado</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324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580" w:type="dxa"/>
            <w:vAlign w:val="bottom"/>
          </w:tcPr>
          <w:p>
            <w:pPr>
              <w:jc w:val="center"/>
              <w:ind w:right="106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3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(303) 723-1000</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12(b) of the Act: </w:t>
      </w:r>
      <w:r>
        <w:rPr>
          <w:rFonts w:ascii="Times New Roman" w:cs="Times New Roman" w:eastAsia="Times New Roman" w:hAnsi="Times New Roman"/>
          <w:sz w:val="14"/>
          <w:szCs w:val="14"/>
          <w:b w:val="1"/>
          <w:bCs w:val="1"/>
          <w:color w:val="auto"/>
        </w:rPr>
        <w:t>None</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00" w:lineRule="exact"/>
        <w:rPr>
          <w:sz w:val="24"/>
          <w:szCs w:val="24"/>
          <w:color w:val="auto"/>
        </w:rPr>
      </w:pPr>
    </w:p>
    <w:p>
      <w:pPr>
        <w:ind w:right="3140"/>
        <w:spacing w:after="0" w:line="242"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73"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w:t>
      </w:r>
    </w:p>
    <w:p>
      <w:pPr>
        <w:spacing w:after="0" w:line="1"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under Section 13 or 15(d) of the Securities Exchange Act of 1934.)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1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p>
      <w:pPr>
        <w:spacing w:after="0" w:line="188" w:lineRule="exact"/>
        <w:tabs>
          <w:tab w:leader="none" w:pos="2500" w:val="left"/>
          <w:tab w:leader="none" w:pos="5020" w:val="left"/>
          <w:tab w:leader="none" w:pos="75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ind w:left="756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145" w:lineRule="exact"/>
        <w:rPr>
          <w:sz w:val="24"/>
          <w:szCs w:val="24"/>
          <w:color w:val="auto"/>
        </w:rPr>
      </w:pPr>
    </w:p>
    <w:p>
      <w:pPr>
        <w:ind w:right="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18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right="3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registrant’s voting interests held by non-affiliates on June 30, 2023 was $0.</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29, 2024, the registrant’s outstanding common stock consisted of 1,015 shares of common stock, $0.01 par value per share.</w:t>
      </w:r>
    </w:p>
    <w:p>
      <w:pPr>
        <w:spacing w:after="0" w:line="10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4"/>
          <w:szCs w:val="14"/>
          <w:b w:val="1"/>
          <w:bCs w:val="1"/>
          <w:color w:val="auto"/>
        </w:rPr>
        <w:t>The registrant meets the conditions set forth in General Instructions (I)(1)(a) and (b) of Form 10-K and is therefore filing this Annual Report on Form 10-K with the reduced disclosure format.</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documents are incorporated into this Form 10-K by reference: </w:t>
      </w: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0" w:type="dxa"/>
            <w:vAlign w:val="bottom"/>
            <w:gridSpan w:val="17"/>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0"/>
                <w:szCs w:val="20"/>
                <w:color w:val="auto"/>
              </w:rPr>
            </w:pPr>
          </w:p>
        </w:tc>
      </w:tr>
      <w:tr>
        <w:trPr>
          <w:trHeight w:val="62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gridSpan w:val="11"/>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7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Disclosure Regarding Forward-Looking Statements</w:t>
            </w:r>
          </w:p>
        </w:tc>
        <w:tc>
          <w:tcPr>
            <w:tcW w:w="348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46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60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2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32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20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24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460" w:type="dxa"/>
            <w:vAlign w:val="bottom"/>
            <w:gridSpan w:val="4"/>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460" w:type="dxa"/>
            <w:vAlign w:val="bottom"/>
            <w:gridSpan w:val="4"/>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344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60" w:type="dxa"/>
            <w:vAlign w:val="bottom"/>
            <w:gridSpan w:val="4"/>
          </w:tcPr>
          <w:p>
            <w:pPr>
              <w:spacing w:after="0"/>
              <w:rPr>
                <w:sz w:val="24"/>
                <w:szCs w:val="24"/>
                <w:color w:val="auto"/>
              </w:rPr>
            </w:pP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70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60" w:type="dxa"/>
            <w:vAlign w:val="bottom"/>
            <w:gridSpan w:val="4"/>
          </w:tcPr>
          <w:p>
            <w:pPr>
              <w:spacing w:after="0"/>
              <w:rPr>
                <w:sz w:val="17"/>
                <w:szCs w:val="17"/>
                <w:color w:val="auto"/>
              </w:rPr>
            </w:pPr>
          </w:p>
        </w:tc>
        <w:tc>
          <w:tcPr>
            <w:tcW w:w="1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02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460" w:type="dxa"/>
            <w:vAlign w:val="bottom"/>
            <w:gridSpan w:val="4"/>
          </w:tcPr>
          <w:p>
            <w:pPr>
              <w:spacing w:after="0"/>
              <w:rPr>
                <w:sz w:val="17"/>
                <w:szCs w:val="17"/>
                <w:color w:val="auto"/>
              </w:rPr>
            </w:pPr>
          </w:p>
        </w:tc>
        <w:tc>
          <w:tcPr>
            <w:tcW w:w="42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Narrative Analysis of Results of Operations</w:t>
            </w:r>
          </w:p>
        </w:tc>
        <w:tc>
          <w:tcPr>
            <w:tcW w:w="298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320" w:type="dxa"/>
            <w:vAlign w:val="bottom"/>
          </w:tcPr>
          <w:p>
            <w:pPr>
              <w:spacing w:after="0"/>
              <w:rPr>
                <w:sz w:val="17"/>
                <w:szCs w:val="17"/>
                <w:color w:val="auto"/>
              </w:rPr>
            </w:pPr>
          </w:p>
        </w:tc>
        <w:tc>
          <w:tcPr>
            <w:tcW w:w="43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8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460" w:type="dxa"/>
            <w:vAlign w:val="bottom"/>
            <w:gridSpan w:val="4"/>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460" w:type="dxa"/>
            <w:vAlign w:val="bottom"/>
            <w:gridSpan w:val="4"/>
          </w:tcPr>
          <w:p>
            <w:pPr>
              <w:spacing w:after="0"/>
              <w:rPr>
                <w:sz w:val="17"/>
                <w:szCs w:val="17"/>
                <w:color w:val="auto"/>
              </w:rPr>
            </w:pPr>
          </w:p>
        </w:tc>
        <w:tc>
          <w:tcPr>
            <w:tcW w:w="64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76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320" w:type="dxa"/>
            <w:vAlign w:val="bottom"/>
          </w:tcPr>
          <w:p>
            <w:pPr>
              <w:spacing w:after="0"/>
              <w:rPr>
                <w:sz w:val="17"/>
                <w:szCs w:val="17"/>
                <w:color w:val="auto"/>
              </w:rPr>
            </w:pP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320" w:type="dxa"/>
            <w:vAlign w:val="bottom"/>
          </w:tcPr>
          <w:p>
            <w:pPr>
              <w:spacing w:after="0"/>
              <w:rPr>
                <w:sz w:val="17"/>
                <w:szCs w:val="17"/>
                <w:color w:val="auto"/>
              </w:rPr>
            </w:pPr>
          </w:p>
        </w:tc>
        <w:tc>
          <w:tcPr>
            <w:tcW w:w="17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8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28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340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r>
      <w:tr>
        <w:trPr>
          <w:trHeight w:val="434"/>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Matters</w:t>
            </w:r>
          </w:p>
        </w:tc>
        <w:tc>
          <w:tcPr>
            <w:tcW w:w="700" w:type="dxa"/>
            <w:vAlign w:val="bottom"/>
          </w:tcPr>
          <w:p>
            <w:pPr>
              <w:spacing w:after="0"/>
              <w:rPr>
                <w:sz w:val="18"/>
                <w:szCs w:val="18"/>
                <w:color w:val="auto"/>
              </w:rPr>
            </w:pPr>
          </w:p>
        </w:tc>
      </w:tr>
      <w:tr>
        <w:trPr>
          <w:trHeight w:val="216"/>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9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Item 14.</w:t>
            </w:r>
          </w:p>
        </w:tc>
        <w:tc>
          <w:tcPr>
            <w:tcW w:w="72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13"/>
          </w:tcPr>
          <w:p>
            <w:pPr>
              <w:jc w:val="center"/>
              <w:ind w:right="3420"/>
              <w:spacing w:after="0"/>
              <w:rPr>
                <w:sz w:val="20"/>
                <w:szCs w:val="20"/>
                <w:color w:val="auto"/>
              </w:rPr>
            </w:pPr>
            <w:r>
              <w:rPr>
                <w:rFonts w:ascii="Times New Roman" w:cs="Times New Roman" w:eastAsia="Times New Roman" w:hAnsi="Times New Roman"/>
                <w:sz w:val="18"/>
                <w:szCs w:val="18"/>
                <w:b w:val="1"/>
                <w:bCs w:val="1"/>
                <w:color w:val="0000EE"/>
                <w:w w:val="92"/>
              </w:rPr>
              <w:t>PART IV</w:t>
            </w:r>
          </w:p>
        </w:tc>
        <w:tc>
          <w:tcPr>
            <w:tcW w:w="700" w:type="dxa"/>
            <w:vAlign w:val="bottom"/>
          </w:tcPr>
          <w:p>
            <w:pPr>
              <w:spacing w:after="0"/>
              <w:rPr>
                <w:sz w:val="24"/>
                <w:szCs w:val="24"/>
                <w:color w:val="auto"/>
              </w:rPr>
            </w:pP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15.</w:t>
            </w:r>
          </w:p>
        </w:tc>
        <w:tc>
          <w:tcPr>
            <w:tcW w:w="3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680" w:type="dxa"/>
            <w:vAlign w:val="bottom"/>
            <w:tcBorders>
              <w:top w:val="single" w:sz="8" w:color="0000EE"/>
            </w:tcBorders>
            <w:gridSpan w:val="6"/>
          </w:tcPr>
          <w:p>
            <w:pPr>
              <w:spacing w:after="0"/>
              <w:rPr>
                <w:sz w:val="24"/>
                <w:szCs w:val="24"/>
                <w:color w:val="auto"/>
              </w:rPr>
            </w:pPr>
          </w:p>
        </w:tc>
        <w:tc>
          <w:tcPr>
            <w:tcW w:w="342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1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72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760" w:type="dxa"/>
            <w:vAlign w:val="bottom"/>
            <w:tcBorders>
              <w:top w:val="single" w:sz="8" w:color="0000EE"/>
            </w:tcBorders>
            <w:gridSpan w:val="5"/>
          </w:tcPr>
          <w:p>
            <w:pPr>
              <w:spacing w:after="0"/>
              <w:rPr>
                <w:sz w:val="24"/>
                <w:szCs w:val="24"/>
                <w:color w:val="auto"/>
              </w:rPr>
            </w:pPr>
          </w:p>
        </w:tc>
        <w:tc>
          <w:tcPr>
            <w:tcW w:w="5700" w:type="dxa"/>
            <w:vAlign w:val="bottom"/>
            <w:gridSpan w:val="19"/>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Consolidated Financial Statements</w:t>
            </w:r>
          </w:p>
        </w:tc>
        <w:tc>
          <w:tcPr>
            <w:tcW w:w="408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right="99"/>
        <w:spacing w:after="0" w:line="282" w:lineRule="auto"/>
        <w:rPr>
          <w:sz w:val="20"/>
          <w:szCs w:val="20"/>
          <w:color w:val="auto"/>
        </w:rPr>
      </w:pPr>
      <w:r>
        <w:rPr>
          <w:rFonts w:ascii="Times New Roman" w:cs="Times New Roman" w:eastAsia="Times New Roman" w:hAnsi="Times New Roman"/>
          <w:sz w:val="18"/>
          <w:szCs w:val="18"/>
          <w:color w:val="auto"/>
        </w:rPr>
        <w:t>*This item has been omitted pursuant to the reduced disclosure format as set forth in General Instructions (I) (2)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1005840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35" w:lineRule="exact"/>
        <w:rPr>
          <w:sz w:val="20"/>
          <w:szCs w:val="20"/>
          <w:color w:val="auto"/>
        </w:rPr>
      </w:pPr>
    </w:p>
    <w:p>
      <w:pPr>
        <w:ind w:left="40" w:right="359"/>
        <w:spacing w:after="0" w:line="314" w:lineRule="auto"/>
        <w:rPr>
          <w:sz w:val="20"/>
          <w:szCs w:val="20"/>
          <w:color w:val="auto"/>
        </w:rPr>
      </w:pPr>
      <w:r>
        <w:rPr>
          <w:rFonts w:ascii="Times New Roman" w:cs="Times New Roman" w:eastAsia="Times New Roman" w:hAnsi="Times New Roman"/>
          <w:sz w:val="16"/>
          <w:szCs w:val="16"/>
          <w:color w:val="auto"/>
        </w:rPr>
        <w:t>Unless otherwise required by the context, in this report, the words “DISH DBS,” the “Company,” “we,” “our” and “us” refer to DISH DBS Corporation and its subsidiaries, “DISH Network” refers to DISH Network Corporation, our parent company, and its subsidiaries, including us, and “EchoStar” refers to EchoStar Corporation and its subsidiaries, our ultimate parent company.</w:t>
      </w:r>
    </w:p>
    <w:p>
      <w:pPr>
        <w:spacing w:after="0" w:line="47"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the Integration</w:t>
      </w:r>
    </w:p>
    <w:p>
      <w:pPr>
        <w:spacing w:after="0" w:line="162" w:lineRule="exact"/>
        <w:rPr>
          <w:sz w:val="20"/>
          <w:szCs w:val="20"/>
          <w:color w:val="auto"/>
        </w:rPr>
      </w:pPr>
    </w:p>
    <w:p>
      <w:pPr>
        <w:ind w:left="720" w:right="219" w:hanging="325"/>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Competition and Economic Risks</w:t>
      </w:r>
    </w:p>
    <w:p>
      <w:pPr>
        <w:spacing w:after="0" w:line="94" w:lineRule="exact"/>
        <w:rPr>
          <w:sz w:val="20"/>
          <w:szCs w:val="20"/>
          <w:color w:val="auto"/>
        </w:rPr>
      </w:pPr>
    </w:p>
    <w:p>
      <w:pPr>
        <w:ind w:left="720" w:right="59" w:hanging="325"/>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and increasing competition from providers of video, broadband and/or wireless services. 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31" w:lineRule="exact"/>
        <w:rPr>
          <w:rFonts w:ascii="Times New Roman" w:cs="Times New Roman" w:eastAsia="Times New Roman" w:hAnsi="Times New Roman"/>
          <w:sz w:val="18"/>
          <w:szCs w:val="18"/>
          <w:color w:val="auto"/>
        </w:rPr>
      </w:pPr>
    </w:p>
    <w:p>
      <w:pPr>
        <w:ind w:left="720" w:right="839" w:hanging="325"/>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pay-TV competitors may be able to leverage their relationships with programmers to reduce their programming costs and/or offer exclusive content that will place them at a competitive advantage to us.</w:t>
      </w:r>
    </w:p>
    <w:p>
      <w:pPr>
        <w:spacing w:after="0" w:line="13" w:lineRule="exact"/>
        <w:rPr>
          <w:rFonts w:ascii="Times New Roman" w:cs="Times New Roman" w:eastAsia="Times New Roman" w:hAnsi="Times New Roman"/>
          <w:sz w:val="18"/>
          <w:szCs w:val="18"/>
          <w:color w:val="auto"/>
        </w:rPr>
      </w:pPr>
    </w:p>
    <w:p>
      <w:pPr>
        <w:ind w:left="720" w:right="79" w:hanging="325"/>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Operational and Service Delivery Risks</w:t>
      </w:r>
    </w:p>
    <w:p>
      <w:pPr>
        <w:spacing w:after="0" w:line="81" w:lineRule="exact"/>
        <w:rPr>
          <w:sz w:val="20"/>
          <w:szCs w:val="20"/>
          <w:color w:val="auto"/>
        </w:rPr>
      </w:pPr>
    </w:p>
    <w:p>
      <w:pPr>
        <w:ind w:left="720" w:right="59" w:hanging="325"/>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720" w:right="99" w:hanging="325"/>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40" w:lineRule="exact"/>
        <w:rPr>
          <w:rFonts w:ascii="Times New Roman" w:cs="Times New Roman" w:eastAsia="Times New Roman" w:hAnsi="Times New Roman"/>
          <w:sz w:val="18"/>
          <w:szCs w:val="18"/>
          <w:color w:val="auto"/>
        </w:rPr>
      </w:pPr>
    </w:p>
    <w:p>
      <w:pPr>
        <w:ind w:left="720" w:right="79" w:hanging="325"/>
        <w:spacing w:after="0" w:line="306"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 w:lineRule="exact"/>
        <w:rPr>
          <w:rFonts w:ascii="Times New Roman" w:cs="Times New Roman" w:eastAsia="Times New Roman" w:hAnsi="Times New Roman"/>
          <w:sz w:val="17"/>
          <w:szCs w:val="17"/>
          <w:color w:val="auto"/>
        </w:rPr>
      </w:pPr>
    </w:p>
    <w:p>
      <w:pPr>
        <w:ind w:left="720" w:right="259" w:hanging="325"/>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27" w:lineRule="exact"/>
        <w:rPr>
          <w:rFonts w:ascii="Times New Roman" w:cs="Times New Roman" w:eastAsia="Times New Roman" w:hAnsi="Times New Roman"/>
          <w:sz w:val="18"/>
          <w:szCs w:val="18"/>
          <w:color w:val="auto"/>
        </w:rPr>
      </w:pPr>
    </w:p>
    <w:p>
      <w:pPr>
        <w:ind w:left="720" w:right="59" w:hanging="325"/>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25"/>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3" w:lineRule="exact"/>
        <w:rPr>
          <w:rFonts w:ascii="Times New Roman" w:cs="Times New Roman" w:eastAsia="Times New Roman" w:hAnsi="Times New Roman"/>
          <w:sz w:val="18"/>
          <w:szCs w:val="18"/>
          <w:color w:val="auto"/>
        </w:rPr>
      </w:pPr>
    </w:p>
    <w:p>
      <w:pPr>
        <w:ind w:left="720" w:right="79" w:hanging="325"/>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independent third parties to solicit orders for our services that represent a meaningful percentage of our total gross new subscriber activations.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81" w:lineRule="exact"/>
        <w:rPr>
          <w:sz w:val="20"/>
          <w:szCs w:val="20"/>
          <w:color w:val="auto"/>
        </w:rPr>
      </w:pPr>
    </w:p>
    <w:p>
      <w:pPr>
        <w:ind w:left="720" w:right="219" w:hanging="325"/>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growth and customer retention strategies rely in part on the work of technically skilled employees.</w:t>
      </w:r>
    </w:p>
    <w:p>
      <w:pPr>
        <w:spacing w:after="0" w:line="8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Products and Technology</w:t>
      </w:r>
    </w:p>
    <w:p>
      <w:pPr>
        <w:spacing w:after="0" w:line="80" w:lineRule="exact"/>
        <w:rPr>
          <w:rFonts w:ascii="Times New Roman" w:cs="Times New Roman" w:eastAsia="Times New Roman" w:hAnsi="Times New Roman"/>
          <w:sz w:val="18"/>
          <w:szCs w:val="18"/>
          <w:color w:val="auto"/>
        </w:rPr>
      </w:pPr>
    </w:p>
    <w:p>
      <w:pPr>
        <w:ind w:left="720" w:right="239" w:hanging="325"/>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certain intellectual property rights and on not infringing the intellectual property rights of others.</w:t>
      </w:r>
    </w:p>
    <w:p>
      <w:pPr>
        <w:spacing w:after="0" w:line="13" w:lineRule="exact"/>
        <w:rPr>
          <w:rFonts w:ascii="Times New Roman" w:cs="Times New Roman" w:eastAsia="Times New Roman" w:hAnsi="Times New Roman"/>
          <w:sz w:val="18"/>
          <w:szCs w:val="18"/>
          <w:color w:val="auto"/>
        </w:rPr>
      </w:pPr>
    </w:p>
    <w:p>
      <w:pPr>
        <w:ind w:left="720" w:right="219" w:hanging="325"/>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become, party to various lawsuits which, if adversely decided, could have a significant adverse impact on our business, particularly lawsuits regarding intellectual property.</w:t>
      </w:r>
    </w:p>
    <w:p>
      <w:pPr>
        <w:spacing w:after="0" w:line="26" w:lineRule="exact"/>
        <w:rPr>
          <w:rFonts w:ascii="Times New Roman" w:cs="Times New Roman" w:eastAsia="Times New Roman" w:hAnsi="Times New Roman"/>
          <w:sz w:val="18"/>
          <w:szCs w:val="18"/>
          <w:color w:val="auto"/>
        </w:rPr>
      </w:pPr>
    </w:p>
    <w:p>
      <w:pPr>
        <w:ind w:left="720" w:right="359" w:hanging="325"/>
        <w:spacing w:after="0" w:line="304" w:lineRule="auto"/>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products contain defects, we could be subject to significant costs to correct such defects and our product and network service contracts could be delayed or cancelled, which could adversely affect our revenue.</w:t>
      </w: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81" w:lineRule="exact"/>
        <w:rPr>
          <w:sz w:val="20"/>
          <w:szCs w:val="20"/>
          <w:color w:val="auto"/>
        </w:rPr>
      </w:pPr>
    </w:p>
    <w:p>
      <w:pPr>
        <w:ind w:left="720" w:right="279" w:hanging="325"/>
        <w:spacing w:after="0" w:line="289"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22" w:lineRule="exact"/>
        <w:rPr>
          <w:rFonts w:ascii="Times New Roman" w:cs="Times New Roman" w:eastAsia="Times New Roman" w:hAnsi="Times New Roman"/>
          <w:sz w:val="17"/>
          <w:szCs w:val="17"/>
          <w:color w:val="auto"/>
        </w:rPr>
      </w:pPr>
    </w:p>
    <w:p>
      <w:pPr>
        <w:ind w:left="720" w:right="119" w:hanging="325"/>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integrity, and availability of our services and products depends on the continuing operation of our information technology and other enabling systems.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Acquisition and Capital Structure Risks</w:t>
      </w:r>
    </w:p>
    <w:p>
      <w:pPr>
        <w:spacing w:after="0" w:line="81" w:lineRule="exact"/>
        <w:rPr>
          <w:sz w:val="20"/>
          <w:szCs w:val="20"/>
          <w:color w:val="auto"/>
        </w:rPr>
      </w:pPr>
    </w:p>
    <w:p>
      <w:pPr>
        <w:ind w:left="720" w:right="259" w:hanging="325"/>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outstanding and may incur additional debt and covenants in our Indentures could limit our ability to undertake certain types of activities and adversely affect our liquidity.</w:t>
      </w:r>
    </w:p>
    <w:p>
      <w:pPr>
        <w:spacing w:after="0" w:line="26" w:lineRule="exact"/>
        <w:rPr>
          <w:rFonts w:ascii="Times New Roman" w:cs="Times New Roman" w:eastAsia="Times New Roman" w:hAnsi="Times New Roman"/>
          <w:sz w:val="18"/>
          <w:szCs w:val="18"/>
          <w:color w:val="auto"/>
        </w:rPr>
      </w:pPr>
    </w:p>
    <w:p>
      <w:pPr>
        <w:jc w:val="both"/>
        <w:ind w:left="720" w:right="259" w:hanging="325"/>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w:t>
      </w:r>
    </w:p>
    <w:p>
      <w:pPr>
        <w:spacing w:after="0" w:line="27" w:lineRule="exact"/>
        <w:rPr>
          <w:rFonts w:ascii="Times New Roman" w:cs="Times New Roman" w:eastAsia="Times New Roman" w:hAnsi="Times New Roman"/>
          <w:sz w:val="18"/>
          <w:szCs w:val="18"/>
          <w:color w:val="auto"/>
        </w:rPr>
      </w:pPr>
    </w:p>
    <w:p>
      <w:pPr>
        <w:jc w:val="both"/>
        <w:ind w:left="720" w:right="259" w:hanging="325"/>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7" w:lineRule="exact"/>
        <w:rPr>
          <w:rFonts w:ascii="Times New Roman" w:cs="Times New Roman" w:eastAsia="Times New Roman" w:hAnsi="Times New Roman"/>
          <w:sz w:val="18"/>
          <w:szCs w:val="18"/>
          <w:color w:val="auto"/>
        </w:rPr>
      </w:pPr>
    </w:p>
    <w:p>
      <w:pPr>
        <w:ind w:left="720" w:right="379" w:hanging="325"/>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Notes (defined herein) are subordinated to our existing unsecured notes and certain future unsecured notes with respect to certain realizations under the Intercompany Loan (defined herein) and any collateral pledged as security therefor.</w:t>
      </w:r>
    </w:p>
    <w:p>
      <w:pPr>
        <w:spacing w:after="0" w:line="40" w:lineRule="exact"/>
        <w:rPr>
          <w:rFonts w:ascii="Times New Roman" w:cs="Times New Roman" w:eastAsia="Times New Roman" w:hAnsi="Times New Roman"/>
          <w:sz w:val="18"/>
          <w:szCs w:val="18"/>
          <w:color w:val="auto"/>
        </w:rPr>
      </w:pPr>
    </w:p>
    <w:p>
      <w:pPr>
        <w:ind w:left="720" w:right="379" w:hanging="325"/>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which may not be available on favorable terms, to fund current obligations, to continue investing in our business and to finance acquisitions and other strategic transactions.</w:t>
      </w:r>
    </w:p>
    <w:p>
      <w:pPr>
        <w:spacing w:after="0" w:line="13"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ultimate parent, EchoStar, is controlled by one principal stockholder, who is also our Chairman.</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Business</w:t>
      </w:r>
    </w:p>
    <w:p>
      <w:pPr>
        <w:spacing w:after="0" w:line="94" w:lineRule="exact"/>
        <w:rPr>
          <w:sz w:val="20"/>
          <w:szCs w:val="20"/>
          <w:color w:val="auto"/>
        </w:rPr>
      </w:pPr>
    </w:p>
    <w:p>
      <w:pPr>
        <w:ind w:left="720" w:right="99" w:hanging="325"/>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depend on FCC licenses that can expire or be revoked or modified and applications for FCC licenses that may not be granted.</w:t>
      </w:r>
    </w:p>
    <w:p>
      <w:pPr>
        <w:spacing w:after="0" w:line="13"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Brief Description of our Business</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DISH DBS is a holding company and was organized in 1996 as a corporation under the laws of the State of Colorado. Its subsidiaries, together with DISH DBS Corporation, are referred to as “DISH DBS,” the “Company,” “we,” “us” and/or “our,” unless otherwise required by the context. DISH DBS is an indirect, wholly-owned subsidiary of DISH Network, which is a wholly-owned subsidiary of EchoStar Corporation (“EchoStar”), a publicly traded company listed on the NASDAQ Global Select Market (“NASDAQ”) under the symbol “SATS.” Our principal executive offices are located at 9601 South Meridian Boulevard, Englewood, Colorado 80112 and our telephone number is (303) 723-1000. We refer readers of this report to EchoStar’s Annual Report on Form 10-K for the year ended December 31, 2023. Our subsidiaries operate one business segment.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DISH Network’s Merger with EchoStar</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wholly-owned subsidiary (“Merger Sub”), and DISH Network, pursuant to which EchoStar acquired DISH Network by means of the merger of Merger Sub with and into DISH Network (the “Merger”), with DISH Network surviving the Merger as its wholly-owned subsidiary.</w:t>
      </w:r>
    </w:p>
    <w:p>
      <w:pPr>
        <w:spacing w:after="0" w:line="183"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see the Form 8-K of EchoStar filed on October 3, 2023 and the Form 8-K of EchoStar filed on January 2, 2024.</w:t>
      </w:r>
    </w:p>
    <w:p>
      <w:pPr>
        <w:spacing w:after="0" w:line="162"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w:t>
      </w:r>
    </w:p>
    <w:p>
      <w:pPr>
        <w:spacing w:after="0" w:line="265"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7"/>
          <w:szCs w:val="17"/>
          <w:color w:val="auto"/>
        </w:rPr>
        <w:t>We offer pay-TV services under the DISH</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brand and the SLING</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auto"/>
        </w:rPr>
        <w:t>Our Pay-TV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66" w:lineRule="exact"/>
        <w:rPr>
          <w:sz w:val="20"/>
          <w:szCs w:val="20"/>
          <w:color w:val="auto"/>
        </w:rPr>
      </w:pPr>
    </w:p>
    <w:p>
      <w:pPr>
        <w:ind w:left="720" w:right="79" w:hanging="319"/>
        <w:spacing w:after="0" w:line="24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with the Best Technology. </w:t>
      </w:r>
      <w:r>
        <w:rPr>
          <w:rFonts w:ascii="Times New Roman" w:cs="Times New Roman" w:eastAsia="Times New Roman" w:hAnsi="Times New Roman"/>
          <w:sz w:val="18"/>
          <w:szCs w:val="18"/>
          <w:color w:val="auto"/>
        </w:rPr>
        <w:t>We offer a wide selection of local and national HD programming and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leader in our industry, offering award-winning DVRs (including our Hopper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whole-home HD DVR), multiple tuner receivers, video on demand and external hard drives. We offer several SLING TV services, including SLING Orange (our single-stream SLING domestic service), SLING Blue (our multi-stream SLING domestic service), International, Latino and Freestream, among others, as well as add-on extras, direct to consumer services, pay-per-view events and a cloud-based DVR service.</w:t>
      </w:r>
    </w:p>
    <w:p>
      <w:pPr>
        <w:spacing w:after="0" w:line="194"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Outstanding Customer Service. </w:t>
      </w:r>
      <w:r>
        <w:rPr>
          <w:rFonts w:ascii="Times New Roman" w:cs="Times New Roman" w:eastAsia="Times New Roman" w:hAnsi="Times New Roman"/>
          <w:sz w:val="18"/>
          <w:szCs w:val="18"/>
          <w:color w:val="auto"/>
        </w:rPr>
        <w:t>We strive to provide outstanding customer service by, among other things, improving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quality of the initial installation of subscriber equipment, improving the reliability of our equipment, better educating our customers about our products and services, and resolving customer problems promptly and effectively when they arise.</w:t>
      </w:r>
    </w:p>
    <w:p>
      <w:pPr>
        <w:spacing w:after="0" w:line="179"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Great Value. </w:t>
      </w:r>
      <w:r>
        <w:rPr>
          <w:rFonts w:ascii="Times New Roman" w:cs="Times New Roman" w:eastAsia="Times New Roman" w:hAnsi="Times New Roman"/>
          <w:sz w:val="18"/>
          <w:szCs w:val="18"/>
          <w:color w:val="auto"/>
        </w:rPr>
        <w:t>We have historically been viewed as the low-cost provider in the pay-TV industry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However, today with DISH TV, we are focused on a message of Service, Value and Technology. We also offer a differentiated customer experience with our award-winning Hopper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platform that integrates voice control powered by Google Assistant, access to apps including Netflix, Prime Video and YouTube,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ACCESS</w:t>
      </w:r>
    </w:p>
    <w:p>
      <w:pPr>
        <w:spacing w:after="0" w:line="162"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a result of the Merger, we are no longer subject to the informational requirements of Section 13(a) or 15(d) of the Exchange Act and accordingly voluntarily file with the SEC. Our SEC filings may be accessed free of charge through the website of our ultimate parent, EchoStar, as soon as reasonably practicable after we have electronically filed such material with, or furnished it to, the SEC. The address of that website is https://ir.echostar.com/.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left="60" w:right="159"/>
        <w:spacing w:after="0" w:line="267"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not the only ones facing us. If any of the following events occur or evolve in a way different than expected, our business, financial condition and/or results of operations could be materially and adversely affected.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Integration</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expect that the Merger will result in synergies and other benefits, those synergies and benefits may not be realized in the amounts anticipated, or may not be realized within the anticipated timeframe, or at all, and risks associated with the foregoing may also result from any extended delay in the Integration of the companies.</w:t>
      </w:r>
    </w:p>
    <w:p>
      <w:pPr>
        <w:spacing w:after="0" w:line="17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ability to realize the anticipated benefits of the Merger will depend, to a large extent, on our ability to integrate EchoStar’s and our businesses in a manner that facilitates growth opportunities and achieves the anticipated benefits. In addition, some of the anticipated synergies are not expected to occur for a significant time period following the completion of the Merger and will require substantial capital expenditures to achieve. There can be no guarantee we will achieve any of these benefits on the anticipated timeframe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combination of two separate companies is complex, costly and time-consuming and may require significant management attention and resources which may divert attention from our business and operations. The failure to meet the challenges involved in combining the two companies and to realize the anticipated benefits of the Merger could, among other things, cause an interruption of, or a loss of momentum in, our activities and could adversely affect our results of operations. The overall combination of the two companies may also result in, among other things, material unanticipated problems, expenses, liabilities, competitive responses and loss of customer and other business relationships. The difficulties of combining our operations include, among others:</w:t>
      </w:r>
    </w:p>
    <w:p>
      <w:pPr>
        <w:spacing w:after="0" w:line="189"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employee attention to Integration matters;</w:t>
      </w:r>
    </w:p>
    <w:p>
      <w:pPr>
        <w:spacing w:after="0" w:line="27"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but not limited to, communications systems, administrative and information technology infrastructure, financial reporting and internal control systems;</w:t>
      </w:r>
    </w:p>
    <w:p>
      <w:pPr>
        <w:ind w:left="720" w:right="9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standards, controls, procedures and accounting and other policies, business cultures and compensation structures between the two companies;</w:t>
      </w:r>
    </w:p>
    <w:p>
      <w:pPr>
        <w:ind w:left="720" w:right="55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teams of the respective businesses and attracting and retaining key personnel;</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and obtaining customers, suppliers and other commercial relationships;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larger and more complex company; and</w:t>
      </w:r>
    </w:p>
    <w:p>
      <w:pPr>
        <w:spacing w:after="0" w:line="9" w:lineRule="exact"/>
        <w:rPr>
          <w:rFonts w:ascii="Times New Roman" w:cs="Times New Roman" w:eastAsia="Times New Roman" w:hAnsi="Times New Roman"/>
          <w:sz w:val="18"/>
          <w:szCs w:val="18"/>
          <w:color w:val="auto"/>
        </w:rPr>
      </w:pPr>
    </w:p>
    <w:p>
      <w:pPr>
        <w:ind w:left="720" w:right="599" w:hanging="319"/>
        <w:spacing w:after="0" w:line="26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Integration.</w:t>
      </w:r>
    </w:p>
    <w:p>
      <w:pPr>
        <w:spacing w:after="0" w:line="181"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Many of these factors are outside of our control and any of them could result in lower revenues, higher costs and diversion of management time and energy, which could materially impact our business, financial condition and results of operations. In addition, even if the operations of the companies are integrated successfully, the full benefits of the Merger may not be realized, including, among others, the synergies, cost savings or sales or growth opportunities that are expected. These benefits may not be achieved within the anticipated time frame or at all. As a result, it cannot be assured that the Integration will result in the realization of the full benefits expected from the Merger within the anticipated time frames, or at all.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 and Economic Risks</w:t>
      </w:r>
    </w:p>
    <w:p>
      <w:pPr>
        <w:spacing w:after="0" w:line="15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61" w:lineRule="exact"/>
        <w:rPr>
          <w:sz w:val="20"/>
          <w:szCs w:val="20"/>
          <w:color w:val="auto"/>
        </w:rPr>
      </w:pPr>
    </w:p>
    <w:p>
      <w:pPr>
        <w:ind w:left="60" w:right="59"/>
        <w:spacing w:after="0" w:line="235" w:lineRule="auto"/>
        <w:rPr>
          <w:sz w:val="20"/>
          <w:szCs w:val="20"/>
          <w:color w:val="auto"/>
        </w:rPr>
      </w:pPr>
      <w:r>
        <w:rPr>
          <w:rFonts w:ascii="Times New Roman" w:cs="Times New Roman" w:eastAsia="Times New Roman" w:hAnsi="Times New Roman"/>
          <w:sz w:val="18"/>
          <w:szCs w:val="18"/>
          <w:color w:val="auto"/>
        </w:rPr>
        <w:t>Our Pay-TV business faces substantial competition from established pay-TV providers and broadband service providers and increasing competition from companies providing/facilitating the delivery of video content via the Internet to computers, televisions, and other streaming and mobile devices, including, but not limited to, wireless service providers. In recent years, the traditional pay-TV industry has matured, and industry consolidation and convergence have created competitors with greater scale and multiple product/service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but not limited to, competition from piracy-based video offerings. These developments, among others, have contributed to intense and increasing competition, which we expect to continue.</w:t>
      </w:r>
    </w:p>
    <w:p>
      <w:pPr>
        <w:spacing w:after="0" w:line="174"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color w:val="auto"/>
        </w:rPr>
        <w:t>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Times New Roman" w:cs="Times New Roman" w:eastAsia="Times New Roman" w:hAnsi="Times New Roman"/>
          <w:sz w:val="18"/>
          <w:szCs w:val="18"/>
          <w:i w:val="1"/>
          <w:iCs w:val="1"/>
          <w:color w:val="auto"/>
        </w:rPr>
        <w:t>Item</w:t>
      </w:r>
    </w:p>
    <w:p>
      <w:pPr>
        <w:spacing w:after="0" w:line="1" w:lineRule="exact"/>
        <w:rPr>
          <w:sz w:val="20"/>
          <w:szCs w:val="20"/>
          <w:color w:val="auto"/>
        </w:rPr>
      </w:pPr>
    </w:p>
    <w:p>
      <w:pPr>
        <w:ind w:left="60" w:right="59" w:hanging="10"/>
        <w:spacing w:after="0" w:line="260" w:lineRule="auto"/>
        <w:tabs>
          <w:tab w:leader="none" w:pos="24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Narrative Analysis of Results of Operations – Trends – Competition</w:t>
      </w:r>
      <w:r>
        <w:rPr>
          <w:rFonts w:ascii="Times New Roman" w:cs="Times New Roman" w:eastAsia="Times New Roman" w:hAnsi="Times New Roman"/>
          <w:sz w:val="18"/>
          <w:szCs w:val="18"/>
          <w:color w:val="auto"/>
        </w:rPr>
        <w:t>” in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7"/>
          <w:szCs w:val="17"/>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underutilize key orbital spectrum resources that could be more efficiently used by us; foreclose or degrade our online video offerings at various points in the broadband pipe; and impose data caps on consumers who access our online video offerings. See “</w:t>
      </w:r>
      <w:r>
        <w:rPr>
          <w:rFonts w:ascii="Times New Roman" w:cs="Times New Roman" w:eastAsia="Times New Roman" w:hAnsi="Times New Roman"/>
          <w:sz w:val="17"/>
          <w:szCs w:val="17"/>
          <w:i w:val="1"/>
          <w:iCs w:val="1"/>
          <w:color w:val="auto"/>
        </w:rPr>
        <w:t>Item 7. Management’s Narrative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Results of Operations – Trends – Programming</w:t>
      </w:r>
      <w:r>
        <w:rPr>
          <w:rFonts w:ascii="Times New Roman" w:cs="Times New Roman" w:eastAsia="Times New Roman" w:hAnsi="Times New Roman"/>
          <w:sz w:val="17"/>
          <w:szCs w:val="17"/>
          <w:color w:val="auto"/>
        </w:rPr>
        <w:t>” in this Annual Report on Form 10-K for further information.</w:t>
      </w:r>
    </w:p>
    <w:p>
      <w:pPr>
        <w:spacing w:after="0" w:line="165"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 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pacing w:after="0" w:line="165" w:lineRule="exact"/>
        <w:rPr>
          <w:sz w:val="20"/>
          <w:szCs w:val="20"/>
          <w:color w:val="auto"/>
        </w:rPr>
      </w:pPr>
    </w:p>
    <w:p>
      <w:pPr>
        <w:ind w:left="60" w:right="79"/>
        <w:spacing w:after="0" w:line="232" w:lineRule="auto"/>
        <w:rPr>
          <w:sz w:val="20"/>
          <w:szCs w:val="20"/>
          <w:color w:val="auto"/>
        </w:rPr>
      </w:pPr>
      <w:r>
        <w:rPr>
          <w:rFonts w:ascii="Times New Roman" w:cs="Times New Roman" w:eastAsia="Times New Roman" w:hAnsi="Times New Roman"/>
          <w:sz w:val="18"/>
          <w:szCs w:val="18"/>
          <w:color w:val="auto"/>
        </w:rPr>
        <w:t>Furthermore, this increasingly competitive environment may require us to increase subscriber acquisition and retention spending or accept lower subscriber activations and higher subscriber churn. Increasingly, we must seek to attract a greater proportion of new subscribers from our competitors’ existing subscriber bases rather than from first-time purchasers of pay-TV services. In addition, because other pay-TV providers may be seeking to attract a greater proportion of their new subscribers from our existing subscriber base, we may be required to increase retention spending and/or provide greater discounts or credits to acquire and retain subscribers who may spend less on our services. Our SLING TV subscribers on average purchase lower-priced programming services than do DISH TV subscribers. Accordingly, an increase in SLING TV subscribers has a negative impact on our Pay-TV average monthly revenue per subscriber (“Pay-TV ARPU”). If our Pay-TV ARPU decreases or does not increase commensurate with increases in programming or other costs, our margins may be reduced and the long-term value of a subscriber would then decrease and could have a material adverse effect on our business, results of operations and financial condition.</w:t>
      </w:r>
    </w:p>
    <w:p>
      <w:pPr>
        <w:spacing w:after="0" w:line="189" w:lineRule="exact"/>
        <w:rPr>
          <w:sz w:val="20"/>
          <w:szCs w:val="20"/>
          <w:color w:val="auto"/>
        </w:rPr>
      </w:pPr>
    </w:p>
    <w:p>
      <w:pPr>
        <w:ind w:left="60" w:right="119"/>
        <w:spacing w:after="0" w:line="231" w:lineRule="auto"/>
        <w:rPr>
          <w:sz w:val="20"/>
          <w:szCs w:val="20"/>
          <w:color w:val="auto"/>
        </w:rPr>
      </w:pPr>
      <w:r>
        <w:rPr>
          <w:rFonts w:ascii="Times New Roman" w:cs="Times New Roman" w:eastAsia="Times New Roman" w:hAnsi="Times New Roman"/>
          <w:sz w:val="18"/>
          <w:szCs w:val="18"/>
          <w:color w:val="auto"/>
        </w:rPr>
        <w:t>In addition, as a result of this increased competitive environment and the maturation of the pay-TV industry, future growth opportunities of our DISH TV business may be limited and our margins may be reduced, which could have a material adverse effect on our business, results of operations and financial condition. Our gross new DISH TV subscriber activations continue to be negatively impacted by stricter subscriber acquisition policies (including, but not limited to, a focus on attaining higher quality subscribers) and increased competitive pressures, including, but not limited to, aggressive marketing, more aggressive retention efforts, bundled discount offers combining broadband, video and/or wireless services and other discounted promotional offers. In addition, we face increased competitive pressures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and direct-to-consumer exclusive and non-exclusive content. There can be no assurance that our gross new DISH TV subscriber activations, net DISH TV subscriber additions, and DISH TV churn rate will not continue to be negatively impacted and that the pace of such negative impact will not accelerate. In the event that our DISH TV subscriber base continues to decline or such decline accelerates, it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94" w:lineRule="exact"/>
        <w:rPr>
          <w:sz w:val="20"/>
          <w:szCs w:val="20"/>
          <w:color w:val="auto"/>
        </w:rPr>
      </w:pPr>
    </w:p>
    <w:p>
      <w:pPr>
        <w:ind w:left="60" w:right="139"/>
        <w:spacing w:after="0" w:line="233" w:lineRule="auto"/>
        <w:rPr>
          <w:sz w:val="20"/>
          <w:szCs w:val="20"/>
          <w:color w:val="auto"/>
        </w:rPr>
      </w:pPr>
      <w:r>
        <w:rPr>
          <w:rFonts w:ascii="Times New Roman" w:cs="Times New Roman" w:eastAsia="Times New Roman" w:hAnsi="Times New Roman"/>
          <w:sz w:val="18"/>
          <w:szCs w:val="18"/>
          <w:color w:val="auto"/>
        </w:rPr>
        <w:t>New technologies, products and services are driving rapid changes in consumer behavior as consumers seek more control over when, where and how they consume content and access communication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 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is developing content and technologies to satisfy that demand. For example, these technological advancements, changes in consumer behavior, and the increasing number of choices available to consumers regarding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 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and financial condition.</w:t>
      </w:r>
    </w:p>
    <w:p>
      <w:pPr>
        <w:spacing w:after="0" w:line="11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spacing w:after="0" w:line="108"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pay-TV competitors may be able to leverage their relationships with programmers to reduce their programming costs and/or offer exclusive content that will place them at a competitive advantage to us.</w:t>
      </w:r>
    </w:p>
    <w:p>
      <w:pPr>
        <w:spacing w:after="0" w:line="91"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Times New Roman" w:cs="Times New Roman" w:eastAsia="Times New Roman" w:hAnsi="Times New Roman"/>
          <w:sz w:val="18"/>
          <w:szCs w:val="18"/>
          <w:i w:val="1"/>
          <w:iCs w:val="1"/>
          <w:color w:val="auto"/>
        </w:rPr>
        <w:t>Item 1. Business – Government Regulations – FCC Regulations Applicable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 Cable Act and Program Access</w:t>
      </w:r>
      <w:r>
        <w:rPr>
          <w:rFonts w:ascii="Times New Roman" w:cs="Times New Roman" w:eastAsia="Times New Roman" w:hAnsi="Times New Roman"/>
          <w:sz w:val="18"/>
          <w:szCs w:val="18"/>
          <w:color w:val="auto"/>
        </w:rPr>
        <w:t>” in EchoStar’s Annual Report on Form 10-K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for further information.</w:t>
      </w:r>
    </w:p>
    <w:p>
      <w:pPr>
        <w:spacing w:after="0" w:line="123"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how network operators handle and charge for access to data that travels across their networks could adversely impact our Pay-TV business.</w:t>
      </w:r>
    </w:p>
    <w:p>
      <w:pPr>
        <w:spacing w:after="0" w:line="9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 Furthermore, to the extent network operators create tiers of Internet access service and either charge us for or prohibit us from being available through these tiers, our SLING TV business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video content over the Internet without counting against a subscriber’s monthly data caps, which may give an unfair advantage to the network operator’s own video content.</w:t>
      </w:r>
    </w:p>
    <w:p>
      <w:pPr>
        <w:spacing w:after="0" w:line="120"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cannot predict with any certainty the impact to our business that may result from changes in how network operators handle and charge for access to data that travels across their networks.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Economic weakness and uncertainty may adversely affect our ability to grow or maintain our business.</w:t>
      </w:r>
    </w:p>
    <w:p>
      <w:pPr>
        <w:spacing w:after="0" w:line="16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Our ability to grow or maintain our business may be adversely affected by economic weakness and uncertainty, which could result in the following:</w:t>
      </w:r>
    </w:p>
    <w:p>
      <w:pPr>
        <w:spacing w:after="0" w:line="90" w:lineRule="exact"/>
        <w:rPr>
          <w:sz w:val="20"/>
          <w:szCs w:val="20"/>
          <w:color w:val="auto"/>
        </w:rPr>
      </w:pPr>
    </w:p>
    <w:p>
      <w:pPr>
        <w:ind w:left="720" w:right="79" w:hanging="319"/>
        <w:spacing w:after="0" w:line="254"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Fewer subscriber activations and increased subscriber churn rate. </w:t>
      </w:r>
      <w:r>
        <w:rPr>
          <w:rFonts w:ascii="Times New Roman" w:cs="Times New Roman" w:eastAsia="Times New Roman" w:hAnsi="Times New Roman"/>
          <w:sz w:val="18"/>
          <w:szCs w:val="18"/>
          <w:color w:val="auto"/>
        </w:rPr>
        <w:t>We could face fewer subscriber activations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subscriber activations, because many of them are small businesses that are more susceptible to the negative effects of economic weakness. In particular, our DISH TV churn rate may increase with respect to subscribers who purchase our lower tier programming packages and who may be more sensitive to economic weakness, including, among others, our pay-in-advance subscribers.</w:t>
      </w:r>
    </w:p>
    <w:p>
      <w:pPr>
        <w:spacing w:after="0" w:line="117" w:lineRule="exact"/>
        <w:rPr>
          <w:rFonts w:ascii="Times New Roman" w:cs="Times New Roman" w:eastAsia="Times New Roman" w:hAnsi="Times New Roman"/>
          <w:sz w:val="18"/>
          <w:szCs w:val="18"/>
          <w:color w:val="auto"/>
        </w:rPr>
      </w:pPr>
    </w:p>
    <w:p>
      <w:pPr>
        <w:jc w:val="both"/>
        <w:ind w:left="720" w:right="259" w:hanging="319"/>
        <w:spacing w:after="0" w:line="26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Higher subscriber acquisition and retention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profits may be adversely affected by increased subscriber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and retention costs necessary to attract and retain high-quality subscribers during a period of economic weakness.</w:t>
      </w:r>
    </w:p>
    <w:p>
      <w:pPr>
        <w:spacing w:after="0" w:line="10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Operational and Service Delivery Risks</w:t>
      </w:r>
    </w:p>
    <w:p>
      <w:pPr>
        <w:spacing w:after="0" w:line="22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deterioration in our operational performance and subscriber satisfaction could adversely affect our business, financial condition and results of operations.</w:t>
      </w:r>
    </w:p>
    <w:p>
      <w:pPr>
        <w:spacing w:after="0" w:line="9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If our operational performance and subscriber satisfaction with respect to our Pay-TV business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91"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We may incur increased costs to acquire new subscribers and retain existing subscribers to our Pay-TV business. For example, with respect to our Pay-TV business, our gross new DISH TV subscriber activations, net DISH TV subscriber additions, and DISH TV churn rate continue to be negatively impacted by stricter subscriber acquisition and retention policies for our DISH TV subscribers. Retention costs with respect to our DISH TV services may be driven higher by, among other things, increased upgrades of existing subscribers’ equipment.</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Although we expect to continue to incur expenses, such as providing retention credits and other subscriber acquisition and retention expenses,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Any material increase in subscriber acquisition or retention costs from current levels could have a material adverse effect on our business, financial condition and results of operations.</w:t>
      </w:r>
    </w:p>
    <w:p>
      <w:pPr>
        <w:spacing w:after="0" w:line="116"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programming expenses are increasing, which may adversely affect our future financial condition and results of operations.</w:t>
      </w:r>
    </w:p>
    <w:p>
      <w:pPr>
        <w:spacing w:after="0" w:line="9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spacing w:after="0" w:line="124"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In addition, increases in programming costs cause us to increase the rates that we charge our Pay-TV subscribers, which could in turn cause our existing Pay-TV subscribers to disconnect our service. Therefore, we may be unable to pass increased programming costs on to our subscribers, which could have a material adverse effect on our business, financial condition and results of operations.</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75"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 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8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w:t>
      </w:r>
    </w:p>
    <w:p>
      <w:pPr>
        <w:spacing w:after="0" w:line="18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pacing w:after="0" w:line="1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necessary retransmission consent agreements at acceptable rates, or at all, from local network stations.</w:t>
      </w:r>
    </w:p>
    <w:p>
      <w:pPr>
        <w:spacing w:after="0" w:line="91"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w:t>
      </w:r>
    </w:p>
    <w:p>
      <w:pPr>
        <w:spacing w:after="0" w:line="173"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color w:val="auto"/>
        </w:rPr>
        <w:t>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pacing w:after="0" w:line="164"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satellite capacity and failures or reduced capacity could adversely affect our business, financial condition and results of operations.</w:t>
      </w:r>
    </w:p>
    <w:p>
      <w:pPr>
        <w:spacing w:after="0" w:line="91"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Operation of our Pay-TV business requires that we have adequate satellite transmission capacity for the programming we offer. While we generally have had in-orbit satellite capacity sufficient to transmit our existing channels and some backup capacity to recover the transmission of certain critical programming, our backup capacity is limited.</w:t>
      </w:r>
    </w:p>
    <w:p>
      <w:pPr>
        <w:spacing w:after="0" w:line="10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ability to earn revenue from our Pay-TV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the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1A. Risk Factors – Risks Related to our Satellites”</w:t>
      </w:r>
      <w:r>
        <w:rPr>
          <w:rFonts w:ascii="Times New Roman" w:cs="Times New Roman" w:eastAsia="Times New Roman" w:hAnsi="Times New Roman"/>
          <w:sz w:val="18"/>
          <w:szCs w:val="18"/>
          <w:color w:val="auto"/>
        </w:rPr>
        <w:t xml:space="preserve"> in this Annual Report on Form 10-K for further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0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Extreme weather has the potential to directly damage our facilities and other infrastructure and/or disrupt our ability to operate our business, and could potentially disrupt suppliers’ ability to, among other things, provide the products and services we require to support our operations. Any such disruption could interrupt service for our customers, increase our costs and have a negative effect on our operating results.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12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DISH Network to provide the vast majority of our satellite transponder capacity and other related services to us. Our business would be adversely affected if DISH Network ceases to provide these services to us and we are unable to obtain suitable replacement services from third parties.</w:t>
      </w:r>
    </w:p>
    <w:p>
      <w:pPr>
        <w:spacing w:after="0" w:line="10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lease the vast majority of our satellite transponder capacity from DISH Network and DISH Network is a key supplier of other related services to us. Satellite transponder leasing costs may increase beyond our current expectations. Our inability to obtain satellite transponder capacity on acceptable terms or at all and other related services from DISH Network or third parties could adversely affect our subscriber activations and subscriber churn rate and cause related revenue to decline. See Note 17 in the Notes to our Consolidated Financial Statements in this Annual Report on Form 10-K for further information on our Related Party Transactions with DISH Network.</w:t>
      </w:r>
    </w:p>
    <w:p>
      <w:pPr>
        <w:spacing w:after="0" w:line="11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91" w:lineRule="exact"/>
        <w:rPr>
          <w:sz w:val="20"/>
          <w:szCs w:val="20"/>
          <w:color w:val="auto"/>
        </w:rPr>
      </w:pPr>
    </w:p>
    <w:p>
      <w:pPr>
        <w:ind w:left="60" w:right="339"/>
        <w:spacing w:after="0" w:line="254" w:lineRule="auto"/>
        <w:rPr>
          <w:sz w:val="20"/>
          <w:szCs w:val="20"/>
          <w:color w:val="auto"/>
        </w:rPr>
      </w:pPr>
      <w:r>
        <w:rPr>
          <w:rFonts w:ascii="Times New Roman" w:cs="Times New Roman" w:eastAsia="Times New Roman" w:hAnsi="Times New Roman"/>
          <w:sz w:val="18"/>
          <w:szCs w:val="18"/>
          <w:color w:val="auto"/>
        </w:rPr>
        <w:t>Technology in the pay-TV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 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70" w:lineRule="exact"/>
        <w:rPr>
          <w:sz w:val="20"/>
          <w:szCs w:val="20"/>
          <w:color w:val="auto"/>
        </w:rPr>
      </w:pPr>
    </w:p>
    <w:p>
      <w:pPr>
        <w:ind w:left="720" w:right="2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delays in the development, production, timely completion, testing and marketing of products and services;</w:t>
      </w:r>
    </w:p>
    <w:p>
      <w:pPr>
        <w:spacing w:after="0" w:line="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products and services;</w:t>
      </w:r>
    </w:p>
    <w:p>
      <w:pPr>
        <w:spacing w:after="0" w:line="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 identification of subscriber need and subscriber acceptance of products and services;</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approval of and compliance with industry standards;</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resources we must devote to the development of new technologies; and</w:t>
      </w:r>
    </w:p>
    <w:p>
      <w:pPr>
        <w:spacing w:after="0" w:line="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differentiate our products and services and compete with other companies in the same markets.</w:t>
      </w:r>
    </w:p>
    <w:p>
      <w:pPr>
        <w:spacing w:after="0" w:line="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79"/>
        <w:spacing w:after="0" w:line="261" w:lineRule="auto"/>
        <w:rPr>
          <w:sz w:val="20"/>
          <w:szCs w:val="20"/>
          <w:color w:val="auto"/>
        </w:rPr>
      </w:pPr>
      <w:r>
        <w:rPr>
          <w:rFonts w:ascii="Times New Roman" w:cs="Times New Roman" w:eastAsia="Times New Roman" w:hAnsi="Times New Roman"/>
          <w:sz w:val="18"/>
          <w:szCs w:val="18"/>
          <w:color w:val="auto"/>
        </w:rPr>
        <w:t>If our products and services are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176"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91"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business.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 We have experienced in the past and may continue to experience shortages driven by raw material availability (which may be negatively impacted by, among other things, COVID-19 policies,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94" w:lineRule="exact"/>
        <w:rPr>
          <w:sz w:val="20"/>
          <w:szCs w:val="20"/>
          <w:color w:val="auto"/>
        </w:rPr>
      </w:pPr>
    </w:p>
    <w:p>
      <w:pPr>
        <w:ind w:left="60" w:right="619"/>
        <w:spacing w:after="0" w:line="281" w:lineRule="auto"/>
        <w:rPr>
          <w:sz w:val="20"/>
          <w:szCs w:val="20"/>
          <w:color w:val="auto"/>
        </w:rPr>
      </w:pPr>
      <w:r>
        <w:rPr>
          <w:rFonts w:ascii="Times New Roman" w:cs="Times New Roman" w:eastAsia="Times New Roman" w:hAnsi="Times New Roman"/>
          <w:sz w:val="17"/>
          <w:szCs w:val="17"/>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w:t>
      </w:r>
    </w:p>
    <w:p>
      <w:pPr>
        <w:spacing w:after="0" w:line="9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independent third parties to solicit orders for our services that represent a meaningful percentage of our total gross new subscriber activations.</w:t>
      </w:r>
    </w:p>
    <w:p>
      <w:pPr>
        <w:spacing w:after="0" w:line="9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22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addition, the success of the Integration will depend in part on the retention of personnel critical to our business and operations due to, for example, their technical skills or management expertise. Competition for qualified personnel can be intense and qualified personnel can be in high demand. Current and prospective employees may experience uncertainty about their future role until strategies regarding these employees are announced or executed, which may impair our ability to attract, retain and motivate key management, technical and other personnel following the Merger. If we are unable to attract and retain personnel, including key management, who are critical to the successful Integration and future operations of the companies, we could face, among other risks,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growth and customer retention strategies rely in part on the work of technically skilled employees.</w:t>
      </w:r>
    </w:p>
    <w:p>
      <w:pPr>
        <w:spacing w:after="0" w:line="229"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w:t>
      </w:r>
    </w:p>
    <w:p>
      <w:pPr>
        <w:spacing w:after="0" w:line="18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Satellites</w:t>
      </w:r>
    </w:p>
    <w:p>
      <w:pPr>
        <w:spacing w:after="0" w:line="22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leased satellites in orbit are subject to significant operational and environmental risks that could limit our ability to utilize these satellites.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189" w:lineRule="exact"/>
        <w:rPr>
          <w:sz w:val="20"/>
          <w:szCs w:val="20"/>
          <w:color w:val="auto"/>
        </w:rPr>
      </w:pPr>
    </w:p>
    <w:p>
      <w:pPr>
        <w:ind w:left="60" w:right="219"/>
        <w:spacing w:after="0" w:line="289" w:lineRule="auto"/>
        <w:rPr>
          <w:sz w:val="20"/>
          <w:szCs w:val="20"/>
          <w:color w:val="auto"/>
        </w:rPr>
      </w:pPr>
      <w:r>
        <w:rPr>
          <w:rFonts w:ascii="Times New Roman" w:cs="Times New Roman" w:eastAsia="Times New Roman" w:hAnsi="Times New Roman"/>
          <w:sz w:val="17"/>
          <w:szCs w:val="17"/>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5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72" w:lineRule="exact"/>
        <w:rPr>
          <w:sz w:val="20"/>
          <w:szCs w:val="20"/>
          <w:color w:val="auto"/>
        </w:rPr>
      </w:pPr>
    </w:p>
    <w:p>
      <w:pPr>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7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 If we do obtain launch or in-orbit insurance, it may not cover the full cost of constructing and launching or replacing a satellite nor fully cover our losses in the event of a launch failure or significant degradation.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use of certain satellites is often dependent on satellite coordination agreements, which may be difficult to obtain.</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Satellite operators are required to enter into international spectrum coordination agreements with other affected satellite operators and must be approved by the relevant governments. If a required agreement cannot be concluded,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interference from other services sharing satellite spectrum</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 and Technology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certain intellectual property rights and on not infringing the intellectual property rights of others.</w:t>
      </w:r>
    </w:p>
    <w:p>
      <w:pPr>
        <w:spacing w:after="0" w:line="24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 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24" w:lineRule="exact"/>
        <w:rPr>
          <w:sz w:val="20"/>
          <w:szCs w:val="20"/>
          <w:color w:val="auto"/>
        </w:rPr>
      </w:pPr>
    </w:p>
    <w:p>
      <w:pPr>
        <w:ind w:left="60" w:right="259"/>
        <w:spacing w:after="0" w:line="252" w:lineRule="auto"/>
        <w:rPr>
          <w:sz w:val="20"/>
          <w:szCs w:val="20"/>
          <w:color w:val="auto"/>
        </w:rPr>
      </w:pPr>
      <w:r>
        <w:rPr>
          <w:rFonts w:ascii="Times New Roman" w:cs="Times New Roman" w:eastAsia="Times New Roman" w:hAnsi="Times New Roman"/>
          <w:sz w:val="18"/>
          <w:szCs w:val="18"/>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 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66"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31"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We are, and may become, subject to various legal proceedings and claims which arise in the ordinary course of business, including among other things, intellectual property disputes.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See “</w:t>
      </w:r>
      <w:r>
        <w:rPr>
          <w:rFonts w:ascii="Times New Roman" w:cs="Times New Roman" w:eastAsia="Times New Roman" w:hAnsi="Times New Roman"/>
          <w:sz w:val="18"/>
          <w:szCs w:val="18"/>
          <w:i w:val="1"/>
          <w:iCs w:val="1"/>
          <w:color w:val="auto"/>
        </w:rPr>
        <w:t>Item 1. Business – Patents and Other Intellectual Property”</w:t>
      </w:r>
      <w:r>
        <w:rPr>
          <w:rFonts w:ascii="Times New Roman" w:cs="Times New Roman" w:eastAsia="Times New Roman" w:hAnsi="Times New Roman"/>
          <w:sz w:val="18"/>
          <w:szCs w:val="18"/>
          <w:color w:val="auto"/>
        </w:rPr>
        <w:t xml:space="preserve"> in EchoStar’s Annual Report on Form 10-K for the year ended December 31, 2023 for further information.</w:t>
      </w:r>
    </w:p>
    <w:p>
      <w:pPr>
        <w:spacing w:after="0" w:line="165" w:lineRule="exact"/>
        <w:rPr>
          <w:sz w:val="20"/>
          <w:szCs w:val="20"/>
          <w:color w:val="auto"/>
        </w:rPr>
      </w:pPr>
    </w:p>
    <w:p>
      <w:pPr>
        <w:ind w:left="60" w:right="179"/>
        <w:spacing w:after="0" w:line="235" w:lineRule="auto"/>
        <w:rPr>
          <w:sz w:val="20"/>
          <w:szCs w:val="20"/>
          <w:color w:val="auto"/>
        </w:rPr>
      </w:pPr>
      <w:r>
        <w:rPr>
          <w:rFonts w:ascii="Times New Roman" w:cs="Times New Roman" w:eastAsia="Times New Roman" w:hAnsi="Times New Roman"/>
          <w:sz w:val="18"/>
          <w:szCs w:val="18"/>
          <w:color w:val="auto"/>
        </w:rPr>
        <w:t>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9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We rely on certain third parties for developing key components of our information technology and communications systems and ongoing service, all of which affect our Pay-TV business.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subscribers.</w:t>
      </w:r>
    </w:p>
    <w:p>
      <w:pPr>
        <w:spacing w:after="0" w:line="17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9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experience in the future cyber-attacks and other attempts to gain unauthorized access to our systems on a consistent basis.</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 In February 2023, we disclosed that our systems were subject to a cyber-security incident that compromised certain data. During the first quarter of 2023, we incurred certain cyber-security- related expenses, including, but not limited to, costs to remediate the incident and provide additional customer support. Subsequent to the first quarter of 2023, we have not incurred material expenses resulting from the cyber-security incident and do not expect to incur material expenses in future periods.</w:t>
      </w:r>
    </w:p>
    <w:p>
      <w:pPr>
        <w:spacing w:after="0" w:line="19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are subject to persistent cyber-security incidents and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confidentiality, integrity, and availability of our services and products depends on the continuing operation of our information technology and other enabling systems.</w:t>
      </w:r>
    </w:p>
    <w:p>
      <w:pPr>
        <w:spacing w:after="0" w:line="15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Our ongoing investments in security will likely continue to identify new vulnerabilities within our services and products.</w:t>
      </w:r>
    </w:p>
    <w:p>
      <w:pPr>
        <w:spacing w:after="0" w:line="241"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addition to our efforts to, among other things, mitigate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pandemics like COVID-19 and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8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Any such developments may also subject us to litigation and regulatory inquiries, which could result in monetary penalties and damages, distract management’s time and attention, and lead to enhanced regulatory oversight.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and Capital Structure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debt outstanding and may incur additional debt.</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2023, our total long-term debt and finance lease obligations (including current portion) outstanding, including the debt of our subsidiaries, was $11.780 billion. Our debt levels could have significant consequences, including, but not limited to;</w:t>
      </w:r>
    </w:p>
    <w:p>
      <w:pPr>
        <w:spacing w:after="0" w:line="68"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our obligations;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dilutive effect on our future earnings;</w:t>
      </w:r>
    </w:p>
    <w:p>
      <w:pPr>
        <w:spacing w:after="0" w:line="9" w:lineRule="exact"/>
        <w:rPr>
          <w:rFonts w:ascii="Times New Roman" w:cs="Times New Roman" w:eastAsia="Times New Roman" w:hAnsi="Times New Roman"/>
          <w:sz w:val="18"/>
          <w:szCs w:val="18"/>
          <w:color w:val="auto"/>
        </w:rPr>
      </w:pPr>
    </w:p>
    <w:p>
      <w:pPr>
        <w:ind w:left="720" w:right="45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conditions, including, but not limited to, changes in interest rates;</w:t>
      </w:r>
    </w:p>
    <w:p>
      <w:pPr>
        <w:ind w:left="720" w:right="31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raise additional debt because it may be more difficult for us to obtain debt financing on attractive terms or at all; and</w:t>
      </w: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our competitors that are less leveraged.</w:t>
      </w:r>
    </w:p>
    <w:p>
      <w:pPr>
        <w:spacing w:after="0" w:line="20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addition, we will incur additional debt in the future. The terms of the indentures relating to our senior notes and senior secured notes permit us to incur additional debt. If new debt is added to our current debt levels, the risks we now face could intensify.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parent, DISH Network, has made substantial investments to acquire certain wireless spectrum licenses and other related assets, and we have made and may continue to make funds available to DISH Network in the form of cash distributions or loans in connection with the development of DISH Network’s wireless business.</w:t>
      </w:r>
    </w:p>
    <w:p>
      <w:pPr>
        <w:spacing w:after="0" w:line="17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DISH Network has invested a total of over $30 billion to acquire certain wireless spectrum licenses, which includes $10 billion in initial noncontrolling investments in certain entities. See Note 2 and Note 15 in the Notes to the Consolidated Financial Statements in EchoStar’s Annual Report on Form 10-K for the year ended December 31, 2023 for detailed information regarding these licenses, including certain interim and final build-out requirements, as well as certain renewal requirements.</w:t>
      </w:r>
    </w:p>
    <w:p>
      <w:pPr>
        <w:spacing w:after="0" w:line="183" w:lineRule="exact"/>
        <w:rPr>
          <w:sz w:val="20"/>
          <w:szCs w:val="20"/>
          <w:color w:val="auto"/>
        </w:rPr>
      </w:pPr>
    </w:p>
    <w:p>
      <w:pPr>
        <w:ind w:left="60" w:right="199"/>
        <w:spacing w:after="0" w:line="271" w:lineRule="auto"/>
        <w:rPr>
          <w:sz w:val="20"/>
          <w:szCs w:val="20"/>
          <w:color w:val="auto"/>
        </w:rPr>
      </w:pPr>
      <w:r>
        <w:rPr>
          <w:rFonts w:ascii="Times New Roman" w:cs="Times New Roman" w:eastAsia="Times New Roman" w:hAnsi="Times New Roman"/>
          <w:sz w:val="17"/>
          <w:szCs w:val="17"/>
          <w:color w:val="auto"/>
        </w:rPr>
        <w:t>DISH Network may need to make significant additional investments or partner with others to, among other things, continue the nation’s first cloud-native, Open Radio Access Network (“O-RAN”) based 5G network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DISH Network continues its 5G Network Deployment, DISH Network has and may continue to incur significant additional expenses related to, among other things, research and development, wireless testing and ongoing upgrades to the wireless network infrastructure, software and third party integration. DISH Network may also determine that additional wireless spectrum licenses may be required to complete its 5G Network Deployment and to compete effectively with other wireless service providers.</w:t>
      </w:r>
    </w:p>
    <w:p>
      <w:pPr>
        <w:spacing w:after="0" w:line="173"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development of DISH Network’s wireless business, including, without limitation, the efforts described above, we have historically made funds available to DISH Network or EchoStar in the form of cash distributions and the Intercompany Loan (defined herein) to partially finance these efforts to date. Subject to, among other things, compliance with applicable legal requirements, including the covenants applicable to our outstanding debt securities, we may make additional funds available, including through cash distributions or loans to finance, in whole or in part, DISH Network or EchoStar’s future efforts. There can be no assurance that DISH Network will be able to profitably deploy these wireless spectrum licenses.</w:t>
      </w:r>
    </w:p>
    <w:p>
      <w:pPr>
        <w:spacing w:after="0" w:line="185"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-228600</wp:posOffset>
            </wp:positionV>
            <wp:extent cx="28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5"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8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spacing w:after="0" w:line="187"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developing and constructing new satellites;</w:t>
      </w:r>
    </w:p>
    <w:p>
      <w:pPr>
        <w:spacing w:after="0" w:line="27" w:lineRule="exact"/>
        <w:rPr>
          <w:rFonts w:ascii="Times New Roman" w:cs="Times New Roman" w:eastAsia="Times New Roman" w:hAnsi="Times New Roman"/>
          <w:sz w:val="18"/>
          <w:szCs w:val="18"/>
          <w:color w:val="auto"/>
        </w:rPr>
      </w:pPr>
    </w:p>
    <w:p>
      <w:pPr>
        <w:ind w:left="740" w:hanging="325"/>
        <w:spacing w:after="0"/>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our existing business onto a strategic initiative;</w:t>
      </w:r>
    </w:p>
    <w:p>
      <w:pPr>
        <w:spacing w:after="0" w:line="9" w:lineRule="exact"/>
        <w:rPr>
          <w:rFonts w:ascii="Times New Roman" w:cs="Times New Roman" w:eastAsia="Times New Roman" w:hAnsi="Times New Roman"/>
          <w:sz w:val="18"/>
          <w:szCs w:val="18"/>
          <w:color w:val="auto"/>
        </w:rPr>
      </w:pPr>
    </w:p>
    <w:p>
      <w:pPr>
        <w:ind w:left="740" w:right="99" w:hanging="325"/>
        <w:spacing w:after="0" w:line="250"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adverse effects on our and our targets’ and partners’ business, financial condition or operating results during the Integration process;</w:t>
      </w:r>
    </w:p>
    <w:p>
      <w:pPr>
        <w:ind w:left="740" w:right="199" w:hanging="325"/>
        <w:spacing w:after="0" w:line="255"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inherent in these transactions, which could become substantial over time, and higher exposure to significant financial losses if the underlying ventures are not successful on an acceptable timeline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hanging="325"/>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inability to achieve the intended objectives of the transaction; and</w:t>
      </w:r>
    </w:p>
    <w:p>
      <w:pPr>
        <w:spacing w:after="0" w:line="27" w:lineRule="exact"/>
        <w:rPr>
          <w:rFonts w:ascii="Times New Roman" w:cs="Times New Roman" w:eastAsia="Times New Roman" w:hAnsi="Times New Roman"/>
          <w:sz w:val="18"/>
          <w:szCs w:val="18"/>
          <w:color w:val="auto"/>
        </w:rPr>
      </w:pPr>
    </w:p>
    <w:p>
      <w:pPr>
        <w:ind w:left="740" w:right="659" w:hanging="325"/>
        <w:spacing w:after="0" w:line="250"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complying with contractual provisions and regulations applicable to the acquired business, which may cause us to incur substantial expenses; and</w:t>
      </w:r>
    </w:p>
    <w:p>
      <w:pPr>
        <w:ind w:left="740" w:hanging="325"/>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relationships with employees, vendors or customers.</w:t>
      </w:r>
    </w:p>
    <w:p>
      <w:pPr>
        <w:spacing w:after="0" w:line="207" w:lineRule="exact"/>
        <w:rPr>
          <w:sz w:val="20"/>
          <w:szCs w:val="20"/>
          <w:color w:val="auto"/>
        </w:rPr>
      </w:pPr>
    </w:p>
    <w:p>
      <w:pPr>
        <w:jc w:val="both"/>
        <w:ind w:left="60" w:right="479"/>
        <w:spacing w:after="0" w:line="281" w:lineRule="auto"/>
        <w:rPr>
          <w:sz w:val="20"/>
          <w:szCs w:val="20"/>
          <w:color w:val="auto"/>
        </w:rPr>
      </w:pPr>
      <w:r>
        <w:rPr>
          <w:rFonts w:ascii="Times New Roman" w:cs="Times New Roman" w:eastAsia="Times New Roman" w:hAnsi="Times New Roman"/>
          <w:sz w:val="17"/>
          <w:szCs w:val="17"/>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64"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 In addition, we make cash distributions or loans to DISH Network to finance acquisitions or investments that will not be part of our business.</w:t>
      </w:r>
    </w:p>
    <w:p>
      <w:pPr>
        <w:spacing w:after="0" w:line="164"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acquired by DISH Network have experienced significant operating and financial challenges in their recent history, which in some cases resulted in these businesses commencing bankruptcy proceedings prior to DISH Network’s acquisition. DISH Network may acquire similar businesses in the future. There is no assurance that DISH Network will be able to successfully address the challenges and risks encountered by these businesses following their acquisition. If DISH Network is unable to successfully address these challenges and risks, our business, financial condition and/or results of operations may suffer.</w:t>
      </w:r>
    </w:p>
    <w:p>
      <w:pPr>
        <w:spacing w:after="0" w:line="188"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Senior Secured Notes are subordinated to our existing unsecured notes and certain future unsecured notes with respect to certain realizations under the Intercompany Loan (defined herein) and any collateral pledged as security therefor.</w:t>
      </w:r>
    </w:p>
    <w:p>
      <w:pPr>
        <w:spacing w:after="0" w:line="17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Our Senior Secured Notes are subordinated in respect of any realization under an intercompany loan to DISH Network to finance the purchase of wireless spectrum licenses and for general corporate purposes, including the buildout of wireless infrastructure (together with future advances to DISH Network, the “Intercompany Loan”), and any collateral pledged as security therefor behind all of our existing unsecured notes and all future unsecured notes, except any future unsecured notes that expressly provide that such notes rank equal in right of payment with, or junior in right of payment to, the Senior Secured Notes with respect thereto. As a result of this subordination, upon any distribution to our creditors in a bankruptcy, liquidation or reorganization or similar proceeding relating to any amounts realized under the Intercompany Loan, the holders of our existing and certain future unsecured notes will be entitled to be paid in full and in cash from such realized proceeds before any payment in respect of such realized proceeds may be made with respect to the Senior Secured Notes. While the Senior Secured Notes benefit from liens on substantially all existing and future tangible and intangible assets of DISH DBS and the guarantors (the “Collateral”), which does not secure our existing and future unsecured notes, the Collateral does not include the Intercompany Loan and there can be no assurances that the Collateral will be sufficient to satisfy all obligations under the Senior Secured Notes and under any of our other future indebtedness secured by the Collateral. We and the guarantors may not have sufficient funds to pay all of our creditors, and holders of the Senior Secured Notes may receive less, ratably, than the holders of our existing and future unsecured notes as a result of this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which may not be available on favorable terms to fund current obligations, to continue investing in our business and to finance acquisitions and other strategic transactions.</w:t>
      </w:r>
    </w:p>
    <w:p>
      <w:pPr>
        <w:spacing w:after="0" w:line="15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We do not currently have the necessary cash on hand and/or projected future cash flows to fund the November 2024 debt maturity. To address our capital needs, we are in active discussions with funding sources to raise additional capital and refinance our outstanding debt. We cannot provide assurances that we will be successful in obtaining such new financing and/or refinancing the existing debt obligations necessary for us to have sufficient liquidity.</w:t>
      </w:r>
    </w:p>
    <w:p>
      <w:pPr>
        <w:spacing w:after="0" w:line="180"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Continued rising interest rates could increase our cost of capital and require us to devote a higher percentage of our cash flow to interest payments, which could have a material adverse effect on our financial results.</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 In addition, the going concern qualification issued by our auditors could adversely impact investors as well as our relationships with employees and suppliers.</w:t>
      </w:r>
    </w:p>
    <w:p>
      <w:pPr>
        <w:spacing w:after="0" w:line="187" w:lineRule="exact"/>
        <w:rPr>
          <w:sz w:val="20"/>
          <w:szCs w:val="20"/>
          <w:color w:val="auto"/>
        </w:rPr>
      </w:pPr>
    </w:p>
    <w:p>
      <w:pPr>
        <w:ind w:left="60" w:right="479"/>
        <w:spacing w:after="0" w:line="261" w:lineRule="auto"/>
        <w:rPr>
          <w:sz w:val="20"/>
          <w:szCs w:val="20"/>
          <w:color w:val="auto"/>
        </w:rPr>
      </w:pPr>
      <w:r>
        <w:rPr>
          <w:rFonts w:ascii="Times New Roman" w:cs="Times New Roman" w:eastAsia="Times New Roman" w:hAnsi="Times New Roman"/>
          <w:sz w:val="18"/>
          <w:szCs w:val="18"/>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18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Indentures restrict our business in many ways.</w:t>
      </w:r>
    </w:p>
    <w:p>
      <w:pPr>
        <w:spacing w:after="0" w:line="229"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There are restrictive covenants in our Indentures that restrict us and our subsidiaries (as applicable), under certain circumstances, from taking certain actions such as, among other things:</w:t>
      </w:r>
    </w:p>
    <w:p>
      <w:pPr>
        <w:spacing w:after="0" w:line="16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certain subsidiaries’ ability to pay dividends, make distributions, make other payments or transfer assets;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make other payments in respect of our indebtedness;</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senior to, equal or subordinate to certain Indebtedness, or to engage in certain sale/leaseback transactions;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ability to, among other things, recapitalize, incur additional debt, secure existing or future debt or take a number of other actions may be limited by the terms of the our Indentures, business and tax considerations and legal restrictions, including, but not limited to, repurchasing indebtedness or paying dividends, and could have the effect of diminishing our ability to make payments on our outstanding Indebtedness when due.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ultimate parent, EchoStar, is controlled by one principal stockholder who is also our Chairman.</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Charles W. Ergen, our, DISH Network and EchoStar’s Chairman, beneficially owns approximately 54% of EchoStar’s total equity securities (assuming conversion of the Class B common stock beneficially owned by Mr. Ergen into Class A common stock and giving effect to the exercise of options held by Mr. Ergen that are either currently exercisable as of, or may become exercisable within 60 days after, February 27, 2023) and beneficially owns approximately 91.4% of the total voting power of all classes of EchoStar’s shares (assuming no conversion of any Class B common stock and giving effect to the exercise of options held by Mr. Ergen that are either currently exercisable as of, or may become exercisable within 60 days after, February 27, 2023). Through his beneficial ownership of EchoStar’s equity securities, Mr. Ergen has the ability to elect a majority of EchoStar’s directors and to control all other matters requiring the approval of its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EchoStar’s Board of Directors selection, either by a majority of the independent directors or a nominating committee composed solely of independent directors.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Business</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services depend on FCC licenses that can expire or be revoked or modified and applications for FCC licenses that may not be granted.</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offerings available to our DISH TV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11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non-compliance with laws and regulations, including, but not limited to, the risk of changes to laws and regulations, could adversely affect our business.</w:t>
      </w:r>
    </w:p>
    <w:p>
      <w:pPr>
        <w:spacing w:after="0" w:line="15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business is regulated by numerous governmental agencies and other regulatory bodies, both domestically and internationally.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8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These laws and regulations are subject to the administrative and political process and do change from time to time. Our business could suffer a material adverse impact if laws and regulations change and we are not able to adapt to these changes efficiently.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are not effective, our business, EchoStar’s stock price and investor confidence in our financial results may be adversely affected.</w:t>
      </w:r>
    </w:p>
    <w:p>
      <w:pPr>
        <w:spacing w:after="0" w:line="15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2023. We depend on our third-party vendors’ internal controls and rely on these controls when evaluating the effectiveness of our internal controls. If in the future we are unable to report that our internal control over financial reporting is effective, investors, subscribers and business partners could lose confidence in the accuracy of our financial reports, which could in turn have a material adverse effect on our business.</w:t>
      </w:r>
    </w:p>
    <w:p>
      <w:pPr>
        <w:spacing w:after="0" w:line="183" w:lineRule="exact"/>
        <w:rPr>
          <w:sz w:val="20"/>
          <w:szCs w:val="20"/>
          <w:color w:val="auto"/>
        </w:rPr>
      </w:pPr>
    </w:p>
    <w:p>
      <w:pPr>
        <w:ind w:left="60" w:right="1219"/>
        <w:spacing w:after="0" w:line="50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face other risks described from time to time in periodic and current reports we file with the SEC. </w:t>
      </w:r>
      <w:r>
        <w:rPr>
          <w:rFonts w:ascii="Times New Roman" w:cs="Times New Roman" w:eastAsia="Times New Roman" w:hAnsi="Times New Roman"/>
          <w:sz w:val="18"/>
          <w:szCs w:val="18"/>
          <w:b w:val="1"/>
          <w:bCs w:val="1"/>
          <w:color w:val="auto"/>
        </w:rPr>
        <w:t>Item 1B. UNRESOLVED STAFF COMMENTS</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 Cybersecurity Framework, although this does not imply that we meet all technical standards, specifications or requirements under NIST.</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EchoStar’s Board of Directors as a whole to ensure accountability.</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red team exercises,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 On February 23, 2023, we experienced a network outage that affected its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 In addition, on February 28, 2023, we further disclosed that certain data had been extracted from the DISH Network IT systems.</w:t>
      </w:r>
    </w:p>
    <w:p>
      <w:pPr>
        <w:spacing w:after="0" w:line="192" w:lineRule="exact"/>
        <w:rPr>
          <w:sz w:val="20"/>
          <w:szCs w:val="20"/>
          <w:color w:val="auto"/>
        </w:rPr>
      </w:pPr>
    </w:p>
    <w:p>
      <w:pPr>
        <w:ind w:left="60" w:right="559"/>
        <w:spacing w:after="0" w:line="281" w:lineRule="auto"/>
        <w:rPr>
          <w:sz w:val="20"/>
          <w:szCs w:val="20"/>
          <w:color w:val="auto"/>
        </w:rPr>
      </w:pPr>
      <w:r>
        <w:rPr>
          <w:rFonts w:ascii="Times New Roman" w:cs="Times New Roman" w:eastAsia="Times New Roman" w:hAnsi="Times New Roman"/>
          <w:sz w:val="17"/>
          <w:szCs w:val="17"/>
          <w:color w:val="auto"/>
        </w:rPr>
        <w:t>After investigation and discussions with certain third parties,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DISH TV and SLING TV services remained operational at all times during the incident. As of March 31, 2023, all significant systems had been restored. We have no reason to believe that this cybersecurity incident has not been concluded.</w:t>
      </w:r>
    </w:p>
    <w:p>
      <w:pPr>
        <w:spacing w:after="0" w:line="1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Chief Information Security Officer (“CISO”) leads our information security organization responsible for overseeing our information security program. The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EchoStar’s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188"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In connection with the Integration, we anticipate that we will continue to evaluate and address as needed our cyber security risk management, policies, structure, strategies and governance to meet our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principal properties as of December 31, 2023.</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bottom w:val="single" w:sz="8" w:color="auto"/>
            </w:tcBorders>
            <w:gridSpan w:val="4"/>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Leased From</w:t>
            </w: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6"/>
                <w:szCs w:val="16"/>
                <w:color w:val="auto"/>
              </w:rPr>
            </w:pPr>
          </w:p>
        </w:tc>
      </w:tr>
      <w:tr>
        <w:trPr>
          <w:trHeight w:val="203"/>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Third</w:t>
            </w:r>
          </w:p>
        </w:tc>
      </w:tr>
      <w:tr>
        <w:trPr>
          <w:trHeight w:val="212"/>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Description/Use/Location</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EchoStar   DISH</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Party</w:t>
            </w:r>
          </w:p>
        </w:tc>
      </w:tr>
      <w:tr>
        <w:trPr>
          <w:trHeight w:val="202"/>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headquarters, Englewood, Colorado</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X</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call center, warehouse, service, and remanufacturing center, El Paso, Texas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Data Center, Cheyenne, Wyoming</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X</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Digital broadcast operations center, Cheyenne, Wyoming</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Digital broadcast operations center, Gilbert, Arizona</w:t>
            </w: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Engineering offices and service center, Englewood, Colorado</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Warehouse, Denver, Colorado</w:t>
            </w: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Warehouse and distribution center, Spartanburg, South Carolina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Warehouse and distribution center, Denver, Colorado</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X</w:t>
            </w:r>
          </w:p>
        </w:tc>
      </w:tr>
      <w:tr>
        <w:trPr>
          <w:trHeight w:val="210"/>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Warehouse and distribution center, Atlanta, Georgia</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X</w:t>
            </w:r>
          </w:p>
        </w:tc>
      </w:tr>
    </w:tbl>
    <w:p>
      <w:pPr>
        <w:spacing w:after="0" w:line="12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to the principal properties listed above, we operate numerous facilities for, among other things, our in-home service operations, customer call centers and digital broadcast operations centers strategically located in regions throughout the United States. Furthermore, we own or lease capacity on nine satellites, which are a major component of our DISH TV services. See Note 6 in the Notes to our Consolidated Financial Statements in this Annual Report on Form 10-K for further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See Note 12 in the Notes to our Consolidated Financial Statements in this Annual Report on Form 10-K for information regarding certain legal proceedings in which we are involved.</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20" w:right="239" w:hanging="673"/>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7"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Information. </w:t>
      </w:r>
      <w:r>
        <w:rPr>
          <w:rFonts w:ascii="Times New Roman" w:cs="Times New Roman" w:eastAsia="Times New Roman" w:hAnsi="Times New Roman"/>
          <w:sz w:val="18"/>
          <w:szCs w:val="18"/>
          <w:color w:val="auto"/>
        </w:rPr>
        <w:t>As of March 29, 2024, all 1,015 issued and outstanding shares of our common stock were held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 There is currently no established trading market for our common stock.</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NARRATIVE ANALYSIS OF RESULTS OF OPERATIONS</w:t>
      </w:r>
    </w:p>
    <w:p>
      <w:pPr>
        <w:spacing w:after="0" w:line="16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narrative analysis of our financial condition and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DISH Network’s Merger with EchoStar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December 31, 2023, EchoStar completed the Merger with DISH Network.</w:t>
      </w:r>
    </w:p>
    <w:p>
      <w:pPr>
        <w:spacing w:after="0" w:line="225"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see the Form 8-K of EchoStar filed on October 3, 2023 and the Form 8-K of EchoStar filed on January 2,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the Merger complete, we are currently focused on the Integration.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currently operate one business segment, Pay-TV.</w:t>
      </w:r>
    </w:p>
    <w:p>
      <w:pPr>
        <w:spacing w:after="0" w:line="15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Pay-TV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216" w:lineRule="exact"/>
        <w:rPr>
          <w:sz w:val="20"/>
          <w:szCs w:val="20"/>
          <w:color w:val="auto"/>
        </w:rPr>
      </w:pPr>
    </w:p>
    <w:p>
      <w:pPr>
        <w:ind w:left="60" w:right="199"/>
        <w:spacing w:after="0" w:line="238" w:lineRule="auto"/>
        <w:rPr>
          <w:sz w:val="20"/>
          <w:szCs w:val="20"/>
          <w:color w:val="auto"/>
        </w:rPr>
      </w:pPr>
      <w:r>
        <w:rPr>
          <w:rFonts w:ascii="Times New Roman" w:cs="Times New Roman" w:eastAsia="Times New Roman" w:hAnsi="Times New Roman"/>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w:t>
      </w:r>
      <w:r>
        <w:rPr>
          <w:rFonts w:ascii="Times New Roman" w:cs="Times New Roman" w:eastAsia="Times New Roman" w:hAnsi="Times New Roman"/>
          <w:sz w:val="18"/>
          <w:szCs w:val="18"/>
          <w:color w:val="222222"/>
        </w:rPr>
        <w:t>e do not currently have the necessary cash,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equivalents and marketable investment securities and/or projected future cash flows to fund the November 2024 debt maturity. To address our capital needs, we are in active discussions with funding sources to raise additional capital and restructure our outstanding debt.</w:t>
      </w:r>
    </w:p>
    <w:p>
      <w:pPr>
        <w:spacing w:after="0" w:line="172" w:lineRule="exact"/>
        <w:rPr>
          <w:sz w:val="20"/>
          <w:szCs w:val="20"/>
          <w:color w:val="auto"/>
        </w:rPr>
      </w:pPr>
    </w:p>
    <w:p>
      <w:pPr>
        <w:ind w:left="60" w:right="79"/>
        <w:spacing w:after="0" w:line="239" w:lineRule="auto"/>
        <w:rPr>
          <w:sz w:val="20"/>
          <w:szCs w:val="20"/>
          <w:color w:val="auto"/>
        </w:rPr>
      </w:pPr>
      <w:r>
        <w:rPr>
          <w:rFonts w:ascii="Times New Roman" w:cs="Times New Roman" w:eastAsia="Times New Roman" w:hAnsi="Times New Roman"/>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171"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176"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We have made cash distributions and the Intercompany Loan to partially finance the development of DISH Network’s 5G Network Deployment, including, but not limited to, the purchase of wireless spectrum licenses and the retail wireless business to date, and we may make additional funds available to DISH Network or EchoStar in the form of cash distributions or loans to finance, in whole or in part, DISH Network or EchoStar’s future efforts. These factors, including, but not limited to, debt maturities, continuing investment in our business, financing acquisitions and other strategic transactions, will require us to raise additional capital in the future which may not be available on favorable terms, or at all.</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February 23, 2023, we experienced a network outage that affected our internal servers and IT telephony. We immediately activated our incident response and business continuity plans designed to contain, remediate and recover from the situation. We engaged the services of certain cyber-security experts and outside advisors to assist in the evaluation of the situation, and once we determined that the outage was due to a cyber-security incident, we promptly notified appropriate law enforcement authorities.</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On February 28, 2023, we further disclosed that certain data had been extracted from our IT systems. Our investigation into the extent of the incident is now completed. We determined that our customer databases were not accessed, however, we confirmed that certain employee-related records as well as a limited number of other records containing certain personal information were among the data extracted. We took steps to protect the affected records, received confirmation that the extracted data was deleted and notified individuals whose data was extracted.</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Our DISH TV and SLING TV services remained operational at all times during the incident. As of March 31, 2023, all significant systems had been restored. During the first quarter of 2023, we and our parent, DISH Network, incurred substantially all of our cyber-security-related expenses for this matter, including, but not limited to, costs to remediate the incident and provide additional customer support. During the second, third and fourth quarters of 2023, we and our parent, DISH Network, did not incur additional material expenses resulting from the cyber-security incident and do not expect to incur material expenses in future periods. During the year ended December 31, 2023, we and our parent, DISH Network, incurred approximately $30 million in cyber-security-related expenses, which are recorded in “Cost of services”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216"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During 2022 and 2023, we experienced significant inflationary pressures in our commodity and labor costs resulting from the macroeconomic environment in the United States, which has significantly impacted our overall operating results.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Pay-TV</w:t>
      </w:r>
    </w:p>
    <w:p>
      <w:pPr>
        <w:spacing w:after="0" w:line="150" w:lineRule="exact"/>
        <w:rPr>
          <w:sz w:val="20"/>
          <w:szCs w:val="20"/>
          <w:color w:val="auto"/>
        </w:rPr>
      </w:pPr>
    </w:p>
    <w:p>
      <w:pPr>
        <w:ind w:left="60" w:right="99"/>
        <w:spacing w:after="0" w:line="244" w:lineRule="auto"/>
        <w:rPr>
          <w:sz w:val="20"/>
          <w:szCs w:val="20"/>
          <w:color w:val="auto"/>
        </w:rPr>
      </w:pPr>
      <w:r>
        <w:rPr>
          <w:rFonts w:ascii="Times New Roman" w:cs="Times New Roman" w:eastAsia="Times New Roman" w:hAnsi="Times New Roman"/>
          <w:sz w:val="18"/>
          <w:szCs w:val="18"/>
          <w:color w:val="auto"/>
        </w:rPr>
        <w:t>We offer Pay-TV services under the DISH</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brand and the SLING</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brand. As of December 31, 2023, we had 8.526 million Pay-TV subscribers in the United States, including 6.471 million DISH TV subscribers and 2.055 million SLING TV subscribers. 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incur significant costs to retain our existing DISH TV subscribers, generally as a result of upgrading their equipment to next generation receivers, primarily including our Hopper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receivers, and by providing retention credits. Our DISH TV subscriber retention costs may vary significantly from period to period.</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 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 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Programming</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9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83"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w:t>
      </w:r>
    </w:p>
    <w:p>
      <w:pPr>
        <w:spacing w:after="0" w:line="18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Adaptive Bitrate Streaming Patents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222222"/>
        </w:rPr>
        <w:t xml:space="preserve">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w:t>
      </w:r>
      <w:r>
        <w:rPr>
          <w:rFonts w:ascii="Times New Roman" w:cs="Times New Roman" w:eastAsia="Times New Roman" w:hAnsi="Times New Roman"/>
          <w:sz w:val="18"/>
          <w:szCs w:val="18"/>
          <w:color w:val="000000"/>
        </w:rPr>
        <w:t>On March 8, 2023, the ITC issued its Final Determination, which affirmed the Initial Determination for three of</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On March 6, 2024, we entered into a license agreement covering NordicTrack exercise equipment that resolves our litigation involving those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Operational Liquidity</w:t>
      </w:r>
    </w:p>
    <w:p>
      <w:pPr>
        <w:spacing w:after="0" w:line="162" w:lineRule="exact"/>
        <w:rPr>
          <w:sz w:val="20"/>
          <w:szCs w:val="20"/>
          <w:color w:val="auto"/>
        </w:rPr>
      </w:pPr>
    </w:p>
    <w:p>
      <w:pPr>
        <w:ind w:left="60" w:right="279"/>
        <w:spacing w:after="0" w:line="273" w:lineRule="auto"/>
        <w:rPr>
          <w:sz w:val="20"/>
          <w:szCs w:val="20"/>
          <w:color w:val="auto"/>
        </w:rPr>
      </w:pPr>
      <w:r>
        <w:rPr>
          <w:rFonts w:ascii="Times New Roman" w:cs="Times New Roman" w:eastAsia="Times New Roman" w:hAnsi="Times New Roman"/>
          <w:sz w:val="17"/>
          <w:szCs w:val="17"/>
          <w:color w:val="auto"/>
        </w:rPr>
        <w:t>We make general investments in property such as, among others, satellites, set-top boxes, information technology and facilities that support our Pay-TV business. Moreover, since we are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04"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21"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Finally, our future cash flow is impacted by, among other things, the rate at which we make general investments, incur litigation expense, and any cash flow from financing activities. In addition, declines in our Pay-TV subscriber base and any decrease in subscriber-related margins negatively impact our cash flow, and there can be no assurance that our subscriber declines will not continue.</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Availability of Credit and Effect on Liquidity</w:t>
      </w:r>
    </w:p>
    <w:p>
      <w:pPr>
        <w:spacing w:after="0" w:line="16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Issuances and Maturity</w:t>
      </w:r>
    </w:p>
    <w:p>
      <w:pPr>
        <w:spacing w:after="0" w:line="16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On May 24, 2021, we issued $1.5 billion aggregate principal amount of our 5 1/8% Senior Notes due June 1, 2029. Interest accrues at an annual rate of 5 1/8% and is payable semi-annually in cash, in arrears on June 1 and December 1 of each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 commencing on June 1, 2022.</w:t>
      </w:r>
    </w:p>
    <w:p>
      <w:pPr>
        <w:spacing w:after="0" w:line="10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 commencing on June 1, 2022.</w:t>
      </w:r>
    </w:p>
    <w:p>
      <w:pPr>
        <w:spacing w:after="0" w:line="10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6 3/4% Senior Notes due 2021 with an aggregate principal balance of $2.0 billion were repurchased or redeemed as of June 1, 2021.</w:t>
      </w:r>
    </w:p>
    <w:p>
      <w:pPr>
        <w:spacing w:after="0" w:line="94"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5 7/8% Senior Notes due 2022 with an aggregate principal balance of $2.0 billion were repurchased or redeemed as of July 15, 2022.</w:t>
      </w:r>
    </w:p>
    <w:p>
      <w:pPr>
        <w:spacing w:after="0" w:line="14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Our 5% Senior Notes due 2023 with an aggregate principal balance of $1.5 billion were repurchased or redeemed as of March 15, 2023.</w:t>
      </w:r>
    </w:p>
    <w:p>
      <w:pPr>
        <w:spacing w:after="0" w:line="162"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we repurchased approximately $17 million of our 5 7/8% Senior Notes due 2024 in open market trades. The remaining balance of approximately $1.983 billion matures on November 15, 2024.</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 Related to our Long-Term Debt</w:t>
      </w:r>
    </w:p>
    <w:p>
      <w:pPr>
        <w:spacing w:after="0" w:line="16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We are subject to the covenants and restrictions set forth in the indentures related to our long-term debt. In particular, the indentures related to our outstanding senior notes and senior secured notes contain restrictive covenants that, among other things, impose limitations on our ability to: (i) incur additional indebtedness; (ii) enter into sale and leaseback transactions;</w:t>
      </w:r>
    </w:p>
    <w:p>
      <w:pPr>
        <w:spacing w:after="0" w:line="1" w:lineRule="exact"/>
        <w:rPr>
          <w:sz w:val="20"/>
          <w:szCs w:val="20"/>
          <w:color w:val="auto"/>
        </w:rPr>
      </w:pPr>
    </w:p>
    <w:p>
      <w:pPr>
        <w:ind w:left="360" w:hanging="310"/>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our capital stock or repurchase our capital stock; (iv) make certain investments;</w:t>
      </w:r>
    </w:p>
    <w:p>
      <w:pPr>
        <w:spacing w:after="0" w:line="9"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(vi) enter into certain transactions with affiliates; (vii) merge or consolidate with another company; and</w:t>
      </w:r>
    </w:p>
    <w:p>
      <w:pPr>
        <w:spacing w:after="0" w:line="9" w:lineRule="exact"/>
        <w:rPr>
          <w:rFonts w:ascii="Times New Roman" w:cs="Times New Roman" w:eastAsia="Times New Roman" w:hAnsi="Times New Roman"/>
          <w:sz w:val="18"/>
          <w:szCs w:val="18"/>
          <w:color w:val="auto"/>
        </w:rPr>
      </w:pPr>
    </w:p>
    <w:p>
      <w:pPr>
        <w:ind w:left="60" w:right="179" w:hanging="10"/>
        <w:spacing w:after="0" w:line="253" w:lineRule="auto"/>
        <w:tabs>
          <w:tab w:leader="none" w:pos="4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Annual Report on Form 10-K, we were in compliance with the covenants and restrictions related to our respective long-term debt.</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 DISH Network</w:t>
      </w:r>
    </w:p>
    <w:p>
      <w:pPr>
        <w:spacing w:after="0" w:line="16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Concurrently with the issuance of the 5 1/4% Senior Secured Notes due 2026 and the 5 3/4% Senior Secured Notes due 2028 and using the proceeds thereof, we made the Intercompany Loan to DISH Network to be used by DISH Network to finance the purchase of certain wireless spectrum licenses and for general corporate purposes, including the buildout of wireless infrastructure. The aggregate principal amount of the Intercompany Loan was initially $5.250 billion, and on February 11, 2022, we advanced an additional $1.5 billion to DISH Network. As of December 31, 2023, the total Intercompany Loan amount outstanding plus interest paid in kind was $7.496 billion, not including accrued interest receivable of $37 million, of which $18 million must be paid in cash. Subsequent to December 31, 2023, we, in our capacity as “Lender” under the terms of the Loan and Security Agreement related to the Intercompany Loan between DISH Network and us, have consummated the assignment pursuant to such terms, without any modification or amendment thereto, of our receivable in respect to the 2026 Tranche of $4.7 billion to DBS Intercompany Receivable L.L.C. DBS Intercompany Receivable L.L.C. has subsequently assigned its rights as lender thereunder to EchoStar Intercompany Receivable Company L.L.C., our ultimate parent, EchoStar’s direct wholly-owned subsidiary, such that amounts owed in respect of the 2026 Tranche will now be paid by DISH Network to EchoStar Intercompany Receivable L.L.C.</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62"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See Note 2 in the Notes to our Consolidated Financial Statements in this Annual Report on Form 10-K for further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EXPLANATION OF KEY METRICS AND OTHER ITEMS</w:t>
      </w:r>
    </w:p>
    <w:p>
      <w:pPr>
        <w:spacing w:after="0" w:line="158"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revenue” consists principally of Pay-TV subscriber revenue. Certain of the amounts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revenue” are not recurring on a monthly basis.</w:t>
      </w:r>
    </w:p>
    <w:p>
      <w:pPr>
        <w:spacing w:after="0" w:line="87"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sales and other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sales and other revenue” principally includes the non-subsidized sales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Pay-TV equipment and the licensing of certain intellectual property.</w:t>
      </w:r>
    </w:p>
    <w:p>
      <w:pPr>
        <w:spacing w:after="0" w:line="87"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services” principally includes Pay-TV programming expenses and other operating costs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Pay-TV services.</w:t>
      </w:r>
    </w:p>
    <w:p>
      <w:pPr>
        <w:spacing w:after="0" w:line="87" w:lineRule="exact"/>
        <w:rPr>
          <w:sz w:val="20"/>
          <w:szCs w:val="20"/>
          <w:color w:val="auto"/>
        </w:rPr>
      </w:pPr>
    </w:p>
    <w:p>
      <w:pPr>
        <w:ind w:left="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equipment and other. </w:t>
      </w:r>
      <w:r>
        <w:rPr>
          <w:rFonts w:ascii="Times New Roman" w:cs="Times New Roman" w:eastAsia="Times New Roman" w:hAnsi="Times New Roman"/>
          <w:sz w:val="18"/>
          <w:szCs w:val="18"/>
          <w:color w:val="auto"/>
        </w:rPr>
        <w:t>“Cost of sales – equipment and other” principally includes the cost of the non-subsidized sales of Pay-TV equipment. Costs are generally recognized as products are delivered to customers and the related revenue is recognized.</w:t>
      </w:r>
    </w:p>
    <w:p>
      <w:pPr>
        <w:spacing w:after="0" w:line="103"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expenses” consists primarily of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16"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Impairment of long-lived assets and goodwill. “Impairment of long-lived assets and goodwill” includes our impairment losses related to our property and equipment, regulatory authorizations, goodwill and other intangible assets.</w:t>
      </w:r>
    </w:p>
    <w:p>
      <w:pPr>
        <w:spacing w:after="0" w:line="6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of amounts capitalized. </w:t>
      </w:r>
      <w:r>
        <w:rPr>
          <w:rFonts w:ascii="Times New Roman" w:cs="Times New Roman" w:eastAsia="Times New Roman" w:hAnsi="Times New Roman"/>
          <w:sz w:val="18"/>
          <w:szCs w:val="18"/>
          <w:color w:val="auto"/>
        </w:rPr>
        <w:t>“Interest expense, net of amounts capitalized” primarily includes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09"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The main components of “Other, net” are gains and losses realized on the sale of investments, impairment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marketable and non-marketable investment securities, unrealized gains and losses from changes in fair value of certain marketable and non-marketable investment securities and equity in earnings and losses of our affiliates.</w:t>
      </w:r>
    </w:p>
    <w:p>
      <w:pPr>
        <w:spacing w:after="0" w:line="171"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before interest, taxes, depreciation and amortization (“EBITDA”). </w:t>
      </w:r>
      <w:r>
        <w:rPr>
          <w:rFonts w:ascii="Times New Roman" w:cs="Times New Roman" w:eastAsia="Times New Roman" w:hAnsi="Times New Roman"/>
          <w:sz w:val="18"/>
          <w:szCs w:val="18"/>
          <w:color w:val="auto"/>
        </w:rPr>
        <w:t>EBITDA is defined as “Net income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“Interest expense, net of amounts capitalized” and net of “Interest income,” “Income tax (provision) benefit, net” and “Depreciation and amortization.” This “non-GAAP measure” is reconciled to “Net income (loss)” in our discussion of “Results of Operations” below.</w:t>
      </w:r>
    </w:p>
    <w:p>
      <w:pPr>
        <w:spacing w:after="0" w:line="163" w:lineRule="exact"/>
        <w:rPr>
          <w:sz w:val="20"/>
          <w:szCs w:val="20"/>
          <w:color w:val="auto"/>
        </w:rPr>
      </w:pPr>
    </w:p>
    <w:p>
      <w:pPr>
        <w:ind w:left="60" w:right="3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income before depreciation and amortization (“OIBDA”). </w:t>
      </w:r>
      <w:r>
        <w:rPr>
          <w:rFonts w:ascii="Times New Roman" w:cs="Times New Roman" w:eastAsia="Times New Roman" w:hAnsi="Times New Roman"/>
          <w:sz w:val="18"/>
          <w:szCs w:val="18"/>
          <w:color w:val="auto"/>
        </w:rPr>
        <w:t>OIBDA is defined as “Operating income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“Depreciation and amortization.” This “non-GAAP measure” is reconciled to “Operating income (loss)” in our discussion of “Results of Operations” below.</w:t>
      </w:r>
    </w:p>
    <w:p>
      <w:pPr>
        <w:spacing w:after="0" w:line="171"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subscribers. </w:t>
      </w:r>
      <w:r>
        <w:rPr>
          <w:rFonts w:ascii="Times New Roman" w:cs="Times New Roman" w:eastAsia="Times New Roman" w:hAnsi="Times New Roman"/>
          <w:sz w:val="18"/>
          <w:szCs w:val="18"/>
          <w:color w:val="auto"/>
        </w:rPr>
        <w:t>We include customers obtained through direct sales, independent third-party retailers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6" w:lineRule="exact"/>
        <w:rPr>
          <w:sz w:val="20"/>
          <w:szCs w:val="20"/>
          <w:color w:val="auto"/>
        </w:rPr>
      </w:pPr>
    </w:p>
    <w:p>
      <w:pPr>
        <w:ind w:left="60" w:right="19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SLING TV subscribers. </w:t>
      </w:r>
      <w:r>
        <w:rPr>
          <w:rFonts w:ascii="Times New Roman" w:cs="Times New Roman" w:eastAsia="Times New Roman" w:hAnsi="Times New Roman"/>
          <w:sz w:val="18"/>
          <w:szCs w:val="18"/>
          <w:color w:val="auto"/>
        </w:rPr>
        <w:t>We include customers obtained through direct sales and third-party marketing agreements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SLING TV subscriber count. SLING TV subscriber additions are recorded net of disconnects. SLING TV customers receiving service for no charge, under certain new subscriber promotions, are excluded from our SLING TV subscriber count. For customers who subscribe to multiple SLING TV packages, each customer is only counted as one SLING TV subscriber.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subscribers. </w:t>
      </w:r>
      <w:r>
        <w:rPr>
          <w:rFonts w:ascii="Times New Roman" w:cs="Times New Roman" w:eastAsia="Times New Roman" w:hAnsi="Times New Roman"/>
          <w:sz w:val="18"/>
          <w:szCs w:val="18"/>
          <w:color w:val="auto"/>
        </w:rPr>
        <w:t>Our Pay-TV subscriber count includes all DISH TV and SLING TV subscribers discussed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customers who subscribe to both our DISH TV services and our SLING TV services, each subscription is counted as a separate Pay-TV subscriber.</w:t>
      </w:r>
    </w:p>
    <w:p>
      <w:pPr>
        <w:spacing w:after="0" w:line="104"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average monthly revenue per subscriber (“Pay-TV ARPU”). </w:t>
      </w:r>
      <w:r>
        <w:rPr>
          <w:rFonts w:ascii="Times New Roman" w:cs="Times New Roman" w:eastAsia="Times New Roman" w:hAnsi="Times New Roman"/>
          <w:sz w:val="18"/>
          <w:szCs w:val="18"/>
          <w:color w:val="auto"/>
        </w:rPr>
        <w:t>We are not aware of any uniform standards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calculating ARPU and believe presentations of ARPU may not be calculated consistently by other companies in the same or similar businesses. We calculate Pay-TV average monthly revenue per Pay-TV subscriber, or Pay-TV ARPU, by dividing average monthly Pay-TV “Service revenue”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8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average monthly subscriber churn rate (“DISH TV churn rate”). </w:t>
      </w:r>
      <w:r>
        <w:rPr>
          <w:rFonts w:ascii="Times New Roman" w:cs="Times New Roman" w:eastAsia="Times New Roman" w:hAnsi="Times New Roman"/>
          <w:sz w:val="18"/>
          <w:szCs w:val="18"/>
          <w:color w:val="auto"/>
        </w:rPr>
        <w:t>We are not aware of any uniform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85"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SAC. </w:t>
      </w:r>
      <w:r>
        <w:rPr>
          <w:rFonts w:ascii="Times New Roman" w:cs="Times New Roman" w:eastAsia="Times New Roman" w:hAnsi="Times New Roman"/>
          <w:sz w:val="18"/>
          <w:szCs w:val="18"/>
          <w:color w:val="auto"/>
        </w:rPr>
        <w:t>Subscriber acquisition cost measures are commonly used by those evaluating traditional companies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Year Ended December 31, 2023 Compared to the Year Ended December 31, 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 w:type="dxa"/>
            <w:vAlign w:val="bottom"/>
          </w:tcPr>
          <w:p>
            <w:pPr>
              <w:spacing w:after="0"/>
              <w:rPr>
                <w:sz w:val="19"/>
                <w:szCs w:val="19"/>
                <w:color w:val="auto"/>
              </w:rPr>
            </w:pP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r>
      <w:tr>
        <w:trPr>
          <w:trHeight w:val="196"/>
        </w:trPr>
        <w:tc>
          <w:tcPr>
            <w:tcW w:w="4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11,320,526</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12,281,346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(960,820)</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sales and other revenue</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96,862</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40" w:type="dxa"/>
            <w:vAlign w:val="bottom"/>
            <w:shd w:val="clear" w:color="auto" w:fill="CCEEFF"/>
          </w:tcPr>
          <w:p>
            <w:pPr>
              <w:spacing w:after="0"/>
              <w:rPr>
                <w:sz w:val="17"/>
                <w:szCs w:val="17"/>
                <w:color w:val="auto"/>
              </w:rPr>
            </w:pPr>
          </w:p>
        </w:tc>
      </w:tr>
      <w:tr>
        <w:trPr>
          <w:trHeight w:val="196"/>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11,474,225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12,378,208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(903,983)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r>
      <w:tr>
        <w:trPr>
          <w:trHeight w:val="196"/>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7,100,543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7,527,563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(427,020)</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of Service revenue</w:t>
            </w:r>
          </w:p>
        </w:tc>
        <w:tc>
          <w:tcPr>
            <w:tcW w:w="2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62.7 %</w:t>
            </w: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61.3 %</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equipment and other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1,375,908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1,593,723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(217,815)</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w:t>
            </w:r>
          </w:p>
        </w:tc>
      </w:tr>
      <w:tr>
        <w:trPr>
          <w:trHeight w:val="203"/>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of Total revenue</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12.0 %</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(38,701)</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long-lived assets and goodwill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r>
      <w:tr>
        <w:trPr>
          <w:trHeight w:val="196"/>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8,876,787</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9,555,552</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(678,765)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r>
      <w:tr>
        <w:trPr>
          <w:trHeight w:val="196"/>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2,597,438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(225,218)</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r>
      <w:tr>
        <w:trPr>
          <w:trHeight w:val="196"/>
        </w:trPr>
        <w:tc>
          <w:tcPr>
            <w:tcW w:w="4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440,412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net of amounts capitalized</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(753,162)</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(871,530)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(88.4)</w:t>
            </w:r>
          </w:p>
        </w:tc>
      </w:tr>
      <w:tr>
        <w:trPr>
          <w:trHeight w:val="196"/>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(287,705)</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(426,652)</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138,947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40" w:type="dxa"/>
            <w:vAlign w:val="bottom"/>
            <w:tcBorders>
              <w:bottom w:val="single" w:sz="8" w:color="CCEEFF"/>
            </w:tcBorders>
          </w:tcPr>
          <w:p>
            <w:pPr>
              <w:spacing w:after="0"/>
              <w:rPr>
                <w:sz w:val="17"/>
                <w:szCs w:val="17"/>
                <w:color w:val="auto"/>
              </w:rPr>
            </w:pPr>
          </w:p>
        </w:tc>
      </w:tr>
      <w:tr>
        <w:trPr>
          <w:trHeight w:val="196"/>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2,309,733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2,396,004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(86,271)</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 net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(565,104)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(585,259)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2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24.5 %</w:t>
            </w:r>
          </w:p>
        </w:tc>
        <w:tc>
          <w:tcPr>
            <w:tcW w:w="2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24.4 %</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1,744,629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1,810,745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Pay-TV subscribers, as of period end (in millions)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DISH TV subscribers, as of period end (in millions)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(0.945)</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SLING TV subscribers, as of period end (in millions)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(0.279)</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Pay-TV subscriber additions (losses), net (in millions)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(1.224)</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(0.957)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(0.267)</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w:t>
            </w:r>
          </w:p>
        </w:tc>
      </w:tr>
      <w:tr>
        <w:trPr>
          <w:trHeight w:val="203"/>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DISH TV subscriber additions (losses), net (in millions)</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(0.945)</w:t>
            </w: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(0.805)</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(0.140)</w:t>
            </w: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SLING TV subscriber additions (losses), net (in millions)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(0.279)</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(0.152)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(0.127)</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(83.6)</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Pay-TV ARPU</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DISH TV subscriber additions, gross (in millions)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(0.170)</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DISH TV churn rate</w:t>
            </w:r>
          </w:p>
        </w:tc>
        <w:tc>
          <w:tcPr>
            <w:tcW w:w="2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1.69 %</w:t>
            </w:r>
          </w:p>
        </w:tc>
        <w:tc>
          <w:tcPr>
            <w:tcW w:w="2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DISH TV SAC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132,607</w:t>
            </w:r>
          </w:p>
        </w:tc>
        <w:tc>
          <w:tcPr>
            <w:tcW w:w="2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122,477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7"/>
                <w:szCs w:val="17"/>
                <w:color w:val="auto"/>
              </w:rPr>
            </w:pP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2,913,616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3,181,483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(267,867)</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OIBDA</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2,913,098</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3,177,017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(263,919)</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r>
    </w:tbl>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is not meaningful.</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 Subscribers</w:t>
      </w:r>
    </w:p>
    <w:p>
      <w:pPr>
        <w:spacing w:after="0" w:line="198" w:lineRule="exact"/>
        <w:rPr>
          <w:sz w:val="20"/>
          <w:szCs w:val="20"/>
          <w:color w:val="auto"/>
        </w:rPr>
      </w:pPr>
    </w:p>
    <w:p>
      <w:pPr>
        <w:ind w:left="60" w:right="9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subscribers. </w:t>
      </w:r>
      <w:r>
        <w:rPr>
          <w:rFonts w:ascii="Times New Roman" w:cs="Times New Roman" w:eastAsia="Times New Roman" w:hAnsi="Times New Roman"/>
          <w:sz w:val="18"/>
          <w:szCs w:val="18"/>
          <w:color w:val="auto"/>
        </w:rPr>
        <w:t>We lost approximately 945,000 net DISH TV subscribers during the year ended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loss of approximately 805,000 net DISH TV subscribers during the same period in 2022. This increase in net DISH TV subscriber losses primarily resulted from lower gross new DISH TV subscriber activations and a higher DISH TV churn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SLING TV subscribers. </w:t>
      </w:r>
      <w:r>
        <w:rPr>
          <w:rFonts w:ascii="Times New Roman" w:cs="Times New Roman" w:eastAsia="Times New Roman" w:hAnsi="Times New Roman"/>
          <w:sz w:val="17"/>
          <w:szCs w:val="17"/>
          <w:color w:val="auto"/>
        </w:rPr>
        <w:t>We lost approximately 279,000 net SLING TV subscribers during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2023 compared to the loss of approximately 152,000 net SLING TV subscribers during the same period in 2022. The increase in net SLING TV subscriber losses were primarily related to lower SLING TV subscriber activations, partially offset by lower SLING TV subscriber disconnects in 2023.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7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subscribers, gross. </w:t>
      </w:r>
      <w:r>
        <w:rPr>
          <w:rFonts w:ascii="Times New Roman" w:cs="Times New Roman" w:eastAsia="Times New Roman" w:hAnsi="Times New Roman"/>
          <w:sz w:val="18"/>
          <w:szCs w:val="18"/>
          <w:color w:val="auto"/>
        </w:rPr>
        <w:t>During the year ended December 31, 2023, we activated approximately 464,000 gross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DISH TV subscribers compared to approximately 634,000 gross new DISH TV subscribers during the same period in 2022, a decrease of 26.8%.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churn rate. </w:t>
      </w:r>
      <w:r>
        <w:rPr>
          <w:rFonts w:ascii="Times New Roman" w:cs="Times New Roman" w:eastAsia="Times New Roman" w:hAnsi="Times New Roman"/>
          <w:sz w:val="18"/>
          <w:szCs w:val="18"/>
          <w:color w:val="auto"/>
        </w:rPr>
        <w:t>Our DISH TV churn rate for the year ended December 31, 2023 was 1.69% compared to 1.54%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2022. Our DISH TV churn rate for the year ended December 31, 2023 was briefly elevated due to the cyber-security incident.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79" w:lineRule="exact"/>
        <w:rPr>
          <w:sz w:val="20"/>
          <w:szCs w:val="20"/>
          <w:color w:val="auto"/>
        </w:rPr>
      </w:pPr>
    </w:p>
    <w:p>
      <w:pPr>
        <w:ind w:left="60" w:right="99"/>
        <w:spacing w:after="0" w:line="235" w:lineRule="auto"/>
        <w:rPr>
          <w:sz w:val="20"/>
          <w:szCs w:val="20"/>
          <w:color w:val="auto"/>
        </w:rPr>
      </w:pPr>
      <w:r>
        <w:rPr>
          <w:rFonts w:ascii="Times New Roman" w:cs="Times New Roman" w:eastAsia="Times New Roman" w:hAnsi="Times New Roman"/>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4"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8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revenue. </w:t>
      </w:r>
      <w:r>
        <w:rPr>
          <w:rFonts w:ascii="Times New Roman" w:cs="Times New Roman" w:eastAsia="Times New Roman" w:hAnsi="Times New Roman"/>
          <w:sz w:val="18"/>
          <w:szCs w:val="18"/>
          <w:color w:val="auto"/>
        </w:rPr>
        <w:t>“Service revenue” totaled $11.321 billion for the year ended December 31, 2023, a decrease of $961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7.8% compared to the same period in 2022. The decrease in “Service revenue” compared to the same period in 2022 was primarily related to lower average Pay-TV subscriber base, partially offset by an increase in Pay-TV ARPU, discussed below.</w:t>
      </w:r>
    </w:p>
    <w:p>
      <w:pPr>
        <w:spacing w:after="0" w:line="176" w:lineRule="exact"/>
        <w:rPr>
          <w:sz w:val="20"/>
          <w:szCs w:val="20"/>
          <w:color w:val="auto"/>
        </w:rPr>
      </w:pPr>
    </w:p>
    <w:p>
      <w:pPr>
        <w:ind w:left="60" w:right="3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sales and other revenue. </w:t>
      </w:r>
      <w:r>
        <w:rPr>
          <w:rFonts w:ascii="Times New Roman" w:cs="Times New Roman" w:eastAsia="Times New Roman" w:hAnsi="Times New Roman"/>
          <w:sz w:val="18"/>
          <w:szCs w:val="18"/>
          <w:color w:val="auto"/>
        </w:rPr>
        <w:t>“Equipment sales and other revenue” totaled $154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 increase of $57 million or 58.7% compared to the same period in 2022. The increase in “Equipment sales and other revenue” compared to the same period in 2022 was primarily related to a non-recurring $75 million license of our Adaptive Bitrate Streaming patents to Peloton covering certain Peloton products that resolves our litigation involving those products, partially offset by a decrease in equipment sales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Pay-TV ARPU. </w:t>
      </w:r>
      <w:r>
        <w:rPr>
          <w:rFonts w:ascii="Times New Roman" w:cs="Times New Roman" w:eastAsia="Times New Roman" w:hAnsi="Times New Roman"/>
          <w:sz w:val="18"/>
          <w:szCs w:val="18"/>
          <w:color w:val="auto"/>
        </w:rPr>
        <w:t>Pay-TV ARPU was $104.56 during the year ended December 31, 2023 versus $101.20 during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2022. The $3.36 or 3.3% increase in Pay-TV ARPU was primarily attributable to the DISH TV and SLING TV programming price increases. The DISH TV and SLING TV programming package price increases were effective in the fourth quarter of 2022 and 2023.</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totaled $7.101 billion during the year ended December 31, 2023, a decrease of $427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5.7% compared to the same period in 2022.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2023 due to rate increases in certain of our programming contracts, including the renewal of certain contracts at higher rates, particularly for local broadcast channels. In addition, variable and retention costs per subscriber increased during the year ended December 31, 2023 due to, among other things, approximately $30 million in cyber-security-related expenses to remediate the incident and provide additional customer support. “Cost of services” represented 62.7% and 61.3% of “Service revenue” during the years ended December 31, 2023 and 2022, respectively.</w:t>
      </w:r>
    </w:p>
    <w:p>
      <w:pPr>
        <w:spacing w:after="0" w:line="12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12"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totaled $1.376 billion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December 31, 2023, a $218 million or 13.7% decrease compared to the same period in 2022. This change was primarily driven by a decrease in subscriber acquisition costs resulting from lower marketing expenditures and lower gross new DISH TV subscriber activations, and a decrease in personnel costs.</w:t>
      </w:r>
    </w:p>
    <w:p>
      <w:pPr>
        <w:spacing w:after="0" w:line="176" w:lineRule="exact"/>
        <w:rPr>
          <w:sz w:val="20"/>
          <w:szCs w:val="20"/>
          <w:color w:val="auto"/>
        </w:rPr>
      </w:pPr>
    </w:p>
    <w:p>
      <w:pPr>
        <w:jc w:val="both"/>
        <w:ind w:left="60" w:right="4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totaled $316 million during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2023, a $39 million or 10.9% decrease compared to the same period in 2022. This change was primarily driven by a decrease in depreciation expense from equipment leased to new and existing DISH TV subscribers.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and goodwill.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Impairment of long-lived assets and goodwill” totaled $6 million for</w:t>
      </w:r>
    </w:p>
    <w:p>
      <w:pPr>
        <w:spacing w:after="0" w:line="31" w:lineRule="exact"/>
        <w:rPr>
          <w:sz w:val="20"/>
          <w:szCs w:val="20"/>
          <w:color w:val="auto"/>
        </w:rPr>
      </w:pPr>
    </w:p>
    <w:p>
      <w:pPr>
        <w:ind w:left="60" w:right="159"/>
        <w:spacing w:after="0" w:line="260" w:lineRule="auto"/>
        <w:rPr>
          <w:sz w:val="20"/>
          <w:szCs w:val="20"/>
          <w:color w:val="auto"/>
        </w:rPr>
      </w:pPr>
      <w:r>
        <w:rPr>
          <w:rFonts w:ascii="Times New Roman" w:cs="Times New Roman" w:eastAsia="Times New Roman" w:hAnsi="Times New Roman"/>
          <w:sz w:val="18"/>
          <w:szCs w:val="18"/>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77"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DISH TV SAC. </w:t>
      </w:r>
      <w:r>
        <w:rPr>
          <w:rFonts w:ascii="Times New Roman" w:cs="Times New Roman" w:eastAsia="Times New Roman" w:hAnsi="Times New Roman"/>
          <w:sz w:val="18"/>
          <w:szCs w:val="18"/>
          <w:color w:val="auto"/>
        </w:rPr>
        <w:t>DISH TV SAC was $1,118 during the year ended December 31, 2023 compared to $1,044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2022, an increase of $74 or 7.1%. This change was primarily attributable to an increase in advertising costs per subscriber, higher installation costs due to an increase in labor and other installation costs, and a lower percentage of remanufactured receivers being activated on new subscriber accounts.</w:t>
      </w:r>
    </w:p>
    <w:p>
      <w:pPr>
        <w:spacing w:after="0" w:line="18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amount of equipment capitalized under our lease program for new DISH TV subscribers totaled $54 million and $55 million, respectively.</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8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Our “DISH TV SAC” may materially increase in the future to the extent that we, among other things, transition to newer technologies, introduce more aggressive promotions, or provide greater equipment subsidies.</w:t>
      </w:r>
    </w:p>
    <w:p>
      <w:pPr>
        <w:spacing w:after="0" w:line="15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of amounts capitalized. </w:t>
      </w:r>
      <w:r>
        <w:rPr>
          <w:rFonts w:ascii="Times New Roman" w:cs="Times New Roman" w:eastAsia="Times New Roman" w:hAnsi="Times New Roman"/>
          <w:sz w:val="18"/>
          <w:szCs w:val="18"/>
          <w:color w:val="auto"/>
        </w:rPr>
        <w:t>“Interest expense, net of amounts capitalized” totaled $753 million during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2023, a decrease of $118 million compared to the same period in 2022. This decrease was primarily related to a reduction in interest expense resulting from the redemption of our 5 7/8% Senior Notes due 2022 and our 5% Senior Notes due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Performance Measures and Reconciliation</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It is management’s intent to provide non-GAAP financial information to enhance the understanding of our financial information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EBITDA is not a measure determined in accordance with GAAP and should not be considered a substitute for operating income, net income or any other measure determined in accordance with GAAP.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3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196"/>
        </w:trPr>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3"/>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1,744,629</w:t>
            </w:r>
          </w:p>
        </w:tc>
        <w:tc>
          <w:tcPr>
            <w:tcW w:w="74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1,810,745</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431,118</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 net</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565,104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585,259</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315,660</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354,361</w:t>
            </w:r>
          </w:p>
        </w:tc>
        <w:tc>
          <w:tcPr>
            <w:tcW w:w="100" w:type="dxa"/>
            <w:vAlign w:val="bottom"/>
            <w:tcBorders>
              <w:bottom w:val="single" w:sz="8" w:color="CCEEFF"/>
            </w:tcBorders>
          </w:tcPr>
          <w:p>
            <w:pPr>
              <w:spacing w:after="0"/>
              <w:rPr>
                <w:sz w:val="18"/>
                <w:szCs w:val="18"/>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2,913,616</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changes in EBITDA during the year ended December 31, 2023, compared to the same period in 2022, were primarily a result of the factors described in connection with operating revenues and operating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OIBDA</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 OIBDA is calculated by adding back depreciation and amortization expense to operating income (loss).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49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196"/>
        </w:trPr>
        <w:tc>
          <w:tcPr>
            <w:tcW w:w="4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gridSpan w:val="3"/>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2,597,438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2,822,656</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315,660</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354,361</w:t>
            </w:r>
          </w:p>
        </w:tc>
        <w:tc>
          <w:tcPr>
            <w:tcW w:w="60" w:type="dxa"/>
            <w:vAlign w:val="bottom"/>
            <w:tcBorders>
              <w:bottom w:val="single" w:sz="8" w:color="CCEEFF"/>
            </w:tcBorders>
          </w:tcPr>
          <w:p>
            <w:pPr>
              <w:spacing w:after="0"/>
              <w:rPr>
                <w:sz w:val="18"/>
                <w:szCs w:val="18"/>
                <w:color w:val="auto"/>
              </w:rPr>
            </w:pP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OIBDA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2,913,098</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3,177,017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changes in OIBDA during the year ended December 31, 2023, compared to the same period in 2022, were primarily a result of the factors described in connection with operating revenues and operating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Risks Associated with Financial Instruments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investments and debt are exposed to market risks, discussed below.</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Current Marketable Investment Securities</w:t>
      </w:r>
    </w:p>
    <w:p>
      <w:pPr>
        <w:spacing w:after="0" w:line="16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of December 31, 2023, our cash, cash equivalents and current marketable investment securities had a fair value of $374 million. Of that amount, a total of $374 million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 change in interest rates would affect the fair value of our cash, cash equivalents and current marketable investment securities portfolio; however, we normally hold these investments to maturity. Based on our December 31, 2023 current non-strategic investment portfolio of $374 million, a hypothetical 10% change in average interest rates would not have a material impact on the fair value due to the limited duration of our investments.</w:t>
      </w:r>
    </w:p>
    <w:p>
      <w:pPr>
        <w:spacing w:after="0" w:line="112" w:lineRule="exact"/>
        <w:rPr>
          <w:sz w:val="20"/>
          <w:szCs w:val="20"/>
          <w:color w:val="auto"/>
        </w:rPr>
      </w:pPr>
    </w:p>
    <w:p>
      <w:pPr>
        <w:ind w:left="60" w:right="499"/>
        <w:spacing w:after="0" w:line="281" w:lineRule="auto"/>
        <w:rPr>
          <w:sz w:val="20"/>
          <w:szCs w:val="20"/>
          <w:color w:val="auto"/>
        </w:rPr>
      </w:pPr>
      <w:r>
        <w:rPr>
          <w:rFonts w:ascii="Times New Roman" w:cs="Times New Roman" w:eastAsia="Times New Roman" w:hAnsi="Times New Roman"/>
          <w:sz w:val="17"/>
          <w:szCs w:val="17"/>
          <w:color w:val="auto"/>
        </w:rPr>
        <w:t>Our cash, cash equivalents and current marketable investment securities had an average annual rate of return for the year ended December 31, 2023 of 5.0%. A change in interest rates would affect our future annual interest income from this portfolio, since funds would be re-invested at different rates as the instruments mature. A hypothetical 10% decrease in average interest rates during 2023 would result in a decrease of approximately $2 million in annual interest income.</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Cash Equivalents and Marketable Investment Securities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As of December 31, 2023, we had $55 million of restricted cash and marketable investment securities invested in: (a) cash;</w:t>
      </w:r>
    </w:p>
    <w:p>
      <w:pPr>
        <w:spacing w:after="0" w:line="39" w:lineRule="exact"/>
        <w:rPr>
          <w:sz w:val="20"/>
          <w:szCs w:val="20"/>
          <w:color w:val="auto"/>
        </w:rPr>
      </w:pPr>
    </w:p>
    <w:p>
      <w:pPr>
        <w:ind w:left="60" w:right="259" w:hanging="10"/>
        <w:spacing w:after="0" w:line="253" w:lineRule="auto"/>
        <w:tabs>
          <w:tab w:leader="none" w:pos="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(c) debt instruments of the United States Government and its agencies; and/or (d) instruments with similar risk, duration and credit quality characteristics to commercial paper. Based on our December 31, 2023 investment portfolio, a hypothetical 10% increase in average interest rates would not have a material impact on the fair value of our restricted cash and marketable investment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As of December 31, 2023, we had long-term debt of $11.775 billion, excluding finance lease obligations and unamortized deferred financing costs and debt discounts, on our Consolidated Balance Sheets. We estimated the fair value of this debt to be approximately $9.057 billion using quoted market prices. The fair value of our debt is affected by fluctuations in interest rates. A hypothetical 10% decrease in assumed interest rates would increase the fair value of our debt by approximately $366 million. To the extent interest rates increase, our future costs of financing would increase at the time of any future financings. As of December 31, 2023, all of our long-term debt consisted of fixed rate indebtedness.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From time to time, we invest in speculative financial instruments, including derivatives. As of December 31, 2023, we did not hold any derivative financial instruments.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consolidated financial statements are included in this Annual Report on Form 10-K beginning on page F-1.</w:t>
      </w:r>
    </w:p>
    <w:p>
      <w:pPr>
        <w:spacing w:after="0" w:line="221" w:lineRule="exact"/>
        <w:rPr>
          <w:sz w:val="20"/>
          <w:szCs w:val="20"/>
          <w:color w:val="auto"/>
        </w:rPr>
      </w:pPr>
    </w:p>
    <w:p>
      <w:pPr>
        <w:ind w:left="700" w:right="111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6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58" w:lineRule="exact"/>
        <w:rPr>
          <w:sz w:val="20"/>
          <w:szCs w:val="20"/>
          <w:color w:val="auto"/>
        </w:rPr>
      </w:pPr>
    </w:p>
    <w:p>
      <w:pPr>
        <w:ind w:left="1040" w:right="23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our assets;</w:t>
      </w:r>
    </w:p>
    <w:p>
      <w:pPr>
        <w:jc w:val="both"/>
        <w:ind w:left="1040" w:right="139" w:hanging="315"/>
        <w:spacing w:after="0" w:line="265"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ind w:left="1040" w:right="319" w:hanging="315"/>
        <w:spacing w:after="0" w:line="26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4"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0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based on the framework in Internal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Integrated Framework (2013) issued by the Committee of Sponsoring Organizations of the Treadway Commission (COSO). Based on this evaluation, our management concluded that our internal control over financial reporting was effective as of December 31, 2023.</w:t>
      </w:r>
    </w:p>
    <w:p>
      <w:pPr>
        <w:spacing w:after="0" w:line="10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59"/>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15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Appointment of Independent Registered Public Accounting Firm for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KPMG LLP served as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public accounting firm for the fiscal year ended December 31, 2023.</w:t>
      </w:r>
    </w:p>
    <w:p>
      <w:pPr>
        <w:spacing w:after="0" w:line="91"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DISH Network’s Board of Directors, in its discretion, may direct the appointment of a different independent registered public accounting firm at any time during the year if the Board of Directors believes that a change would be in its best interests.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Fees Paid to KPMG LLP for 2023 and 2022</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following table presents fees for the aggregate professional audit services rendered by KPMG LLP for the audit of DISH Network’s and our annual financial statements for the years ended December 31, 2023 and 2022, and fees billed for other services rendered by KPMG LLP to DISH Network and us during those periods. We have reported the fees billed for services rendered to both DISH Network and us because the services are not rendered or billed specifically for us but for the DISH Network consolidated group as a whole.</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49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5,774,758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Compliance Fees</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452,061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413,195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60" w:type="dxa"/>
            <w:vAlign w:val="bottom"/>
            <w:tcBorders>
              <w:bottom w:val="single" w:sz="8" w:color="CCEEFF"/>
            </w:tcBorders>
          </w:tcPr>
          <w:p>
            <w:pPr>
              <w:spacing w:after="0"/>
              <w:rPr>
                <w:sz w:val="18"/>
                <w:szCs w:val="18"/>
                <w:color w:val="auto"/>
              </w:rPr>
            </w:pPr>
          </w:p>
        </w:tc>
      </w:tr>
      <w:tr>
        <w:trPr>
          <w:trHeight w:val="209"/>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7,084,422</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5,791,356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319" w:hanging="330"/>
        <w:spacing w:after="0" w:line="255"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paid by DISH Network and us for the audit of DISH Network’s and our consolidated financial statements included in DISH Network’s and our Annual Reports on Form 10-K, review of DISH Network’s and our unaudited financial statements included in DISH Network’s and our Quarterly Reports on Form 10-Q and fees in connection with the audit of DISH Network’s internal control over financial reporting.</w:t>
      </w:r>
    </w:p>
    <w:p>
      <w:pPr>
        <w:spacing w:after="0" w:line="2"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services related to review of contract compliance.</w:t>
      </w:r>
    </w:p>
    <w:p>
      <w:pPr>
        <w:spacing w:after="0" w:line="13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91"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DISH Network’s Board of Directors has delegated to DISH Network’s Audit Committee the responsibility for appointing, setting compensation, retaining, and overseeing the work of our independent registered public accounting firm until December 31, 2023. Effective with the closing of the merger, this responsibility was delegated to EchoStar’s Audit Committee. EchoStar’s Audit Committee has established a process regarding pre-approval of all audit and permissible non-audit services provided by the independent registered public accounting firm.</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Requests are submitted to the Audit Committee of EchoStar in one of the following ways:</w:t>
      </w:r>
    </w:p>
    <w:p>
      <w:pPr>
        <w:spacing w:after="0" w:line="104"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approval of services at a meeting of the Audit Committee; or</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approval of services by members of the Audit Committee acting by written consent.</w:t>
      </w:r>
    </w:p>
    <w:p>
      <w:pPr>
        <w:spacing w:after="0" w:line="15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request may be made with respect to either specific services or a type of service for predictable or recurring services. 100% of the fees paid to KPMG LLP for services rendered in 2023 and 2022 were pre-approved by DISH Network’s Audit Committee.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6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5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KPMG LLP, Independent Registered Public Accounting Firm</w:t>
            </w:r>
          </w:p>
        </w:tc>
        <w:tc>
          <w:tcPr>
            <w:tcW w:w="2180" w:type="dxa"/>
            <w:vAlign w:val="bottom"/>
            <w:gridSpan w:val="2"/>
            <w:vMerge w:val="restart"/>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5180" w:type="dxa"/>
            <w:vAlign w:val="bottom"/>
            <w:tcBorders>
              <w:bottom w:val="single" w:sz="8" w:color="0000EE"/>
            </w:tcBorders>
            <w:gridSpan w:val="5"/>
            <w:vMerge w:val="continue"/>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720" w:type="dxa"/>
            <w:vAlign w:val="bottom"/>
            <w:tcBorders>
              <w:top w:val="single" w:sz="8" w:color="auto"/>
            </w:tcBorders>
          </w:tcPr>
          <w:p>
            <w:pPr>
              <w:ind w:left="480"/>
              <w:spacing w:after="0" w:line="142" w:lineRule="exact"/>
              <w:rPr>
                <w:sz w:val="20"/>
                <w:szCs w:val="20"/>
                <w:color w:val="auto"/>
              </w:rPr>
            </w:pPr>
            <w:r>
              <w:rPr>
                <w:rFonts w:ascii="Times New Roman" w:cs="Times New Roman" w:eastAsia="Times New Roman" w:hAnsi="Times New Roman"/>
                <w:sz w:val="16"/>
                <w:szCs w:val="16"/>
                <w:color w:val="auto"/>
                <w:w w:val="98"/>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5260" w:type="dxa"/>
            <w:vAlign w:val="bottom"/>
            <w:gridSpan w:val="6"/>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7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740" w:type="dxa"/>
            <w:vAlign w:val="bottom"/>
            <w:gridSpan w:val="2"/>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3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w:t>
            </w:r>
          </w:p>
        </w:tc>
        <w:tc>
          <w:tcPr>
            <w:tcW w:w="198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2180" w:type="dxa"/>
            <w:vAlign w:val="bottom"/>
            <w:tcBorders>
              <w:top w:val="single" w:sz="8" w:color="0000EE"/>
            </w:tcBorders>
            <w:gridSpan w:val="2"/>
          </w:tcPr>
          <w:p>
            <w:pPr>
              <w:spacing w:after="0"/>
              <w:rPr>
                <w:sz w:val="17"/>
                <w:szCs w:val="17"/>
                <w:color w:val="auto"/>
              </w:rPr>
            </w:pPr>
          </w:p>
        </w:tc>
        <w:tc>
          <w:tcPr>
            <w:tcW w:w="2300" w:type="dxa"/>
            <w:vAlign w:val="bottom"/>
            <w:gridSpan w:val="3"/>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200" w:type="dxa"/>
            <w:vAlign w:val="bottom"/>
            <w:gridSpan w:val="4"/>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860" w:hanging="32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5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All schedules have been included in the consolidated financial statements or notes thereto.</w:t>
      </w:r>
    </w:p>
    <w:p>
      <w:pPr>
        <w:spacing w:after="0" w:line="155"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gridSpan w:val="11"/>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8"/>
        </w:trPr>
        <w:tc>
          <w:tcPr>
            <w:tcW w:w="1080" w:type="dxa"/>
            <w:vAlign w:val="bottom"/>
            <w:gridSpan w:val="2"/>
          </w:tcPr>
          <w:p>
            <w:pPr>
              <w:ind w:left="260"/>
              <w:spacing w:after="0" w:line="207" w:lineRule="exact"/>
              <w:rPr>
                <w:sz w:val="20"/>
                <w:szCs w:val="20"/>
                <w:color w:val="auto"/>
              </w:rPr>
            </w:pPr>
            <w:r>
              <w:rPr>
                <w:rFonts w:ascii="Times New Roman" w:cs="Times New Roman" w:eastAsia="Times New Roman" w:hAnsi="Times New Roman"/>
                <w:sz w:val="18"/>
                <w:szCs w:val="18"/>
                <w:color w:val="auto"/>
              </w:rPr>
              <w:t>3.1(a)</w:t>
            </w:r>
            <w:r>
              <w:rPr>
                <w:rFonts w:ascii="MS PGothic" w:cs="MS PGothic" w:eastAsia="MS PGothic" w:hAnsi="MS PGothic"/>
                <w:sz w:val="18"/>
                <w:szCs w:val="18"/>
                <w:color w:val="auto"/>
              </w:rPr>
              <w:t>☐</w:t>
            </w:r>
          </w:p>
        </w:tc>
        <w:tc>
          <w:tcPr>
            <w:tcW w:w="6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Composite Amended and Restated Articles of Incorporation of DISH DBS Corporation.</w:t>
            </w:r>
          </w:p>
        </w:tc>
        <w:tc>
          <w:tcPr>
            <w:tcW w:w="1480" w:type="dxa"/>
            <w:vAlign w:val="bottom"/>
            <w:gridSpan w:val="9"/>
          </w:tcPr>
          <w:p>
            <w:pPr>
              <w:spacing w:after="0"/>
              <w:rPr>
                <w:sz w:val="24"/>
                <w:szCs w:val="24"/>
                <w:color w:val="auto"/>
              </w:rPr>
            </w:pPr>
          </w:p>
        </w:tc>
      </w:tr>
      <w:tr>
        <w:trPr>
          <w:trHeight w:val="412"/>
        </w:trPr>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3.1(b)*</w:t>
            </w:r>
          </w:p>
        </w:tc>
        <w:tc>
          <w:tcPr>
            <w:tcW w:w="7820" w:type="dxa"/>
            <w:vAlign w:val="bottom"/>
            <w:gridSpan w:val="1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Bylaws of DISH DBS Corporation (incorporated by reference from Exhibit 3.4(b) to the Registration</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Statement on Form S-4 of DISH DBS Corporation).</w:t>
              </w:r>
            </w:hyperlink>
          </w:p>
        </w:tc>
        <w:tc>
          <w:tcPr>
            <w:tcW w:w="54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9"/>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Indenture, relating to the 5 7/8% Senior Notes due 2024, dated as of November 20, 2014, among DISH DBS</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Corporation, the guarantors named on the signature pages thereto and U.S. Bank National Association, as</w:t>
              </w:r>
            </w:hyperlink>
          </w:p>
        </w:tc>
        <w:tc>
          <w:tcPr>
            <w:tcW w:w="2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Trustee (incorporated by reference from Exhibit 4.1 to the Current Report on Form 8-K of DISH DBS</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Corporation filed November 21, 2014).</w:t>
              </w:r>
            </w:hyperlink>
          </w:p>
        </w:tc>
        <w:tc>
          <w:tcPr>
            <w:tcW w:w="48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7820" w:type="dxa"/>
            <w:vAlign w:val="bottom"/>
            <w:gridSpan w:val="15"/>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Indenture, relating to the 7 3/4% Senior Notes due 2026, dated as of June 13, 2016, among DISH DBS</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Corporation, the guarantors named on the signature pages thereto and U.S. Bank National Association, as</w:t>
              </w:r>
            </w:hyperlink>
          </w:p>
        </w:tc>
        <w:tc>
          <w:tcPr>
            <w:tcW w:w="2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Trustee (incorporated by reference from Exhibit 4.1 to the Current Report on Form 8-K of DISH DBS</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Corporation filed June 13, 2016).</w:t>
              </w:r>
            </w:hyperlink>
          </w:p>
        </w:tc>
        <w:tc>
          <w:tcPr>
            <w:tcW w:w="4940" w:type="dxa"/>
            <w:vAlign w:val="bottom"/>
            <w:tcBorders>
              <w:top w:val="single" w:sz="8" w:color="0000EE"/>
            </w:tcBorders>
            <w:gridSpan w:val="7"/>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820" w:type="dxa"/>
            <w:vAlign w:val="bottom"/>
            <w:gridSpan w:val="15"/>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Indenture, relating to the 7 3/8% Senior Notes due 2028, dated as of July 1, 2020, among DISH DBS</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9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Corporation, the guarantors named on the signature pages thereto and U.S. Bank National Association, as</w:t>
              </w:r>
            </w:hyperlink>
          </w:p>
        </w:tc>
        <w:tc>
          <w:tcPr>
            <w:tcW w:w="2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Trustee (incorporated by reference from Exhibit 4.1 to the Current Report on Form 8-K of DISH DBS</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Corporation filed July 1, 2020).</w:t>
              </w:r>
            </w:hyperlink>
          </w:p>
        </w:tc>
        <w:tc>
          <w:tcPr>
            <w:tcW w:w="5060" w:type="dxa"/>
            <w:vAlign w:val="bottom"/>
            <w:tcBorders>
              <w:top w:val="single" w:sz="8" w:color="0000EE"/>
            </w:tcBorders>
            <w:gridSpan w:val="8"/>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7820" w:type="dxa"/>
            <w:vAlign w:val="bottom"/>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Indenture, relating to the 5 1/8% Senior Notes due 2029, dated as of May 24, 2021, among DISH DBS</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40" w:type="dxa"/>
            <w:vAlign w:val="bottom"/>
            <w:gridSpan w:val="6"/>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Corporation, the guarantors named on the signature pages thereto and U.S. Bank National Association, as</w:t>
              </w:r>
            </w:hyperlink>
          </w:p>
        </w:tc>
        <w:tc>
          <w:tcPr>
            <w:tcW w:w="2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Trustee (incorporated by reference from Exhibit 4.1 to the Current Report on Form 8-K of DISH DBS</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Corporation filed May 24, 2021).</w:t>
              </w:r>
            </w:hyperlink>
          </w:p>
        </w:tc>
        <w:tc>
          <w:tcPr>
            <w:tcW w:w="4940" w:type="dxa"/>
            <w:vAlign w:val="bottom"/>
            <w:tcBorders>
              <w:top w:val="single" w:sz="8" w:color="0000EE"/>
            </w:tcBorders>
            <w:gridSpan w:val="7"/>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7820" w:type="dxa"/>
            <w:vAlign w:val="bottom"/>
            <w:gridSpan w:val="15"/>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Indenture, relating to the 5 1/4% Senior Secured Notes due 2026 and the 5 3/4% Senior Secured Notes due</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2028, dated as of November 26, 2021, among DISH DBS Corporation, the guarantors named on the</w:t>
              </w:r>
            </w:hyperlink>
          </w:p>
        </w:tc>
        <w:tc>
          <w:tcPr>
            <w:tcW w:w="14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40" w:type="dxa"/>
            <w:vAlign w:val="bottom"/>
            <w:gridSpan w:val="6"/>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signature pages thereto and U.S. Bank National Association, as Trustee and collateral agent (incorporated by</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20" w:type="dxa"/>
            <w:vAlign w:val="bottom"/>
            <w:gridSpan w:val="15"/>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reference from Exhibit 4.1 to the Current Report on Form 8-K of DISH DBS Corporation filed November</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0">
              <w:r>
                <w:rPr>
                  <w:rFonts w:ascii="Times New Roman" w:cs="Times New Roman" w:eastAsia="Times New Roman" w:hAnsi="Times New Roman"/>
                  <w:sz w:val="18"/>
                  <w:szCs w:val="18"/>
                  <w:color w:val="0000EE"/>
                  <w:w w:val="97"/>
                </w:rPr>
                <w:t>26, 2021).</w:t>
              </w:r>
            </w:hyperlink>
          </w:p>
        </w:tc>
        <w:tc>
          <w:tcPr>
            <w:tcW w:w="1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20" w:right="119" w:hanging="742"/>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62">
        <w:r>
          <w:rPr>
            <w:rFonts w:ascii="Times New Roman" w:cs="Times New Roman" w:eastAsia="Times New Roman" w:hAnsi="Times New Roman"/>
            <w:sz w:val="18"/>
            <w:szCs w:val="18"/>
            <w:u w:val="single" w:color="auto"/>
            <w:color w:val="0000EE"/>
          </w:rPr>
          <w:t>Security Agreement, dated as of November 26, 2021, among DISH DBS Corporation, the guarantors named</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on the signature pages thereto and U.S. Bank National Association, as collateral agent (incorporated by</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reference from Exhibit 4.2 to the Current Report on Form 8-K of DISH DBS Corporation filed November</w:t>
        </w:r>
      </w:hyperlink>
      <w:r>
        <w:rPr>
          <w:rFonts w:ascii="Times New Roman" w:cs="Times New Roman" w:eastAsia="Times New Roman" w:hAnsi="Times New Roman"/>
          <w:sz w:val="18"/>
          <w:szCs w:val="18"/>
          <w:u w:val="single" w:color="auto"/>
          <w:color w:val="0000EE"/>
        </w:rPr>
        <w:t xml:space="preserve"> </w:t>
      </w:r>
      <w:hyperlink r:id="rId62">
        <w:r>
          <w:rPr>
            <w:rFonts w:ascii="Times New Roman" w:cs="Times New Roman" w:eastAsia="Times New Roman" w:hAnsi="Times New Roman"/>
            <w:sz w:val="18"/>
            <w:szCs w:val="18"/>
            <w:u w:val="single" w:color="auto"/>
            <w:color w:val="0000EE"/>
          </w:rPr>
          <w:t>26, 2021).</w:t>
        </w:r>
      </w:hyperlink>
    </w:p>
    <w:p>
      <w:pPr>
        <w:spacing w:after="0" w:line="180" w:lineRule="exact"/>
        <w:rPr>
          <w:rFonts w:ascii="Times New Roman" w:cs="Times New Roman" w:eastAsia="Times New Roman" w:hAnsi="Times New Roman"/>
          <w:sz w:val="18"/>
          <w:szCs w:val="18"/>
          <w:u w:val="single" w:color="auto"/>
          <w:color w:val="0000EE"/>
        </w:rPr>
      </w:pPr>
    </w:p>
    <w:p>
      <w:pPr>
        <w:ind w:left="1120" w:right="159" w:hanging="742"/>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63">
        <w:r>
          <w:rPr>
            <w:rFonts w:ascii="Times New Roman" w:cs="Times New Roman" w:eastAsia="Times New Roman" w:hAnsi="Times New Roman"/>
            <w:sz w:val="18"/>
            <w:szCs w:val="18"/>
            <w:u w:val="single" w:color="auto"/>
            <w:color w:val="0000EE"/>
          </w:rPr>
          <w:t>Loan and Security Agreement, dated as of November 26, 2021, between DISH DBS Corporation and DISH</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Network Corporation (incorporated by reference from Exhibit 4.3 to the Current Report on Form 8-K of</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DISH DBS Corporation filed November 26, 2021).</w:t>
        </w:r>
      </w:hyperlink>
    </w:p>
    <w:p>
      <w:pPr>
        <w:spacing w:after="0" w:line="176" w:lineRule="exact"/>
        <w:rPr>
          <w:rFonts w:ascii="Times New Roman" w:cs="Times New Roman" w:eastAsia="Times New Roman" w:hAnsi="Times New Roman"/>
          <w:sz w:val="18"/>
          <w:szCs w:val="18"/>
          <w:u w:val="single" w:color="auto"/>
          <w:color w:val="0000EE"/>
        </w:rPr>
      </w:pPr>
    </w:p>
    <w:p>
      <w:pPr>
        <w:ind w:left="1120" w:right="539" w:hanging="742"/>
        <w:spacing w:after="0" w:line="31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64">
        <w:r>
          <w:rPr>
            <w:rFonts w:ascii="Times New Roman" w:cs="Times New Roman" w:eastAsia="Times New Roman" w:hAnsi="Times New Roman"/>
            <w:sz w:val="17"/>
            <w:szCs w:val="17"/>
            <w:u w:val="single" w:color="auto"/>
            <w:color w:val="0000EE"/>
          </w:rPr>
          <w:t>Supplemental Indenture relating to the 5 7/8% Senior Notes due 2024 (incorporated by reference from</w:t>
        </w:r>
      </w:hyperlink>
      <w:r>
        <w:rPr>
          <w:rFonts w:ascii="Times New Roman" w:cs="Times New Roman" w:eastAsia="Times New Roman" w:hAnsi="Times New Roman"/>
          <w:sz w:val="17"/>
          <w:szCs w:val="17"/>
          <w:u w:val="single" w:color="auto"/>
          <w:color w:val="0000EE"/>
        </w:rPr>
        <w:t xml:space="preserve"> </w:t>
      </w:r>
      <w:hyperlink r:id="rId64">
        <w:r>
          <w:rPr>
            <w:rFonts w:ascii="Times New Roman" w:cs="Times New Roman" w:eastAsia="Times New Roman" w:hAnsi="Times New Roman"/>
            <w:sz w:val="17"/>
            <w:szCs w:val="17"/>
            <w:u w:val="single" w:color="auto"/>
            <w:color w:val="0000EE"/>
          </w:rPr>
          <w:t>Exhibit 4.15 to the Annual Report on Form 10-K of DISH DBS Corporation filed March 29, 2018).</w:t>
        </w:r>
      </w:hyperlink>
    </w:p>
    <w:p>
      <w:pPr>
        <w:spacing w:after="0" w:line="140" w:lineRule="exact"/>
        <w:rPr>
          <w:sz w:val="20"/>
          <w:szCs w:val="20"/>
          <w:color w:val="auto"/>
        </w:rPr>
      </w:pPr>
    </w:p>
    <w:p>
      <w:pPr>
        <w:ind w:left="1120" w:right="539" w:hanging="742"/>
        <w:spacing w:after="0" w:line="312" w:lineRule="auto"/>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65">
        <w:r>
          <w:rPr>
            <w:rFonts w:ascii="Times New Roman" w:cs="Times New Roman" w:eastAsia="Times New Roman" w:hAnsi="Times New Roman"/>
            <w:sz w:val="17"/>
            <w:szCs w:val="17"/>
            <w:u w:val="single" w:color="auto"/>
            <w:color w:val="0000EE"/>
          </w:rPr>
          <w:t>Supplemental Indenture relating to the 7 3/4% Senior Notes due 2026 (incorporated by reference from</w:t>
        </w:r>
      </w:hyperlink>
      <w:r>
        <w:rPr>
          <w:rFonts w:ascii="Times New Roman" w:cs="Times New Roman" w:eastAsia="Times New Roman" w:hAnsi="Times New Roman"/>
          <w:sz w:val="17"/>
          <w:szCs w:val="17"/>
          <w:u w:val="single" w:color="auto"/>
          <w:color w:val="0000EE"/>
        </w:rPr>
        <w:t xml:space="preserve"> </w:t>
      </w:r>
      <w:hyperlink r:id="rId65">
        <w:r>
          <w:rPr>
            <w:rFonts w:ascii="Times New Roman" w:cs="Times New Roman" w:eastAsia="Times New Roman" w:hAnsi="Times New Roman"/>
            <w:sz w:val="17"/>
            <w:szCs w:val="17"/>
            <w:u w:val="single" w:color="auto"/>
            <w:color w:val="0000EE"/>
          </w:rPr>
          <w:t>Exhibit 4.16 to the Annual Report on Form 10-K of DISH DBS Corporation filed March 29, 2018).</w:t>
        </w:r>
      </w:hyperlink>
    </w:p>
    <w:p>
      <w:pPr>
        <w:spacing w:after="0" w:line="140" w:lineRule="exact"/>
        <w:rPr>
          <w:sz w:val="20"/>
          <w:szCs w:val="20"/>
          <w:color w:val="auto"/>
        </w:rPr>
      </w:pPr>
    </w:p>
    <w:p>
      <w:pPr>
        <w:ind w:left="1120" w:right="57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66">
        <w:r>
          <w:rPr>
            <w:rFonts w:ascii="Times New Roman" w:cs="Times New Roman" w:eastAsia="Times New Roman" w:hAnsi="Times New Roman"/>
            <w:sz w:val="18"/>
            <w:szCs w:val="18"/>
            <w:u w:val="single" w:color="auto"/>
            <w:color w:val="0000EE"/>
          </w:rPr>
          <w:t>2002 Class B CEO Stock Option Plan (incorporated by reference from Appendix A to DISH Network</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Corporation’s Definitive Proxy Statement on Schedule 14A dated April 9, 2002). **</w:t>
        </w:r>
      </w:hyperlink>
    </w:p>
    <w:p>
      <w:pPr>
        <w:spacing w:after="0" w:line="162" w:lineRule="exact"/>
        <w:rPr>
          <w:sz w:val="20"/>
          <w:szCs w:val="20"/>
          <w:color w:val="auto"/>
        </w:rPr>
      </w:pPr>
    </w:p>
    <w:p>
      <w:pPr>
        <w:ind w:left="1120" w:right="7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67">
        <w:r>
          <w:rPr>
            <w:rFonts w:ascii="Times New Roman" w:cs="Times New Roman" w:eastAsia="Times New Roman" w:hAnsi="Times New Roman"/>
            <w:sz w:val="18"/>
            <w:szCs w:val="18"/>
            <w:u w:val="single" w:color="auto"/>
            <w:color w:val="0000EE"/>
          </w:rPr>
          <w:t>Nonemployee Director Stock Option Agreement (incorporated by reference from Exhibit 99.6 to the Current</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Report on Form 8-K of DISH Network Corporation filed July 7, 2005). **</w:t>
        </w:r>
      </w:hyperlink>
    </w:p>
    <w:p>
      <w:pPr>
        <w:spacing w:after="0" w:line="148" w:lineRule="exact"/>
        <w:rPr>
          <w:sz w:val="20"/>
          <w:szCs w:val="20"/>
          <w:color w:val="auto"/>
        </w:rPr>
      </w:pPr>
    </w:p>
    <w:p>
      <w:pPr>
        <w:jc w:val="right"/>
        <w:ind w:left="380" w:right="499"/>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68">
        <w:r>
          <w:rPr>
            <w:rFonts w:ascii="Times New Roman" w:cs="Times New Roman" w:eastAsia="Times New Roman" w:hAnsi="Times New Roman"/>
            <w:sz w:val="18"/>
            <w:szCs w:val="18"/>
            <w:u w:val="single" w:color="auto"/>
            <w:color w:val="0000EE"/>
          </w:rPr>
          <w:t>DISH Network Corporation 2009 Stock Incentive Plan (incorporated by reference from Appendix A to</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DISH Network Corporation’s Definitive Proxy Statement on Form 14A filed September 19, 2014). **</w:t>
        </w:r>
      </w:hyperlink>
    </w:p>
    <w:p>
      <w:pPr>
        <w:spacing w:after="0" w:line="162" w:lineRule="exact"/>
        <w:rPr>
          <w:sz w:val="20"/>
          <w:szCs w:val="20"/>
          <w:color w:val="auto"/>
        </w:rPr>
      </w:pPr>
    </w:p>
    <w:p>
      <w:pPr>
        <w:ind w:left="1120" w:right="79" w:hanging="742"/>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69">
        <w:r>
          <w:rPr>
            <w:rFonts w:ascii="Times New Roman" w:cs="Times New Roman" w:eastAsia="Times New Roman" w:hAnsi="Times New Roman"/>
            <w:sz w:val="18"/>
            <w:szCs w:val="18"/>
            <w:u w:val="single" w:color="auto"/>
            <w:color w:val="0000EE"/>
          </w:rPr>
          <w:t>Amended and Restated DISH Network Corporation 2001 Nonemployee Director Stock Option Plan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(incorporated by reference from Appendix B to DISH Network Corporation’s Definitive Proxy Statement on</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Form 14A filed March 31, 2009). **</w:t>
        </w:r>
      </w:hyperlink>
    </w:p>
    <w:p>
      <w:pPr>
        <w:spacing w:after="0" w:line="176" w:lineRule="exact"/>
        <w:rPr>
          <w:rFonts w:ascii="Times New Roman" w:cs="Times New Roman" w:eastAsia="Times New Roman" w:hAnsi="Times New Roman"/>
          <w:sz w:val="18"/>
          <w:szCs w:val="18"/>
          <w:u w:val="single" w:color="auto"/>
          <w:color w:val="0000EE"/>
        </w:rPr>
      </w:pPr>
    </w:p>
    <w:p>
      <w:pPr>
        <w:ind w:left="1120" w:right="79" w:hanging="742"/>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69">
        <w:r>
          <w:rPr>
            <w:rFonts w:ascii="Times New Roman" w:cs="Times New Roman" w:eastAsia="Times New Roman" w:hAnsi="Times New Roman"/>
            <w:sz w:val="18"/>
            <w:szCs w:val="18"/>
            <w:u w:val="single" w:color="auto"/>
            <w:color w:val="0000EE"/>
          </w:rPr>
          <w:t>Amended and Restated DISH Network Corporation 1999 Stock Incentive Plan (incorporated by reference</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from Appendix C to DISH Network Corporation’s Definitive Proxy Statement on Form 14A filed March 31,</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2009). **</w:t>
        </w:r>
      </w:hyperlink>
    </w:p>
    <w:p>
      <w:pPr>
        <w:spacing w:after="0" w:line="176" w:lineRule="exact"/>
        <w:rPr>
          <w:rFonts w:ascii="Times New Roman" w:cs="Times New Roman" w:eastAsia="Times New Roman" w:hAnsi="Times New Roman"/>
          <w:sz w:val="18"/>
          <w:szCs w:val="18"/>
          <w:u w:val="single" w:color="auto"/>
          <w:color w:val="0000EE"/>
        </w:rPr>
      </w:pPr>
    </w:p>
    <w:p>
      <w:pPr>
        <w:ind w:left="1120" w:right="9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70">
        <w:r>
          <w:rPr>
            <w:rFonts w:ascii="Times New Roman" w:cs="Times New Roman" w:eastAsia="Times New Roman" w:hAnsi="Times New Roman"/>
            <w:sz w:val="18"/>
            <w:szCs w:val="18"/>
            <w:u w:val="single" w:color="auto"/>
            <w:color w:val="0000EE"/>
          </w:rPr>
          <w:t>Description of the 2017 Long-Term Incentive Plan dated December 2, 2016 (incorporated by reference from</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the Current Report on Form 8-K of DISH Network Corporation filed December 8, 2016). **</w:t>
        </w:r>
      </w:hyperlink>
    </w:p>
    <w:p>
      <w:pPr>
        <w:spacing w:after="0" w:line="162" w:lineRule="exact"/>
        <w:rPr>
          <w:sz w:val="20"/>
          <w:szCs w:val="20"/>
          <w:color w:val="auto"/>
        </w:rPr>
      </w:pPr>
    </w:p>
    <w:p>
      <w:pPr>
        <w:ind w:left="1120" w:right="23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71">
        <w:r>
          <w:rPr>
            <w:rFonts w:ascii="Times New Roman" w:cs="Times New Roman" w:eastAsia="Times New Roman" w:hAnsi="Times New Roman"/>
            <w:sz w:val="18"/>
            <w:szCs w:val="18"/>
            <w:u w:val="single" w:color="auto"/>
            <w:color w:val="0000EE"/>
          </w:rPr>
          <w:t>Description of the 2019 Long-Term Incentive Plan dated August 17, 2018 (incorporated by reference from</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the Current Report on Form 8-K of DISH Network Corporation filed August 23, 2018). **</w:t>
        </w:r>
      </w:hyperlink>
    </w:p>
    <w:p>
      <w:pPr>
        <w:spacing w:after="0" w:line="162" w:lineRule="exact"/>
        <w:rPr>
          <w:sz w:val="20"/>
          <w:szCs w:val="20"/>
          <w:color w:val="auto"/>
        </w:rPr>
      </w:pPr>
    </w:p>
    <w:p>
      <w:pPr>
        <w:ind w:left="1120" w:right="15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72">
        <w:r>
          <w:rPr>
            <w:rFonts w:ascii="Times New Roman" w:cs="Times New Roman" w:eastAsia="Times New Roman" w:hAnsi="Times New Roman"/>
            <w:sz w:val="18"/>
            <w:szCs w:val="18"/>
            <w:u w:val="single" w:color="auto"/>
            <w:color w:val="0000EE"/>
          </w:rPr>
          <w:t>Incentive Stock Option Agreement (incorporated by reference from Exhibit 10.1 to the Quarterly Report on</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Form 10-Q of DISH Network Corporation filed November 6, 2020). **</w:t>
        </w:r>
      </w:hyperlink>
    </w:p>
    <w:p>
      <w:pPr>
        <w:spacing w:after="0" w:line="162" w:lineRule="exact"/>
        <w:rPr>
          <w:sz w:val="20"/>
          <w:szCs w:val="20"/>
          <w:color w:val="auto"/>
        </w:rPr>
      </w:pPr>
    </w:p>
    <w:p>
      <w:pPr>
        <w:ind w:left="1120" w:right="53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73">
        <w:r>
          <w:rPr>
            <w:rFonts w:ascii="Times New Roman" w:cs="Times New Roman" w:eastAsia="Times New Roman" w:hAnsi="Times New Roman"/>
            <w:sz w:val="18"/>
            <w:szCs w:val="18"/>
            <w:u w:val="single" w:color="auto"/>
            <w:color w:val="0000EE"/>
          </w:rPr>
          <w:t>Non-Qualified Stock Option Agreement (incorporated by reference from Exhibit 10.2 to the Quarterly</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Report on Form 10-Q of DISH Network Corporation filed November 6, 2020). **</w:t>
        </w:r>
      </w:hyperlink>
    </w:p>
    <w:p>
      <w:pPr>
        <w:spacing w:after="0" w:line="162" w:lineRule="exact"/>
        <w:rPr>
          <w:sz w:val="20"/>
          <w:szCs w:val="20"/>
          <w:color w:val="auto"/>
        </w:rPr>
      </w:pPr>
    </w:p>
    <w:p>
      <w:pPr>
        <w:ind w:left="1120" w:right="279" w:hanging="742"/>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74">
        <w:r>
          <w:rPr>
            <w:rFonts w:ascii="Times New Roman" w:cs="Times New Roman" w:eastAsia="Times New Roman" w:hAnsi="Times New Roman"/>
            <w:sz w:val="18"/>
            <w:szCs w:val="18"/>
            <w:u w:val="single" w:color="auto"/>
            <w:color w:val="0000EE"/>
          </w:rPr>
          <w:t>Restricted Stock Unit Agreement (incorporated by reference from Exhibit 10.3 to the Quarterly Report on</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Form 10-Q of DISH Network Corporation filed November 6, 2020). **</w:t>
        </w:r>
      </w:hyperlink>
    </w:p>
    <w:p>
      <w:pPr>
        <w:spacing w:after="0" w:line="121" w:lineRule="exact"/>
        <w:rPr>
          <w:sz w:val="20"/>
          <w:szCs w:val="20"/>
          <w:color w:val="auto"/>
        </w:rPr>
      </w:pPr>
    </w:p>
    <w:p>
      <w:pPr>
        <w:ind w:left="380"/>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22</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EE"/>
        </w:rPr>
        <w:t>List of Subsidiary Guarantors</w:t>
      </w:r>
    </w:p>
    <w:p>
      <w:pPr>
        <w:spacing w:after="0" w:line="225" w:lineRule="exact"/>
        <w:rPr>
          <w:sz w:val="20"/>
          <w:szCs w:val="20"/>
          <w:color w:val="auto"/>
        </w:rPr>
      </w:pPr>
    </w:p>
    <w:p>
      <w:pPr>
        <w:ind w:left="380"/>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31.1</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Section 302 Certification of Chief Executive Officer.</w:t>
      </w:r>
    </w:p>
    <w:p>
      <w:pPr>
        <w:spacing w:after="0" w:line="225" w:lineRule="exact"/>
        <w:rPr>
          <w:sz w:val="20"/>
          <w:szCs w:val="20"/>
          <w:color w:val="auto"/>
        </w:rPr>
      </w:pPr>
    </w:p>
    <w:p>
      <w:pPr>
        <w:ind w:left="380"/>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31.2</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Section 302 Certification of Chief Financial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32.1</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Section 906 Certification of Chief Executive Officer.</w:t>
      </w:r>
    </w:p>
    <w:p>
      <w:pPr>
        <w:spacing w:after="0" w:line="225" w:lineRule="exact"/>
        <w:rPr>
          <w:sz w:val="20"/>
          <w:szCs w:val="20"/>
          <w:color w:val="auto"/>
        </w:rPr>
      </w:pPr>
    </w:p>
    <w:p>
      <w:pPr>
        <w:ind w:left="380"/>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32.2</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EE"/>
        </w:rPr>
        <w:t>Section 906 Certification of Chief Financial Officer.</w:t>
      </w:r>
    </w:p>
    <w:p>
      <w:pPr>
        <w:spacing w:after="0" w:line="347" w:lineRule="exact"/>
        <w:rPr>
          <w:sz w:val="20"/>
          <w:szCs w:val="20"/>
          <w:color w:val="auto"/>
        </w:rPr>
      </w:pPr>
    </w:p>
    <w:p>
      <w:pPr>
        <w:ind w:left="1140" w:right="219" w:hanging="769"/>
        <w:spacing w:after="0" w:line="220" w:lineRule="exact"/>
        <w:tabs>
          <w:tab w:leader="none" w:pos="1120" w:val="left"/>
        </w:tabs>
        <w:rPr>
          <w:sz w:val="20"/>
          <w:szCs w:val="20"/>
          <w:color w:val="auto"/>
        </w:rPr>
      </w:pPr>
      <w:r>
        <w:rPr>
          <w:rFonts w:ascii="Times New Roman" w:cs="Times New Roman" w:eastAsia="Times New Roman" w:hAnsi="Times New Roman"/>
          <w:sz w:val="18"/>
          <w:szCs w:val="18"/>
          <w:color w:val="auto"/>
        </w:rPr>
        <w:t xml:space="preserve">101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The following materials from the Annual Report on Form 10-K of DISH DBS Corporation for the year ended December 31, 2023, filed on April 1, 2024,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w:t>
      </w:r>
    </w:p>
    <w:p>
      <w:pPr>
        <w:spacing w:after="0" w:line="201" w:lineRule="exact"/>
        <w:rPr>
          <w:sz w:val="20"/>
          <w:szCs w:val="20"/>
          <w:color w:val="auto"/>
        </w:rPr>
      </w:pPr>
    </w:p>
    <w:p>
      <w:pPr>
        <w:ind w:left="380"/>
        <w:spacing w:after="0" w:line="207" w:lineRule="exact"/>
        <w:tabs>
          <w:tab w:leader="none" w:pos="1120" w:val="left"/>
        </w:tabs>
        <w:rPr>
          <w:sz w:val="20"/>
          <w:szCs w:val="20"/>
          <w:color w:val="auto"/>
        </w:rPr>
      </w:pPr>
      <w:r>
        <w:rPr>
          <w:rFonts w:ascii="Times New Roman" w:cs="Times New Roman" w:eastAsia="Times New Roman" w:hAnsi="Times New Roman"/>
          <w:sz w:val="18"/>
          <w:szCs w:val="18"/>
          <w:color w:val="auto"/>
        </w:rPr>
        <w:t xml:space="preserve">104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141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46" w:lineRule="exact"/>
        <w:rPr>
          <w:sz w:val="20"/>
          <w:szCs w:val="20"/>
          <w:color w:val="auto"/>
        </w:rPr>
      </w:pPr>
    </w:p>
    <w:p>
      <w:pPr>
        <w:ind w:left="540" w:hanging="490"/>
        <w:spacing w:after="0"/>
        <w:tabs>
          <w:tab w:leader="none" w:pos="54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herewith.</w:t>
      </w:r>
    </w:p>
    <w:p>
      <w:pPr>
        <w:spacing w:after="0" w:line="29" w:lineRule="exact"/>
        <w:rPr>
          <w:sz w:val="20"/>
          <w:szCs w:val="20"/>
          <w:color w:val="auto"/>
        </w:rPr>
      </w:pPr>
    </w:p>
    <w:p>
      <w:pPr>
        <w:ind w:left="540" w:hanging="490"/>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7" w:lineRule="exact"/>
        <w:rPr>
          <w:sz w:val="20"/>
          <w:szCs w:val="20"/>
          <w:color w:val="auto"/>
        </w:rPr>
      </w:pPr>
    </w:p>
    <w:p>
      <w:pPr>
        <w:ind w:left="540" w:hanging="490"/>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management contract or compensatory plan or arrangement.</w:t>
      </w:r>
    </w:p>
    <w:p>
      <w:pPr>
        <w:spacing w:after="0" w:line="9" w:lineRule="exact"/>
        <w:rPr>
          <w:rFonts w:ascii="Times New Roman" w:cs="Times New Roman" w:eastAsia="Times New Roman" w:hAnsi="Times New Roman"/>
          <w:sz w:val="18"/>
          <w:szCs w:val="18"/>
          <w:color w:val="auto"/>
        </w:rPr>
      </w:pPr>
    </w:p>
    <w:p>
      <w:pPr>
        <w:ind w:left="540" w:right="99" w:hanging="490"/>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and separately filed with the Securities and Exchange Commission with a request for confidential treatment.</w:t>
      </w:r>
    </w:p>
    <w:p>
      <w:pPr>
        <w:spacing w:after="0" w:line="38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DISH DBS CORPORATION</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18415</wp:posOffset>
            </wp:positionV>
            <wp:extent cx="2571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Paul W. Orban</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DISH</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2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p>
      <w:pPr>
        <w:ind w:left="760"/>
        <w:spacing w:after="0"/>
        <w:tabs>
          <w:tab w:leader="none" w:pos="4060" w:val="left"/>
          <w:tab w:leader="none" w:pos="73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5023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Hamid Akhavan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Hamid Akhavan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60" w:type="dxa"/>
            <w:vAlign w:val="bottom"/>
          </w:tcPr>
          <w:p>
            <w:pPr>
              <w:spacing w:after="0"/>
              <w:rPr>
                <w:sz w:val="19"/>
                <w:szCs w:val="19"/>
                <w:color w:val="auto"/>
              </w:rPr>
            </w:pPr>
          </w:p>
        </w:tc>
      </w:tr>
      <w:tr>
        <w:trPr>
          <w:trHeight w:val="6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Paul W. Orban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 DISH</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Paul W. Orban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160" w:type="dxa"/>
            <w:vAlign w:val="bottom"/>
          </w:tcPr>
          <w:p>
            <w:pPr>
              <w:spacing w:after="0"/>
              <w:rPr>
                <w:sz w:val="19"/>
                <w:szCs w:val="19"/>
                <w:color w:val="auto"/>
              </w:rPr>
            </w:pPr>
          </w:p>
        </w:tc>
      </w:tr>
      <w:tr>
        <w:trPr>
          <w:trHeight w:val="6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James S. Allen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James S. Allen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160" w:type="dxa"/>
            <w:vAlign w:val="bottom"/>
          </w:tcPr>
          <w:p>
            <w:pPr>
              <w:spacing w:after="0"/>
              <w:rPr>
                <w:sz w:val="19"/>
                <w:szCs w:val="19"/>
                <w:color w:val="auto"/>
              </w:rPr>
            </w:pPr>
          </w:p>
        </w:tc>
      </w:tr>
      <w:tr>
        <w:trPr>
          <w:trHeight w:val="6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/s/ Charles W. Ergen</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Charles W. Ergen</w:t>
            </w:r>
          </w:p>
        </w:tc>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DeFranco</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James DeFranco</w:t>
            </w:r>
          </w:p>
        </w:tc>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Tom A. Ortolf</w:t>
            </w:r>
          </w:p>
        </w:tc>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April 1, 2024</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Tom A. Ortolf</w:t>
            </w:r>
          </w:p>
        </w:tc>
        <w:tc>
          <w:tcPr>
            <w:tcW w:w="47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8320" w:type="dxa"/>
            <w:vAlign w:val="bottom"/>
            <w:gridSpan w:val="7"/>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KPMG LLP, Independent Registered Public Accounting Firm </w:t>
            </w:r>
            <w:r>
              <w:rPr>
                <w:rFonts w:ascii="Times New Roman" w:cs="Times New Roman" w:eastAsia="Times New Roman" w:hAnsi="Times New Roman"/>
                <w:sz w:val="18"/>
                <w:szCs w:val="18"/>
                <w:color w:val="000000"/>
              </w:rPr>
              <w:t>(PCAOB ID: 185)</w:t>
            </w: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2"/>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3080" w:type="dxa"/>
            <w:vAlign w:val="bottom"/>
            <w:tcBorders>
              <w:top w:val="single" w:sz="8" w:color="0000EE"/>
            </w:tcBorders>
            <w:gridSpan w:val="4"/>
          </w:tcPr>
          <w:p>
            <w:pPr>
              <w:spacing w:after="0"/>
              <w:rPr>
                <w:sz w:val="17"/>
                <w:szCs w:val="17"/>
                <w:color w:val="auto"/>
              </w:rPr>
            </w:pPr>
          </w:p>
        </w:tc>
        <w:tc>
          <w:tcPr>
            <w:tcW w:w="3140" w:type="dxa"/>
            <w:vAlign w:val="bottom"/>
            <w:gridSpan w:val="2"/>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F–4</w:t>
            </w:r>
          </w:p>
        </w:tc>
        <w:tc>
          <w:tcPr>
            <w:tcW w:w="0" w:type="dxa"/>
            <w:vAlign w:val="bottom"/>
          </w:tcPr>
          <w:p>
            <w:pPr>
              <w:spacing w:after="0"/>
              <w:rPr>
                <w:sz w:val="1"/>
                <w:szCs w:val="1"/>
                <w:color w:val="auto"/>
              </w:rPr>
            </w:pPr>
          </w:p>
        </w:tc>
      </w:tr>
      <w:tr>
        <w:trPr>
          <w:trHeight w:val="196"/>
        </w:trPr>
        <w:tc>
          <w:tcPr>
            <w:tcW w:w="8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w:t>
            </w: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F–5</w:t>
            </w:r>
          </w:p>
        </w:tc>
        <w:tc>
          <w:tcPr>
            <w:tcW w:w="0" w:type="dxa"/>
            <w:vAlign w:val="bottom"/>
          </w:tcPr>
          <w:p>
            <w:pPr>
              <w:spacing w:after="0"/>
              <w:rPr>
                <w:sz w:val="1"/>
                <w:szCs w:val="1"/>
                <w:color w:val="auto"/>
              </w:rPr>
            </w:pPr>
          </w:p>
        </w:tc>
      </w:tr>
      <w:tr>
        <w:trPr>
          <w:trHeight w:val="196"/>
        </w:trPr>
        <w:tc>
          <w:tcPr>
            <w:tcW w:w="53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w:t>
            </w:r>
          </w:p>
        </w:tc>
        <w:tc>
          <w:tcPr>
            <w:tcW w:w="2940" w:type="dxa"/>
            <w:vAlign w:val="bottom"/>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2180" w:type="dxa"/>
            <w:vAlign w:val="bottom"/>
            <w:tcBorders>
              <w:top w:val="single" w:sz="8" w:color="0000EE"/>
            </w:tcBorders>
            <w:gridSpan w:val="2"/>
          </w:tcPr>
          <w:p>
            <w:pPr>
              <w:spacing w:after="0"/>
              <w:rPr>
                <w:sz w:val="17"/>
                <w:szCs w:val="17"/>
                <w:color w:val="auto"/>
              </w:rPr>
            </w:pPr>
          </w:p>
        </w:tc>
        <w:tc>
          <w:tcPr>
            <w:tcW w:w="3260" w:type="dxa"/>
            <w:vAlign w:val="bottom"/>
            <w:gridSpan w:val="3"/>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160" w:type="dxa"/>
            <w:vAlign w:val="bottom"/>
            <w:gridSpan w:val="4"/>
          </w:tcPr>
          <w:p>
            <w:pPr>
              <w:spacing w:after="0"/>
              <w:rPr>
                <w:sz w:val="17"/>
                <w:szCs w:val="17"/>
                <w:color w:val="auto"/>
              </w:rPr>
            </w:pPr>
          </w:p>
        </w:tc>
        <w:tc>
          <w:tcPr>
            <w:tcW w:w="6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w w:val="92"/>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497205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DISH DBS Corporation:</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DISH DBS Corporation and subsidiaries (the Company) as of December 31, 2023 and 2022, the related consolidated statements of operations and comprehensive income (loss), changes in stockholder’s equity (deficit), and cash flows for each of the years in the three-year period ended</w:t>
      </w:r>
    </w:p>
    <w:p>
      <w:pPr>
        <w:spacing w:after="0" w:line="1" w:lineRule="exact"/>
        <w:rPr>
          <w:sz w:val="20"/>
          <w:szCs w:val="20"/>
          <w:color w:val="auto"/>
        </w:rPr>
      </w:pPr>
    </w:p>
    <w:p>
      <w:pPr>
        <w:ind w:left="40" w:right="459"/>
        <w:spacing w:after="0" w:line="253" w:lineRule="auto"/>
        <w:rPr>
          <w:sz w:val="20"/>
          <w:szCs w:val="20"/>
          <w:color w:val="auto"/>
        </w:rPr>
      </w:pPr>
      <w:r>
        <w:rPr>
          <w:rFonts w:ascii="Times New Roman" w:cs="Times New Roman" w:eastAsia="Times New Roman" w:hAnsi="Times New Roman"/>
          <w:sz w:val="18"/>
          <w:szCs w:val="18"/>
          <w:color w:val="auto"/>
        </w:rPr>
        <w:t>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54"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debt maturing in 2024 that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left="40" w:right="2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revenue</w:t>
      </w:r>
    </w:p>
    <w:p>
      <w:pPr>
        <w:spacing w:after="0" w:line="227" w:lineRule="exact"/>
        <w:rPr>
          <w:sz w:val="20"/>
          <w:szCs w:val="20"/>
          <w:color w:val="auto"/>
        </w:rPr>
      </w:pPr>
    </w:p>
    <w:p>
      <w:pPr>
        <w:ind w:left="360" w:right="99"/>
        <w:spacing w:after="0" w:line="266" w:lineRule="auto"/>
        <w:rPr>
          <w:sz w:val="20"/>
          <w:szCs w:val="20"/>
          <w:color w:val="auto"/>
        </w:rPr>
      </w:pPr>
      <w:r>
        <w:rPr>
          <w:rFonts w:ascii="Times New Roman" w:cs="Times New Roman" w:eastAsia="Times New Roman" w:hAnsi="Times New Roman"/>
          <w:sz w:val="18"/>
          <w:szCs w:val="18"/>
          <w:color w:val="auto"/>
        </w:rPr>
        <w:t>As discussed in Note 14 to the consolidated financial statements, the Company reported $11.5 billion in total revenue for the year ended December 31, 2023. The Company’s revenue includes multiple revenue streams and certain aspects of the Company’s processes and information technology (IT) systems differ among the revenue streams.</w:t>
      </w:r>
    </w:p>
    <w:p>
      <w:pPr>
        <w:spacing w:after="0" w:line="176" w:lineRule="exact"/>
        <w:rPr>
          <w:sz w:val="20"/>
          <w:szCs w:val="20"/>
          <w:color w:val="auto"/>
        </w:rPr>
      </w:pPr>
    </w:p>
    <w:p>
      <w:pPr>
        <w:ind w:left="360" w:right="27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180" w:lineRule="exact"/>
        <w:rPr>
          <w:sz w:val="20"/>
          <w:szCs w:val="20"/>
          <w:color w:val="auto"/>
        </w:rPr>
      </w:pPr>
    </w:p>
    <w:p>
      <w:pPr>
        <w:ind w:left="360" w:right="139"/>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We evaluated the sufficiency of audit evidence obtained by assessing the results of the procedures performed, including the appropriateness of the nature and extent of such evidence.</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(Dollars in thousands, except share amounts)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8"/>
        </w:trPr>
        <w:tc>
          <w:tcPr>
            <w:tcW w:w="63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Current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373,641</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621,975</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Marketable investment securities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282,733</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accounts receivable, net of allowance for credit losses of $34,884 and $40,642, respectively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619,604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660,808</w:t>
            </w: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Advances to affiliates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421,457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267,841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307,411</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receivable - DISH Network (Note 17)</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Prepaids and other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174,522</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2,413</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1,850,747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2,049,862</w:t>
            </w:r>
          </w:p>
        </w:tc>
        <w:tc>
          <w:tcPr>
            <w:tcW w:w="40" w:type="dxa"/>
            <w:vAlign w:val="bottom"/>
            <w:shd w:val="clear" w:color="auto" w:fill="CCEEFF"/>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Noncurrent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 cash equivalents and marketable investment securities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53,525</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808,065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990,886</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Regulatory authorizations, net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611,794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611,794</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investments,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93,806</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92,972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130,454</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Notes receivable - DISH Network (Note 17)</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7,495,755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7,160,116</w:t>
            </w: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receivable - DISH Network (Note 17)</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36,912</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116,026</w:t>
            </w:r>
          </w:p>
        </w:tc>
        <w:tc>
          <w:tcPr>
            <w:tcW w:w="40" w:type="dxa"/>
            <w:vAlign w:val="bottom"/>
            <w:shd w:val="clear" w:color="auto" w:fill="CCEEFF"/>
          </w:tcPr>
          <w:p>
            <w:pPr>
              <w:spacing w:after="0"/>
              <w:rPr>
                <w:sz w:val="12"/>
                <w:szCs w:val="12"/>
                <w:color w:val="auto"/>
              </w:rPr>
            </w:pPr>
          </w:p>
        </w:tc>
      </w:tr>
      <w:tr>
        <w:trPr>
          <w:trHeight w:val="142"/>
        </w:trPr>
        <w:tc>
          <w:tcPr>
            <w:tcW w:w="6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9,281,043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9,193,519</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tcBorders>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11,131,790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11,243,381</w:t>
            </w:r>
          </w:p>
        </w:tc>
        <w:tc>
          <w:tcPr>
            <w:tcW w:w="40" w:type="dxa"/>
            <w:vAlign w:val="bottom"/>
            <w:tcBorders>
              <w:bottom w:val="single" w:sz="8" w:color="CCEEFF"/>
            </w:tcBorders>
            <w:shd w:val="clear" w:color="auto" w:fill="CCEEFF"/>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Current Liabilities: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248,640</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385,899</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and other</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555,151</w:t>
            </w:r>
          </w:p>
        </w:tc>
        <w:tc>
          <w:tcPr>
            <w:tcW w:w="40" w:type="dxa"/>
            <w:vAlign w:val="bottom"/>
          </w:tcPr>
          <w:p>
            <w:pPr>
              <w:spacing w:after="0"/>
              <w:rPr>
                <w:sz w:val="12"/>
                <w:szCs w:val="12"/>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programming</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1,427,762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1,298,777</w:t>
            </w: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180,823</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644,574</w:t>
            </w:r>
          </w:p>
        </w:tc>
        <w:tc>
          <w:tcPr>
            <w:tcW w:w="40" w:type="dxa"/>
            <w:vAlign w:val="bottom"/>
            <w:shd w:val="clear" w:color="auto" w:fill="CCEEFF"/>
          </w:tcPr>
          <w:p>
            <w:pPr>
              <w:spacing w:after="0"/>
              <w:rPr>
                <w:sz w:val="12"/>
                <w:szCs w:val="12"/>
                <w:color w:val="auto"/>
              </w:rPr>
            </w:pPr>
          </w:p>
        </w:tc>
      </w:tr>
      <w:tr>
        <w:trPr>
          <w:trHeight w:val="149"/>
        </w:trPr>
        <w:tc>
          <w:tcPr>
            <w:tcW w:w="636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finance lease obligations (Note 8)</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2,023,976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1,484,101</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4,780,985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4,549,325</w:t>
            </w:r>
          </w:p>
        </w:tc>
        <w:tc>
          <w:tcPr>
            <w:tcW w:w="40" w:type="dxa"/>
            <w:vAlign w:val="bottom"/>
            <w:shd w:val="clear" w:color="auto" w:fill="CCEEFF"/>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Long-Term Obligations,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and finance lease obligations, net of current portion (Note 8)</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9,755,538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11,761,407</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352,748</w:t>
            </w: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75,142</w:t>
            </w: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deferred revenue and other long-term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209,288</w:t>
            </w:r>
          </w:p>
        </w:tc>
        <w:tc>
          <w:tcPr>
            <w:tcW w:w="40" w:type="dxa"/>
            <w:vAlign w:val="bottom"/>
            <w:shd w:val="clear" w:color="auto" w:fill="CCEEFF"/>
          </w:tcPr>
          <w:p>
            <w:pPr>
              <w:spacing w:after="0"/>
              <w:rPr>
                <w:sz w:val="12"/>
                <w:szCs w:val="12"/>
                <w:color w:val="auto"/>
              </w:rPr>
            </w:pPr>
          </w:p>
        </w:tc>
      </w:tr>
      <w:tr>
        <w:trPr>
          <w:trHeight w:val="142"/>
        </w:trPr>
        <w:tc>
          <w:tcPr>
            <w:tcW w:w="6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long-term obligations, net of current portion</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10,296,503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12,398,585</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15,077,488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16,947,910</w:t>
            </w:r>
          </w:p>
        </w:tc>
        <w:tc>
          <w:tcPr>
            <w:tcW w:w="40" w:type="dxa"/>
            <w:vAlign w:val="bottom"/>
            <w:shd w:val="clear" w:color="auto" w:fill="CCEEFF"/>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Stockholder’s Equity (Deficit):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Common stock, $0.01 par value, 1,000,000 shares authorized, 1,015 shares issued and outstanding</w:t>
            </w:r>
          </w:p>
        </w:tc>
        <w:tc>
          <w:tcPr>
            <w:tcW w:w="2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1,547,164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1,532,906</w:t>
            </w:r>
          </w:p>
        </w:tc>
        <w:tc>
          <w:tcPr>
            <w:tcW w:w="40" w:type="dxa"/>
            <w:vAlign w:val="bottom"/>
            <w:shd w:val="clear" w:color="auto" w:fill="CCEEFF"/>
          </w:tcPr>
          <w:p>
            <w:pPr>
              <w:spacing w:after="0"/>
              <w:rPr>
                <w:sz w:val="12"/>
                <w:szCs w:val="12"/>
                <w:color w:val="auto"/>
              </w:rPr>
            </w:pPr>
          </w:p>
        </w:tc>
      </w:tr>
      <w:tr>
        <w:trPr>
          <w:trHeight w:val="149"/>
        </w:trPr>
        <w:tc>
          <w:tcPr>
            <w:tcW w:w="6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(2,445)</w:t>
            </w:r>
          </w:p>
        </w:tc>
      </w:tr>
      <w:tr>
        <w:trPr>
          <w:trHeight w:val="148"/>
        </w:trPr>
        <w:tc>
          <w:tcPr>
            <w:tcW w:w="63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earnings (deficit)</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(5,490,361)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(7,234,990)</w:t>
            </w:r>
          </w:p>
        </w:tc>
      </w:tr>
      <w:tr>
        <w:trPr>
          <w:trHeight w:val="142"/>
        </w:trPr>
        <w:tc>
          <w:tcPr>
            <w:tcW w:w="6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(3,945,698)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(5,704,529)</w:t>
            </w:r>
          </w:p>
        </w:tc>
        <w:tc>
          <w:tcPr>
            <w:tcW w:w="40" w:type="dxa"/>
            <w:vAlign w:val="bottom"/>
            <w:tcBorders>
              <w:bottom w:val="single" w:sz="8" w:color="CCEEFF"/>
            </w:tcBorders>
          </w:tcPr>
          <w:p>
            <w:pPr>
              <w:spacing w:after="0"/>
              <w:rPr>
                <w:sz w:val="12"/>
                <w:szCs w:val="12"/>
                <w:color w:val="auto"/>
              </w:rPr>
            </w:pPr>
          </w:p>
        </w:tc>
      </w:tr>
      <w:tr>
        <w:trPr>
          <w:trHeight w:val="142"/>
        </w:trPr>
        <w:tc>
          <w:tcPr>
            <w:tcW w:w="6360" w:type="dxa"/>
            <w:vAlign w:val="bottom"/>
            <w:tcBorders>
              <w:bottom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11,131,790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11,243,381</w:t>
            </w:r>
          </w:p>
        </w:tc>
        <w:tc>
          <w:tcPr>
            <w:tcW w:w="40" w:type="dxa"/>
            <w:vAlign w:val="bottom"/>
            <w:tcBorders>
              <w:bottom w:val="single" w:sz="8" w:color="CCEEFF"/>
            </w:tcBorders>
            <w:shd w:val="clear" w:color="auto" w:fill="CCEEFF"/>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8"/>
          </w:tcPr>
          <w:p>
            <w:pPr>
              <w:ind w:left="44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r>
      <w:tr>
        <w:trPr>
          <w:trHeight w:val="189"/>
        </w:trPr>
        <w:tc>
          <w:tcPr>
            <w:tcW w:w="45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2021</w:t>
            </w:r>
          </w:p>
        </w:tc>
        <w:tc>
          <w:tcPr>
            <w:tcW w:w="60" w:type="dxa"/>
            <w:vAlign w:val="bottom"/>
            <w:tcBorders>
              <w:bottom w:val="single" w:sz="8" w:color="CCEEFF"/>
            </w:tcBorders>
          </w:tcPr>
          <w:p>
            <w:pPr>
              <w:spacing w:after="0"/>
              <w:rPr>
                <w:sz w:val="16"/>
                <w:szCs w:val="16"/>
                <w:color w:val="auto"/>
              </w:rPr>
            </w:pPr>
          </w:p>
        </w:tc>
      </w:tr>
      <w:tr>
        <w:trPr>
          <w:trHeight w:val="18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Service revenue</w:t>
            </w:r>
          </w:p>
        </w:tc>
        <w:tc>
          <w:tcPr>
            <w:tcW w:w="9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11,320,526</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12,281,346</w:t>
            </w:r>
          </w:p>
        </w:tc>
        <w:tc>
          <w:tcPr>
            <w:tcW w:w="3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12,661,766</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Equipment sales and other revenue</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153,699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96,862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100,097</w:t>
            </w:r>
          </w:p>
        </w:tc>
        <w:tc>
          <w:tcPr>
            <w:tcW w:w="60" w:type="dxa"/>
            <w:vAlign w:val="bottom"/>
            <w:shd w:val="clear" w:color="auto" w:fill="CCEEFF"/>
          </w:tcPr>
          <w:p>
            <w:pPr>
              <w:spacing w:after="0"/>
              <w:rPr>
                <w:sz w:val="17"/>
                <w:szCs w:val="17"/>
                <w:color w:val="auto"/>
              </w:rPr>
            </w:pPr>
          </w:p>
        </w:tc>
      </w:tr>
      <w:tr>
        <w:trPr>
          <w:trHeight w:val="18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11,474,225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12,378,208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12,761,863</w:t>
            </w:r>
          </w:p>
        </w:tc>
        <w:tc>
          <w:tcPr>
            <w:tcW w:w="60" w:type="dxa"/>
            <w:vAlign w:val="bottom"/>
            <w:tcBorders>
              <w:bottom w:val="single" w:sz="8" w:color="CCEEFF"/>
            </w:tcBorders>
          </w:tcPr>
          <w:p>
            <w:pPr>
              <w:spacing w:after="0"/>
              <w:rPr>
                <w:sz w:val="15"/>
                <w:szCs w:val="15"/>
                <w:color w:val="auto"/>
              </w:rPr>
            </w:pPr>
          </w:p>
        </w:tc>
      </w:tr>
      <w:tr>
        <w:trPr>
          <w:trHeight w:val="183"/>
        </w:trPr>
        <w:tc>
          <w:tcPr>
            <w:tcW w:w="4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Costs and Expenses </w:t>
            </w:r>
            <w:r>
              <w:rPr>
                <w:rFonts w:ascii="Times New Roman" w:cs="Times New Roman" w:eastAsia="Times New Roman" w:hAnsi="Times New Roman"/>
                <w:sz w:val="13"/>
                <w:szCs w:val="13"/>
                <w:color w:val="auto"/>
              </w:rPr>
              <w:t>(exclusive of depreciation and amortization):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services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7,100,543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7,527,563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7,852,934</w:t>
            </w:r>
          </w:p>
        </w:tc>
        <w:tc>
          <w:tcPr>
            <w:tcW w:w="60" w:type="dxa"/>
            <w:vAlign w:val="bottom"/>
            <w:shd w:val="clear" w:color="auto" w:fill="CCEEFF"/>
          </w:tcPr>
          <w:p>
            <w:pPr>
              <w:spacing w:after="0"/>
              <w:rPr>
                <w:sz w:val="17"/>
                <w:szCs w:val="17"/>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 - equipment and other</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79,905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87,578</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1,375,908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1,593,723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1,442,897</w:t>
            </w:r>
          </w:p>
        </w:tc>
        <w:tc>
          <w:tcPr>
            <w:tcW w:w="60" w:type="dxa"/>
            <w:vAlign w:val="bottom"/>
            <w:shd w:val="clear" w:color="auto" w:fill="CCEEFF"/>
          </w:tcPr>
          <w:p>
            <w:pPr>
              <w:spacing w:after="0"/>
              <w:rPr>
                <w:sz w:val="17"/>
                <w:szCs w:val="17"/>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315,660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354,361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439,004</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long-lived assets and goodwill (Note 2)</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costs and expenses</w:t>
            </w:r>
          </w:p>
        </w:tc>
        <w:tc>
          <w:tcPr>
            <w:tcW w:w="6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8,876,787</w:t>
            </w:r>
          </w:p>
        </w:tc>
        <w:tc>
          <w:tcPr>
            <w:tcW w:w="1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9,555,552</w:t>
            </w:r>
          </w:p>
        </w:tc>
        <w:tc>
          <w:tcPr>
            <w:tcW w:w="1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9,822,413</w:t>
            </w:r>
          </w:p>
        </w:tc>
        <w:tc>
          <w:tcPr>
            <w:tcW w:w="60" w:type="dxa"/>
            <w:vAlign w:val="bottom"/>
            <w:tcBorders>
              <w:bottom w:val="single" w:sz="8" w:color="CCEEFF"/>
            </w:tcBorders>
          </w:tcPr>
          <w:p>
            <w:pPr>
              <w:spacing w:after="0"/>
              <w:rPr>
                <w:sz w:val="15"/>
                <w:szCs w:val="15"/>
                <w:color w:val="auto"/>
              </w:rPr>
            </w:pPr>
          </w:p>
        </w:tc>
      </w:tr>
      <w:tr>
        <w:trPr>
          <w:trHeight w:val="183"/>
        </w:trPr>
        <w:tc>
          <w:tcPr>
            <w:tcW w:w="4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Operating income (loss)</w:t>
            </w:r>
          </w:p>
        </w:tc>
        <w:tc>
          <w:tcPr>
            <w:tcW w:w="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2,597,438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2,822,656</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2,939,450</w:t>
            </w:r>
          </w:p>
        </w:tc>
        <w:tc>
          <w:tcPr>
            <w:tcW w:w="60" w:type="dxa"/>
            <w:vAlign w:val="bottom"/>
            <w:tcBorders>
              <w:bottom w:val="single" w:sz="8" w:color="CCEEFF"/>
            </w:tcBorders>
          </w:tcPr>
          <w:p>
            <w:pPr>
              <w:spacing w:after="0"/>
              <w:rPr>
                <w:sz w:val="17"/>
                <w:szCs w:val="17"/>
                <w:color w:val="auto"/>
              </w:rPr>
            </w:pPr>
          </w:p>
        </w:tc>
      </w:tr>
      <w:tr>
        <w:trPr>
          <w:trHeight w:val="183"/>
        </w:trPr>
        <w:tc>
          <w:tcPr>
            <w:tcW w:w="4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464,939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440,412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36,458</w:t>
            </w:r>
          </w:p>
        </w:tc>
        <w:tc>
          <w:tcPr>
            <w:tcW w:w="60" w:type="dxa"/>
            <w:vAlign w:val="bottom"/>
            <w:shd w:val="clear" w:color="auto" w:fill="CCEEFF"/>
          </w:tcPr>
          <w:p>
            <w:pPr>
              <w:spacing w:after="0"/>
              <w:rPr>
                <w:sz w:val="17"/>
                <w:szCs w:val="17"/>
                <w:color w:val="auto"/>
              </w:rPr>
            </w:pPr>
          </w:p>
        </w:tc>
      </w:tr>
      <w:tr>
        <w:trPr>
          <w:trHeight w:val="202"/>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net of amounts capitalized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(753,162)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(871,530)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(683,803)</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4,466</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60" w:type="dxa"/>
            <w:vAlign w:val="bottom"/>
            <w:shd w:val="clear" w:color="auto" w:fill="CCEEFF"/>
          </w:tcPr>
          <w:p>
            <w:pPr>
              <w:spacing w:after="0"/>
              <w:rPr>
                <w:sz w:val="17"/>
                <w:szCs w:val="17"/>
                <w:color w:val="auto"/>
              </w:rPr>
            </w:pPr>
          </w:p>
        </w:tc>
      </w:tr>
      <w:tr>
        <w:trPr>
          <w:trHeight w:val="18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(287,705)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(426,652)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(648,165)</w:t>
            </w:r>
          </w:p>
        </w:tc>
        <w:tc>
          <w:tcPr>
            <w:tcW w:w="60" w:type="dxa"/>
            <w:vAlign w:val="bottom"/>
            <w:tcBorders>
              <w:bottom w:val="single" w:sz="8" w:color="CCEEFF"/>
            </w:tcBorders>
          </w:tcPr>
          <w:p>
            <w:pPr>
              <w:spacing w:after="0"/>
              <w:rPr>
                <w:sz w:val="15"/>
                <w:szCs w:val="15"/>
                <w:color w:val="auto"/>
              </w:rPr>
            </w:pPr>
          </w:p>
        </w:tc>
      </w:tr>
      <w:tr>
        <w:trPr>
          <w:trHeight w:val="183"/>
        </w:trPr>
        <w:tc>
          <w:tcPr>
            <w:tcW w:w="4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2,309,733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2,396,004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2,291,285</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(provision) benefit, net</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(565,104)</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(585,259)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(554,413)</w:t>
            </w:r>
          </w:p>
        </w:tc>
        <w:tc>
          <w:tcPr>
            <w:tcW w:w="60" w:type="dxa"/>
            <w:vAlign w:val="bottom"/>
            <w:shd w:val="clear" w:color="auto" w:fill="CCEEFF"/>
          </w:tcPr>
          <w:p>
            <w:pPr>
              <w:spacing w:after="0"/>
              <w:rPr>
                <w:sz w:val="17"/>
                <w:szCs w:val="17"/>
                <w:color w:val="auto"/>
              </w:rPr>
            </w:pPr>
          </w:p>
        </w:tc>
      </w:tr>
      <w:tr>
        <w:trPr>
          <w:trHeight w:val="20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1,744,629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1,810,745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1,736,872</w:t>
            </w:r>
          </w:p>
        </w:tc>
        <w:tc>
          <w:tcPr>
            <w:tcW w:w="60" w:type="dxa"/>
            <w:vAlign w:val="bottom"/>
            <w:tcBorders>
              <w:bottom w:val="single" w:sz="8" w:color="CCEEFF"/>
            </w:tcBorders>
          </w:tcPr>
          <w:p>
            <w:pPr>
              <w:spacing w:after="0"/>
              <w:rPr>
                <w:sz w:val="18"/>
                <w:szCs w:val="18"/>
                <w:color w:val="auto"/>
              </w:rPr>
            </w:pPr>
          </w:p>
        </w:tc>
      </w:tr>
      <w:tr>
        <w:trPr>
          <w:trHeight w:val="156"/>
        </w:trPr>
        <w:tc>
          <w:tcPr>
            <w:tcW w:w="4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 (Loss):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1,744,629</w:t>
            </w:r>
          </w:p>
        </w:tc>
        <w:tc>
          <w:tcPr>
            <w:tcW w:w="3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1,810,745</w:t>
            </w:r>
          </w:p>
        </w:tc>
        <w:tc>
          <w:tcPr>
            <w:tcW w:w="3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1,736,872</w:t>
            </w:r>
          </w:p>
        </w:tc>
        <w:tc>
          <w:tcPr>
            <w:tcW w:w="60" w:type="dxa"/>
            <w:vAlign w:val="bottom"/>
            <w:shd w:val="clear" w:color="auto" w:fill="CCEEFF"/>
          </w:tcPr>
          <w:p>
            <w:pPr>
              <w:spacing w:after="0"/>
              <w:rPr>
                <w:sz w:val="17"/>
                <w:szCs w:val="17"/>
                <w:color w:val="auto"/>
              </w:rPr>
            </w:pP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comprehensive income (loss):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60" w:type="dxa"/>
            <w:vAlign w:val="bottom"/>
            <w:shd w:val="clear" w:color="auto" w:fill="CCEEFF"/>
          </w:tcPr>
          <w:p>
            <w:pPr>
              <w:spacing w:after="0"/>
              <w:rPr>
                <w:sz w:val="17"/>
                <w:szCs w:val="17"/>
                <w:color w:val="auto"/>
              </w:rPr>
            </w:pPr>
          </w:p>
        </w:tc>
      </w:tr>
      <w:tr>
        <w:trPr>
          <w:trHeight w:val="203"/>
        </w:trPr>
        <w:tc>
          <w:tcPr>
            <w:tcW w:w="4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holding gains (losses) on available-for-sale debt securities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60" w:type="dxa"/>
            <w:vAlign w:val="bottom"/>
          </w:tcPr>
          <w:p>
            <w:pPr>
              <w:spacing w:after="0"/>
              <w:rPr>
                <w:sz w:val="17"/>
                <w:szCs w:val="17"/>
                <w:color w:val="auto"/>
              </w:rPr>
            </w:pPr>
          </w:p>
        </w:tc>
      </w:tr>
      <w:tr>
        <w:trPr>
          <w:trHeight w:val="20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 (expense) benefit, net</w:t>
            </w:r>
          </w:p>
        </w:tc>
        <w:tc>
          <w:tcPr>
            <w:tcW w:w="6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60" w:type="dxa"/>
            <w:vAlign w:val="bottom"/>
            <w:shd w:val="clear" w:color="auto" w:fill="CCEEFF"/>
          </w:tcPr>
          <w:p>
            <w:pPr>
              <w:spacing w:after="0"/>
              <w:rPr>
                <w:sz w:val="17"/>
                <w:szCs w:val="17"/>
                <w:color w:val="auto"/>
              </w:rPr>
            </w:pPr>
          </w:p>
        </w:tc>
      </w:tr>
      <w:tr>
        <w:trPr>
          <w:trHeight w:val="183"/>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Total other comprehensive income (loss), net of tax</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(1,183)</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60" w:type="dxa"/>
            <w:vAlign w:val="bottom"/>
            <w:tcBorders>
              <w:bottom w:val="single" w:sz="8" w:color="CCEEFF"/>
            </w:tcBorders>
          </w:tcPr>
          <w:p>
            <w:pPr>
              <w:spacing w:after="0"/>
              <w:rPr>
                <w:sz w:val="15"/>
                <w:szCs w:val="15"/>
                <w:color w:val="auto"/>
              </w:rPr>
            </w:pPr>
          </w:p>
        </w:tc>
      </w:tr>
      <w:tr>
        <w:trPr>
          <w:trHeight w:val="16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6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1,744,573</w:t>
            </w: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1,809,562</w:t>
            </w: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1,736,415</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3"/>
        </w:trPr>
        <w:tc>
          <w:tcPr>
            <w:tcW w:w="4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$ 1,463,407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(10,782,607)</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(9,320,005)</w:t>
            </w:r>
          </w:p>
        </w:tc>
      </w:tr>
      <w:tr>
        <w:trPr>
          <w:trHeight w:val="142"/>
        </w:trPr>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Non-cash, stock-based compensation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11,830</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Sale of assets to DISH Network, net of deferred taxes of $2,292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16,937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16,937</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1,736,872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1,736,872</w:t>
            </w:r>
          </w:p>
        </w:tc>
      </w:tr>
      <w:tr>
        <w:trPr>
          <w:trHeight w:val="142"/>
        </w:trPr>
        <w:tc>
          <w:tcPr>
            <w:tcW w:w="4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$ 1,492,174</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(9,045,735)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(7,554,823)</w:t>
            </w:r>
          </w:p>
        </w:tc>
      </w:tr>
      <w:tr>
        <w:trPr>
          <w:trHeight w:val="142"/>
        </w:trPr>
        <w:tc>
          <w:tcPr>
            <w:tcW w:w="4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Non-cash, stock-based compensation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40,732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40,732</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1,810,745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1,810,745</w:t>
            </w:r>
          </w:p>
        </w:tc>
      </w:tr>
      <w:tr>
        <w:trPr>
          <w:trHeight w:val="142"/>
        </w:trPr>
        <w:tc>
          <w:tcPr>
            <w:tcW w:w="40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$ 1,532,906</w:t>
            </w: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(2,445)</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(7,234,990)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(5,704,529)</w:t>
            </w:r>
          </w:p>
        </w:tc>
      </w:tr>
      <w:tr>
        <w:trPr>
          <w:trHeight w:val="142"/>
        </w:trPr>
        <w:tc>
          <w:tcPr>
            <w:tcW w:w="4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Non-cash, stock-based compensation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14,258</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1,744,629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1,744,629</w:t>
            </w:r>
          </w:p>
        </w:tc>
      </w:tr>
      <w:tr>
        <w:trPr>
          <w:trHeight w:val="142"/>
        </w:trPr>
        <w:tc>
          <w:tcPr>
            <w:tcW w:w="4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$ 1,547,164</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(5,490,361)</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(3,945,698)</w:t>
            </w:r>
          </w:p>
        </w:tc>
      </w:tr>
      <w:tr>
        <w:trPr>
          <w:trHeight w:val="20"/>
        </w:trPr>
        <w:tc>
          <w:tcPr>
            <w:tcW w:w="4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9"/>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03"/>
        </w:trPr>
        <w:tc>
          <w:tcPr>
            <w:tcW w:w="54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7"/>
                <w:szCs w:val="17"/>
                <w:color w:val="auto"/>
              </w:rPr>
            </w:pPr>
          </w:p>
        </w:tc>
      </w:tr>
      <w:tr>
        <w:trPr>
          <w:trHeight w:val="19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1,744,629</w:t>
            </w:r>
          </w:p>
        </w:tc>
        <w:tc>
          <w:tcPr>
            <w:tcW w:w="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1,810,745</w:t>
            </w:r>
          </w:p>
        </w:tc>
        <w:tc>
          <w:tcPr>
            <w:tcW w:w="14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1,736,872</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(loss) to net cash flows from operating activities: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439,004</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 and goodwill (Note 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and unrealized losses (gains) on investments and other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(116,715)</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(41,304)</w:t>
            </w: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allowance for credit losses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(10,372)</w:t>
            </w: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51,842</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income - DISH Network</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(318,050)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(415,188)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current assets and current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(67,036)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(11,143)</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(38,405)</w:t>
            </w: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(128,331)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(145,552)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206,862</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 and other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(49,790)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(47,370)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(64,705)</w:t>
            </w: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programming and other accrued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(98,474)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(840)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28,276</w:t>
            </w:r>
          </w:p>
        </w:tc>
        <w:tc>
          <w:tcPr>
            <w:tcW w:w="60" w:type="dxa"/>
            <w:vAlign w:val="bottom"/>
          </w:tcPr>
          <w:p>
            <w:pPr>
              <w:spacing w:after="0"/>
              <w:rPr>
                <w:sz w:val="18"/>
                <w:szCs w:val="18"/>
                <w:color w:val="auto"/>
              </w:rPr>
            </w:pPr>
          </w:p>
        </w:tc>
      </w:tr>
      <w:tr>
        <w:trPr>
          <w:trHeight w:val="196"/>
        </w:trPr>
        <w:tc>
          <w:tcPr>
            <w:tcW w:w="5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Net 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1,529,031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1,567,373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2,350,062</w:t>
            </w:r>
          </w:p>
        </w:tc>
        <w:tc>
          <w:tcPr>
            <w:tcW w:w="60" w:type="dxa"/>
            <w:vAlign w:val="bottom"/>
            <w:tcBorders>
              <w:top w:val="single" w:sz="8" w:color="CCEEFF"/>
            </w:tcBorders>
            <w:shd w:val="clear" w:color="auto" w:fill="CCEEFF"/>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(Purchases) Sales and maturities of marketable investment securities,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1,388,113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(1,538,268)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(132,607)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(122,477)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(156,860)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assets to DISH Network, net of tax</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60,369</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receivable - DISH Network</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(1,500,000)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(5,250,000)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Advances to/from affiliates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(421,457)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60" w:type="dxa"/>
            <w:vAlign w:val="bottom"/>
            <w:shd w:val="clear" w:color="auto" w:fill="CCEEFF"/>
          </w:tcPr>
          <w:p>
            <w:pPr>
              <w:spacing w:after="0"/>
              <w:rPr>
                <w:sz w:val="18"/>
                <w:szCs w:val="18"/>
                <w:color w:val="auto"/>
              </w:rPr>
            </w:pPr>
          </w:p>
        </w:tc>
      </w:tr>
      <w:tr>
        <w:trPr>
          <w:trHeight w:val="196"/>
        </w:trPr>
        <w:tc>
          <w:tcPr>
            <w:tcW w:w="54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cash flows from investing activities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(266,698)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(229,051)</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(6,876,187)</w:t>
            </w:r>
          </w:p>
        </w:tc>
      </w:tr>
      <w:tr>
        <w:trPr>
          <w:trHeight w:val="196"/>
        </w:trPr>
        <w:tc>
          <w:tcPr>
            <w:tcW w:w="5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long-term debt and finance lease obligations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(33,713)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(54,162)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Redemption and repurchases of senior notes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(1,460,635)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(2,056,821)</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(2,000,000)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(34,459)</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(3,368)</w:t>
            </w:r>
          </w:p>
        </w:tc>
      </w:tr>
      <w:tr>
        <w:trPr>
          <w:trHeight w:val="196"/>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Net cash flows from financing activities</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(1,509,212)</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(2,091,440)</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4,658,011</w:t>
            </w:r>
          </w:p>
        </w:tc>
        <w:tc>
          <w:tcPr>
            <w:tcW w:w="60" w:type="dxa"/>
            <w:vAlign w:val="bottom"/>
            <w:tcBorders>
              <w:bottom w:val="single" w:sz="8" w:color="CCEEFF"/>
            </w:tcBorders>
          </w:tcPr>
          <w:p>
            <w:pPr>
              <w:spacing w:after="0"/>
              <w:rPr>
                <w:sz w:val="17"/>
                <w:szCs w:val="17"/>
                <w:color w:val="auto"/>
              </w:rPr>
            </w:pPr>
          </w:p>
        </w:tc>
      </w:tr>
      <w:tr>
        <w:trPr>
          <w:trHeight w:val="196"/>
        </w:trPr>
        <w:tc>
          <w:tcPr>
            <w:tcW w:w="5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restricted cash and cash equivalents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(246,879)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(753,118)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131,886</w:t>
            </w:r>
          </w:p>
        </w:tc>
        <w:tc>
          <w:tcPr>
            <w:tcW w:w="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restricted cash and cash equivalents, beginning of period (Note 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1,428,618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1,296,732</w:t>
            </w:r>
          </w:p>
        </w:tc>
        <w:tc>
          <w:tcPr>
            <w:tcW w:w="60" w:type="dxa"/>
            <w:vAlign w:val="bottom"/>
            <w:shd w:val="clear" w:color="auto" w:fill="CCEEFF"/>
          </w:tcPr>
          <w:p>
            <w:pPr>
              <w:spacing w:after="0"/>
              <w:rPr>
                <w:sz w:val="18"/>
                <w:szCs w:val="18"/>
                <w:color w:val="auto"/>
              </w:rPr>
            </w:pPr>
          </w:p>
        </w:tc>
      </w:tr>
      <w:tr>
        <w:trPr>
          <w:trHeight w:val="183"/>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restricted cash and cash equivalents, end of period (Note 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428,621</w:t>
            </w:r>
          </w:p>
        </w:tc>
        <w:tc>
          <w:tcPr>
            <w:tcW w:w="6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675,500</w:t>
            </w:r>
          </w:p>
        </w:tc>
        <w:tc>
          <w:tcPr>
            <w:tcW w:w="1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1,428,618</w:t>
            </w:r>
          </w:p>
        </w:tc>
        <w:tc>
          <w:tcPr>
            <w:tcW w:w="6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 Activities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Business</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DISH DBS Corporation (which together with its subsidiaries is referred to as “DISH DBS,” the “Company,” “we,” “us” and/or “our,” unless otherwise required by the context) is a holding company and an indirect, wholly-owned subsidiary of DISH Network Corporation (“DISH Network”). DISH DBS was formed under Colorado law in January 1996 and its common stock is held by DISH Orbital Corporation (“DOC”), a direct subsidiary of DISH Network. Our subsidiaries operate one business segment, Pay-TV.</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Merger with EchoStar</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December 31, 2023, EchoStar completed the acquisition of DISH Network pursuant to the Amended and Restated Agreement and Plan of Merger, dated as of October 2, 2023 (the “Amended Merger Agreement”), by and among EchoStar, EAV Corp., a Nevada corporation and its wholly owned subsidiary (“Merger Sub”), and DISH Network, pursuant to which EchoStar acquired DISH Network by means of the merger of Merger Sub with and into DISH Network (the “Merger”), with DISH Network surviving the Merger as its wholly owned subsidiary.</w:t>
      </w:r>
    </w:p>
    <w:p>
      <w:pPr>
        <w:spacing w:after="0" w:line="183"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more information and a copy of the Amended Merger Agreement, see the Form 8-K of EchoStar filed on October 3, 2023 and the Form 8-K of EchoStar filed on January 2, 2024.</w:t>
      </w:r>
    </w:p>
    <w:p>
      <w:pPr>
        <w:spacing w:after="0" w:line="162" w:lineRule="exact"/>
        <w:rPr>
          <w:sz w:val="20"/>
          <w:szCs w:val="20"/>
          <w:color w:val="auto"/>
        </w:rPr>
      </w:pPr>
    </w:p>
    <w:p>
      <w:pPr>
        <w:ind w:left="60" w:right="139"/>
        <w:spacing w:after="0" w:line="312" w:lineRule="auto"/>
        <w:rPr>
          <w:sz w:val="20"/>
          <w:szCs w:val="20"/>
          <w:color w:val="auto"/>
        </w:rPr>
      </w:pPr>
      <w:r>
        <w:rPr>
          <w:rFonts w:ascii="Times New Roman" w:cs="Times New Roman" w:eastAsia="Times New Roman" w:hAnsi="Times New Roman"/>
          <w:sz w:val="17"/>
          <w:szCs w:val="17"/>
          <w:color w:val="auto"/>
        </w:rPr>
        <w:t>With the Merger complete, we are currently focused on the process of integrating our and EchoStar’s business in a manner that facilitates synergies, cost savings, growth opportunities and achieves other anticipated benefits (the “Integration”).</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222222"/>
        </w:rPr>
        <w:t>The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marketable investment securities totaled $374 million as of December 31, 2023 (“Cash on Hand”). As reflected in the consolidated financial statements as of December 31, 2023, we have $1.983 billion of debt maturing in November 2024.</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222222"/>
        </w:rPr>
        <w:t>Because we do not currently have committed financing to fund our operations for at least twelve months from the issuance of these consolidated financial statements, substantial doubt exists about our, our parent, DISH Network’s, and our ultimate parent, EchoStar’s, ability to continue as a going concern. We do not currently have the necessary Cash on Hand and/or projected future cash flows to fund the November 2024 debt maturity. To address our capital needs, we are in active discussions with funding sources to raise additional capital and restructure our outstanding debt. We cannot provide assurances that we will be successful in obtaining such new financing and/or restructuring the existing debt obligations necessary for us to have sufficient liquidity.</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222222"/>
        </w:rPr>
        <w:t xml:space="preserve">In addition, our parent, DISH Network, and </w:t>
      </w:r>
      <w:r>
        <w:rPr>
          <w:rFonts w:ascii="Times New Roman" w:cs="Times New Roman" w:eastAsia="Times New Roman" w:hAnsi="Times New Roman"/>
          <w:sz w:val="18"/>
          <w:szCs w:val="18"/>
          <w:color w:val="000000"/>
        </w:rPr>
        <w:t>our ultimate parent, EchoStar, may not be able to provide additional liquidity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 the future.</w:t>
      </w:r>
    </w:p>
    <w:p>
      <w:pPr>
        <w:spacing w:after="0" w:line="162"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222222"/>
        </w:rPr>
        <w:t>The consolidated financial statements do not include any adjustments to the amount and classification of assets and liabilities that may be necessary should we not continue as a going concern.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Pay-TV</w:t>
      </w:r>
    </w:p>
    <w:p>
      <w:pPr>
        <w:spacing w:after="0" w:line="198" w:lineRule="exact"/>
        <w:rPr>
          <w:sz w:val="20"/>
          <w:szCs w:val="20"/>
          <w:color w:val="auto"/>
        </w:rPr>
      </w:pPr>
    </w:p>
    <w:p>
      <w:pPr>
        <w:ind w:left="60" w:right="159"/>
        <w:spacing w:after="0" w:line="241" w:lineRule="auto"/>
        <w:rPr>
          <w:sz w:val="20"/>
          <w:szCs w:val="20"/>
          <w:color w:val="auto"/>
        </w:rPr>
      </w:pPr>
      <w:r>
        <w:rPr>
          <w:rFonts w:ascii="Times New Roman" w:cs="Times New Roman" w:eastAsia="Times New Roman" w:hAnsi="Times New Roman"/>
          <w:sz w:val="18"/>
          <w:szCs w:val="18"/>
          <w:color w:val="auto"/>
        </w:rPr>
        <w:t>We offer pay-TV services under the DISH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brand and the SLING</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2023, we had 8.526 million Pay-TV subscribers in the United States, including 6.471 million DISH TV subscribers and 2.055 million SLING TV subscribers.</w:t>
      </w:r>
    </w:p>
    <w:p>
      <w:pPr>
        <w:spacing w:after="0" w:line="196"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62"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all balances and results of operations of DISH DBS and our consolidated subsidiaries and are prepared in conformity with U.S. generally accepted accounting principles (“GAAP”). We consolidate all majority owned subsidiaries, investments in entities in which we have controlling influence and variable interest entities (“VIEs”)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EchoStar’s stock-based compensation plans, fair value of assets and liabilities acquired in business combinations,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279"/>
        <w:spacing w:after="0" w:line="289" w:lineRule="auto"/>
        <w:rPr>
          <w:sz w:val="20"/>
          <w:szCs w:val="20"/>
          <w:color w:val="auto"/>
        </w:rPr>
      </w:pPr>
      <w:r>
        <w:rPr>
          <w:rFonts w:ascii="Times New Roman" w:cs="Times New Roman" w:eastAsia="Times New Roman" w:hAnsi="Times New Roman"/>
          <w:sz w:val="17"/>
          <w:szCs w:val="17"/>
          <w:color w:val="auto"/>
        </w:rPr>
        <w:t>We consider all liquid investments purchased with a remaining maturity of 90 days or less at the date of acquisition to be cash equivalents. Cash equivalents as of December 31, 2023 and 2022 may consist of money market funds, government bonds, corporate notes and commercial paper. The amortized cost of these investments approximates their fair value.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Investment Securities</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All equity securities are carried at fair value, with changes in fair value recognized in “Other, net” within “Other Income (Expense)” on our Consolidated Statements of Operations and Comprehensive Income (Loss).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 Interest income from available for sale debt securities is reported in “Interest income, net” on our Consolidated Statements of Operations and Comprehensive Income (Loss).</w:t>
      </w:r>
    </w:p>
    <w:p>
      <w:pPr>
        <w:spacing w:after="0" w:line="18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Receivables and Related Allowance for Credit Losses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Accounts Receivable</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9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determining the allowance for credit losses, management groups similar types of financial assets with consistent risk characteristics. Pools identified by management include, but are not limited to residential customers, commercial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Property and equipment, including capitalized expenditures related to our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75"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18"/>
          <w:szCs w:val="18"/>
          <w:color w:val="auto"/>
        </w:rPr>
        <w:t>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two to 40 years. Repair and maintenance costs are charged to expense when incurred. Renewals and improvements that add value or extend the asset’s useful life are capitalized.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Internal Use Software</w:t>
      </w:r>
    </w:p>
    <w:p>
      <w:pPr>
        <w:spacing w:after="0" w:line="214" w:lineRule="exact"/>
        <w:rPr>
          <w:sz w:val="20"/>
          <w:szCs w:val="20"/>
          <w:color w:val="auto"/>
        </w:rPr>
      </w:pPr>
    </w:p>
    <w:p>
      <w:pPr>
        <w:jc w:val="both"/>
        <w:ind w:left="60" w:right="119"/>
        <w:spacing w:after="0"/>
        <w:rPr>
          <w:sz w:val="20"/>
          <w:szCs w:val="20"/>
          <w:color w:val="auto"/>
        </w:rPr>
      </w:pPr>
      <w:r>
        <w:rPr>
          <w:rFonts w:ascii="Times New Roman" w:cs="Times New Roman" w:eastAsia="Times New Roman" w:hAnsi="Times New Roman"/>
          <w:sz w:val="18"/>
          <w:szCs w:val="18"/>
          <w:color w:val="auto"/>
        </w:rPr>
        <w:t>We capitalize certain costs related to developing or acquiring internal use software. Capitalization of software costs begins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ind w:left="60" w:right="419"/>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Method Investments</w:t>
      </w:r>
    </w:p>
    <w:p>
      <w:pPr>
        <w:spacing w:after="0" w:line="227" w:lineRule="exact"/>
        <w:rPr>
          <w:sz w:val="20"/>
          <w:szCs w:val="20"/>
          <w:color w:val="auto"/>
        </w:rPr>
      </w:pPr>
    </w:p>
    <w:p>
      <w:pPr>
        <w:jc w:val="both"/>
        <w:ind w:left="60" w:right="239"/>
        <w:spacing w:after="0" w:line="277" w:lineRule="auto"/>
        <w:rPr>
          <w:sz w:val="20"/>
          <w:szCs w:val="20"/>
          <w:color w:val="auto"/>
        </w:rPr>
      </w:pPr>
      <w:r>
        <w:rPr>
          <w:rFonts w:ascii="Times New Roman" w:cs="Times New Roman" w:eastAsia="Times New Roman" w:hAnsi="Times New Roman"/>
          <w:sz w:val="17"/>
          <w:szCs w:val="17"/>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w:t>
      </w:r>
    </w:p>
    <w:p>
      <w:pPr>
        <w:spacing w:after="0" w:line="227"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and board materials; and we may make additional inquiries of investee management.</w:t>
      </w:r>
    </w:p>
    <w:p>
      <w:pPr>
        <w:spacing w:after="0" w:line="164"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Indicators of impairment may include, but are not limited to, unprofitable operations, material loss contingencies, changes in business strategy, changes in market trends or market conditions, changes in the investees’ enterprise value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Finite-Lived Intangible Assets</w:t>
      </w:r>
    </w:p>
    <w:p>
      <w:pPr>
        <w:spacing w:after="0" w:line="16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 approaches: income, cost and/or market. In the event of an impairment, a loss is recorded in “Impairment of long-lived assets and goodwill”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 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w:t>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DBS Satellites</w:t>
      </w:r>
    </w:p>
    <w:p>
      <w:pPr>
        <w:spacing w:after="0" w:line="227"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We currently evaluate our DBS satellite fleet for impairment as one asset group whenever events or changes in circumstances indicate that its carrying amount may not be recoverable. We do not believe any triggering event has occurred which would indicate impairment as of December 31, 2023 and 2022. We will continue to monitor the DBS satellite fleet for indicators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2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2023 and 2022.</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 and Goodwill</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Generally, we have determined that our FCC licenses have indefinite useful lives due to the following:</w:t>
      </w:r>
    </w:p>
    <w:p>
      <w:pPr>
        <w:spacing w:after="0" w:line="187"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licenses are a non-depleting asset;</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FCC licenses are integral to our business segments and will contribute to cash flows indefinitely;</w:t>
      </w:r>
    </w:p>
    <w:p>
      <w:pPr>
        <w:spacing w:after="0" w:line="76"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DBS satellite applications are generally authorized by the FCC subject to certain conditions, without substantial cost under a stable regulatory, legislative and legal environment;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expenditures to obtain future cash flows are not significant;</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FCC licenses are not technologically dependent; and</w:t>
      </w:r>
    </w:p>
    <w:p>
      <w:pPr>
        <w:spacing w:after="0" w:line="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use these assets indefinitely.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DBS Licenses</w:t>
      </w:r>
    </w:p>
    <w:p>
      <w:pPr>
        <w:spacing w:after="0" w:line="22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combine all of our indefinite-lived DBS licenses that we currently utilize or plan to utilize in the future into a single unit of accounting. For 2023, 2022 and 2021, management performed a qualitative assessment to determine whether it is more likely than not that the fair value of the DBS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DBS licenses exceeds its carrying amount. As such, no further analysis was required.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values of assets acquired and liabilities assumed as of the acquisition date. We test goodwill for impairment at the reporting unit level, which includes, among others, the SLING TV and DISH TV reporting units.</w:t>
      </w:r>
    </w:p>
    <w:p>
      <w:pPr>
        <w:spacing w:after="0" w:line="1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assessment for goodwill and other indefinite-lived intangible assets each year during the fourth quarter or more frequently if events or changes in circumstances indicate an impairment may be possible. We may consider qualitative factors to assess if it is more likely than not that the fair value for goodwill is below the carrying amount. If we determine in the qualitative assessment that it is more likely than not that the fair value is less than its carrying value, then we perform a quantitative assessment to determine the estimated fair value of the reporting unit. We may also elect to bypass the qualitative assessment and perform a quantitative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assessment process included, among other things, discounted cash flow analyses, consideration of fair values of tangible and indefinite-lived intangible assets held by the reporting units and our ultimate parent, EchoStar’s recent market capitalization. Our assessment indicated the goodwill attributed to certain acquisitions was no longer supported based on the sustained decrease in our ultimate parent, EchoStar’s market capitalization. As such, we recorded a total noncash impairment charge of approximately $6 million in “Impairment of long-lived assets and goodwill” on our Consolidated Statements of Operations and Comprehensive Income (Loss).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impairments were indicated for any reporting unit for the years ended December 31, 2022 and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acquisition-date fair values. Transaction costs related to the acquisition of the business are expensed as incurred. Costs associated with the issuance of debt associated with a business combination are capitalized and included as a yield adjustment to the underlying debt’s stated rate. 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13 to 20 years or in relation to the estimated discounted cash flows over the life of the intangible asset.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Deferred Revenue and Other Long-Term Liabilities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Taxes</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8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48"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being quoted prices in active markets for identical assets;</w:t>
      </w:r>
    </w:p>
    <w:p>
      <w:pPr>
        <w:spacing w:after="0" w:line="90" w:lineRule="exact"/>
        <w:rPr>
          <w:rFonts w:ascii="Times New Roman" w:cs="Times New Roman" w:eastAsia="Times New Roman" w:hAnsi="Times New Roman"/>
          <w:sz w:val="18"/>
          <w:szCs w:val="18"/>
          <w:color w:val="auto"/>
        </w:rPr>
      </w:pPr>
    </w:p>
    <w:p>
      <w:pPr>
        <w:jc w:val="both"/>
        <w:ind w:left="720" w:right="31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w:t>
      </w:r>
    </w:p>
    <w:p>
      <w:pPr>
        <w:spacing w:after="0" w:line="2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As of December 31, 2023 and 2022,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 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There were no transfers between levels during the years ended December 31, 2023 and 2022. See Note 4 for the fair value of our marketable investment securities.</w:t>
      </w:r>
    </w:p>
    <w:p>
      <w:pPr>
        <w:spacing w:after="0" w:line="19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8 for the fair value of our long-term debt.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 and Debt Discounts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8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revenue is primarily derived from Pay-TV subscriber revenue. We also generate revenue from equipment rental fees and other hardware related fees, including DVRs and fees from subscribers with multiple receivers; advertising services; fees earned from our in-home service operations; warranty services; sales of digital receivers and related equipment to third-party pay-TV providers; satellite uplink and telemetry, tracking and control (“TT&amp;C”) services; and revenue from in-home services. See Note 14 for further information, including revenue disaggregated by major source.</w:t>
      </w:r>
    </w:p>
    <w:p>
      <w:pPr>
        <w:spacing w:after="0" w:line="11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12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20"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 xml:space="preserve">For our residential video subscribers, we have concluded that the contract term under Accounting Standard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1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We do not adjust the amount of consideration for financing impacts when we anticipate that the period between transfer of goods and services and eventual payment for those goods and services will be less than one year. 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15 for further information, including balance and activity detail about our allowance for credit losses and deferred revenue related to contracts with subscribers.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Recognized Related to the Costs to Obtain a Contract with a Customer</w:t>
      </w:r>
    </w:p>
    <w:p>
      <w:pPr>
        <w:spacing w:after="0" w:line="10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enter into non-cancelable operating and finance leases for, among other things, satellites, office space, warehouses and distribution centers, vehicles and other equipment. Substantially all of our leases have remaining lease terms from one to nine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1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and classify that lease as either an operating or finance lease at inception. Operating leases are included in “Operating lease assets,” “Other accrued expenses and liabilities” and “Operating lease liabilities” on our Consolidated Balance Sheets. Finance leases are included in “Property and equipment, net,” “Current portion of long-term debt and finance lease obligations” and “Long-term debt and finance lease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7 for further information on our lease expenses.</w:t>
      </w:r>
    </w:p>
    <w:p>
      <w:pPr>
        <w:spacing w:after="0" w:line="12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Right of use (“ROU”)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24"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which are generally accounted for separately. Our variable lease payments are immaterial and our lease agreements do not contain any material residual value guarantees or material restrictive covenants.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“Cost of services” on our Consolidated Statements of Operations and Comprehensive Income (Loss) principally includes programming expenses and other operating costs related to our Pay-TV services.</w:t>
      </w:r>
    </w:p>
    <w:p>
      <w:pPr>
        <w:spacing w:after="0" w:line="94"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 Equipment and Other</w:t>
      </w:r>
    </w:p>
    <w:p>
      <w:pPr>
        <w:spacing w:after="0" w:line="21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6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recognize advertising expense when incurred as a component of “Selling, general and administrative expenses” on our Consolidated Statements of Operations and Comprehensive Income (Loss). Advertising expenses totaled $365 million, $480 million and $431 million for the years ended December 31, 2023, 2022 and 2021, respectively.</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 Research and development costs totaled $42 million, $45 million and $29 million for the years ended December 31, 2023,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Joint Ventures. </w:t>
      </w:r>
      <w:r>
        <w:rPr>
          <w:rFonts w:ascii="Times New Roman" w:cs="Times New Roman" w:eastAsia="Times New Roman" w:hAnsi="Times New Roman"/>
          <w:sz w:val="17"/>
          <w:szCs w:val="17"/>
          <w:color w:val="auto"/>
        </w:rPr>
        <w:t>On August 23, 2023, the FASB issued ASU 2023-05,</w:t>
      </w:r>
      <w:r>
        <w:rPr>
          <w:rFonts w:ascii="Times New Roman" w:cs="Times New Roman" w:eastAsia="Times New Roman" w:hAnsi="Times New Roman"/>
          <w:sz w:val="17"/>
          <w:szCs w:val="17"/>
          <w:i w:val="1"/>
          <w:iCs w:val="1"/>
          <w:color w:val="auto"/>
        </w:rPr>
        <w:t xml:space="preserve"> Business Combinations — Joint Venture Formations (Subtopic 805-60) </w:t>
      </w:r>
      <w:r>
        <w:rPr>
          <w:rFonts w:ascii="Times New Roman" w:cs="Times New Roman" w:eastAsia="Times New Roman" w:hAnsi="Times New Roman"/>
          <w:sz w:val="17"/>
          <w:szCs w:val="17"/>
          <w:color w:val="auto"/>
        </w:rPr>
        <w:t>(“ASU 2023-05”), which requires an entity that qualifies as either a joint venture or a corporate joint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On November 27, 2023, the FASB issued ASU 2023-07</w:t>
      </w:r>
      <w:r>
        <w:rPr>
          <w:rFonts w:ascii="Times New Roman" w:cs="Times New Roman" w:eastAsia="Times New Roman" w:hAnsi="Times New Roman"/>
          <w:sz w:val="18"/>
          <w:szCs w:val="18"/>
          <w:i w:val="1"/>
          <w:iCs w:val="1"/>
          <w:color w:val="auto"/>
        </w:rPr>
        <w:t xml:space="preserve"> Segment Reporting (Topic 280): Improvements to Reporting Segment Disclosures </w:t>
      </w:r>
      <w:r>
        <w:rPr>
          <w:rFonts w:ascii="Times New Roman" w:cs="Times New Roman" w:eastAsia="Times New Roman" w:hAnsi="Times New Roman"/>
          <w:sz w:val="18"/>
          <w:szCs w:val="18"/>
          <w:color w:val="auto"/>
        </w:rPr>
        <w:t>(“ASU 2023-07”), which will enhance financial reporting by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Consolidated Financial Statements and related disclosures.</w:t>
      </w:r>
    </w:p>
    <w:p>
      <w:pPr>
        <w:spacing w:after="0" w:line="183"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December 14, 2023, the FASB issued ASU 2023-9,</w:t>
      </w:r>
      <w:r>
        <w:rPr>
          <w:rFonts w:ascii="Times New Roman" w:cs="Times New Roman" w:eastAsia="Times New Roman" w:hAnsi="Times New Roman"/>
          <w:sz w:val="18"/>
          <w:szCs w:val="18"/>
          <w:i w:val="1"/>
          <w:iCs w:val="1"/>
          <w:color w:val="auto"/>
        </w:rPr>
        <w:t xml:space="preserve"> Income Taxes (Topic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which will enhance income tax disclosures. ASU 2023-09 requires among other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spacing w:after="0" w:line="180" w:lineRule="exact"/>
        <w:rPr>
          <w:sz w:val="20"/>
          <w:szCs w:val="20"/>
          <w:color w:val="auto"/>
        </w:rPr>
      </w:pPr>
    </w:p>
    <w:p>
      <w:pPr>
        <w:ind w:left="380" w:hanging="330"/>
        <w:spacing w:after="0"/>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Data - Statements of Cash Flows</w:t>
      </w:r>
    </w:p>
    <w:p>
      <w:pPr>
        <w:spacing w:after="0" w:line="16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supplemental cash flow and other non-cash data. See Note 7 for supplemental cash flow and non-cash data related to leases.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4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6"/>
        </w:trPr>
        <w:tc>
          <w:tcPr>
            <w:tcW w:w="4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747,332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899,382</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636,934</w:t>
            </w:r>
          </w:p>
        </w:tc>
        <w:tc>
          <w:tcPr>
            <w:tcW w:w="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for interest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interest - Intercompany Loan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31,025</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to DISH Network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562,268</w:t>
            </w:r>
          </w:p>
        </w:tc>
        <w:tc>
          <w:tcPr>
            <w:tcW w:w="20" w:type="dxa"/>
            <w:vAlign w:val="bottom"/>
            <w:shd w:val="clear" w:color="auto" w:fill="CCEEFF"/>
          </w:tcPr>
          <w:p>
            <w:pPr>
              <w:spacing w:after="0"/>
              <w:rPr>
                <w:sz w:val="18"/>
                <w:szCs w:val="18"/>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Vendor financing</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parent, DISH Network, provides a centralized system for the management of our cash and marketable investment securities as it does for all of its subsidiaries to, among other reasons, maximize yield of the portfolio. As a result, the cash and marketable investment securities included on our Consolidated Balance Sheets are a component or portion of the overall cash and marketable investment securities portfolio included on DISH Network’s Consolidated Balance Sheets and are managed by DISH Network. We are reflecting the purchases and sales of marketable investment securities on a net basis for each period presented on our Consolidated Statements of Cash Flows as we believe the net presentation is more meaningful to our 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Investment Securities, Restricted Cash and Cash Equivalents, and Other Investment Securities</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Our marketable investment securities, restricted cash and cash equivalents, and other investment securities consisted of the following:</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Marketable investment securities: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investment securities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5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 (1)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investment securities,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marketable investment securities, restricted cash and cash</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145,545</w:t>
            </w:r>
          </w:p>
        </w:tc>
        <w:tc>
          <w:tcPr>
            <w:tcW w:w="180" w:type="dxa"/>
            <w:vAlign w:val="bottom"/>
          </w:tcPr>
          <w:p>
            <w:pPr>
              <w:spacing w:after="0"/>
              <w:rPr>
                <w:sz w:val="15"/>
                <w:szCs w:val="15"/>
                <w:color w:val="auto"/>
              </w:rPr>
            </w:pPr>
          </w:p>
        </w:tc>
        <w:tc>
          <w:tcPr>
            <w:tcW w:w="5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430,064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 and other investment securities</w:t>
            </w:r>
          </w:p>
        </w:tc>
        <w:tc>
          <w:tcPr>
            <w:tcW w:w="76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19" w:hanging="330"/>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marketable investment securities and restricted cash and cash equivalents are included in “Restricted cash, cash equivalents and marketable investment securities” on our Consolidated Balance Sheets.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Investment Securities</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Marketable Investment Securities</w:t>
      </w:r>
    </w:p>
    <w:p>
      <w:pPr>
        <w:spacing w:after="0" w:line="160"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Our current marketable investment securities portfolio can include investments in various debt instruments including, among others, commercial paper, corporate securities and United States treasury and/or agency securities.</w:t>
      </w:r>
    </w:p>
    <w:p>
      <w:pPr>
        <w:spacing w:after="0" w:line="94"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 Cash Equivalents and Marketable Investment Securities</w:t>
      </w:r>
    </w:p>
    <w:p>
      <w:pPr>
        <w:spacing w:after="0" w:line="16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our restricted marketable investment securities, together with our restricted cash and cash equivalents, included amounts required as collateral for our letters of credit and trusts.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 net</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have strategic investments in certain debt and/or equity securities that are included in noncurrent “Other investments, net” on our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8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NagraStar L.L.C. </w:t>
      </w:r>
      <w:r>
        <w:rPr>
          <w:rFonts w:ascii="Times New Roman" w:cs="Times New Roman" w:eastAsia="Times New Roman" w:hAnsi="Times New Roman"/>
          <w:sz w:val="18"/>
          <w:szCs w:val="18"/>
          <w:color w:val="auto"/>
        </w:rPr>
        <w:t>We own a 50% interest in NagraStar L.L.C. (“NagraStar”), a joint venture that is our primary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Invidi Technologies Corporation</w:t>
      </w:r>
      <w:r>
        <w:rPr>
          <w:rFonts w:ascii="Times New Roman" w:cs="Times New Roman" w:eastAsia="Times New Roman" w:hAnsi="Times New Roman"/>
          <w:sz w:val="18"/>
          <w:szCs w:val="18"/>
          <w:color w:val="auto"/>
        </w:rPr>
        <w:t>. We own a 35% interest in Invidi Technologies Corporation (“Invidi”), an entity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8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investments measured at fair value on a recurring basis were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9"/>
        </w:trPr>
        <w:tc>
          <w:tcPr>
            <w:tcW w:w="2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 (including restricted)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650,523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99,437</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551,086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 (including 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282,733</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As of December 31, 2023, restricted and non-restricted marketable investment securities included debt securities of $397 thousand with contractual maturities within one year. Actual maturities may differ from contractual maturities as a result of our ability to sell these securities prior to maturity.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Sales and Changes in Carrying Amounts of Investments and Other</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“Other, net” within “Other Income (Expense)” included on our Consolidated Statements of Operations and Comprehensive Income (Loss) is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9"/>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net:</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7"/>
        </w:trPr>
        <w:tc>
          <w:tcPr>
            <w:tcW w:w="5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(losses) related to early redemption of debt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(922)</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(3,587)</w:t>
            </w:r>
          </w:p>
        </w:tc>
        <w:tc>
          <w:tcPr>
            <w:tcW w:w="60" w:type="dxa"/>
            <w:vAlign w:val="bottom"/>
            <w:shd w:val="clear" w:color="auto" w:fill="CCEEFF"/>
          </w:tcPr>
          <w:p>
            <w:pPr>
              <w:spacing w:after="0"/>
              <w:rPr>
                <w:sz w:val="19"/>
                <w:szCs w:val="19"/>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affiliates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3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r>
      <w:tr>
        <w:trPr>
          <w:trHeight w:val="196"/>
        </w:trPr>
        <w:tc>
          <w:tcPr>
            <w:tcW w:w="3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4"/>
          </w:tcPr>
          <w:p>
            <w:pPr>
              <w:jc w:val="right"/>
              <w:ind w:right="184"/>
              <w:spacing w:after="0"/>
              <w:rPr>
                <w:sz w:val="20"/>
                <w:szCs w:val="20"/>
                <w:color w:val="auto"/>
              </w:rPr>
            </w:pPr>
            <w:r>
              <w:rPr>
                <w:rFonts w:ascii="Times New Roman" w:cs="Times New Roman" w:eastAsia="Times New Roman" w:hAnsi="Times New Roman"/>
                <w:sz w:val="16"/>
                <w:szCs w:val="16"/>
                <w:color w:val="auto"/>
              </w:rPr>
              <w:t>(In thousands)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52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252,939</w:t>
            </w:r>
          </w:p>
        </w:tc>
        <w:tc>
          <w:tcPr>
            <w:tcW w:w="120" w:type="dxa"/>
            <w:vAlign w:val="bottom"/>
            <w:shd w:val="clear" w:color="auto" w:fill="CCEEFF"/>
          </w:tcPr>
          <w:p>
            <w:pPr>
              <w:spacing w:after="0"/>
              <w:rPr>
                <w:sz w:val="18"/>
                <w:szCs w:val="18"/>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 and service repairs</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19,351</w:t>
            </w:r>
          </w:p>
        </w:tc>
        <w:tc>
          <w:tcPr>
            <w:tcW w:w="120" w:type="dxa"/>
            <w:vAlign w:val="bottom"/>
          </w:tcPr>
          <w:p>
            <w:pPr>
              <w:spacing w:after="0"/>
              <w:rPr>
                <w:sz w:val="18"/>
                <w:szCs w:val="18"/>
                <w:color w:val="auto"/>
              </w:rPr>
            </w:pPr>
          </w:p>
        </w:tc>
      </w:tr>
      <w:tr>
        <w:trPr>
          <w:trHeight w:val="22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4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35,121</w:t>
            </w:r>
          </w:p>
        </w:tc>
        <w:tc>
          <w:tcPr>
            <w:tcW w:w="120" w:type="dxa"/>
            <w:vAlign w:val="bottom"/>
            <w:shd w:val="clear" w:color="auto" w:fill="CCEEFF"/>
          </w:tcPr>
          <w:p>
            <w:pPr>
              <w:spacing w:after="0"/>
              <w:rPr>
                <w:sz w:val="19"/>
                <w:szCs w:val="19"/>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1480" w:type="dxa"/>
            <w:vAlign w:val="bottom"/>
          </w:tcPr>
          <w:p>
            <w:pPr>
              <w:spacing w:after="0"/>
              <w:rPr>
                <w:sz w:val="17"/>
                <w:szCs w:val="17"/>
                <w:color w:val="auto"/>
              </w:rPr>
            </w:pPr>
          </w:p>
        </w:tc>
        <w:tc>
          <w:tcPr>
            <w:tcW w:w="104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267,841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307,411</w:t>
            </w:r>
          </w:p>
        </w:tc>
        <w:tc>
          <w:tcPr>
            <w:tcW w:w="12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and Intangible Assets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Depreciable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180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2-5</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1,175,734</w:t>
            </w:r>
          </w:p>
        </w:tc>
        <w:tc>
          <w:tcPr>
            <w:tcW w:w="5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EchoStar XV</w:t>
            </w:r>
          </w:p>
        </w:tc>
        <w:tc>
          <w:tcPr>
            <w:tcW w:w="18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277,658</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XVIII</w:t>
            </w:r>
          </w:p>
        </w:tc>
        <w:tc>
          <w:tcPr>
            <w:tcW w:w="18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Satellites acquired under finance lease agreements</w:t>
            </w:r>
          </w:p>
        </w:tc>
        <w:tc>
          <w:tcPr>
            <w:tcW w:w="18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equipment and other</w:t>
            </w:r>
          </w:p>
        </w:tc>
        <w:tc>
          <w:tcPr>
            <w:tcW w:w="18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755,163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18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3-5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1,197,632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8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45,413</w:t>
            </w:r>
          </w:p>
        </w:tc>
        <w:tc>
          <w:tcPr>
            <w:tcW w:w="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4,344,935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(3,536,870)</w:t>
            </w:r>
          </w:p>
        </w:tc>
        <w:tc>
          <w:tcPr>
            <w:tcW w:w="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808,065</w:t>
            </w:r>
          </w:p>
        </w:tc>
        <w:tc>
          <w:tcPr>
            <w:tcW w:w="6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F-22</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1260" w:type="dxa"/>
            <w:vAlign w:val="bottom"/>
            <w:tcBorders>
              <w:top w:val="single" w:sz="8" w:color="0000EE"/>
            </w:tcBorders>
          </w:tcPr>
          <w:p>
            <w:pPr>
              <w:spacing w:after="0"/>
              <w:rPr>
                <w:sz w:val="24"/>
                <w:szCs w:val="24"/>
                <w:color w:val="auto"/>
              </w:rPr>
            </w:pPr>
          </w:p>
        </w:tc>
        <w:tc>
          <w:tcPr>
            <w:tcW w:w="4800" w:type="dxa"/>
            <w:vAlign w:val="bottom"/>
            <w:gridSpan w:val="4"/>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DISH DBS CORPORATION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638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Depreciation and amortization expense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9"/>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166,918</w:t>
            </w:r>
          </w:p>
        </w:tc>
        <w:tc>
          <w:tcPr>
            <w:tcW w:w="4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Satellites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furniture, fixtures, equipment and other</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354,361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Cost of sales and operating expense categories included in our accompanying Consolidated Statements of Operations and Comprehensive Income (Loss) do not include depreciation and amortization expense related to satellites, equipment leased to customers or software.</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Satellites</w:t>
      </w:r>
    </w:p>
    <w:p>
      <w:pPr>
        <w:spacing w:after="0" w:line="16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We currently utilize nine satellites in geostationary orbit approximately 22,300 miles above the equator, two of which we own and depreciate over their estimated useful life. We currently utilize certain capacity on six satellites that we lease from DISH Network, which are accounted for as operating leases, except for Nimiq 5 which is accounted for as a finance lease and is depreciated over its economic life. We also lease one satellites from a third party: the Anik F3 satellite, which was accounted for as a finance lease until April 2022 and was fully depreciated. During April 2022, we extended the Anik F3 lease and as a result it is currently accounted for as an operating lease. As of July 2023, we no longer lease the Ciel II satellite.</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our pay-TV satellite fleet consisted of the following:</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Degree</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Launch</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Orbital</w:t>
            </w: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0" w:type="dxa"/>
            <w:vAlign w:val="bottom"/>
          </w:tcPr>
          <w:p>
            <w:pPr>
              <w:spacing w:after="0"/>
              <w:rPr>
                <w:sz w:val="1"/>
                <w:szCs w:val="1"/>
                <w:color w:val="auto"/>
              </w:rPr>
            </w:pPr>
          </w:p>
        </w:tc>
      </w:tr>
      <w:tr>
        <w:trPr>
          <w:trHeight w:val="238"/>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Satellites</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Termination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XV</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July 2010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XVIII</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June 2016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 Construction:</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XXV</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Leased from DISH Network (1):</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February 2006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February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XI</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July 2008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February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XIV</w:t>
            </w: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March 2010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February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EchoStar XVI</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November 2012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EchoStar XXIII</w:t>
            </w:r>
          </w:p>
        </w:tc>
        <w:tc>
          <w:tcPr>
            <w:tcW w:w="2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March 2017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Month to 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Nimiq 5</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September 2009</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Pr>
          <w:p>
            <w:pPr>
              <w:spacing w:after="0"/>
              <w:rPr>
                <w:sz w:val="18"/>
                <w:szCs w:val="18"/>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Leased from Other Third-Party:</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Anik F3</w:t>
            </w:r>
          </w:p>
        </w:tc>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April 2007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118.7</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17 for further information on our Related Party Transactions with DISH Network.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Satellites Under Construction</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March 20, 2023, DISH Network entered into a contract with Maxar Space LLC for the construction of EchoStar XXV, a DBS satellite that is capable of providing service to the continental United States (“CONUS”) and is intended to be used at the 110 degree orbital location. During the fourth quarter of 2023, DISH Network entered into an agreement with Space Exploration Technologies Corp (“SpaceX”) for launch services for this satellite, which is expected to be launched during 2026.</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Anomalies</w:t>
      </w:r>
    </w:p>
    <w:p>
      <w:pPr>
        <w:spacing w:after="0" w:line="16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0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1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generally do not carry commercial launch or in-orbit insurance on any of the satellites that we own and therefore, we will bear the risk associated with any uninsured launch or in-orbit satellite failures.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identifiable intangibles subject to amortization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6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6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6"/>
                <w:szCs w:val="16"/>
                <w:color w:val="auto"/>
              </w:rPr>
            </w:pPr>
          </w:p>
        </w:tc>
      </w:tr>
      <w:tr>
        <w:trPr>
          <w:trHeight w:val="238"/>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r>
      <w:tr>
        <w:trPr>
          <w:trHeight w:val="196"/>
        </w:trPr>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4"/>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Technology-based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w:t>
            </w:r>
          </w:p>
        </w:tc>
        <w:tc>
          <w:tcPr>
            <w:tcW w:w="20" w:type="dxa"/>
            <w:vAlign w:val="bottom"/>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(17,160)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0" w:type="dxa"/>
            <w:vAlign w:val="bottom"/>
          </w:tcPr>
          <w:p>
            <w:pPr>
              <w:spacing w:after="0"/>
              <w:rPr>
                <w:sz w:val="18"/>
                <w:szCs w:val="18"/>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Contract-based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(23,632)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(23,632)</w:t>
            </w:r>
          </w:p>
        </w:tc>
        <w:tc>
          <w:tcPr>
            <w:tcW w:w="20" w:type="dxa"/>
            <w:vAlign w:val="bottom"/>
          </w:tcPr>
          <w:p>
            <w:pPr>
              <w:spacing w:after="0"/>
              <w:rPr>
                <w:sz w:val="18"/>
                <w:szCs w:val="18"/>
                <w:color w:val="auto"/>
              </w:rPr>
            </w:pPr>
          </w:p>
        </w:tc>
      </w:tr>
      <w:tr>
        <w:trPr>
          <w:trHeight w:val="209"/>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2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These identifiable intangibles are included in “Other noncurrent assets, net” on our Consolidated Balance Sheets. Amortization of these intangible assets is recorded on a straight-line basis over an average finite useful life primarily ranging from approximately 13 to 20 years. Amortization was $1 million, $1 million and $1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of our identifiable intangible assets as of December 31, 2023 is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0"/>
        </w:trPr>
        <w:tc>
          <w:tcPr>
            <w:tcW w:w="6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0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recorded a noncash impairment charge for goodwill of $6 million in “Impairment of long-lived assets and goodwill” on our Consolidated Statements of Operations and Comprehensive Income (Loss). See Note 2 for further information. The non-recurring measurement of fair value of goodwill is classified as Level 3 in the fair value hierarchy.</w:t>
      </w:r>
    </w:p>
    <w:p>
      <w:pPr>
        <w:spacing w:after="0" w:line="11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we had goodwill of zero and $6 million, which is included in “Other noncurrent assets, net” on our Consolidated Balance Sheets.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Regulatory Authorizations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FCC Authorizations consisted of the following:</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196"/>
        </w:trPr>
        <w:tc>
          <w:tcPr>
            <w:tcW w:w="2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00" w:type="dxa"/>
            <w:vAlign w:val="bottom"/>
            <w:gridSpan w:val="4"/>
          </w:tcPr>
          <w:p>
            <w:pPr>
              <w:jc w:val="right"/>
              <w:ind w:right="244"/>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DBS Licenses</w:t>
            </w:r>
          </w:p>
        </w:tc>
        <w:tc>
          <w:tcPr>
            <w:tcW w:w="22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611,794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4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611,794</w:t>
            </w:r>
          </w:p>
        </w:tc>
        <w:tc>
          <w:tcPr>
            <w:tcW w:w="100" w:type="dxa"/>
            <w:vAlign w:val="bottom"/>
            <w:shd w:val="clear" w:color="auto" w:fill="CCEEFF"/>
          </w:tcPr>
          <w:p>
            <w:pPr>
              <w:spacing w:after="0"/>
              <w:rPr>
                <w:sz w:val="18"/>
                <w:szCs w:val="18"/>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611,794</w:t>
            </w: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Lessee Accounting</w:t>
      </w:r>
    </w:p>
    <w:p>
      <w:pPr>
        <w:spacing w:after="0" w:line="16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We enter into non-cancelable operating and finance leases for, among other things, satellites, office space, warehouses and distribution centers, vehicles and other equipment. Our leases have remaining lease terms from one to nine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183"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Through the first quarter of 2022, our Anik F3 satellite was accounted for as a finance lease. However, during April 2022, we extended the Anik F3 lease and as a result, it is currently accounted for as an operating lease. Nimiq 5 is accounted for as a finance lease. Substantially all of our remaining leases are accounted for as operating leases, including the remainder of our satellite fleet.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r>
      <w:tr>
        <w:trPr>
          <w:trHeight w:val="216"/>
        </w:trPr>
        <w:tc>
          <w:tcPr>
            <w:tcW w:w="4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196"/>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217,635</w:t>
            </w: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 (1)(2)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33,456</w:t>
            </w: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 (3)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 (3)</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shd w:val="clear" w:color="auto" w:fill="CCEEFF"/>
          </w:tcPr>
          <w:p>
            <w:pPr>
              <w:spacing w:after="0"/>
              <w:rPr>
                <w:sz w:val="18"/>
                <w:szCs w:val="18"/>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 cost (3)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62,618</w:t>
            </w:r>
          </w:p>
        </w:tc>
        <w:tc>
          <w:tcPr>
            <w:tcW w:w="80" w:type="dxa"/>
            <w:vAlign w:val="bottom"/>
            <w:tcBorders>
              <w:bottom w:val="single" w:sz="8" w:color="CCEEFF"/>
            </w:tcBorders>
          </w:tcPr>
          <w:p>
            <w:pPr>
              <w:spacing w:after="0"/>
              <w:rPr>
                <w:sz w:val="18"/>
                <w:szCs w:val="18"/>
                <w:color w:val="auto"/>
              </w:rPr>
            </w:pP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right="79" w:hanging="319"/>
        <w:spacing w:after="0" w:line="255"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“Operating lease cost” is primarily related to our intercompany satellite leases with DISH Network, which were reclassified to “Short-term lease costs” during 2022 and the first quarter of 2023. All of our satellite operating leases with DISH Network are now short-term leases. In addition, the decrease in “Operating lease cost” from 2021 to 2022 was primarily related to the QuetzSat-1 lease, which expired in November 2021.</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that have terms of 12 months or less.</w:t>
      </w:r>
    </w:p>
    <w:p>
      <w:pPr>
        <w:spacing w:after="0" w:line="9" w:lineRule="exact"/>
        <w:rPr>
          <w:rFonts w:ascii="Times New Roman" w:cs="Times New Roman" w:eastAsia="Times New Roman" w:hAnsi="Times New Roman"/>
          <w:sz w:val="18"/>
          <w:szCs w:val="18"/>
          <w:color w:val="auto"/>
        </w:rPr>
      </w:pPr>
    </w:p>
    <w:p>
      <w:pPr>
        <w:ind w:left="720" w:right="419" w:hanging="319"/>
        <w:spacing w:after="0" w:line="260"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finance lease cost is primarily related to the Anik F3 finance lease that was extended in April 2022 and as a result is currently accounted for as an operating lease.</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r>
              <w:rPr>
                <w:rFonts w:ascii="Times New Roman" w:cs="Times New Roman" w:eastAsia="Times New Roman" w:hAnsi="Times New Roman"/>
                <w:sz w:val="18"/>
                <w:szCs w:val="18"/>
                <w:color w:val="0070C0"/>
              </w:rPr>
              <w: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1"/>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5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196"/>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96,195</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138,318</w:t>
            </w: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213,135</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6,633</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13,002</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47,030</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31,030</w:t>
            </w: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51,608</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30,657</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22,780</w:t>
            </w:r>
          </w:p>
        </w:tc>
        <w:tc>
          <w:tcPr>
            <w:tcW w:w="80" w:type="dxa"/>
            <w:vAlign w:val="bottom"/>
            <w:shd w:val="clear" w:color="auto" w:fill="CCEEFF"/>
          </w:tcPr>
          <w:p>
            <w:pPr>
              <w:spacing w:after="0"/>
              <w:rPr>
                <w:sz w:val="18"/>
                <w:szCs w:val="18"/>
                <w:color w:val="auto"/>
              </w:rPr>
            </w:pPr>
          </w:p>
        </w:tc>
      </w:tr>
      <w:tr>
        <w:trPr>
          <w:trHeight w:val="234"/>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gridSpan w:val="9"/>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16"/>
        </w:trPr>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jc w:val="center"/>
              <w:ind w:left="153"/>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92,972</w:t>
            </w:r>
          </w:p>
        </w:tc>
        <w:tc>
          <w:tcPr>
            <w:tcW w:w="120" w:type="dxa"/>
            <w:vAlign w:val="bottom"/>
          </w:tcPr>
          <w:p>
            <w:pPr>
              <w:spacing w:after="0"/>
              <w:rPr>
                <w:sz w:val="22"/>
                <w:szCs w:val="22"/>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7"/>
        </w:trPr>
        <w:tc>
          <w:tcPr>
            <w:tcW w:w="3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12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3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(149,917)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(115,469)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 years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3.7 years</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1.8 years</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58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center"/>
              <w:ind w:left="196"/>
              <w:spacing w:after="0"/>
              <w:rPr>
                <w:sz w:val="20"/>
                <w:szCs w:val="20"/>
                <w:color w:val="auto"/>
              </w:rPr>
            </w:pPr>
            <w:r>
              <w:rPr>
                <w:rFonts w:ascii="Times New Roman" w:cs="Times New Roman" w:eastAsia="Times New Roman" w:hAnsi="Times New Roman"/>
                <w:sz w:val="16"/>
                <w:szCs w:val="16"/>
                <w:b w:val="1"/>
                <w:bCs w:val="1"/>
                <w:color w:val="auto"/>
              </w:rPr>
              <w:t>Maturities of Lease Liabilities</w:t>
            </w: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3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36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3"/>
          </w:tcPr>
          <w:p>
            <w:pPr>
              <w:jc w:val="center"/>
              <w:ind w:right="77"/>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3"/>
            <w:shd w:val="clear" w:color="auto" w:fill="CCEEFF"/>
          </w:tcPr>
          <w:p>
            <w:pPr>
              <w:jc w:val="center"/>
              <w:ind w:left="495"/>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41,709</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8,337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117,514</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32,147</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149,661</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(19,515)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(1,043)</w:t>
            </w:r>
          </w:p>
        </w:tc>
        <w:tc>
          <w:tcPr>
            <w:tcW w:w="300" w:type="dxa"/>
            <w:vAlign w:val="bottom"/>
          </w:tcPr>
          <w:p>
            <w:pPr>
              <w:spacing w:after="0"/>
              <w:rPr>
                <w:sz w:val="17"/>
                <w:szCs w:val="17"/>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(20,558)</w:t>
            </w:r>
          </w:p>
        </w:tc>
        <w:tc>
          <w:tcPr>
            <w:tcW w:w="20" w:type="dxa"/>
            <w:vAlign w:val="bottom"/>
          </w:tcPr>
          <w:p>
            <w:pPr>
              <w:spacing w:after="0"/>
              <w:rPr>
                <w:sz w:val="17"/>
                <w:szCs w:val="17"/>
                <w:color w:val="auto"/>
              </w:rPr>
            </w:pP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129,103</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(36,618)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(31,104)</w:t>
            </w:r>
          </w:p>
        </w:tc>
        <w:tc>
          <w:tcPr>
            <w:tcW w:w="300" w:type="dxa"/>
            <w:vAlign w:val="bottom"/>
          </w:tcPr>
          <w:p>
            <w:pPr>
              <w:spacing w:after="0"/>
              <w:rPr>
                <w:sz w:val="17"/>
                <w:szCs w:val="17"/>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(67,722)</w:t>
            </w:r>
          </w:p>
        </w:tc>
        <w:tc>
          <w:tcPr>
            <w:tcW w:w="20" w:type="dxa"/>
            <w:vAlign w:val="bottom"/>
          </w:tcPr>
          <w:p>
            <w:pPr>
              <w:spacing w:after="0"/>
              <w:rPr>
                <w:sz w:val="17"/>
                <w:szCs w:val="17"/>
                <w:color w:val="auto"/>
              </w:rPr>
            </w:pPr>
          </w:p>
        </w:tc>
      </w:tr>
      <w:tr>
        <w:trPr>
          <w:trHeight w:val="196"/>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portion of lease obligations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640" w:type="dxa"/>
            <w:vAlign w:val="bottom"/>
          </w:tcPr>
          <w:p>
            <w:pPr>
              <w:spacing w:after="0"/>
              <w:rPr>
                <w:sz w:val="24"/>
                <w:szCs w:val="24"/>
                <w:color w:val="auto"/>
              </w:rPr>
            </w:pPr>
          </w:p>
        </w:tc>
        <w:tc>
          <w:tcPr>
            <w:tcW w:w="1060" w:type="dxa"/>
            <w:vAlign w:val="bottom"/>
            <w:gridSpan w:val="3"/>
          </w:tcPr>
          <w:p>
            <w:pPr>
              <w:jc w:val="center"/>
              <w:ind w:left="515"/>
              <w:spacing w:after="0"/>
              <w:rPr>
                <w:sz w:val="20"/>
                <w:szCs w:val="20"/>
                <w:color w:val="auto"/>
              </w:rPr>
            </w:pPr>
            <w:r>
              <w:rPr>
                <w:rFonts w:ascii="Times New Roman" w:cs="Times New Roman" w:eastAsia="Times New Roman" w:hAnsi="Times New Roman"/>
                <w:sz w:val="18"/>
                <w:szCs w:val="18"/>
                <w:color w:val="auto"/>
                <w:w w:val="99"/>
              </w:rPr>
              <w:t>F-27</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3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right="4939" w:hanging="10"/>
        <w:spacing w:after="0" w:line="503" w:lineRule="auto"/>
        <w:tabs>
          <w:tab w:leader="none" w:pos="38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Finance Lease Obligations Fair Value of our Long-Term Debt</w:t>
      </w: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amount and fair value of our debt facilities as of December 31, 2023 and 2022:</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9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15"/>
              <w:spacing w:after="0" w:line="170"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15"/>
              <w:spacing w:after="0" w:line="170"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jc w:val="right"/>
              <w:ind w:right="575"/>
              <w:spacing w:after="0" w:line="184" w:lineRule="exact"/>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 Senior Notes due 2023 (1)</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1,443,179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5</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7/8% Senior Notes due 2024 (2)</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1,982,544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1,872,275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7</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3/4% Senior Notes due 2026</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1,388,060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1,620,280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5</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1/4% Senior Secured Notes due 2026</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2,366,073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2,336,813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7</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3/8% Senior Notes due 2028</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600,160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708,320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5</w:t>
            </w:r>
          </w:p>
        </w:tc>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 Senior Secured Notes due 2028</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2,013,125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2,013,675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5</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1/8% Senior Notes due 2029</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DDBS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774,600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976,755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notes payable</w:t>
            </w: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42,678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42,678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18,329</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11,775,222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9,056,971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13,211,508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10,986,747</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line="174" w:lineRule="exact"/>
              <w:rPr>
                <w:sz w:val="20"/>
                <w:szCs w:val="20"/>
                <w:color w:val="auto"/>
              </w:rPr>
            </w:pPr>
            <w:r>
              <w:rPr>
                <w:rFonts w:ascii="Times New Roman" w:cs="Times New Roman" w:eastAsia="Times New Roman" w:hAnsi="Times New Roman"/>
                <w:sz w:val="17"/>
                <w:szCs w:val="17"/>
                <w:color w:val="auto"/>
              </w:rPr>
              <w:t>Unamortized deferred financing costs and debt</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3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discounts, net</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obligations (3)</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Total long-term debt and finance lease</w:t>
            </w:r>
          </w:p>
        </w:tc>
        <w:tc>
          <w:tcPr>
            <w:tcW w:w="660" w:type="dxa"/>
            <w:vAlign w:val="bottom"/>
          </w:tcPr>
          <w:p>
            <w:pPr>
              <w:spacing w:after="0"/>
              <w:rPr>
                <w:sz w:val="13"/>
                <w:szCs w:val="13"/>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11,779,514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13,245,508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obligations (including current portion)</w:t>
            </w:r>
          </w:p>
        </w:tc>
        <w:tc>
          <w:tcPr>
            <w:tcW w:w="6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right="339" w:hanging="350"/>
        <w:spacing w:after="0" w:line="261" w:lineRule="auto"/>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repurchased or redeemed the principal balance of our 5% Senior Notes due 2023 as of March 15, 2023, the instrument’s maturity date.</w:t>
      </w:r>
    </w:p>
    <w:p>
      <w:pPr>
        <w:ind w:left="400" w:right="319" w:hanging="350"/>
        <w:spacing w:after="0" w:line="250" w:lineRule="auto"/>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repurchased approximately $17 million of our 5 7/8% Senior Notes due 2024 in open market trades. The remaining balance of approximately $1.983 billion matures on November 15, 2024 and is included in “Current portion of long-term debt and finance lease obligations” on our Consolidated Balance Sheets as of December 31, 2023.</w:t>
      </w:r>
    </w:p>
    <w:p>
      <w:pPr>
        <w:spacing w:after="0" w:line="1"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regarding fair value of finance leases is not required.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estimated the fair value of our publicly traded long-term debt using market prices in less active markets (Level 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Unsecured Senior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Senior Notes are:</w:t>
      </w:r>
    </w:p>
    <w:p>
      <w:pPr>
        <w:spacing w:after="0" w:line="158"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senior obligations of DISH DBS;</w:t>
      </w:r>
    </w:p>
    <w:p>
      <w:pPr>
        <w:spacing w:after="0" w:line="27"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DISH DBS’ and the guarantors’ existing and future unsecured senior debt; and</w:t>
      </w:r>
    </w:p>
    <w:p>
      <w:pPr>
        <w:ind w:left="720" w:right="119" w:hanging="319"/>
        <w:spacing w:after="0" w:line="260"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our and the guarantors’ current and future secured senior indebtedness up to the value of the collateral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indentures related to our Senior Notes contain restrictive covenants that, among other things, impose limitations on the ability of DISH DBS and its restricted subsidiaries to:</w:t>
      </w:r>
    </w:p>
    <w:p>
      <w:pPr>
        <w:spacing w:after="0" w:line="94"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DISH DBS’ capital stock or repurchase DISH DBS’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7/8% Senior Notes due 2024</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November 20, 2014, we issued $2.0 billion aggregate principal amount of our ten-year 5 7/8% Senior Notes due November 15, 2024. On January 29, 2015,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5 7/8% and is payable semi-annually in cash, in arrears on May 15 and November 15 of each year.</w:t>
      </w:r>
    </w:p>
    <w:p>
      <w:pPr>
        <w:spacing w:after="0" w:line="11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5 7/8% Senior Notes due 2024 are redeemable, in whole or in part, at any time at a redemption price equal to 100% of the principal amount plus a “make-whole” premium, as defined in the related indenture, together with accrued and unpaid interest.</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3/4% Senior Notes due 2026</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On June 13, 2016, we issued $2.0 billion aggregate principal amount of our ten-year 7 3/4% Senior Notes due July 1, 2026. On October 3, 2016,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7 3/4% and is payable semi-annually in cash, in arrears on January 1 and July 1 of each year.</w:t>
      </w:r>
    </w:p>
    <w:p>
      <w:pPr>
        <w:spacing w:after="0" w:line="116"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The 7 3/4% Senior Notes are redeemable, in whole or in part, at any time at a redemption price equal to 100% of the principal amount plus a “make-whole” premium, as defined in the related indenture, together with accrued and unpaid interest.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3/8% Senior Notes due 2028</w:t>
      </w:r>
    </w:p>
    <w:p>
      <w:pPr>
        <w:spacing w:after="0" w:line="162"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On July 1, 2020, we issued $1.0 billion aggregate principal amount of our 7 3/8% Senior Notes due July 1, 2028. On September 29, 2020,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7 3/8% and is payable semi-annually in cash, in arrears on January 1 and July 1 of each year.</w:t>
      </w:r>
    </w:p>
    <w:p>
      <w:pPr>
        <w:spacing w:after="0" w:line="116"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The 7 3/8% Senior Notes are redeemable, in whole or in part, at any time prior to July 1, 2023 at a redemption price equal to 100% of the principal amount plus a “make-whole” premium, as defined in the related indenture, together with accrued and unpaid interest. On or after July 1, 2023, we may redeem the Notes, in whole or in part, at any time at the redemption prices specified under the related indenture, together with accrued and unpaid interest.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1/8% Senior Notes due 2029</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On May 24, 2021, we issued $1.5 billion aggregate principal amount of our 5 1/8% Senior Notes due June 1, 2029. On August 30, 2021, we completed an exchange offer in which we exchanged substantially all of the notes for a like principal amount of notes with identical terms, except that such new notes have been registered under the Securities Act. We did not receive any proceeds in the exchange offer. Interest accrues at an annual rate of 5 1/8% and is payable semi-annually in cash, in arrears on June 1 and December 1 of each year.</w:t>
      </w:r>
    </w:p>
    <w:p>
      <w:pPr>
        <w:spacing w:after="0" w:line="11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5 1/8% Senior Notes are redeemable, in whole or in part, at any time at a redemption price equal to 100% of the principal amount plus a “make-whole” premium, as defined in the related indenture, together with accrued and unpaid interest. Prior to June 1, 2024, we may also redeem up to 35% of the 5 1/8% Senior Notes at a specified premium with the net cash proceeds from certain equity offerings or capital contributions.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Senior Secured Notes are:</w:t>
      </w:r>
    </w:p>
    <w:p>
      <w:pPr>
        <w:spacing w:after="0" w:line="225"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senior secured obligations of DISH DBS;</w:t>
      </w:r>
    </w:p>
    <w:p>
      <w:pPr>
        <w:spacing w:after="0" w:line="27"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security interests in substantially all existing and future tangible and intangible assets of DISH DBS and its principal operating subsidiaries on a first priority basis, subject to certain exceptions;</w:t>
      </w: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equally in right of payment with all of DISH DBS’ and the guarantors’ existing and future senior debt;</w:t>
      </w:r>
    </w:p>
    <w:p>
      <w:pPr>
        <w:spacing w:after="0" w:line="9"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and effectively senior to any of DISH DBS’ and the guarantors’ junior lien or unsecured debt to the extent of the value of the pledged collateral that secures the Senior Secured Notes; and</w:t>
      </w:r>
    </w:p>
    <w:p>
      <w:pPr>
        <w:ind w:left="720" w:right="99" w:hanging="319"/>
        <w:spacing w:after="0" w:line="260"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effectively junior to DISH DBS’ and the guarantors’ obligations that are secured by assets that are not part of the pledged collateral that secures the Senior Secured Notes, to the extent of the value of such assets.</w:t>
      </w:r>
    </w:p>
    <w:p>
      <w:pPr>
        <w:spacing w:after="0" w:line="181"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The indenture related to our Senior Secured Notes contain restrictive covenants that, among other things, impose limitations on the ability of DISH DBS and its restricted subsidiaries to:</w:t>
      </w:r>
    </w:p>
    <w:p>
      <w:pPr>
        <w:spacing w:after="0" w:line="162"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DISH DBS’ capital stock or repurchase DISH DBS’ capital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enter into sale and leaseback transactions;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0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the related indenture, we would be required to make an offer to repurchase all or any part of a holder’s Senior Secured Notes at a purchase price equal to 101% of the aggregate principal amount thereof, together with accrued and unpaid interest thereon, to the date of repurchase.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net proceeds from the offering of our Senior Secured Notes were used to make an intercompany loan to DISH Network pursuant to a Loan and Security Agreement dated November 26, 2021 (together with future advances to DISH Network, the “Intercompany Loan”) between us and DISH Network in order to finance the potential purchase of wireless spectrum licenses and for general corporate purposes, including the buildout of wireless infrastructure. We may make additional advances to DISH Network under the Intercompany Loan, and on February 11, 2022, we advanced an additional $1.5 billion to DISH Network under the Intercompany Loan. The Intercompany Loan is secured by (i) the cash proceeds of the loan and (ii) an interest in any wireless spectrum licenses acquired using such proceeds. In certain cases, DISH Network wireless spectrum licenses (valued based upon a third-party valuation) may be substituted for the collateral. The Intercompany Loan is not included as collateral for the Senior Secured Notes, and the Senior Secured Notes are subordinated to our existing and certain future unsecured notes with respect to certain realizations under the Intercompany Loan and any collateral pledged as security for the Intercompany Loan.</w:t>
      </w:r>
    </w:p>
    <w:p>
      <w:pPr>
        <w:spacing w:after="0" w:line="12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initial cash proceeds of the Intercompany Loan were paid to the FCC by DISH Network in connection with DISH Network’s wholly-owned subsidiary Weminuche L.L.C.’s (“Weminuche”) winning bids in the FCC’s auction for the Flexible-Use Service Licenses in the 3.45–3.55 GHz band (“Auction 110”). As a result, the Intercompany Loan is secured by Weminuche’s interest in the wireless spectrum licenses acquired in Auction 110 with such cash proceeds.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1/4% Senior Secured Notes due 2026</w:t>
      </w:r>
    </w:p>
    <w:p>
      <w:pPr>
        <w:spacing w:after="0" w:line="16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November 26, 2021, we issued $2.750 billion aggregate principal amount of our 5 1/4% Senior Secured Notes due December 1, 2026. Interest accrues at an annual rate of 5 1/4% and is payable semi-annually in cash, in arrears on June 1 and December 1 of each year, commencing on June 1, 2022.</w:t>
      </w:r>
    </w:p>
    <w:p>
      <w:pPr>
        <w:spacing w:after="0" w:line="10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5 1/4%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5 1/4% Senior Secured Notes due 2026, in whole at any time or in part from time to time, at a price equal to 100% of the principal amount thereof, plus accrued and unpaid interest, if any, to the redemption date. Prior to December 1, 2024, we may also redeem up to 35% of the 5 1/4% Senior Secured Notes due 2026 at a specified premium with the net cash proceeds from certain equity offerings or capital contributions. At any time and from time to time during the 36-month period following the issue date of the 5 1/4%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3/4% Senior Secured Notes due 2028</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 commencing on June 1,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5 3/4%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5 3/4% Senior Secured Notes due 2028, in whole at any time or in part from time to time, at a price equal to 100% of the principal amount thereof, plus accrued and unpaid interest, if any, to the redemption date. Prior to December 1, 2024, we may also redeem up to 35% of the 5 3/4% Senior Secured Notes due 2028 at a specified premium with the net cash proceeds from certain equity offerings or capital contributions. At any time and from time to time during the 36-month period following the issue date of the 5 3/4%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on Long-Term Debt</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16"/>
        </w:trPr>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Semi-Annual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Debt Service</w:t>
            </w:r>
          </w:p>
        </w:tc>
      </w:tr>
      <w:tr>
        <w:trPr>
          <w:trHeight w:val="238"/>
        </w:trPr>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Payment Dates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r>
      <w:tr>
        <w:trPr>
          <w:trHeight w:val="209"/>
        </w:trPr>
        <w:tc>
          <w:tcPr>
            <w:tcW w:w="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8"/>
                <w:szCs w:val="18"/>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 Senior Notes due 2024 (1)</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15 and November 15</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60" w:type="dxa"/>
            <w:vAlign w:val="bottom"/>
            <w:shd w:val="clear" w:color="auto" w:fill="CCEEFF"/>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7</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 Senior Notes due 2026</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and July 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60" w:type="dxa"/>
            <w:vAlign w:val="bottom"/>
          </w:tcPr>
          <w:p>
            <w:pPr>
              <w:spacing w:after="0"/>
              <w:rPr>
                <w:sz w:val="18"/>
                <w:szCs w:val="18"/>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 Senior Secured Notes due 2026</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144,375</w:t>
            </w:r>
          </w:p>
        </w:tc>
        <w:tc>
          <w:tcPr>
            <w:tcW w:w="60" w:type="dxa"/>
            <w:vAlign w:val="bottom"/>
            <w:shd w:val="clear" w:color="auto" w:fill="CCEEFF"/>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7</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 Senior Notes due 2028</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and July 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73,750</w:t>
            </w:r>
          </w:p>
        </w:tc>
        <w:tc>
          <w:tcPr>
            <w:tcW w:w="60" w:type="dxa"/>
            <w:vAlign w:val="bottom"/>
          </w:tcPr>
          <w:p>
            <w:pPr>
              <w:spacing w:after="0"/>
              <w:rPr>
                <w:sz w:val="18"/>
                <w:szCs w:val="18"/>
                <w:color w:val="auto"/>
              </w:rPr>
            </w:pPr>
          </w:p>
        </w:tc>
      </w:tr>
      <w:tr>
        <w:trPr>
          <w:trHeight w:val="216"/>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 Senior Secured Notes due 2028</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60" w:type="dxa"/>
            <w:vAlign w:val="bottom"/>
            <w:shd w:val="clear" w:color="auto" w:fill="CCEEFF"/>
          </w:tcPr>
          <w:p>
            <w:pPr>
              <w:spacing w:after="0"/>
              <w:rPr>
                <w:sz w:val="18"/>
                <w:szCs w:val="18"/>
                <w:color w:val="auto"/>
              </w:rPr>
            </w:pPr>
          </w:p>
        </w:tc>
      </w:tr>
      <w:tr>
        <w:trPr>
          <w:trHeight w:val="234"/>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 Senior Notes due 2029</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 and December 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76,875</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380" w:right="319" w:hanging="330"/>
        <w:spacing w:after="0" w:line="282"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5 7/8% Senior Notes due 2024 mature on November 15, 2024 and have been reclassified to “Current portion of long-term debt and finance lease obligations” on our Consolidated Balance Sheets as of December 31, 2023.</w:t>
      </w:r>
    </w:p>
    <w:p>
      <w:pPr>
        <w:spacing w:after="0" w:line="16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Our ability to meet our debt service requirements will depend on, among other factors, the successful execution of our business strategy, which is subject to uncertainties and contingencies beyond our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 and Finance Lease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long-term debt and finance lease obligations consisted of the following:</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6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3"/>
        </w:trPr>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Satellites and other finance lease obligations</w:t>
            </w:r>
          </w:p>
        </w:tc>
        <w:tc>
          <w:tcPr>
            <w:tcW w:w="5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31,104</w:t>
            </w:r>
          </w:p>
        </w:tc>
        <w:tc>
          <w:tcPr>
            <w:tcW w:w="5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69,206</w:t>
            </w:r>
          </w:p>
        </w:tc>
        <w:tc>
          <w:tcPr>
            <w:tcW w:w="60" w:type="dxa"/>
            <w:vAlign w:val="bottom"/>
            <w:shd w:val="clear" w:color="auto" w:fill="CCEEFF"/>
          </w:tcPr>
          <w:p>
            <w:pPr>
              <w:spacing w:after="0"/>
              <w:rPr>
                <w:sz w:val="18"/>
                <w:szCs w:val="18"/>
                <w:color w:val="auto"/>
              </w:rPr>
            </w:pPr>
          </w:p>
        </w:tc>
      </w:tr>
      <w:tr>
        <w:trPr>
          <w:trHeight w:val="189"/>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related to satellite vendor financing and other debt payable in installments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through 2031 with interest rates ranging from approximately 4.0% to 6.0%</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42,678</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18,329</w:t>
            </w:r>
          </w:p>
        </w:tc>
        <w:tc>
          <w:tcPr>
            <w:tcW w:w="60" w:type="dxa"/>
            <w:vAlign w:val="bottom"/>
            <w:tcBorders>
              <w:bottom w:val="single" w:sz="8" w:color="CCEEFF"/>
            </w:tcBorders>
          </w:tcPr>
          <w:p>
            <w:pPr>
              <w:spacing w:after="0"/>
              <w:rPr>
                <w:sz w:val="18"/>
                <w:szCs w:val="18"/>
                <w:color w:val="auto"/>
              </w:rPr>
            </w:pPr>
          </w:p>
        </w:tc>
      </w:tr>
      <w:tr>
        <w:trPr>
          <w:trHeight w:val="20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87,535</w:t>
            </w:r>
          </w:p>
        </w:tc>
        <w:tc>
          <w:tcPr>
            <w:tcW w:w="60" w:type="dxa"/>
            <w:vAlign w:val="bottom"/>
            <w:shd w:val="clear" w:color="auto" w:fill="CCEEFF"/>
          </w:tcPr>
          <w:p>
            <w:pPr>
              <w:spacing w:after="0"/>
              <w:rPr>
                <w:sz w:val="17"/>
                <w:szCs w:val="17"/>
                <w:color w:val="auto"/>
              </w:rPr>
            </w:pPr>
          </w:p>
        </w:tc>
      </w:tr>
      <w:tr>
        <w:trPr>
          <w:trHeight w:val="21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(41,432)</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(40,922)</w:t>
            </w:r>
          </w:p>
        </w:tc>
        <w:tc>
          <w:tcPr>
            <w:tcW w:w="60" w:type="dxa"/>
            <w:vAlign w:val="bottom"/>
            <w:tcBorders>
              <w:bottom w:val="single" w:sz="8" w:color="CCEEFF"/>
            </w:tcBorders>
          </w:tcPr>
          <w:p>
            <w:pPr>
              <w:spacing w:after="0"/>
              <w:rPr>
                <w:sz w:val="18"/>
                <w:szCs w:val="18"/>
                <w:color w:val="auto"/>
              </w:rPr>
            </w:pPr>
          </w:p>
        </w:tc>
      </w:tr>
      <w:tr>
        <w:trPr>
          <w:trHeight w:val="199"/>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long-term debt and finance lease obligations, net of current portion</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32,350</w:t>
            </w:r>
          </w:p>
        </w:tc>
        <w:tc>
          <w:tcPr>
            <w:tcW w:w="1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46,613</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Finance Lease Obligations</w:t>
      </w:r>
    </w:p>
    <w:p>
      <w:pPr>
        <w:spacing w:after="0" w:line="22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Anik F3. </w:t>
      </w:r>
      <w:r>
        <w:rPr>
          <w:rFonts w:ascii="Times New Roman" w:cs="Times New Roman" w:eastAsia="Times New Roman" w:hAnsi="Times New Roman"/>
          <w:sz w:val="18"/>
          <w:szCs w:val="18"/>
          <w:color w:val="auto"/>
        </w:rPr>
        <w:t>Anik F3, an FSS satellite, was launched and commenced commercial operation in April 2007. This satellite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accounted for as a finance lease and depreciated over the term of the satellite service agreement. We leased 100% of the Ku-band capacity on Anik F3 for an initial period of 15 years. During April 2022, we extended the Anik F3 lease and as a result it is currently accounted for as an operating lease.</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Nimiq 5</w:t>
      </w:r>
      <w:r>
        <w:rPr>
          <w:rFonts w:ascii="Times New Roman" w:cs="Times New Roman" w:eastAsia="Times New Roman" w:hAnsi="Times New Roman"/>
          <w:sz w:val="18"/>
          <w:szCs w:val="18"/>
          <w:color w:val="auto"/>
        </w:rPr>
        <w:t>. On May 19, 2019, DISH Network entered into an agreement pursuant to which, on September 10,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service agreement for Nimiq 5 was transferred to DISH Network and we began leasing it from an indirect wholly-owned subsidiary of DISH Network. Nimiq 5 was launched in September 2009 and commenced commercial operation at the 72.7 degree west longitude orbital location during October 2009. This satellite is accounted for as a finance lease and depreciated over the term of the satellite service agreement which includes options to extend the lease that we are reasonably certain to exercise. We lease 100% of the capacity on Nimiq 5, and this lease expires in September 2024. See Note 17 for further information.</w:t>
      </w:r>
    </w:p>
    <w:p>
      <w:pPr>
        <w:spacing w:after="0" w:line="185"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The summary of future maturities of our outstanding long-term debt as of December 31, 2023 is included in the commitments table in Note 12.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w:t>
      </w:r>
    </w:p>
    <w:p>
      <w:pPr>
        <w:spacing w:after="0" w:line="229"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We have made cash distributions and the Intercompany Loan to partially finance the development of DISH Network’s 5G Network Deployment, including, but not limited to, the purchase of wireless spectrum licenses and the retail wireless business to date, and we may make additional funds available to DISH Network or EchoStar in the form of cash distributions or loans to finance, in whole or in part, DISH Network or EchoStar’s future efforts. These factors, including, but not limited to, debt maturities, continuing investment in our business, financing acquisitions and other strategic transactions, will require us to raise additional capital in the future which may not be available on favorable terms, or at all.</w:t>
      </w:r>
    </w:p>
    <w:p>
      <w:pPr>
        <w:spacing w:after="0" w:line="169"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and Accounting for Uncertainty in Income Taxes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DISH DBS and its domestic subsidiaries join with DISH Network in filing U.S. consolidated federal income tax returns and, in some states, combined or consolidated returns. The federal and state income tax provisions or benefits recorded by DISH DBS are generally those that would have been recorded if DISH DBS and its domestic subsidiaries had filed returns as a consolidated group independent of DISH Network. Cash is due and paid to DISH Network based on amounts that would be payable based on DISH DBS consolidated or combined group filings. Amounts are receivable from DISH Network on a basis similar to when they would be receivable from the IRS or other state taxing authorities. The amounts paid to DISH Network during the years ended December 31, 2023, 2022 and 2021 were $623 million, $490 million and $562 million, respectively.</w:t>
      </w:r>
    </w:p>
    <w:p>
      <w:pPr>
        <w:spacing w:after="0" w:line="178" w:lineRule="exact"/>
        <w:rPr>
          <w:sz w:val="20"/>
          <w:szCs w:val="20"/>
          <w:color w:val="auto"/>
        </w:rPr>
      </w:pPr>
    </w:p>
    <w:p>
      <w:pPr>
        <w:ind w:left="60" w:right="99"/>
        <w:spacing w:after="0" w:line="264" w:lineRule="auto"/>
        <w:rPr>
          <w:sz w:val="20"/>
          <w:szCs w:val="20"/>
          <w:color w:val="auto"/>
        </w:rPr>
      </w:pPr>
      <w:r>
        <w:rPr>
          <w:rFonts w:ascii="Times New Roman" w:cs="Times New Roman" w:eastAsia="Times New Roman" w:hAnsi="Times New Roman"/>
          <w:sz w:val="17"/>
          <w:szCs w:val="17"/>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As of December 31, 2023, we had no net operating loss carryforwards (“NOLs”) for federal and state income tax purposes. In addition, there are $9 million of tax benefits related to credit carryforwards which are fully offset by a valuation allowance. Portions of the credit carryforwards expired in 2023.</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the (benefit from) provision for income taxes were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4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(benefit) provision: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572,754</w:t>
            </w:r>
          </w:p>
        </w:tc>
        <w:tc>
          <w:tcPr>
            <w:tcW w:w="180" w:type="dxa"/>
            <w:vAlign w:val="bottom"/>
          </w:tcPr>
          <w:p>
            <w:pPr>
              <w:spacing w:after="0"/>
              <w:rPr>
                <w:sz w:val="18"/>
                <w:szCs w:val="18"/>
                <w:color w:val="auto"/>
              </w:rPr>
            </w:pP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(benefit) provision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(benefit) provision: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(benefit) provision</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(benefit) provision</w:t>
            </w:r>
          </w:p>
        </w:tc>
        <w:tc>
          <w:tcPr>
            <w:tcW w:w="7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565,104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585,259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079"/>
        <w:spacing w:after="0" w:line="282" w:lineRule="auto"/>
        <w:rPr>
          <w:sz w:val="20"/>
          <w:szCs w:val="20"/>
          <w:color w:val="auto"/>
        </w:rPr>
      </w:pPr>
      <w:r>
        <w:rPr>
          <w:rFonts w:ascii="Times New Roman" w:cs="Times New Roman" w:eastAsia="Times New Roman" w:hAnsi="Times New Roman"/>
          <w:sz w:val="18"/>
          <w:szCs w:val="18"/>
          <w:color w:val="auto"/>
        </w:rPr>
        <w:t>Our $2.310 billion of “Income (loss) before income taxes” on our Consolidated Statements of Operations and Comprehensive Income (Loss) included income of $13 million related to our foreign operations.</w:t>
      </w:r>
    </w:p>
    <w:p>
      <w:pPr>
        <w:spacing w:after="0" w:line="14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following table shows the principal reasons for the difference between the effective income tax rate and the statutory federal tax rate:</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w w:val="79"/>
              </w:rPr>
              <w:t>of</w:t>
            </w: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89"/>
              </w:rPr>
              <w:t>pre-tax income/(loss)</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 provision for income taxes</w:t>
            </w:r>
          </w:p>
        </w:tc>
        <w:tc>
          <w:tcPr>
            <w:tcW w:w="8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Deferred taxes arise because of the differences in the book and tax bases of certain assets and liabilities. Significant components of deferred tax assets and liabilities were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NOL, interest, credit and other carryforwards</w:t>
            </w:r>
          </w:p>
        </w:tc>
        <w:tc>
          <w:tcPr>
            <w:tcW w:w="11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60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prepaid expenses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Bases differences in partnerships and cost method investments</w:t>
            </w: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after valuation allowance</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(193,564)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authorizations and other intangible amortization</w:t>
            </w:r>
          </w:p>
        </w:tc>
        <w:tc>
          <w:tcPr>
            <w:tcW w:w="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(122,302)</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(315,866)</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(389,236)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(268,170)</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to filing federal income tax returns, we and one or more of our subsidiaries file income tax returns in all states that impose an income tax and a small number of foreign jurisdictions where we have immaterial operations. We are subject to United States federal, state and local income tax examinations by tax authorities for the years beginning in 2008 due to the carryover of previously incurred NOLs. We are currently under a federal income tax examination for years 2008 through 2011, 2013 through 2016, and 2018 through 2019.</w:t>
      </w:r>
    </w:p>
    <w:p>
      <w:pPr>
        <w:spacing w:after="0" w:line="18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included in “Long-term deferred revenue and other long-term liabilities” on our Consolidated Balance Sheets was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0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6"/>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188,141</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6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based on tax positions related to settlements with taxing authorities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Reductions based on tax positions related to the lapse of the statute of</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limitations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tcPr>
          <w:p>
            <w:pPr>
              <w:spacing w:after="0"/>
              <w:rPr>
                <w:sz w:val="20"/>
                <w:szCs w:val="20"/>
                <w:color w:val="auto"/>
              </w:rPr>
            </w:pPr>
          </w:p>
        </w:tc>
      </w:tr>
      <w:tr>
        <w:trPr>
          <w:trHeight w:val="210"/>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have $164 million in unrecognized tax benefits that, if recognized, could favorably affect our effective tax rate. We do not expect any material portion of this amount to be paid or settled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Accrued interest and penalties on uncertain tax positions are recorded as a component of “Interest expense, net of amounts capitalized” and “Other, net,” respectively, on our Consolidated Statements of Operations and Comprehensive Income (Loss). During the years ended December 31, 2023, 2022 and 2021, we recorded $14 million, $8 million and $6 million in net interest and penalty expense to earnings, respectively. Accrued interest and penalties were $62 million and $49 million at December 31, 2023 and 2022, respectively. The above table excludes these amounts.</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employees may participate in the EchoStar employee stock purchase plan (the “ESPP”), in which EchoStar is authorized to issue up to 5.0 million shares of Class A common stock. At December 31, 2023, EchoStar had 0.5 million shares of Class A common stock which remain available for issuance under the ESPP. Substantially all full-time employees who have been employed by EchoStar for at least one calendar quarter are eligible to participate in the ESPP. Employee stock purchases are made through payroll deductions. Under the terms of the ESPP, employees may not deduct an amount which would permit such employee to purchase EchoStar’s capital stock under all of EchoStar’s stock purchase plans at a rate which would exceed $25,000 in fair value of capital stock in any one year. The purchase price of the stock is 85% of the closing price of EchoStar’s Class A common stock on the last business day of each calendar quarter in which such shares of EchoStar’s Class A common stock are deemed sold to an employee under the ESPP.</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401(k) Employee Savings Plans</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EchoStar sponsors a 401(k) Employee Savings Plan (the “DISH Network 401(k) Plan”) for our eligible employees. Voluntary employee contributions to the DISH Network 401(k) Plan may be matched 50% by EchoStar, subject to a maximum annual contribution of $2,500 per employee. Forfeitures of unvested participant balances which are retained by the DISH Network 401(k) Plan may be used to fund matching and discretionary contributions. EchoStar’s Board of Directors may also authorize an annual discretionary contribution to the DISH Network 401(k) Plan, subject to the maximum deductible limit provided by the Internal Revenue Code of 1986, as amended. These contributions may be made in cash or in EchoStar’s stock.</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expense associated with our matching contributions and discretionary contributions: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 Recognized Related to the 401(k) Plan</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Matching contributions, net of forfeitures</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Discretionary stock contributions, net of forfeitures</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11,150</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DISH Network’s Merger with EchoStar</w:t>
      </w:r>
    </w:p>
    <w:p>
      <w:pPr>
        <w:spacing w:after="0" w:line="229" w:lineRule="exact"/>
        <w:rPr>
          <w:sz w:val="20"/>
          <w:szCs w:val="20"/>
          <w:color w:val="auto"/>
        </w:rPr>
      </w:pPr>
    </w:p>
    <w:p>
      <w:pPr>
        <w:jc w:val="both"/>
        <w:ind w:left="60" w:right="119"/>
        <w:spacing w:after="0" w:line="258" w:lineRule="auto"/>
        <w:rPr>
          <w:sz w:val="20"/>
          <w:szCs w:val="20"/>
          <w:color w:val="auto"/>
        </w:rPr>
      </w:pPr>
      <w:r>
        <w:rPr>
          <w:rFonts w:ascii="Times New Roman" w:cs="Times New Roman" w:eastAsia="Times New Roman" w:hAnsi="Times New Roman"/>
          <w:sz w:val="18"/>
          <w:szCs w:val="18"/>
          <w:color w:val="auto"/>
        </w:rPr>
        <w:t>Upon the completion of the Merger with EchoStar, EchoStar adopted all of DISH Network’s stock compensation plans. In addition, in connection with the Merger, EchoStar assumed the share reserve under each of the DISH Network Corporation 2019 Stock Incentive Plan and the Amended and Restated DISH Network Corporation 2001 Nonemployee Director Stock Option Plan to employees and directors who were employed by, or provided services to, DISH Network immediately prior to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spacing w:after="0" w:line="264" w:lineRule="auto"/>
        <w:rPr>
          <w:sz w:val="20"/>
          <w:szCs w:val="20"/>
          <w:color w:val="auto"/>
        </w:rPr>
      </w:pPr>
      <w:r>
        <w:rPr>
          <w:rFonts w:ascii="Times New Roman" w:cs="Times New Roman" w:eastAsia="Times New Roman" w:hAnsi="Times New Roman"/>
          <w:sz w:val="18"/>
          <w:szCs w:val="18"/>
          <w:color w:val="auto"/>
        </w:rPr>
        <w:t>At the Effective Time, each DISH Network stock option outstanding immediately prior to the Effective Time was converted automatically into an EchoStar stock option on substantially the same terms and conditions (including, if applicable, with respect to any performance-based vesting, subject to certain adjustments that may be made pursuant to the terms of the Amended Merger Agreement and to the extent necessary to reflect the consummation of the Merger and the other transactions contemplated by the Amended Merger Agreement), with respect to a number of shares of EchoStar Class A Common Stock equal to (i) the number of shares of DISH Network Common Stock subject to the corresponding DISH Network stock option immediately prior to the Effective Time, multiplied by (ii) the Exchange Ratio (with the resulting number rounded down to the nearest whole share), at an exercise price (rounded up to the nearest whole cent) equal to the exercise price of the corresponding DISH Network stock option immediately prior to the Effective Time divided by the Exchange Ratio.</w:t>
      </w:r>
    </w:p>
    <w:p>
      <w:pPr>
        <w:spacing w:after="0" w:line="140" w:lineRule="exact"/>
        <w:rPr>
          <w:sz w:val="20"/>
          <w:szCs w:val="20"/>
          <w:color w:val="auto"/>
        </w:rPr>
      </w:pPr>
    </w:p>
    <w:p>
      <w:pPr>
        <w:ind w:left="60" w:right="399"/>
        <w:spacing w:after="0" w:line="269" w:lineRule="auto"/>
        <w:rPr>
          <w:sz w:val="20"/>
          <w:szCs w:val="20"/>
          <w:color w:val="auto"/>
        </w:rPr>
      </w:pPr>
      <w:r>
        <w:rPr>
          <w:rFonts w:ascii="Times New Roman" w:cs="Times New Roman" w:eastAsia="Times New Roman" w:hAnsi="Times New Roman"/>
          <w:sz w:val="18"/>
          <w:szCs w:val="18"/>
          <w:color w:val="auto"/>
        </w:rPr>
        <w:t>At the Effective Time, each DISH Network restricted stock unit award outstanding immediately prior to the Effective Time was converted automatically into an EchoStar restricted stock unit award on substantially the same terms and conditions, with respect to a number of shares of EchoStar Class A Common Stock equal to (i) the number of shares of DISH Network Common Stock subject to the corresponding DISH Network restricted stock unit award immediately prior to the Effective Time, multiplied by (ii) the Exchange Ratio (with the resulting number rounded to the nearest whole share).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information below includes the Merger conversion discussed above.</w:t>
      </w:r>
    </w:p>
    <w:p>
      <w:pPr>
        <w:spacing w:after="0" w:line="15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EchoStar maintains stock incentive plans to attract and retain officers, directors and key employees. Our employees participate in the EchoStar stock incentive plans. Stock awards under these plans include both performance and non-performance based stock incentives. Many of our employees work on projects associated with our business and projects associated with EchoStar’s business and other operations of EchoStar. Stock options, restricted stock units and non-cash stock-based compensation expense are included below only for employees who devote 50% or more of their time to our business. For each employee, a change in status in relation to the 50% threshold is reflected as a transfer to or from another EchoStar subsidiary that is not part of DISH DBS. As of December 31, 2023, EchoStar had outstanding under these plans stock options to acquire 3.3 million shares of EchoStar’s Class A common stock and 4 thousand restricted stock units and awards associated with our employees. Stock options granted on or prior to December 31, 2023 were granted with exercise prices equal to or greater than the market value of EchoStar’s Class A common stock at the date of grant and with a maximum term of approximately ten years. EchoStar accounts for forfeitures as they are incurred. While historically EchoStar has issued stock awards subject to vesting, typically at the rate of 20% per year, certain stock awards have been granted with immediate vesting and certain other stock awards vest only upon the achievement of certain EchoStar-specific subscriber, operational and/or financial goals. As of December 31, 2023, EchoStar had 17.2 million shares of its Class A common stock available for future grant under the DISH Network stock incentive plans.</w:t>
      </w:r>
    </w:p>
    <w:p>
      <w:pPr>
        <w:spacing w:after="0" w:line="12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On June 24, 2022, DISH Network commenced a tender offer to eligible employees (which excludes DISH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co-founders and the independent members of DISH Network’s Board of Directors, at that time) to exchange eligible stock options (which excludes DISH Network’s Ergen 2020 Performance Award) for new options as detailed in its Schedule TO filed June 23, 2022 with the Securities and Exchange Commission (the “Exchange Offer”), to, among other things, further align employee incentives with the current market. The Exchange Offer expired on July 22, 2022. As a result of the Exchange Offer, the exercise price of approximately 9 million stock options associated with our employees, affecting approximately 500 eligible employees, was adjusted during the third quarter of 2022 to $20.00.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 Activity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EchoStar stock option activity associated with our employees was as follows: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2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320" w:type="dxa"/>
            <w:vAlign w:val="bottom"/>
          </w:tcPr>
          <w:p>
            <w:pPr>
              <w:spacing w:after="0"/>
              <w:rPr>
                <w:sz w:val="17"/>
                <w:szCs w:val="17"/>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14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(In thousands)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0" w:type="dxa"/>
            <w:vAlign w:val="bottom"/>
          </w:tcPr>
          <w:p>
            <w:pPr>
              <w:spacing w:after="0"/>
              <w:rPr>
                <w:sz w:val="1"/>
                <w:szCs w:val="1"/>
                <w:color w:val="auto"/>
              </w:rPr>
            </w:pPr>
          </w:p>
        </w:tc>
      </w:tr>
      <w:tr>
        <w:trPr>
          <w:trHeight w:val="202"/>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options outstanding, beginning of period</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3,877,308</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 cancelled and transferred (1)(2)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(944,927)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 outstanding,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3,288,033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Performance-based options outstanding,</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760" w:type="dxa"/>
            <w:vAlign w:val="bottom"/>
            <w:vMerge w:val="continue"/>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815,370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end of period (3)</w:t>
            </w:r>
          </w:p>
        </w:tc>
        <w:tc>
          <w:tcPr>
            <w:tcW w:w="11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96.55</w:t>
            </w: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Exercisable at end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0" w:hanging="330"/>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cancellation of the 2013 LTIP. See discussion below.</w:t>
      </w:r>
    </w:p>
    <w:p>
      <w:pPr>
        <w:spacing w:after="0" w:line="27"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these stock options include options that were granted to individuals who transferred to and/or from another EchoStar subsidiary not a part of DISH DBS.</w:t>
      </w:r>
    </w:p>
    <w:p>
      <w:pPr>
        <w:ind w:left="380" w:right="119" w:hanging="330"/>
        <w:spacing w:after="0" w:line="260"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are included in the caption “Total options outstanding, end of period.” See discussion of the 2017 LTIP, 2019 LTIP, 2022 Incentive Plan and Other Employee Performance Awards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realized tax benefits from stock awards exercised as follows: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r>
      <w:tr>
        <w:trPr>
          <w:trHeight w:val="196"/>
        </w:trPr>
        <w:tc>
          <w:tcPr>
            <w:tcW w:w="3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from stock awards exercised</w:t>
            </w:r>
          </w:p>
        </w:tc>
        <w:tc>
          <w:tcPr>
            <w:tcW w:w="160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EchoStar restricted stock unit and award activity associated with our employees was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6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0" w:type="dxa"/>
            <w:vAlign w:val="bottom"/>
          </w:tcPr>
          <w:p>
            <w:pPr>
              <w:spacing w:after="0"/>
              <w:rPr>
                <w:sz w:val="1"/>
                <w:szCs w:val="1"/>
                <w:color w:val="auto"/>
              </w:rPr>
            </w:pPr>
          </w:p>
        </w:tc>
      </w:tr>
      <w:tr>
        <w:trPr>
          <w:trHeight w:val="124"/>
        </w:trPr>
        <w:tc>
          <w:tcPr>
            <w:tcW w:w="4360" w:type="dxa"/>
            <w:vAlign w:val="bottom"/>
          </w:tcPr>
          <w:p>
            <w:pPr>
              <w:spacing w:after="0"/>
              <w:rPr>
                <w:sz w:val="10"/>
                <w:szCs w:val="10"/>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Units/Awards</w:t>
            </w:r>
          </w:p>
        </w:tc>
        <w:tc>
          <w:tcPr>
            <w:tcW w:w="380" w:type="dxa"/>
            <w:vAlign w:val="bottom"/>
          </w:tcPr>
          <w:p>
            <w:pPr>
              <w:spacing w:after="0"/>
              <w:rPr>
                <w:sz w:val="10"/>
                <w:szCs w:val="10"/>
                <w:color w:val="auto"/>
              </w:rPr>
            </w:pPr>
          </w:p>
        </w:tc>
        <w:tc>
          <w:tcPr>
            <w:tcW w:w="1800" w:type="dxa"/>
            <w:vAlign w:val="bottom"/>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restricted stock units/awards outstanding, beginning of period</w:t>
            </w:r>
          </w:p>
        </w:tc>
        <w:tc>
          <w:tcPr>
            <w:tcW w:w="4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379,073</w:t>
            </w:r>
          </w:p>
        </w:tc>
        <w:tc>
          <w:tcPr>
            <w:tcW w:w="38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100.69</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2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5,534</w:t>
            </w:r>
          </w:p>
        </w:tc>
        <w:tc>
          <w:tcPr>
            <w:tcW w:w="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2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(208,520)</w:t>
            </w:r>
          </w:p>
        </w:tc>
        <w:tc>
          <w:tcPr>
            <w:tcW w:w="38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92.71</w:t>
            </w: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Forfeited, cancelled and transferred (1)</w:t>
            </w:r>
          </w:p>
        </w:tc>
        <w:tc>
          <w:tcPr>
            <w:tcW w:w="2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(172,109)</w:t>
            </w:r>
          </w:p>
        </w:tc>
        <w:tc>
          <w:tcPr>
            <w:tcW w:w="3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107.22</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restricted stock units/awards outstanding, end of period</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1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3,978</w:t>
            </w:r>
          </w:p>
        </w:tc>
        <w:tc>
          <w:tcPr>
            <w:tcW w:w="380" w:type="dxa"/>
            <w:vAlign w:val="bottom"/>
            <w:tcBorders>
              <w:top w:val="single" w:sz="8" w:color="CCEEFF"/>
              <w:bottom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120.95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right="41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these restricted stock units/awards include restricted stock units/awards that were granted to individuals who transferred to and/or from another EchoStar subsidiary not a part of DISH DBS.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additional information about EchoStar stock options and restricted stock units and awards associated with our employees: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40" w:type="dxa"/>
            <w:vAlign w:val="bottom"/>
            <w:gridSpan w:val="8"/>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203"/>
        </w:trPr>
        <w:tc>
          <w:tcPr>
            <w:tcW w:w="5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81"/>
              </w:rPr>
              <w:t>(In thousands,</w:t>
            </w: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except per share</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amounts)</w:t>
            </w:r>
          </w:p>
        </w:tc>
        <w:tc>
          <w:tcPr>
            <w:tcW w:w="80" w:type="dxa"/>
            <w:vAlign w:val="bottom"/>
          </w:tcPr>
          <w:p>
            <w:pPr>
              <w:spacing w:after="0"/>
              <w:rPr>
                <w:sz w:val="17"/>
                <w:szCs w:val="17"/>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options granted</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115.57</w:t>
            </w:r>
          </w:p>
        </w:tc>
        <w:tc>
          <w:tcPr>
            <w:tcW w:w="80" w:type="dxa"/>
            <w:vAlign w:val="bottom"/>
            <w:tcBorders>
              <w:bottom w:val="single" w:sz="8" w:color="CCEEFF"/>
            </w:tcBorders>
          </w:tcPr>
          <w:p>
            <w:pPr>
              <w:spacing w:after="0"/>
              <w:rPr>
                <w:sz w:val="21"/>
                <w:szCs w:val="21"/>
                <w:color w:val="auto"/>
              </w:rPr>
            </w:pPr>
          </w:p>
        </w:tc>
      </w:tr>
      <w:tr>
        <w:trPr>
          <w:trHeight w:val="18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(1)</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and awards: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of units and awards granted</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80" w:type="dxa"/>
            <w:vAlign w:val="bottom"/>
            <w:tcBorders>
              <w:bottom w:val="single" w:sz="8" w:color="CCEEFF"/>
            </w:tcBorders>
          </w:tcPr>
          <w:p>
            <w:pPr>
              <w:spacing w:after="0"/>
              <w:rPr>
                <w:sz w:val="21"/>
                <w:szCs w:val="21"/>
                <w:color w:val="auto"/>
              </w:rPr>
            </w:pPr>
          </w:p>
        </w:tc>
      </w:tr>
      <w:tr>
        <w:trPr>
          <w:trHeight w:val="18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units and rewards vested (1)</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139" w:hanging="330"/>
        <w:spacing w:after="0" w:line="282" w:lineRule="auto"/>
        <w:tabs>
          <w:tab w:leader="none" w:pos="3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Intrinsic value and fair value is based on the closing market price of EchoStar’s Class A Common Stock on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Performance-Based Plans</w:t>
      </w:r>
    </w:p>
    <w:p>
      <w:pPr>
        <w:spacing w:after="0" w:line="225"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2013 LTIP. </w:t>
      </w:r>
      <w:r>
        <w:rPr>
          <w:rFonts w:ascii="Times New Roman" w:cs="Times New Roman" w:eastAsia="Times New Roman" w:hAnsi="Times New Roman"/>
          <w:sz w:val="18"/>
          <w:szCs w:val="18"/>
          <w:color w:val="auto"/>
        </w:rPr>
        <w:t>During 2013, EchoStar adopted a long-term, performance-based stock incentive plan (the “2013 LTIP”).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 LTIP provides stock options and restricted stock units in combination, which vest based on certain EchoStar-specific subscriber and financial performance conditions. Exercise of the stock awards is contingent on achieving these performance conditions by September 30, 2022. This plan expired on January 1, 2023 which resulted in the cancellation of 190,149 stock options and 135,344 restricted stock units and awards.</w:t>
      </w:r>
    </w:p>
    <w:p>
      <w:pPr>
        <w:spacing w:after="0" w:line="179"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2017 LTIP. </w:t>
      </w:r>
      <w:r>
        <w:rPr>
          <w:rFonts w:ascii="Times New Roman" w:cs="Times New Roman" w:eastAsia="Times New Roman" w:hAnsi="Times New Roman"/>
          <w:sz w:val="18"/>
          <w:szCs w:val="18"/>
          <w:color w:val="auto"/>
        </w:rPr>
        <w:t>On December 2, 2016, EchoStar adopted a long-term, performance-based stock incentive plan (the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LTIP”). The 2017 LTIP provided stock options, which were subject to vesting based on certain EchoStar-specific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 This plan will expire on January 1, 2027 which as of December 31, 2023, would result in the cancellation of 318,539 stock options.</w:t>
      </w:r>
    </w:p>
    <w:p>
      <w:pPr>
        <w:spacing w:after="0" w:line="182" w:lineRule="exact"/>
        <w:rPr>
          <w:sz w:val="20"/>
          <w:szCs w:val="20"/>
          <w:color w:val="auto"/>
        </w:rPr>
      </w:pPr>
    </w:p>
    <w:p>
      <w:pPr>
        <w:ind w:left="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2019 LTIP. </w:t>
      </w:r>
      <w:r>
        <w:rPr>
          <w:rFonts w:ascii="Times New Roman" w:cs="Times New Roman" w:eastAsia="Times New Roman" w:hAnsi="Times New Roman"/>
          <w:sz w:val="18"/>
          <w:szCs w:val="18"/>
          <w:color w:val="auto"/>
        </w:rPr>
        <w:t>On August 17, 2018, EchoStar adopted a long-term, performance-based stock incentive plan (the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LTIP”). The 2019 LTIP provides stock options, which vest based on certain EchoStar-specific subscriber, operational and/or financial performance conditions. Vesting of the stock awards is contingent on achieving these conditions by December 31, 2023.</w:t>
      </w:r>
    </w:p>
    <w:p>
      <w:pPr>
        <w:spacing w:after="0" w:line="11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Although no awards vest until EchoStar attains the performance conditions described above, compensation related to the 2019 LTIP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1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2022 and 2021, EchoStar determined that 85%, 89% and 90%, respectively, of the 2019 LTIP performance conditions were probable of achievement. As a result, non-cash, stock-based compensation expense was recorded for the years ended December 31, 2023, 2022 and 2021, as indicated in the table below titled “Non-Cash, Stock-Based Compensation Expense Recognized.” As of December 31, 2023, 2022 and 2021, approximately 78%, 75% and 69%, respectively, of the 2019 LTIP awards had vested. No additional awards will vest in future periods for the 2019 LTIP.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2022 Incentive Plan. </w:t>
      </w:r>
      <w:r>
        <w:rPr>
          <w:rFonts w:ascii="Times New Roman" w:cs="Times New Roman" w:eastAsia="Times New Roman" w:hAnsi="Times New Roman"/>
          <w:sz w:val="18"/>
          <w:szCs w:val="18"/>
          <w:color w:val="auto"/>
        </w:rPr>
        <w:t>On December 30, 2021, EchoStar adopted a performance-based incentive plan (the “2022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2022 Incentive Plan provides stock options, which vest based on certain EchoStar-specific operational and/or financial performance conditions. Awards were initially granted under the 2022 Incentive Plan as of February 1, 2022. Exercise of the stock awards is contingent on achieving these conditions by December 31, 2026.</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Although no awards vest until EchoStar attains the performance conditions described above, compensation related to the 2022 Incentive Plan will be recorded based on EchoStar’s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8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EchoStar determined that 100% of the 2022 Incentive Plan performance conditions were probable of achievement. As a result, non-cash, stock-based compensation expense was recorded for the year ended December 31, 2023 as indicated in the table below titled “Non-Cash, Stock-Based Compensation Expense Recognized.” As of December 31, 2023 and 2022, approximately 17% and 33%, respectively, of the 2022 Incentive Plan awards had vested.</w:t>
      </w:r>
    </w:p>
    <w:p>
      <w:pPr>
        <w:spacing w:after="0" w:line="179"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Employee Performance Awards. </w:t>
      </w:r>
      <w:r>
        <w:rPr>
          <w:rFonts w:ascii="Times New Roman" w:cs="Times New Roman" w:eastAsia="Times New Roman" w:hAnsi="Times New Roman"/>
          <w:sz w:val="18"/>
          <w:szCs w:val="18"/>
          <w:color w:val="auto"/>
        </w:rPr>
        <w:t>In addition to the above long-term, performance stock incentive plans, EchoStar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other stock awards that vest based on certain other EchoStar-specific subscriber, operational and/or financial performance conditions. Exercise of these stock awards is contingent on achieving certain performance conditions.</w:t>
      </w:r>
    </w:p>
    <w:p>
      <w:pPr>
        <w:spacing w:after="0" w:line="10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Additional compensation related to these awards will be recorded based on EchoStar’s assessment of the probability of meeting the remaining performance conditions. If the remaining performance conditions are probable of being achieved, we will begin recognizing the associated non-cash, stock-based compensation expense on our Consolidated Statements of Operations and Comprehensive Income (Loss) over the estimated period to achieve the performance condition. See the table below titled “Estimated Remaining Non-Cash, Stock-Based Compensation Expense.”</w:t>
      </w:r>
    </w:p>
    <w:p>
      <w:pPr>
        <w:spacing w:after="0" w:line="18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Although no awards vest until the performance conditions are attained, EchoStar determined that certain performance conditions described above were probable of achievement and, as a result, we recorded non-cash, stock-based compensation expense for the years ended December 31, 2023, 2022 and 2021, as indicated in the table below titled “Non-Cash, Stock-Based Compensation Expense Recognized.”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non-cash, stock-based compensation expense associated with these awards for our employees was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03"/>
        </w:trPr>
        <w:tc>
          <w:tcPr>
            <w:tcW w:w="6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Stock-Based Compensation Expense Recognized (1)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r>
      <w:tr>
        <w:trPr>
          <w:trHeight w:val="210"/>
        </w:trPr>
        <w:tc>
          <w:tcPr>
            <w:tcW w:w="3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Plan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2019</w:t>
            </w: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LTIP</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8"/>
                <w:szCs w:val="18"/>
                <w:color w:val="auto"/>
              </w:rPr>
            </w:pPr>
          </w:p>
        </w:tc>
      </w:tr>
      <w:tr>
        <w:trPr>
          <w:trHeight w:val="216"/>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2013 LTIP</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(10,550)</w:t>
            </w:r>
          </w:p>
        </w:tc>
      </w:tr>
      <w:tr>
        <w:trPr>
          <w:trHeight w:val="216"/>
        </w:trPr>
        <w:tc>
          <w:tcPr>
            <w:tcW w:w="6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employee performance awards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w:t>
            </w:r>
          </w:p>
        </w:tc>
        <w:tc>
          <w:tcPr>
            <w:tcW w:w="80" w:type="dxa"/>
            <w:vAlign w:val="bottom"/>
            <w:tcBorders>
              <w:bottom w:val="single" w:sz="8" w:color="CCEEFF"/>
            </w:tcBorders>
          </w:tcPr>
          <w:p>
            <w:pPr>
              <w:spacing w:after="0"/>
              <w:rPr>
                <w:sz w:val="18"/>
                <w:szCs w:val="18"/>
                <w:color w:val="auto"/>
              </w:rPr>
            </w:pPr>
          </w:p>
        </w:tc>
      </w:tr>
      <w:tr>
        <w:trPr>
          <w:trHeight w:val="183"/>
        </w:trPr>
        <w:tc>
          <w:tcPr>
            <w:tcW w:w="6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non-cash, stock-based compensation expense recognized for performance-based awards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(2,353)</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Recognized” includes actual forfeitures.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03"/>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2022 Incentive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Performance</w:t>
            </w:r>
          </w:p>
        </w:tc>
      </w:tr>
      <w:tr>
        <w:trPr>
          <w:trHeight w:val="21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Remaining Non-Cash, Stock-Based Compensation Expense</w:t>
            </w:r>
          </w:p>
        </w:tc>
        <w:tc>
          <w:tcPr>
            <w:tcW w:w="26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Plan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2019 LTIP</w:t>
            </w: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Awards</w:t>
            </w:r>
          </w:p>
        </w:tc>
      </w:tr>
      <w:tr>
        <w:trPr>
          <w:trHeight w:val="202"/>
        </w:trPr>
        <w:tc>
          <w:tcPr>
            <w:tcW w:w="53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(In thousands)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0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 estimated to be recognized during 2024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Estimated contingent expense subsequent to 2024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estimated remaining expense over the term of the plan</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Given the competitive nature of EchoStar’s business, small variations in subscriber churn, gross new subscriber activation rates and certain other factors can significantly impact subscriber growth. Consequently, while it was determined that achievement of certain other EchoStar-specific subscriber, operational and/or financial performance conditions were not probable as of December 31, 2023, that assessment could change in the future.</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Of the 3.3 million stock options and 4 thousand restricted stock units and awards outstanding under the EchoStar stock incentive plans associated with our employees as of December 31, 2023, the following awards were outstanding pursuant to the performance-based stock incentive plans: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80" w:type="dxa"/>
            <w:vAlign w:val="bottom"/>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194"/>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Performance-Based Stock Options</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10"/>
        </w:trPr>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303,379</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LTIP</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193,452</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318,539</w:t>
            </w: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shd w:val="clear" w:color="auto" w:fill="CCEEFF"/>
          </w:tcPr>
          <w:p>
            <w:pPr>
              <w:spacing w:after="0"/>
              <w:rPr>
                <w:sz w:val="18"/>
                <w:szCs w:val="18"/>
                <w:color w:val="auto"/>
              </w:rPr>
            </w:pP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815,370</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Total non-cash, stock-based compensation expense for all of our employees is shown in the following table for the years ended December 31, 2023, 2022 and 2021 and was allocated to the same expense categories as the base compensation for such employees:</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2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r>
      <w:tr>
        <w:trPr>
          <w:trHeight w:val="216"/>
        </w:trPr>
        <w:tc>
          <w:tcPr>
            <w:tcW w:w="4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196"/>
        </w:trPr>
        <w:tc>
          <w:tcPr>
            <w:tcW w:w="4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Borders>
              <w:bottom w:val="single" w:sz="8" w:color="CCEEFF"/>
            </w:tcBorders>
          </w:tcPr>
          <w:p>
            <w:pPr>
              <w:spacing w:after="0"/>
              <w:rPr>
                <w:sz w:val="18"/>
                <w:szCs w:val="18"/>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non-cash, stock based compensation</w:t>
            </w: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of December 31, 2023, our total unrecognized compensation cost related to the non-performance based unvested stock awards was $24 million and will be recognized over a weighted-average period of approximately 8.6 years. Share-based compensation expense is recognized based on stock awards ultimately expected to vest.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granted for the years ended December 31, 2023, 2022 and 2021 was estimated at the date of the grant using a Black-Scholes option valuation model with the following assumptions: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1.35 </w:t>
            </w:r>
            <w:r>
              <w:rPr>
                <w:rFonts w:ascii="Times New Roman" w:cs="Times New Roman" w:eastAsia="Times New Roman" w:hAnsi="Times New Roman"/>
                <w:sz w:val="17"/>
                <w:szCs w:val="17"/>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34.30 </w:t>
            </w:r>
            <w:r>
              <w:rPr>
                <w:rFonts w:ascii="Times New Roman" w:cs="Times New Roman" w:eastAsia="Times New Roman" w:hAnsi="Times New Roman"/>
                <w:sz w:val="17"/>
                <w:szCs w:val="17"/>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 xml:space="preserve">41.25 </w:t>
            </w: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32.67 </w:t>
            </w:r>
            <w:r>
              <w:rPr>
                <w:rFonts w:ascii="Times New Roman" w:cs="Times New Roman" w:eastAsia="Times New Roman" w:hAnsi="Times New Roman"/>
                <w:sz w:val="17"/>
                <w:szCs w:val="17"/>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29.91 </w:t>
            </w:r>
            <w:r>
              <w:rPr>
                <w:rFonts w:ascii="Times New Roman" w:cs="Times New Roman" w:eastAsia="Times New Roman" w:hAnsi="Times New Roman"/>
                <w:sz w:val="17"/>
                <w:szCs w:val="17"/>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4.1</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7.40</w:t>
            </w:r>
          </w:p>
        </w:tc>
        <w:tc>
          <w:tcPr>
            <w:tcW w:w="18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5.97</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80" w:type="dxa"/>
            <w:vAlign w:val="bottom"/>
          </w:tcPr>
          <w:p>
            <w:pPr>
              <w:spacing w:after="0"/>
              <w:rPr>
                <w:sz w:val="20"/>
                <w:szCs w:val="20"/>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While EchoStar currently does not intend to declare dividends on its Class A common stock, EchoStar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pacing w:after="0" w:line="187"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assumptions used to derive the estimated fair value of EchoStar’s stock options as new events or changes in circumstances become known.</w:t>
      </w:r>
    </w:p>
    <w:p>
      <w:pPr>
        <w:spacing w:after="0" w:line="158" w:lineRule="exact"/>
        <w:rPr>
          <w:sz w:val="20"/>
          <w:szCs w:val="20"/>
          <w:color w:val="auto"/>
        </w:rPr>
      </w:pPr>
    </w:p>
    <w:p>
      <w:pPr>
        <w:ind w:left="60" w:right="6099" w:hanging="10"/>
        <w:spacing w:after="0" w:line="424" w:lineRule="auto"/>
        <w:tabs>
          <w:tab w:leader="none" w:pos="38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2"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As of December 31, 2023, future maturities of our long-term debt, finance lease and contractual obligations are summarized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2027</w:t>
            </w:r>
          </w:p>
        </w:tc>
        <w:tc>
          <w:tcPr>
            <w:tcW w:w="140" w:type="dxa"/>
            <w:vAlign w:val="bottom"/>
          </w:tcPr>
          <w:p>
            <w:pPr>
              <w:spacing w:after="0"/>
              <w:rPr>
                <w:sz w:val="12"/>
                <w:szCs w:val="12"/>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80" w:type="dxa"/>
            <w:vAlign w:val="bottom"/>
          </w:tcPr>
          <w:p>
            <w:pPr>
              <w:spacing w:after="0"/>
              <w:rPr>
                <w:sz w:val="12"/>
                <w:szCs w:val="12"/>
                <w:color w:val="auto"/>
              </w:rPr>
            </w:pPr>
          </w:p>
        </w:tc>
      </w:tr>
      <w:tr>
        <w:trPr>
          <w:trHeight w:val="128"/>
        </w:trPr>
        <w:tc>
          <w:tcPr>
            <w:tcW w:w="2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(In</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3"/>
                <w:szCs w:val="13"/>
                <w:color w:val="auto"/>
                <w:w w:val="81"/>
              </w:rPr>
              <w:t>thousands)</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11,775,222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1,992,872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$ 4,757,972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$ 3,501,538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1,504,992</w:t>
            </w:r>
          </w:p>
        </w:tc>
        <w:tc>
          <w:tcPr>
            <w:tcW w:w="80" w:type="dxa"/>
            <w:vAlign w:val="bottom"/>
            <w:shd w:val="clear" w:color="auto" w:fill="CCEEFF"/>
          </w:tcPr>
          <w:p>
            <w:pPr>
              <w:spacing w:after="0"/>
              <w:rPr>
                <w:sz w:val="12"/>
                <w:szCs w:val="12"/>
                <w:color w:val="auto"/>
              </w:rPr>
            </w:pPr>
          </w:p>
        </w:tc>
      </w:tr>
      <w:tr>
        <w:trPr>
          <w:trHeight w:val="149"/>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long-term debt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2,532,110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595,606</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595,205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295,379</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294,636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38,842</w:t>
            </w:r>
          </w:p>
        </w:tc>
        <w:tc>
          <w:tcPr>
            <w:tcW w:w="80" w:type="dxa"/>
            <w:vAlign w:val="bottom"/>
          </w:tcPr>
          <w:p>
            <w:pPr>
              <w:spacing w:after="0"/>
              <w:rPr>
                <w:sz w:val="12"/>
                <w:szCs w:val="12"/>
                <w:color w:val="auto"/>
              </w:rPr>
            </w:pPr>
          </w:p>
        </w:tc>
      </w:tr>
      <w:tr>
        <w:trPr>
          <w:trHeight w:val="14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obligations (1)</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Interest expense on finance lease obligations</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obligations (2)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3,415,290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2,026,120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739,613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125,084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obligations (1)</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26,417</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8,337</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17,792</w:t>
            </w:r>
          </w:p>
        </w:tc>
        <w:tc>
          <w:tcPr>
            <w:tcW w:w="80" w:type="dxa"/>
            <w:vAlign w:val="bottom"/>
          </w:tcPr>
          <w:p>
            <w:pPr>
              <w:spacing w:after="0"/>
              <w:rPr>
                <w:sz w:val="12"/>
                <w:szCs w:val="12"/>
                <w:color w:val="auto"/>
              </w:rPr>
            </w:pPr>
          </w:p>
        </w:tc>
      </w:tr>
      <w:tr>
        <w:trPr>
          <w:trHeight w:val="14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obligations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1,365,889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1,335,189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7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19,238,172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6,140,479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1,397,097</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$ 5,898,212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437,223</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$ 3,803,535</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1,561,626</w:t>
            </w:r>
          </w:p>
        </w:tc>
        <w:tc>
          <w:tcPr>
            <w:tcW w:w="80" w:type="dxa"/>
            <w:vAlign w:val="bottom"/>
          </w:tcPr>
          <w:p>
            <w:pPr>
              <w:spacing w:after="0"/>
              <w:rPr>
                <w:sz w:val="12"/>
                <w:szCs w:val="12"/>
                <w:color w:val="auto"/>
              </w:rPr>
            </w:pP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further information on leases and the adoption of ASC 842.</w:t>
      </w:r>
    </w:p>
    <w:p>
      <w:pPr>
        <w:spacing w:after="0" w:line="27" w:lineRule="exact"/>
        <w:rPr>
          <w:rFonts w:ascii="Times New Roman" w:cs="Times New Roman" w:eastAsia="Times New Roman" w:hAnsi="Times New Roman"/>
          <w:sz w:val="18"/>
          <w:szCs w:val="18"/>
          <w:color w:val="auto"/>
        </w:rPr>
      </w:pPr>
    </w:p>
    <w:p>
      <w:pPr>
        <w:ind w:left="720" w:right="339" w:hanging="319"/>
        <w:spacing w:after="0" w:line="260"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obligations for satellite related executory costs, telemetry, tracking and control (“TT&amp;C”) services, short-term leases and certain expenses associated with DISH Network’s Wireless segment.</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certain circumstances the dates on which we are obligated to make these payments could be delayed.</w:t>
      </w:r>
    </w:p>
    <w:p>
      <w:pPr>
        <w:spacing w:after="0" w:line="158"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$202 million of liabilities associated with unrecognized tax benefits that were accrued, as discussed in Note 9, and are included on our Consolidated Balance Sheets as of December 31, 2023. We do not expect any portion of this amount to be paid or settled within the next 12 months.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table above includes certain obligations incurred by us on behalf of DISH Network’s Wireless segment. These obligations will be either paid directly by DISH Network or settled monthly as part of our centralized cash management system with our parent, DISH Network. See Note 3 for further information.</w:t>
      </w:r>
    </w:p>
    <w:p>
      <w:pPr>
        <w:spacing w:after="0" w:line="1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March 20, 2023, DISH Network entered into a contract with Maxar Space LLC for the construction of EchoStar XXV, a DBS satellite that is capable of providing service to the CONUS and is intended to be used at the 110 degree orbital location. This satellite is expected to be launched during 2026. During the fourth quarter of 2023, DISH Network entered into an agreement with SpaceX for launch services for this satellite, which is expected to be launched during 2026. The satellite construction and launch costs for EchoStar XXV and any future lease obligations are not included in “Other long-term obligations” above.</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DISH Network’s Spectrum and 5G Network Deployment</w:t>
      </w:r>
    </w:p>
    <w:p>
      <w:pPr>
        <w:spacing w:after="0" w:line="14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18"/>
          <w:szCs w:val="18"/>
          <w:color w:val="auto"/>
        </w:rPr>
        <w:t>DISH Network has directly invested approximately $30 billion to acquire certain wireless spectrum licenses. DISH Network’s wireless spectrum licenses are subject to certain interim and final build-out requirements, as well as certain renewal requirements. DISH Network plans to commercialize its wireless spectrum licenses through the completion of the nation’s first cloud-native, Open Radio Access Network (“O-RAN”) based 5G network (the “5G Network Deployment”). DISH Network currently expects capital expenditures, excluding capitalized interest, for its 5G Network Deployment to be approximately $10 billion, including amounts incurred in 2021, 2022 and 2023. DISH Network may need to make significant additional investments or partner with others to, among other things, continue its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w:t>
      </w:r>
    </w:p>
    <w:p>
      <w:pPr>
        <w:spacing w:after="0" w:line="178"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addition, as DISH Network completes its 5G Network Deployment, DISH Network has and will continue to incur significant additional expenses related to, among other things, research and development, wireless testing and ongoing upgrades to the wireless network infrastructure, software and third party integration. DISH Network may also determine that additional wireless spectrum licenses may be required to complete its 5G Network Deployment and to compete effectively with other wireless service providers.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connection with the development of DISH Network’s wireless business, including, without limitation, the efforts described above, we have made cash distributions and the Intercompany Loan to partially finance these efforts to date and may make additional cash distributions or loans to finance, in whole or in part, DISH Network or EchoStar’s future efforts, including, among other things, any potential Northstar re-auction payment and SNR re-auction payment. There can be no assurance that DISH Network will realize a return on these wireless spectrum licenses or that DISH Network will be able to profitably these wireless spectrum licenses.</w:t>
      </w:r>
    </w:p>
    <w:p>
      <w:pPr>
        <w:spacing w:after="0" w:line="18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will need to raise additional capital in the future, which may not be available on favorable terms, to among other things, continue investing in our business and to pursue acquisitions and other strategic transactions.</w:t>
      </w:r>
    </w:p>
    <w:p>
      <w:pPr>
        <w:spacing w:after="0" w:line="160"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color w:val="auto"/>
        </w:rPr>
        <w:t>See Note 15 “</w:t>
      </w:r>
      <w:r>
        <w:rPr>
          <w:rFonts w:ascii="Times New Roman" w:cs="Times New Roman" w:eastAsia="Times New Roman" w:hAnsi="Times New Roman"/>
          <w:sz w:val="18"/>
          <w:szCs w:val="18"/>
          <w:i w:val="1"/>
          <w:iCs w:val="1"/>
          <w:color w:val="auto"/>
        </w:rPr>
        <w:t>Commitments and Contingencies – Wireless – 5G Network Deployment”</w:t>
      </w:r>
      <w:r>
        <w:rPr>
          <w:rFonts w:ascii="Times New Roman" w:cs="Times New Roman" w:eastAsia="Times New Roman" w:hAnsi="Times New Roman"/>
          <w:sz w:val="18"/>
          <w:szCs w:val="18"/>
          <w:color w:val="auto"/>
        </w:rPr>
        <w:t xml:space="preserve"> in the Notes to EchoStar’s Annual Report on Form 10-K for the year ended December 31, 2023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Satellite Insurance</w:t>
      </w:r>
    </w:p>
    <w:p>
      <w:pPr>
        <w:spacing w:after="0" w:line="2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generally do not carry commercial launch or in-orbit insurance on any of the satellites we own. We generally do not use commercial insurance to mitigate the potential financial impact of launch or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6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Our 2024 purchase obligations primarily consist of binding purchase orders for certain fixed contractual commitments to purchase programming content, receiver systems and related equipment, broadband equipment, digital broadcast operations, transmission costs, streaming delivery technology and infrastructure, engineering services, and other products and services related to the operation of our Pay-TV services. In addition, our 2024 purchase obligations also include DISH Network’s purchase obligations for certain wireless devices related to its retail wireless business as well as transition services pursuant to the TSA with T-Mobile. Our purchase obligations may fluctuate significantly from period to period due to, among other things, management’s timing of payments and inventory purchases, which can materially impact our future operating asset and liability balances, and our future working capital requirements. The purchase obligations incurred by us on behalf of DISH Network’s Wireless segment will be either paid directly by DISH Network or settled monthly as part of our centralized cash management system with our parent, DISH Network.</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Programming Contracts</w:t>
      </w:r>
    </w:p>
    <w:p>
      <w:pPr>
        <w:spacing w:after="0" w:line="160"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Patents and Intellectual Property</w:t>
      </w:r>
    </w:p>
    <w:p>
      <w:pPr>
        <w:spacing w:after="0" w:line="16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20"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ClearPlay, Inc.</w:t>
      </w:r>
    </w:p>
    <w:p>
      <w:pPr>
        <w:spacing w:after="0" w:line="160" w:lineRule="exact"/>
        <w:rPr>
          <w:sz w:val="20"/>
          <w:szCs w:val="20"/>
          <w:color w:val="auto"/>
        </w:rPr>
      </w:pPr>
    </w:p>
    <w:p>
      <w:pPr>
        <w:jc w:val="both"/>
        <w:ind w:left="60" w:right="119"/>
        <w:spacing w:after="0" w:line="272" w:lineRule="auto"/>
        <w:rPr>
          <w:sz w:val="20"/>
          <w:szCs w:val="20"/>
          <w:color w:val="auto"/>
        </w:rPr>
      </w:pPr>
      <w:r>
        <w:rPr>
          <w:rFonts w:ascii="Times New Roman" w:cs="Times New Roman" w:eastAsia="Times New Roman" w:hAnsi="Times New Roman"/>
          <w:sz w:val="17"/>
          <w:szCs w:val="17"/>
          <w:color w:val="auto"/>
        </w:rPr>
        <w:t>On March 13, 2014, ClearPlay, Inc. (“ClearPlay”) filed a complaint against EchoStar and DISH Network, our wholly-owned subsidiary DISH Network L.L.C., and EchoStar’s then wholly-owned subsidiary EchoStar Technologies L.L.C., in the United States District Court for the District of Utah. The complaint alleges willful infringement of United States Patent Nos.</w:t>
      </w:r>
    </w:p>
    <w:p>
      <w:pPr>
        <w:spacing w:after="0" w:line="2" w:lineRule="exact"/>
        <w:rPr>
          <w:sz w:val="20"/>
          <w:szCs w:val="20"/>
          <w:color w:val="auto"/>
        </w:rPr>
      </w:pPr>
    </w:p>
    <w:p>
      <w:pPr>
        <w:ind w:left="60" w:right="179"/>
        <w:spacing w:after="0" w:line="249" w:lineRule="auto"/>
        <w:rPr>
          <w:sz w:val="20"/>
          <w:szCs w:val="20"/>
          <w:color w:val="auto"/>
        </w:rPr>
      </w:pPr>
      <w:r>
        <w:rPr>
          <w:rFonts w:ascii="Times New Roman" w:cs="Times New Roman" w:eastAsia="Times New Roman" w:hAnsi="Times New Roman"/>
          <w:sz w:val="17"/>
          <w:szCs w:val="17"/>
          <w:color w:val="auto"/>
        </w:rPr>
        <w:t>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EchoStar and us as defendants, leaving DISH Network L.L.C. and DISH Technologies L.L.C. as the sole defendants.</w:t>
      </w:r>
    </w:p>
    <w:p>
      <w:pPr>
        <w:spacing w:after="0" w:line="12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2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w:t>
      </w:r>
    </w:p>
    <w:p>
      <w:pPr>
        <w:spacing w:after="0" w:line="12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Data Breach Class Actions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May 9, 2023, Susan Owen-Brooks, an alleged customer, filed a putative class action complaint against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the plaintiffs filed a consolidated amended class action complaint.</w:t>
      </w:r>
    </w:p>
    <w:p>
      <w:pPr>
        <w:spacing w:after="0" w:line="194"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22222"/>
        </w:rPr>
        <w:t>Digital Broadcasting Solutions, LLC</w:t>
      </w:r>
    </w:p>
    <w:p>
      <w:pPr>
        <w:spacing w:after="0" w:line="14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222222"/>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 xml:space="preserve"> set-top boxes infringes the asserted patents. </w:t>
      </w:r>
      <w:r>
        <w:rPr>
          <w:rFonts w:ascii="Times New Roman" w:cs="Times New Roman" w:eastAsia="Times New Roman" w:hAnsi="Times New Roman"/>
          <w:sz w:val="18"/>
          <w:szCs w:val="18"/>
          <w:color w:val="000000"/>
        </w:rPr>
        <w:t>On June 21, 2023,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Court granted the motion of DISH Network L.L.C. and DISH Technologies L.L.C. to have the case transferred to the United States District Court for the District of Colorado.</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 May 2023, DISH Network L.L.C. and DISH Technologies L.L.C. filed petitions with the United States Patent and Trademark Office challenging the validity of all claims of the 710 patent and the 122 patent and, on December 11, 2023, the United States Patent and Trademark Office entered decisions instituting each petition.</w:t>
      </w:r>
    </w:p>
    <w:p>
      <w:pPr>
        <w:spacing w:after="0" w:line="1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22222"/>
        </w:rPr>
        <w:t>Entropic Communications, LLC (first action)</w:t>
      </w:r>
    </w:p>
    <w:p>
      <w:pPr>
        <w:spacing w:after="0" w:line="14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222222"/>
        </w:rPr>
        <w:t xml:space="preserve">On March 9, 2022, Entropic Communications, LLC (“Entropic”) filed a complaint against DISH Network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On October 24, 2022, this case was ordered to be transferred to the United States District Court for the Central District of California. </w:t>
      </w:r>
      <w:r>
        <w:rPr>
          <w:rFonts w:ascii="Times New Roman" w:cs="Times New Roman" w:eastAsia="Times New Roman" w:hAnsi="Times New Roman"/>
          <w:sz w:val="18"/>
          <w:szCs w:val="18"/>
          <w:color w:val="000000"/>
        </w:rPr>
        <w:t>A companion case against DirecTV was also ordered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transferred to the United States District Court for the Central District of California.</w:t>
      </w:r>
    </w:p>
    <w:p>
      <w:pPr>
        <w:spacing w:after="0" w:line="12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222222"/>
        </w:rPr>
        <w:t xml:space="preserve">In January and February of 2023, DISH Network L.L.C. and Dish Network Service L.L.C. </w:t>
      </w:r>
      <w:r>
        <w:rPr>
          <w:rFonts w:ascii="Times New Roman" w:cs="Times New Roman" w:eastAsia="Times New Roman" w:hAnsi="Times New Roman"/>
          <w:sz w:val="18"/>
          <w:szCs w:val="18"/>
          <w:color w:val="000000"/>
        </w:rPr>
        <w:t>filed petitions with the United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222222"/>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r>
        <w:rPr>
          <w:rFonts w:ascii="Times New Roman" w:cs="Times New Roman" w:eastAsia="Times New Roman" w:hAnsi="Times New Roman"/>
          <w:sz w:val="18"/>
          <w:szCs w:val="18"/>
          <w:color w:val="000000"/>
        </w:rPr>
        <w:t>The plaintiff is an entity that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22222"/>
        </w:rPr>
        <w:t>Entropic Communications, LLC (second action)</w:t>
      </w:r>
    </w:p>
    <w:p>
      <w:pPr>
        <w:spacing w:after="0" w:line="214"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 xml:space="preserve">On February 10, 2023, Entropic filed a second lawsuit against DISH Network and our wholly-owned subsidiaries </w:t>
      </w:r>
      <w:r>
        <w:rPr>
          <w:rFonts w:ascii="Times New Roman" w:cs="Times New Roman" w:eastAsia="Times New Roman" w:hAnsi="Times New Roman"/>
          <w:sz w:val="18"/>
          <w:szCs w:val="18"/>
          <w:color w:val="222222"/>
        </w:rPr>
        <w:t>DISH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Entropic has asserted the same patents in the same court against Comcast, Cox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w:t>
      </w:r>
    </w:p>
    <w:p>
      <w:pPr>
        <w:spacing w:after="0" w:line="20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Freedom Patents</w:t>
      </w:r>
    </w:p>
    <w:p>
      <w:pPr>
        <w:spacing w:after="0" w:line="25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April 7, 2023, Freedom Patents LLC filed a complaint against DISH Network and our wholly-owned subsidiaries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w:t>
      </w:r>
    </w:p>
    <w:p>
      <w:pPr>
        <w:spacing w:after="0" w:line="18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Jones 401(k) Litigation</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December 20, 2021, four former employees filed a class action complaint in the United States District Court for the District of Colorado against DISH Network, DISH Network’s Board of Directors at that time, and DISH Network’s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w:t>
      </w:r>
    </w:p>
    <w:p>
      <w:pPr>
        <w:spacing w:after="0" w:line="19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Lingam Securities Class Action (formerly Jaramillo)</w:t>
      </w:r>
    </w:p>
    <w:p>
      <w:pPr>
        <w:spacing w:after="0" w:line="22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March 23, 2023, a securities fraud class action complaint was filed against DISH Network and Messrs. Ergen, Carlson and Orban in the United States District Court for the District of Colorado. The complaint is brought on behalf of a putative class of purchasers of DISH Network’s securities during the February 22, 2021 to February 27, 2023 class period. In general, the complaint alleges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adds as individual defendants James S. Allen, DISH Network’s Senior Vice President and Chief Accounting Officer; John Swieringa, DISH Network’s President, Technology and Chief Operating Officer; Dave Mayo, DISH Network’s former Executive Vice President of Network Development; Marc Rouanne, DISH Network’s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94"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DISH Network intends to vigorously defend this case. DISH Network cannot predict with any degree of certainty the outcome of the suit or determine the extent of any potential liability or damages.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Realtime Data LLC and Realtime Adaptive Streaming LLC</w:t>
      </w:r>
    </w:p>
    <w:p>
      <w:pPr>
        <w:spacing w:after="0" w:line="22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June 6, 2017, Realtime Data LLC d/b/a IXO (“Realtime”) filed an amended complaint in the United States District Court for the Eastern District of Texas (the “Original Texas Action”) against DISH Network;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 Realtime alleges that DISH Network’s,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87"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7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8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9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that appeal is now fully briefed and scheduled for oral argument on April 2,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SafeCast Limited</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June 27, 2022, SafeCast Limited filed a complaint against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On December 1, 2022, SafeCast filed an amended complaint naming our wholly-owned subsidiaries DISH Network L.L.C. and DISH Technologies L.L.C. as defendants and withdrawing the allegations as to DISH Network. On June 22, 2023, DISH Network L.L.C. and DISH Technologies L.L.C. filed a petition with the United States Patent and Trademark Office challenging the validity of the asserted claims of the 302 patent. On August 28, 2023, the Court stayed the case pending resolution of the 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Sound View Innovations, LLC</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w:t>
      </w:r>
    </w:p>
    <w:p>
      <w:pPr>
        <w:spacing w:after="0" w:line="127"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87"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spacing w:after="0" w:line="12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The plaintiff is an entity that seeks to license a patent portfolio without itself practicing any of the claims recited therein.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TQ Delta, LLC</w:t>
      </w:r>
    </w:p>
    <w:p>
      <w:pPr>
        <w:spacing w:after="0" w:line="227" w:lineRule="exact"/>
        <w:rPr>
          <w:sz w:val="20"/>
          <w:szCs w:val="20"/>
          <w:color w:val="auto"/>
        </w:rPr>
      </w:pPr>
    </w:p>
    <w:p>
      <w:pPr>
        <w:ind w:left="60" w:right="179"/>
        <w:spacing w:after="0" w:line="269" w:lineRule="auto"/>
        <w:rPr>
          <w:sz w:val="20"/>
          <w:szCs w:val="20"/>
          <w:color w:val="auto"/>
        </w:rPr>
      </w:pPr>
      <w:r>
        <w:rPr>
          <w:rFonts w:ascii="Times New Roman" w:cs="Times New Roman" w:eastAsia="Times New Roman" w:hAnsi="Times New Roman"/>
          <w:sz w:val="17"/>
          <w:szCs w:val="17"/>
          <w:color w:val="auto"/>
        </w:rPr>
        <w:t>On July 17, 2015, TQ Delta, LLC (“TQ Delta”) filed a complaint against us, DISH Network and our wholly-owned subsidiary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 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7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w:t>
      </w:r>
    </w:p>
    <w:p>
      <w:pPr>
        <w:spacing w:after="0" w:line="18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December 20, 2016, pursuant to a stipulation of the parties, the Court stayed the case until the resolution of all petitions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United States Patent and Trademark Office challenging the validity of all of the patent claims at issue.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19, 2017, the United States Patent and Trademark Office granted our motions to join the instituted petitions 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430 and 158 patents.</w:t>
      </w:r>
    </w:p>
    <w:p>
      <w:pPr>
        <w:spacing w:after="0" w:line="20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87" w:lineRule="exact"/>
        <w:rPr>
          <w:sz w:val="20"/>
          <w:szCs w:val="20"/>
          <w:color w:val="auto"/>
        </w:rPr>
      </w:pPr>
    </w:p>
    <w:p>
      <w:pPr>
        <w:ind w:left="60" w:right="579"/>
        <w:spacing w:after="0" w:line="261" w:lineRule="auto"/>
        <w:rPr>
          <w:sz w:val="20"/>
          <w:szCs w:val="20"/>
          <w:color w:val="auto"/>
        </w:rPr>
      </w:pPr>
      <w:r>
        <w:rPr>
          <w:rFonts w:ascii="Times New Roman" w:cs="Times New Roman" w:eastAsia="Times New Roman" w:hAnsi="Times New Roman"/>
          <w:sz w:val="18"/>
          <w:szCs w:val="18"/>
          <w:color w:val="auto"/>
        </w:rPr>
        <w:t>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 243 patent. In a proposed supplemental report, TQ Delta’s damages expert contends that TQ Delta is entitled to $251 million in damages.</w:t>
      </w:r>
    </w:p>
    <w:p>
      <w:pPr>
        <w:spacing w:after="0" w:line="12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Uniloc 2017 LLC</w:t>
      </w:r>
    </w:p>
    <w:p>
      <w:pPr>
        <w:spacing w:after="0" w:line="16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w:t>
      </w:r>
    </w:p>
    <w:p>
      <w:pPr>
        <w:spacing w:after="0" w:line="19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8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8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On November 9, 2022, Uniloc filed a notice of appeal of that revised final written decision and briefing was completed on August 11,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Uniloc is an entity that seeks to license an acquired patent portfolio without itself practicing any of the claims recited therein.</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Vermont National Telephone Company</w:t>
      </w:r>
    </w:p>
    <w:p>
      <w:pPr>
        <w:spacing w:after="0" w:line="160"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7"/>
          <w:szCs w:val="17"/>
          <w:color w:val="auto"/>
        </w:rPr>
        <w:t xml:space="preserve">On September 23, 2016, the United States District Court for the District of Columbia unsealed a qui tam complaint that, on May 13, 2015, Vermont National Telephone Company (“Vermont National”) filed against DISH Network; DISH Network’s wholly-owned subsidiaries, American AWS-3 Wireless I L.L.C., American II, American III, and DISH Wireless Holding L.L.C.; Charles W. Ergen (our Chairman) and Cantey M. Ergen (a member of DISH Network’s Board of Directors, at that time); Northstar Wireless; Northstar Spectrum; Northstar Manager, LLC; SNR Wireless; SNR HoldCo; SNR Wireless Management, LLC;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Times New Roman" w:cs="Times New Roman" w:eastAsia="Times New Roman" w:hAnsi="Times New Roman"/>
          <w:sz w:val="17"/>
          <w:szCs w:val="17"/>
          <w:i w:val="1"/>
          <w:iCs w:val="1"/>
          <w:color w:val="auto"/>
        </w:rPr>
        <w:t>SNR Wireless LicenseCo, LLC, et al. v. F.C.C.</w:t>
      </w:r>
      <w:r>
        <w:rPr>
          <w:rFonts w:ascii="Times New Roman" w:cs="Times New Roman" w:eastAsia="Times New Roman" w:hAnsi="Times New Roman"/>
          <w:sz w:val="17"/>
          <w:szCs w:val="17"/>
          <w:color w:val="auto"/>
        </w:rPr>
        <w:t xml:space="preserve"> The D.C. Circuit issued its opinion on August 29, 2017 and remanded the matter to the FCC for further proceedings. See Note 15 </w:t>
      </w:r>
      <w:r>
        <w:rPr>
          <w:rFonts w:ascii="Times New Roman" w:cs="Times New Roman" w:eastAsia="Times New Roman" w:hAnsi="Times New Roman"/>
          <w:sz w:val="17"/>
          <w:szCs w:val="17"/>
          <w:i w:val="1"/>
          <w:iCs w:val="1"/>
          <w:color w:val="auto"/>
        </w:rPr>
        <w:t>“Commitments and Contingencies – Commitments – DISH Network Noncontrolling Investments in the Northstar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Entities and the SNR Entities Related to AWS-3 Wireless Spectrum Licenses” </w:t>
      </w:r>
      <w:r>
        <w:rPr>
          <w:rFonts w:ascii="Times New Roman" w:cs="Times New Roman" w:eastAsia="Times New Roman" w:hAnsi="Times New Roman"/>
          <w:sz w:val="17"/>
          <w:szCs w:val="17"/>
          <w:color w:val="auto"/>
        </w:rPr>
        <w:t>in the Notes to EchoStar’s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10-K for the year ended December 31, 2023 for further information.</w:t>
      </w:r>
    </w:p>
    <w:p>
      <w:pPr>
        <w:spacing w:after="0" w:line="336"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spacing w:after="0" w:line="121"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DISH Network intends to vigorously defend this case. DISH Network cannot predict with any degree of certainty the outcome of this proceeding or determine the extent of any potential liability or damages.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Financial Information for Subsidiary Guarantors</w:t>
      </w:r>
    </w:p>
    <w:p>
      <w:pPr>
        <w:spacing w:after="0" w:line="16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Our registered senior notes are fully and unconditionally guaranteed, jointly and severally on a senior unsecured basis by certain of our wholly-owned subsidiaries (the “Guarantors”).</w:t>
      </w:r>
    </w:p>
    <w:p>
      <w:pPr>
        <w:spacing w:after="0" w:line="94"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Our 7 3/8% Senior Notes due 2028 and 5 1/8% Senior Notes due 2029 are guaranteed by our current principal operating subsidiaries. Our 5 7/8% Senior Notes due 2024 and 7 3/4% Senior Notes due 2026 are guaranteed by our current principal operating subsidiaries other than Sling TV Holding L.L.C. (“Sling TV Holding”). However, Sling TV Holding, including all of its assets and operations, is a wholly-owned subsidiary of DISH Network L.L.C., which is a Guarantor on all of our outstanding registered senior notes. Certain of our wholly-owned subsidiaries are designated as “Unrestricted Subsidiaries” and do not guarantee any of our registered senior notes. These Unrestricted Subsidiaries are non-operating entities that hold minimal or no assets.</w:t>
      </w:r>
    </w:p>
    <w:p>
      <w:pPr>
        <w:spacing w:after="0" w:line="121"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and our subsidiaries participate with our parent company, DISH Network, in a centralized system for the management of our cash and marketable investment securities. Please see Note 3 for further information.</w:t>
      </w:r>
    </w:p>
    <w:p>
      <w:pPr>
        <w:spacing w:after="0" w:line="9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issuer and Guarantors (excluding Unrestricted Subsidiaries) of the guaranteed securities are not materially different than corresponding amounts presented in the consolidated financial statements of the parent company issuer. Therefore, summarized financial information of the issuer and the Guarantors is not required.</w:t>
      </w:r>
    </w:p>
    <w:p>
      <w:pPr>
        <w:spacing w:after="0" w:line="11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below descriptions apply to all of our existing registered senior notes. There are no material differences between our registered senior notes guaranteed by all of our current principal operating subsidiaries and our registered senior notes guaranteed by our current principal operating subsidiaries other than Sling TV Holding, a wholly-owned subsidiary of DISH Network L.L.C., which is a Guarantor on all of our outstanding registered senior notes.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guarantee of a Guarantor will be deemed automatically discharged and released in accordance with the terms of the applicable indenture: (i) in connection with any direct or indirect sale, conveyance or other disposition of all of the capital stock or all or substantially all of the assets of that Guarantor (including by way of merger or consolidation), if such sale or disposition is made in compliance with the applicable provisions of the indenture; (ii) if such Guarantor is dissolved or liquidated in accordance with the provisions of the indenture; (iii) if we designate any such Guarantor as an “Unrestricted Subsidiary” in compliance with the terms of the indenture; or (iv) with respect to a Guarantor which constitutes a Non-Core Asset (as such term is defined in the applicable indenture), upon the sale or other disposition of certain equity interests of such Guarantor, if such sale or disposition is made in compliance with the applicable provisions of the indenture. There are no restrictions on our ability to obtain cash dividends or other distributions of funds from the Guarantors, except those imposed by applicable law.</w:t>
      </w:r>
    </w:p>
    <w:p>
      <w:pPr>
        <w:spacing w:after="0" w:line="1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rights of holders of the registered senior notes against the Guarantors may be limited under the U.S. Bankruptcy Code or state fraudulent transfer or conveyance law. Under certain circumstances (including a finding that a Guarantor was insolvent at the time its guarantee of the registered senior notes was issued), a court could hold that the obligations of a Guarantor under a guarantee may be voided or are subordinate to other obligations of the Guarantor. Each guarantee contains a provision intended to limit the Guarantor’s liability to the maximum amount that it could incur without causing the incurrence of obligations under its guarantee to be a fraudulent conveyance or transfer under U.S. federal or state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Disaggregation of Revenue</w:t>
      </w:r>
    </w:p>
    <w:p>
      <w:pPr>
        <w:spacing w:after="0" w:line="225" w:lineRule="exact"/>
        <w:rPr>
          <w:sz w:val="20"/>
          <w:szCs w:val="20"/>
          <w:color w:val="auto"/>
        </w:rPr>
      </w:pPr>
    </w:p>
    <w:p>
      <w:pPr>
        <w:jc w:val="both"/>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Geographic Information. </w:t>
      </w:r>
      <w:r>
        <w:rPr>
          <w:rFonts w:ascii="Times New Roman" w:cs="Times New Roman" w:eastAsia="Times New Roman" w:hAnsi="Times New Roman"/>
          <w:sz w:val="18"/>
          <w:szCs w:val="18"/>
          <w:color w:val="auto"/>
        </w:rPr>
        <w:t>Revenue is attributed to geographic regions based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2222"/>
        </w:rPr>
        <w:t xml:space="preserve">customer billing location. Long-lived assets are associated with the geographic regions based upon the location where the asset resides. </w:t>
      </w:r>
      <w:r>
        <w:rPr>
          <w:rFonts w:ascii="Times New Roman" w:cs="Times New Roman" w:eastAsia="Times New Roman" w:hAnsi="Times New Roman"/>
          <w:sz w:val="18"/>
          <w:szCs w:val="18"/>
          <w:color w:val="000000"/>
        </w:rPr>
        <w:t>All revenue was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derived from North America, with all service revenue coming from the United States. Substantially all of our long-lived assets reside in the United States.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revenue from external customers disaggregated by major revenue source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0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r>
      <w:tr>
        <w:trPr>
          <w:trHeight w:val="210"/>
        </w:trPr>
        <w:tc>
          <w:tcPr>
            <w:tcW w:w="3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Pay-TV subscriber and related revenue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11,320,526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12,281,346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12,661,766</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Pay-TV equipment sales and other revenue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96,862</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100,097</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11,474,225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12,378,208</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12,761,863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valuation and qualifying accounts as of December 31, 2023, 2022 and 2021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r>
      <w:tr>
        <w:trPr>
          <w:trHeight w:val="216"/>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r>
      <w:tr>
        <w:trPr>
          <w:trHeight w:val="196"/>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9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43,233</w:t>
            </w:r>
          </w:p>
        </w:tc>
        <w:tc>
          <w:tcPr>
            <w:tcW w:w="20" w:type="dxa"/>
            <w:vAlign w:val="bottom"/>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 for expected credit losses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48,150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allowance</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(61,805)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(67,464)</w:t>
            </w:r>
          </w:p>
        </w:tc>
        <w:tc>
          <w:tcPr>
            <w:tcW w:w="2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(58,522)</w:t>
            </w:r>
          </w:p>
        </w:tc>
        <w:tc>
          <w:tcPr>
            <w:tcW w:w="20" w:type="dxa"/>
            <w:vAlign w:val="bottom"/>
          </w:tcPr>
          <w:p>
            <w:pPr>
              <w:spacing w:after="0"/>
              <w:rPr>
                <w:sz w:val="18"/>
                <w:szCs w:val="18"/>
                <w:color w:val="auto"/>
              </w:rPr>
            </w:pP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7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32,861</w:t>
            </w:r>
          </w:p>
        </w:tc>
        <w:tc>
          <w:tcPr>
            <w:tcW w:w="2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980" w:type="dxa"/>
            <w:vAlign w:val="bottom"/>
          </w:tcPr>
          <w:p>
            <w:pPr>
              <w:spacing w:after="0"/>
              <w:rPr>
                <w:sz w:val="24"/>
                <w:szCs w:val="24"/>
                <w:color w:val="auto"/>
              </w:rPr>
            </w:pPr>
          </w:p>
        </w:tc>
        <w:tc>
          <w:tcPr>
            <w:tcW w:w="9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F-57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3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Consolidated Balance Sheets.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contract liability balances:</w:t>
            </w: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3"/>
        </w:trPr>
        <w:tc>
          <w:tcPr>
            <w:tcW w:w="4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7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r>
      <w:tr>
        <w:trPr>
          <w:trHeight w:val="196"/>
        </w:trPr>
        <w:tc>
          <w:tcPr>
            <w:tcW w:w="4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427,319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481,220</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beginning of period contract liability recorded as customer contract revenue during 2023 was $478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4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r>
      <w:tr>
        <w:trPr>
          <w:trHeight w:val="183"/>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338,893</w:t>
            </w:r>
          </w:p>
        </w:tc>
        <w:tc>
          <w:tcPr>
            <w:tcW w:w="120" w:type="dxa"/>
            <w:vAlign w:val="bottom"/>
            <w:shd w:val="clear" w:color="auto" w:fill="CCEEFF"/>
          </w:tcPr>
          <w:p>
            <w:pPr>
              <w:spacing w:after="0"/>
              <w:rPr>
                <w:sz w:val="17"/>
                <w:szCs w:val="17"/>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116,922</w:t>
            </w:r>
          </w:p>
        </w:tc>
        <w:tc>
          <w:tcPr>
            <w:tcW w:w="120" w:type="dxa"/>
            <w:vAlign w:val="bottom"/>
          </w:tcPr>
          <w:p>
            <w:pPr>
              <w:spacing w:after="0"/>
              <w:rPr>
                <w:sz w:val="17"/>
                <w:szCs w:val="17"/>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(126,392)</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(154,706)</w:t>
            </w:r>
          </w:p>
        </w:tc>
        <w:tc>
          <w:tcPr>
            <w:tcW w:w="4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(157,703)</w:t>
            </w: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175,685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230,146</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298,112</w:t>
            </w:r>
          </w:p>
        </w:tc>
        <w:tc>
          <w:tcPr>
            <w:tcW w:w="12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Quarterly Financial Data (Unaudited)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quarterly results of operations are summarized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4"/>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2,946,411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2,951,159</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2,783,387</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3,121,014</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3,048,315</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F-58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Transactions with DISH Network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 DISH Network”</w:t>
      </w:r>
    </w:p>
    <w:p>
      <w:pPr>
        <w:spacing w:after="0" w:line="22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Concurrently with the issuance of the 5 1/4% Senior Secured Notes due 2026 and the 5 3/4% Senior Secured Notes due 2028 (our “Senior Secured Notes”) and using the proceeds thereof, we made the Intercompany Loan to DISH Network to be used by DISH Network to finance the purchase of certain wireless spectrum licenses and for general corporate purposes, including the buildout of wireless infrastructure. The Intercompany Loan is secured by: (i) the cash proceeds of the loan and (ii) an interest in the wireless spectrum licenses acquired using such proceeds. Such collateral may be replaced by other then-existing wireless spectrum licenses held directly or indirectly by DISH Network of equivalent value (based upon a third-party valuation). The Intercompany Loan will mature in two tranches, with the first tranche maturing on December 1, 2026 (the “2026 Tranche”) and the second tranche maturing on December 1, 2028 (the “2028 Tranche”). The aggregate principal amount of the Intercompany Loan was initially $5.250 billion, and on February 11, 2022, we advanced an additional $1.5 billion to DISH Network under the 2026 Tranche. Interest accrues and is payable semiannually, and interest payments with respect to the Intercompany Loan are, at DISH Network’s option, payable in kind for the first two years. In the third year, beginning November 2023, a minimum of 50% of each interest payment due with respect to each tranche of the Intercompany Loan must be paid in cash. Thereafter, beginning in November 2024, interest payments must be paid in cash. Interest accrues: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0.75% per annum in excess of the Cash Accrual Rate for the applicable tranche. The Intercompany Loan is repayable by DISH Network in whole or in part, at any time or from time to time, at a price equal to 100% of the principal amount thereof, plus accrued but unpaid interest thereon. We may use the proceeds of any such pre-payment for general corporate purposes, including refinancing of indebtedness, but may not use any such prepaid amounts to make a cash dividend or distribution to DISH Network prior to the repayment in full of the Intercompany Loan. The 5 1/4% Senior Secured Notes due 2026 and the 5 3/4% Senior Secured Notes due 2028 are subordinated to our existing and certain future unsecured notes with respect to certain realizations under the Intercompany Loan and any collateral pledged as security therefor. Any material amendments or modifications to the terms of the Intercompany Loan will require the written consent of the holders of a majority of the then-outstanding 5 1/4% Senior Secured Notes due 2026 and the 5 3/4% Senior Secured Notes due 2028.</w:t>
      </w:r>
    </w:p>
    <w:p>
      <w:pPr>
        <w:spacing w:after="0" w:line="20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During the years ended December 31, 2023 and 2022, we recorded $441 million and $415 million, respectively, of “Interest income” on our Consolidated Statements of Operations and Comprehensive Income (Loss). As of December 31, 2023 and 2022, “Notes receivable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DISH Network” was $7.496 billion and $7.160 billion including interest paid in kind, respectively, and “Interest receivable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DISH Network” was $37 million and $37 million, respectively, on our Consolidated Balance Sheets.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we incurred $206 million, $194 million and $219 million, respectively, for satellite capacity leased from DISH Network and telemetry, tracking and control and other professional services provided to us by DISH Network. DISH Network is a supplier of the vast majority of our transponder capacity. These amounts are recorded in “Cost of services” on our Consolidated Statements of Operations and Comprehensive Income (Loss). The agreements pertaining to these expenses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5"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Satellite Capacity Leased from DISH Network</w:t>
      </w:r>
      <w:r>
        <w:rPr>
          <w:rFonts w:ascii="Times New Roman" w:cs="Times New Roman" w:eastAsia="Times New Roman" w:hAnsi="Times New Roman"/>
          <w:sz w:val="18"/>
          <w:szCs w:val="18"/>
          <w:color w:val="auto"/>
        </w:rPr>
        <w:t>. We lease satellite capacity on satellites owned or leased by DISH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wholly-owned subsidiary of DISH Network. See “Satellites” in Note 6 for further information. The term of each lease is set forth below:</w:t>
      </w:r>
    </w:p>
    <w:p>
      <w:pPr>
        <w:spacing w:after="0" w:line="173" w:lineRule="exact"/>
        <w:rPr>
          <w:sz w:val="20"/>
          <w:szCs w:val="20"/>
          <w:color w:val="auto"/>
        </w:rPr>
      </w:pPr>
    </w:p>
    <w:p>
      <w:pPr>
        <w:ind w:left="720" w:right="79" w:hanging="319"/>
        <w:spacing w:after="0" w:line="258"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EchoStar X, XI, XIV and XVI. </w:t>
      </w:r>
      <w:r>
        <w:rPr>
          <w:rFonts w:ascii="Times New Roman" w:cs="Times New Roman" w:eastAsia="Times New Roman" w:hAnsi="Times New Roman"/>
          <w:sz w:val="18"/>
          <w:szCs w:val="18"/>
          <w:color w:val="auto"/>
        </w:rPr>
        <w:t>We lease all available capacity on the EchoStar X, XI, XIV and XVI satellites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DISH Network. The term of each satellite capacity agreement generally terminates upon the earlier of: (i) the end-of-life of the satellite; (ii) the date the satellite fails; or (iii) a certain date, which depends upon, among other things, the estimated useful life of the satellite. We generally have the option to renew each satellite capacity agreement on a year-to-year basis through the end of the respective satellite’s life.</w:t>
      </w:r>
    </w:p>
    <w:p>
      <w:pPr>
        <w:spacing w:after="0" w:line="183" w:lineRule="exact"/>
        <w:rPr>
          <w:rFonts w:ascii="Times New Roman" w:cs="Times New Roman" w:eastAsia="Times New Roman" w:hAnsi="Times New Roman"/>
          <w:sz w:val="18"/>
          <w:szCs w:val="18"/>
          <w:color w:val="auto"/>
        </w:rPr>
      </w:pPr>
    </w:p>
    <w:p>
      <w:pPr>
        <w:ind w:left="720" w:right="419" w:hanging="319"/>
        <w:spacing w:after="0" w:line="284"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EchoStar XXIII. </w:t>
      </w:r>
      <w:r>
        <w:rPr>
          <w:rFonts w:ascii="Times New Roman" w:cs="Times New Roman" w:eastAsia="Times New Roman" w:hAnsi="Times New Roman"/>
          <w:sz w:val="18"/>
          <w:szCs w:val="18"/>
          <w:color w:val="auto"/>
        </w:rPr>
        <w:t>On March 1, 2023, we began leasing certain capacity on the EchoStar XXIII satellite from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DISH Network on a month to month basis.</w:t>
      </w:r>
    </w:p>
    <w:p>
      <w:pPr>
        <w:spacing w:after="0" w:line="158"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Nimiq 5. </w:t>
      </w:r>
      <w:r>
        <w:rPr>
          <w:rFonts w:ascii="Times New Roman" w:cs="Times New Roman" w:eastAsia="Times New Roman" w:hAnsi="Times New Roman"/>
          <w:sz w:val="17"/>
          <w:szCs w:val="17"/>
          <w:color w:val="auto"/>
        </w:rPr>
        <w:t>DISH Network has a 15-year satellite service agreement with Telesat Canada (“Telesat”) to receive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all 32 DBS transponders on the Nimiq 5 satellite at the 72.7 degree orbital location with the option to renew on a year-to-year basis through the end-of-life of the Nimiq 5 satellite. We are receiving transponder service on all 32 of the DBS transponders on this satellite from DISH Network and have exercised our option to renew for a one-year period through September 2024. As discussed in Note 6, “Property and Equipment and Intangible Assets,” the Nimiq 5 satellite lease is accounted for as a finance lease. Expenses related to this lease are recorded in “Depreciation and amortization” and “Interest expense, net of amounts capitalized” on our Consolidated Statements of Operations and Comprehensive Income (Loss). During each of the years ended December 31, 2023, 2022 and 2021, we recorded $34 million of “Depreciation and amortization” expense related to Nimiq 5 and $5 million, $8 million and $12 million of “Interest expense, net of amounts capitalized,” respectively.</w:t>
      </w:r>
    </w:p>
    <w:p>
      <w:pPr>
        <w:spacing w:after="0" w:line="176" w:lineRule="exact"/>
        <w:rPr>
          <w:rFonts w:ascii="Times New Roman" w:cs="Times New Roman" w:eastAsia="Times New Roman" w:hAnsi="Times New Roman"/>
          <w:sz w:val="17"/>
          <w:szCs w:val="17"/>
          <w:color w:val="auto"/>
        </w:rPr>
      </w:pPr>
    </w:p>
    <w:p>
      <w:pPr>
        <w:ind w:left="720" w:right="319" w:hanging="319"/>
        <w:spacing w:after="0" w:line="284"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QuetzSat-1. </w:t>
      </w:r>
      <w:r>
        <w:rPr>
          <w:rFonts w:ascii="Times New Roman" w:cs="Times New Roman" w:eastAsia="Times New Roman" w:hAnsi="Times New Roman"/>
          <w:sz w:val="18"/>
          <w:szCs w:val="18"/>
          <w:color w:val="auto"/>
        </w:rPr>
        <w:t>Our arrangement with DISH Network to receive service on 24 DBS transponders on the QuetzSat-1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 at the 77 degree orbital location expired in November 2021.</w:t>
      </w:r>
    </w:p>
    <w:p>
      <w:pPr>
        <w:spacing w:after="0" w:line="158" w:lineRule="exact"/>
        <w:rPr>
          <w:sz w:val="20"/>
          <w:szCs w:val="20"/>
          <w:color w:val="auto"/>
        </w:rPr>
      </w:pPr>
    </w:p>
    <w:p>
      <w:pPr>
        <w:jc w:val="both"/>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TT&amp;C Agreement. </w:t>
      </w:r>
      <w:r>
        <w:rPr>
          <w:rFonts w:ascii="Times New Roman" w:cs="Times New Roman" w:eastAsia="Times New Roman" w:hAnsi="Times New Roman"/>
          <w:sz w:val="18"/>
          <w:szCs w:val="18"/>
          <w:color w:val="auto"/>
        </w:rPr>
        <w:t>We receive TT&amp;C services from a wholly-owned subsidiary of DISH Network for certain satellites.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2018, we amended the TT&amp;C Agreement to, among other things, extend the term for one-year with four automatic one-year renewal periods. The fees for services provided under the TT&amp;C Agreement are calculated at either: (i) a fixed fee; or (ii) cost plus a fixed margin, which will vary depending on the nature of the services provided. We and DISH Network are able to terminate the TT&amp;C Agreement for any reason upon 12 months’ notice.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we incurred $9 million, $11 million and $8 million, respectively, for selling, general and administrative expenses for services provided to us by DISH Network. These amounts are recorded in “Selling, general and administrative expenses” on our Consolidated Statements of Operations and Comprehensive Income (Loss). The agreements pertaining to these expenses are discussed below.</w:t>
      </w:r>
    </w:p>
    <w:p>
      <w:pPr>
        <w:spacing w:after="0" w:line="178"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Real Estate Lease Agreements. </w:t>
      </w:r>
      <w:r>
        <w:rPr>
          <w:rFonts w:ascii="Times New Roman" w:cs="Times New Roman" w:eastAsia="Times New Roman" w:hAnsi="Times New Roman"/>
          <w:sz w:val="18"/>
          <w:szCs w:val="18"/>
          <w:color w:val="auto"/>
        </w:rPr>
        <w:t>We lease office space owned or leased by DISH Network from a wholly-owned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DISH Network. The term of each lease is set forth below:</w:t>
      </w:r>
    </w:p>
    <w:p>
      <w:pPr>
        <w:spacing w:after="0" w:line="158" w:lineRule="exact"/>
        <w:rPr>
          <w:sz w:val="20"/>
          <w:szCs w:val="20"/>
          <w:color w:val="auto"/>
        </w:rPr>
      </w:pPr>
    </w:p>
    <w:p>
      <w:pPr>
        <w:ind w:left="720" w:right="119" w:hanging="319"/>
        <w:spacing w:after="0" w:line="284"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Santa Fe Lease Agreement. </w:t>
      </w:r>
      <w:r>
        <w:rPr>
          <w:rFonts w:ascii="Times New Roman" w:cs="Times New Roman" w:eastAsia="Times New Roman" w:hAnsi="Times New Roman"/>
          <w:sz w:val="18"/>
          <w:szCs w:val="18"/>
          <w:color w:val="auto"/>
        </w:rPr>
        <w:t>Our lease for all of 5701 S. Santa Fe Dr. in Littleton, Colorado from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DISH Network expired on December 31, 2021.</w:t>
      </w:r>
    </w:p>
    <w:p>
      <w:pPr>
        <w:spacing w:after="0" w:line="158"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Cheyenne Lease Agreement. </w:t>
      </w:r>
      <w:r>
        <w:rPr>
          <w:rFonts w:ascii="Times New Roman" w:cs="Times New Roman" w:eastAsia="Times New Roman" w:hAnsi="Times New Roman"/>
          <w:sz w:val="18"/>
          <w:szCs w:val="18"/>
          <w:color w:val="auto"/>
        </w:rPr>
        <w:t>Our lease for certain space at 530 EchoStar Drive in Cheyenne, Wyoming from a wholly-owned subsidiary of DISH Network is for a period ending on December 31, 2031.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 DISH Network</w:t>
      </w:r>
    </w:p>
    <w:p>
      <w:pPr>
        <w:spacing w:after="0" w:line="227"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Broadband, Wireless and Other Operations. </w:t>
      </w:r>
      <w:r>
        <w:rPr>
          <w:rFonts w:ascii="Times New Roman" w:cs="Times New Roman" w:eastAsia="Times New Roman" w:hAnsi="Times New Roman"/>
          <w:sz w:val="18"/>
          <w:szCs w:val="18"/>
          <w:color w:val="auto"/>
        </w:rPr>
        <w:t>We provide certain administrative, call center, installation,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services to DISH Network’s broadband, wireless and other operations. During the years ended December 31, 2023, 2022 and 2021, the costs associated with these services were $115 million, $116 million and $91 million, respectively.</w:t>
      </w:r>
    </w:p>
    <w:p>
      <w:pPr>
        <w:spacing w:after="0" w:line="17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 of Assets to DISH Network. </w:t>
      </w:r>
      <w:r>
        <w:rPr>
          <w:rFonts w:ascii="Times New Roman" w:cs="Times New Roman" w:eastAsia="Times New Roman" w:hAnsi="Times New Roman"/>
          <w:sz w:val="18"/>
          <w:szCs w:val="18"/>
          <w:color w:val="auto"/>
        </w:rPr>
        <w:t>During the fourth quarter of 2021, we sold certain assets and equity interests to DISH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at fair value for approximately $60 million. This was accounted for as a transaction among entities under common control. The difference between our net carrying value of the assets sold to their fair value of $17 million, net of tax, was recorded in “Additional paid-in capital” on our Consolidated Balance Sheets during the fourth quarter of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with NagraStar L.L.C.</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on our Consolidated Balance Sheets. Our investment in NagraStar is accounted for using the equity method.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summarizes our transactions with NagraStar.</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r>
      <w:tr>
        <w:trPr>
          <w:trHeight w:val="196"/>
        </w:trPr>
        <w:tc>
          <w:tcPr>
            <w:tcW w:w="3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Purchases (including fees):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Purchases from NagraStar</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80" w:type="dxa"/>
            <w:vAlign w:val="bottom"/>
          </w:tcPr>
          <w:p>
            <w:pPr>
              <w:spacing w:after="0"/>
              <w:rPr>
                <w:sz w:val="18"/>
                <w:szCs w:val="18"/>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196"/>
        </w:trPr>
        <w:tc>
          <w:tcPr>
            <w:tcW w:w="4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Amounts Payable and Commitments: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Amounts payable to NagraStar</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6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tcPr>
          <w:p>
            <w:pPr>
              <w:spacing w:after="0"/>
              <w:rPr>
                <w:sz w:val="22"/>
                <w:szCs w:val="22"/>
                <w:color w:val="auto"/>
              </w:rPr>
            </w:pPr>
          </w:p>
        </w:tc>
      </w:tr>
      <w:tr>
        <w:trPr>
          <w:trHeight w:val="197"/>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to NagraStar</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DISH DBS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left="700" w:hanging="650"/>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Asset Transfers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10, 2024, our parent, DISH Network, transferred certain of its wireless spectrum licenses, including AWS-4, H-Block, CBRS, C-Band - Cheyenne, 12GHz, LMDS, 24 GHz, 28 GHz, 37GHz, 39GHz and 47GHz to EchoStar Wireless Holding L.L.C., our ultimate parent, EchoStar’s direct wholly-owned subsidiary (the “Spectrum Transfer”). DISH Network retained ownership of certain other wireless spectrum licenses, including 600 MHz, 700 MHz, 3.45 GHz and AWS-3, of which 700 MHz and AWS-3 remain unencumbered, and us. Prior to the Spectrum Transfer, we designated a newly formed subsidiary of DISH Network L.L.C. (the “DBS Subscriber Subsidiary”) as an unrestricted subsidiary. DBS Subscriber Subsidiary holds approximately 3.0 million DISH TV subscribers immediately following the unrestricting of the entity.</w:t>
      </w:r>
    </w:p>
    <w:p>
      <w:pPr>
        <w:spacing w:after="0" w:line="189"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In addition, we, in our capacity as “Lender” under the terms of the Loan and Security Agreement related to the Intercompany Loan between DISH Network and us, have consummated the assignment pursuant to such terms, without any modification or amendment thereto, of our receivable in respect to the 2026 Tranche of $4.7 billion to DBS Intercompany Receivable L.L.C. DBS Intercompany Receivable L.L.C. has subsequently assigned its rights as lender thereunder to EchoStar Intercompany Receivable Company L.L.C., our ultimate parent, EchoStar’s direct wholly-owned subsidiary, such that amounts owed in respect of the 2026 Tranche will now be paid by DISH Network to EchoStar Intercompany Receivable L.L.C.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22222"/>
        </w:rPr>
        <w:t>DISH DBS Exchange Offers</w:t>
      </w:r>
    </w:p>
    <w:p>
      <w:pPr>
        <w:spacing w:after="0" w:line="229"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On January 16, 2024, EchoStar announced its wholly-owned subsidiary DISH DBS Issuer LLC (“DBS Issuer”) commenced offers (“the DISH DBS Exchange Offers”) to eligible holders to exchange the 5 7/8% Senior Notes due 2024 (the “DBS 2024 Notes”), the 7 3/4% Senior Notes due 2026, the 7 3/8% Senior Notes due 2028 (the “DBS 2028 Notes”) and the 5 1/8% Senior Notes due 2029 (the “DBS 2029 Notes,” and together with the DBS 2024 Notes, the DBS 2026 Notes and the DBS 2028 Notes, the “DISH DBS Unsecured Senior Notes” issued by DISH DBS), in the amounts and subject to the terms, in each case, described in the exchange offer memorandum and consent solicitation statement, dated January 16, 2024 (the “Exchange Offer Memorandum”). On January 29, 2024, EchoStar announced its wholly-owned subsidiary DISH DBS Issuer elected in its sole discretion to terminate the DBS Exchange Offers.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EchoStar Exchange Offer</w:t>
      </w:r>
    </w:p>
    <w:p>
      <w:pPr>
        <w:spacing w:after="0" w:line="229"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On March 4, 2024, EchoStar commenced a tender offer to eligible employees to exchange eligible stock options for new options as detailed in its Schedule TO filed March 4, 2024 with the Securities and Exchange Commission (the “Exchange Offer”), to, among other things, further align employee incentives with the current market.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8000"/>
        <w:spacing w:after="0"/>
        <w:rPr>
          <w:sz w:val="20"/>
          <w:szCs w:val="20"/>
          <w:color w:val="auto"/>
        </w:rPr>
      </w:pPr>
      <w:r>
        <w:rPr>
          <w:rFonts w:ascii="Times New Roman" w:cs="Times New Roman" w:eastAsia="Times New Roman" w:hAnsi="Times New Roman"/>
          <w:sz w:val="20"/>
          <w:szCs w:val="20"/>
          <w:color w:val="222222"/>
        </w:rPr>
        <w:t>EXHIBIT 3.1a</w:t>
      </w:r>
    </w:p>
    <w:p>
      <w:pPr>
        <w:spacing w:after="0" w:line="162" w:lineRule="exact"/>
        <w:rPr>
          <w:sz w:val="20"/>
          <w:szCs w:val="20"/>
          <w:color w:val="auto"/>
        </w:rPr>
      </w:pPr>
    </w:p>
    <w:p>
      <w:pPr>
        <w:ind w:right="339"/>
        <w:spacing w:after="0" w:line="249" w:lineRule="auto"/>
        <w:rPr>
          <w:sz w:val="20"/>
          <w:szCs w:val="20"/>
          <w:color w:val="auto"/>
        </w:rPr>
      </w:pPr>
      <w:r>
        <w:rPr>
          <w:rFonts w:ascii="Times New Roman" w:cs="Times New Roman" w:eastAsia="Times New Roman" w:hAnsi="Times New Roman"/>
          <w:sz w:val="21"/>
          <w:szCs w:val="21"/>
          <w:color w:val="222222"/>
        </w:rPr>
        <w:t>THIS COMPOSITE ARTICLES OF INCORPORATION OF DISH DBS CORPORATION (THE “CORPORATION”) REFLECTS THE PROVISIONS OF THE CORPORATION’S AMENDED AND RESTATED ARTICLES OF INCORPORATION, AS AMENDED AND RESTATED ON AUGUST 25, 2003 AND DECEMBER 12, 2018, AND ALL AMENDMENTS THERETO FILED WITH THE COLORADO SECRETARY OF STATE THEREAFTER ON OR PRIOR TO MARCH 29, 2024, BUT IS NOT AN AMENDMENT OR RESTATEMENT THEREOF.</w:t>
      </w:r>
    </w:p>
    <w:p>
      <w:pPr>
        <w:spacing w:after="0" w:line="3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COMPOSITE</w:t>
      </w:r>
    </w:p>
    <w:p>
      <w:pPr>
        <w:spacing w:after="0" w:line="17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ARTICLES OF INCORPORATION</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7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DISH DBS CORPORATION</w:t>
      </w:r>
    </w:p>
    <w:p>
      <w:pPr>
        <w:spacing w:after="0" w:line="16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(formerly known as ECHOSTAR DBS CORPORATION)</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(incorporating all amendments)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40" w:hanging="1295"/>
        <w:spacing w:after="0"/>
        <w:tabs>
          <w:tab w:leader="none" w:pos="324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DISH DBS Corporation</w:t>
      </w:r>
    </w:p>
    <w:p>
      <w:pPr>
        <w:spacing w:after="0" w:line="360" w:lineRule="exact"/>
        <w:rPr>
          <w:rFonts w:ascii="Times New Roman" w:cs="Times New Roman" w:eastAsia="Times New Roman" w:hAnsi="Times New Roman"/>
          <w:sz w:val="20"/>
          <w:szCs w:val="20"/>
          <w:color w:val="auto"/>
        </w:rPr>
      </w:pPr>
    </w:p>
    <w:p>
      <w:pPr>
        <w:ind w:left="640" w:right="239" w:firstLine="1143"/>
        <w:spacing w:after="0" w:line="334" w:lineRule="auto"/>
        <w:tabs>
          <w:tab w:leader="none" w:pos="2665"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registered office in the State of Colorado is located at 303 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Avenue, Suite 1100, Denver, Colorado 80203-1264. The name of its resident agent at the address is Gregory S. Brown.</w:t>
      </w:r>
    </w:p>
    <w:p>
      <w:pPr>
        <w:spacing w:after="0" w:line="223" w:lineRule="exact"/>
        <w:rPr>
          <w:rFonts w:ascii="Times New Roman" w:cs="Times New Roman" w:eastAsia="Times New Roman" w:hAnsi="Times New Roman"/>
          <w:sz w:val="19"/>
          <w:szCs w:val="19"/>
          <w:color w:val="auto"/>
        </w:rPr>
      </w:pPr>
    </w:p>
    <w:p>
      <w:pPr>
        <w:ind w:left="640" w:right="219" w:firstLine="1305"/>
        <w:spacing w:after="0" w:line="395" w:lineRule="auto"/>
        <w:tabs>
          <w:tab w:leader="none" w:pos="331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initial principal office in the state of Colorado is located at 9601 S. Meridian Boulevard, Englewood, Colorado 80112.</w:t>
      </w:r>
    </w:p>
    <w:p>
      <w:pPr>
        <w:spacing w:after="0" w:line="201" w:lineRule="exact"/>
        <w:rPr>
          <w:sz w:val="20"/>
          <w:szCs w:val="20"/>
          <w:color w:val="auto"/>
        </w:rPr>
      </w:pPr>
    </w:p>
    <w:p>
      <w:pPr>
        <w:ind w:left="3240" w:hanging="1457"/>
        <w:spacing w:after="0"/>
        <w:tabs>
          <w:tab w:leader="none" w:pos="32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have perpetual existence.</w:t>
      </w:r>
    </w:p>
    <w:p>
      <w:pPr>
        <w:spacing w:after="0" w:line="377" w:lineRule="exact"/>
        <w:rPr>
          <w:rFonts w:ascii="Times New Roman" w:cs="Times New Roman" w:eastAsia="Times New Roman" w:hAnsi="Times New Roman"/>
          <w:sz w:val="20"/>
          <w:szCs w:val="20"/>
          <w:color w:val="auto"/>
        </w:rPr>
      </w:pPr>
    </w:p>
    <w:p>
      <w:pPr>
        <w:ind w:left="3320" w:hanging="1375"/>
        <w:spacing w:after="0"/>
        <w:tabs>
          <w:tab w:leader="none" w:pos="332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and class and/or series of shares the corporation is authorized</w:t>
      </w:r>
    </w:p>
    <w:p>
      <w:pPr>
        <w:spacing w:after="0" w:line="132" w:lineRule="exact"/>
        <w:rPr>
          <w:rFonts w:ascii="Times New Roman" w:cs="Times New Roman" w:eastAsia="Times New Roman" w:hAnsi="Times New Roman"/>
          <w:sz w:val="19"/>
          <w:szCs w:val="19"/>
          <w:color w:val="auto"/>
        </w:rPr>
      </w:pPr>
    </w:p>
    <w:p>
      <w:pPr>
        <w:ind w:left="6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issue is as follows:</w:t>
      </w:r>
    </w:p>
    <w:p>
      <w:pPr>
        <w:spacing w:after="0" w:line="200" w:lineRule="exact"/>
        <w:rPr>
          <w:sz w:val="20"/>
          <w:szCs w:val="20"/>
          <w:color w:val="auto"/>
        </w:rPr>
      </w:pPr>
    </w:p>
    <w:p>
      <w:pPr>
        <w:spacing w:after="0" w:line="348"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3720" w:type="dxa"/>
            <w:vAlign w:val="bottom"/>
            <w:gridSpan w:val="2"/>
          </w:tcPr>
          <w:p>
            <w:pPr>
              <w:jc w:val="center"/>
              <w:ind w:right="1340"/>
              <w:spacing w:after="0"/>
              <w:rPr>
                <w:sz w:val="20"/>
                <w:szCs w:val="20"/>
                <w:color w:val="auto"/>
              </w:rPr>
            </w:pPr>
            <w:r>
              <w:rPr>
                <w:rFonts w:ascii="Times New Roman" w:cs="Times New Roman" w:eastAsia="Times New Roman" w:hAnsi="Times New Roman"/>
                <w:sz w:val="20"/>
                <w:szCs w:val="20"/>
                <w:color w:val="auto"/>
                <w:w w:val="98"/>
              </w:rPr>
              <w:t>Number of Authorized Shares</w:t>
            </w:r>
          </w:p>
        </w:tc>
        <w:tc>
          <w:tcPr>
            <w:tcW w:w="2620" w:type="dxa"/>
            <w:vAlign w:val="bottom"/>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9"/>
              </w:rPr>
              <w:t>Class or Series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Par Value</w:t>
            </w:r>
          </w:p>
        </w:tc>
      </w:tr>
      <w:tr>
        <w:trPr>
          <w:trHeight w:val="485"/>
        </w:trPr>
        <w:tc>
          <w:tcPr>
            <w:tcW w:w="238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1,000,000</w:t>
            </w:r>
          </w:p>
        </w:tc>
        <w:tc>
          <w:tcPr>
            <w:tcW w:w="134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Common</w:t>
            </w:r>
          </w:p>
        </w:tc>
        <w:tc>
          <w:tcPr>
            <w:tcW w:w="1440" w:type="dxa"/>
            <w:vAlign w:val="bottom"/>
          </w:tcPr>
          <w:p>
            <w:pPr>
              <w:spacing w:after="0"/>
              <w:rPr>
                <w:sz w:val="24"/>
                <w:szCs w:val="24"/>
                <w:color w:val="auto"/>
              </w:rPr>
            </w:pPr>
          </w:p>
        </w:tc>
        <w:tc>
          <w:tcPr>
            <w:tcW w:w="7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$0.01</w:t>
            </w:r>
          </w:p>
        </w:tc>
      </w:tr>
    </w:tbl>
    <w:p>
      <w:pPr>
        <w:spacing w:after="0" w:line="200" w:lineRule="exact"/>
        <w:rPr>
          <w:sz w:val="20"/>
          <w:szCs w:val="20"/>
          <w:color w:val="auto"/>
        </w:rPr>
      </w:pPr>
    </w:p>
    <w:p>
      <w:pPr>
        <w:spacing w:after="0" w:line="244" w:lineRule="exact"/>
        <w:rPr>
          <w:sz w:val="20"/>
          <w:szCs w:val="20"/>
          <w:color w:val="auto"/>
        </w:rPr>
      </w:pPr>
    </w:p>
    <w:p>
      <w:pPr>
        <w:ind w:left="640" w:right="739" w:firstLine="1296"/>
        <w:spacing w:after="0" w:line="395" w:lineRule="auto"/>
        <w:rPr>
          <w:sz w:val="20"/>
          <w:szCs w:val="20"/>
          <w:color w:val="auto"/>
        </w:rPr>
      </w:pPr>
      <w:r>
        <w:rPr>
          <w:rFonts w:ascii="Times New Roman" w:cs="Times New Roman" w:eastAsia="Times New Roman" w:hAnsi="Times New Roman"/>
          <w:sz w:val="20"/>
          <w:szCs w:val="20"/>
          <w:color w:val="auto"/>
        </w:rPr>
        <w:t>The board of directors is hereby authorized to prescribe by resolution the preferences, limitations and relative rights of each of the above class or series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519430</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459"/>
          </w:cols>
          <w:pgMar w:left="1000" w:top="120" w:right="1440" w:bottom="1440" w:gutter="0" w:footer="0" w:header="0"/>
        </w:sectPr>
      </w:pPr>
    </w:p>
    <w:bookmarkStart w:id="108" w:name="page109"/>
    <w:bookmarkEnd w:id="108"/>
    <w:p>
      <w:pPr>
        <w:jc w:val="both"/>
        <w:ind w:left="200" w:right="219" w:firstLine="1305"/>
        <w:spacing w:after="0" w:line="377" w:lineRule="auto"/>
        <w:tabs>
          <w:tab w:leader="none" w:pos="2873"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meetings of shareholders, a majority of the shares entitled to vote at such meeting represented in person or by proxy, shall constitute a quorum. At any meeting at which a quorum is present, the affirmative vote of a majority of the shares represented at such meeting and entitled to vote on the subject matter shall be the act of the shareholders, unless the vote of a greater proportion or number is required by the laws of Colorado.</w:t>
      </w:r>
    </w:p>
    <w:p>
      <w:pPr>
        <w:spacing w:after="0" w:line="218" w:lineRule="exact"/>
        <w:rPr>
          <w:rFonts w:ascii="Times New Roman" w:cs="Times New Roman" w:eastAsia="Times New Roman" w:hAnsi="Times New Roman"/>
          <w:sz w:val="20"/>
          <w:szCs w:val="20"/>
          <w:color w:val="auto"/>
        </w:rPr>
      </w:pPr>
    </w:p>
    <w:p>
      <w:pPr>
        <w:jc w:val="both"/>
        <w:ind w:left="200" w:right="219" w:firstLine="1062"/>
        <w:spacing w:after="0" w:line="376" w:lineRule="auto"/>
        <w:tabs>
          <w:tab w:leader="none" w:pos="222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shareholder of the corporation shall have any preemptive or other right to subscribe for or otherwise acquire any additional unissued or treasury shares of stock, or other securities of any class, or rights, warrants or options to purchase stock or scrip, or securities of any kind convertible into stock or carrying stock purchase warrants or privileges.</w:t>
      </w:r>
    </w:p>
    <w:p>
      <w:pPr>
        <w:spacing w:after="0" w:line="219" w:lineRule="exact"/>
        <w:rPr>
          <w:rFonts w:ascii="Times New Roman" w:cs="Times New Roman" w:eastAsia="Times New Roman" w:hAnsi="Times New Roman"/>
          <w:sz w:val="20"/>
          <w:szCs w:val="20"/>
          <w:color w:val="auto"/>
        </w:rPr>
      </w:pPr>
    </w:p>
    <w:p>
      <w:pPr>
        <w:jc w:val="both"/>
        <w:ind w:left="200" w:right="219" w:firstLine="1220"/>
        <w:spacing w:after="0" w:line="388" w:lineRule="auto"/>
        <w:tabs>
          <w:tab w:leader="none" w:pos="2221"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governing board of this corporation shall be known as directors, and the number of directors may from time to time be increased or decreased in such matter as shall be provided by the bylaws of this corporation.</w:t>
      </w:r>
    </w:p>
    <w:p>
      <w:pPr>
        <w:spacing w:after="0" w:line="3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The name and addresses of the first board of directors, which shall be three (3) in numbers,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5"/>
              </w:rPr>
              <w:t>NAME</w:t>
            </w:r>
          </w:p>
        </w:tc>
        <w:tc>
          <w:tcPr>
            <w:tcW w:w="27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ADDRESS</w:t>
            </w:r>
          </w:p>
        </w:tc>
        <w:tc>
          <w:tcPr>
            <w:tcW w:w="1020" w:type="dxa"/>
            <w:vAlign w:val="bottom"/>
          </w:tcPr>
          <w:p>
            <w:pPr>
              <w:spacing w:after="0"/>
              <w:rPr>
                <w:sz w:val="19"/>
                <w:szCs w:val="19"/>
                <w:color w:val="auto"/>
              </w:rPr>
            </w:pPr>
          </w:p>
        </w:tc>
      </w:tr>
      <w:tr>
        <w:trPr>
          <w:trHeight w:val="470"/>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Charles W. Ergen</w:t>
            </w: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90 Inverness Circle East</w:t>
            </w:r>
          </w:p>
        </w:tc>
      </w:tr>
      <w:tr>
        <w:trPr>
          <w:trHeight w:val="258"/>
        </w:trPr>
        <w:tc>
          <w:tcPr>
            <w:tcW w:w="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Englewood, CO 80112</w:t>
            </w:r>
          </w:p>
        </w:tc>
      </w:tr>
      <w:tr>
        <w:trPr>
          <w:trHeight w:val="444"/>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James DeFranco</w:t>
            </w: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90 Inverness Circle East</w:t>
            </w:r>
          </w:p>
        </w:tc>
      </w:tr>
      <w:tr>
        <w:trPr>
          <w:trHeight w:val="258"/>
        </w:trPr>
        <w:tc>
          <w:tcPr>
            <w:tcW w:w="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Englewood, CO 80112</w:t>
            </w:r>
          </w:p>
        </w:tc>
      </w:tr>
      <w:tr>
        <w:trPr>
          <w:trHeight w:val="444"/>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 K. Moskowitz</w:t>
            </w: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90 Inverness Circle East</w:t>
            </w:r>
          </w:p>
        </w:tc>
      </w:tr>
      <w:tr>
        <w:trPr>
          <w:trHeight w:val="258"/>
        </w:trPr>
        <w:tc>
          <w:tcPr>
            <w:tcW w:w="5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Englewood, CO 80112</w:t>
            </w:r>
          </w:p>
        </w:tc>
      </w:tr>
    </w:tbl>
    <w:p>
      <w:pPr>
        <w:spacing w:after="0" w:line="200" w:lineRule="exact"/>
        <w:rPr>
          <w:sz w:val="20"/>
          <w:szCs w:val="20"/>
          <w:color w:val="auto"/>
        </w:rPr>
      </w:pPr>
    </w:p>
    <w:p>
      <w:pPr>
        <w:spacing w:after="0" w:line="244" w:lineRule="exact"/>
        <w:rPr>
          <w:sz w:val="20"/>
          <w:szCs w:val="20"/>
          <w:color w:val="auto"/>
        </w:rPr>
      </w:pPr>
    </w:p>
    <w:p>
      <w:pPr>
        <w:jc w:val="both"/>
        <w:ind w:left="200" w:right="219" w:firstLine="1305"/>
        <w:spacing w:after="0" w:line="375" w:lineRule="auto"/>
        <w:tabs>
          <w:tab w:leader="none" w:pos="287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the laws of Colorado, as the same exist or may hereafter be amended, a director of the corporation shall not personally be liable to the corporation or its shareholders for monetary damages for breach of fiduciary duty as a director. Any repeal or modification of this Article by the shareholders of the corporation shall be prospective only and shall not adversely affect any right or protection of a director of the corporation existing at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445770</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59" w:right="1440" w:bottom="1440" w:gutter="0" w:footer="0" w:header="0"/>
        </w:sectPr>
      </w:pPr>
    </w:p>
    <w:bookmarkStart w:id="109" w:name="page110"/>
    <w:bookmarkEnd w:id="109"/>
    <w:p>
      <w:pPr>
        <w:ind w:left="2880" w:hanging="1375"/>
        <w:spacing w:after="0"/>
        <w:tabs>
          <w:tab w:leader="none" w:pos="28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sole incorporator signing the articles of</w:t>
      </w:r>
    </w:p>
    <w:p>
      <w:pPr>
        <w:spacing w:after="0" w:line="28"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incorporation is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w w:val="95"/>
              </w:rPr>
              <w:t>NAME</w:t>
            </w:r>
          </w:p>
        </w:tc>
        <w:tc>
          <w:tcPr>
            <w:tcW w:w="29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w:t>
            </w:r>
          </w:p>
        </w:tc>
      </w:tr>
      <w:tr>
        <w:trPr>
          <w:trHeight w:val="20"/>
        </w:trPr>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84"/>
        </w:trPr>
        <w:tc>
          <w:tcPr>
            <w:tcW w:w="110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Gregory S. Brown</w:t>
            </w: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 East 17th Avenue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Suite 1100</w:t>
            </w:r>
          </w:p>
        </w:tc>
      </w:tr>
      <w:tr>
        <w:trPr>
          <w:trHeight w:val="258"/>
        </w:trPr>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Denver, Colorado 80203-1264</w:t>
            </w:r>
          </w:p>
        </w:tc>
      </w:tr>
      <w:tr>
        <w:trPr>
          <w:trHeight w:val="1189"/>
        </w:trPr>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0"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56"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The 5.875% Senior Notes due 2024 and 7.75% Senior Notes due 2026 issued by DISH DBS Corporation (incorporated in Colorado) are jointly and severally guaranteed on a full and unconditional basis by the following 100% owned subsidiaries of DISH DBS Corporation as of December 31, 2023:</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8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16"/>
        </w:trPr>
        <w:tc>
          <w:tcPr>
            <w:tcW w:w="4760" w:type="dxa"/>
            <w:vAlign w:val="bottom"/>
          </w:tcPr>
          <w:p>
            <w:pPr>
              <w:spacing w:after="0"/>
              <w:rPr>
                <w:sz w:val="18"/>
                <w:szCs w:val="18"/>
                <w:color w:val="auto"/>
              </w:rPr>
            </w:pP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Network L.L.C.</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Operating L.L.C. (1)</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Echosphere L.L.C.</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Network Service L.L.C.</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7"/>
        </w:trPr>
        <w:tc>
          <w:tcPr>
            <w:tcW w:w="47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Broadcasting Corporation (1)</w:t>
            </w:r>
          </w:p>
        </w:tc>
        <w:tc>
          <w:tcPr>
            <w:tcW w:w="3820" w:type="dxa"/>
            <w:vAlign w:val="bottom"/>
            <w:tcBorders>
              <w:bottom w:val="single" w:sz="8" w:color="CCEEFF"/>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 Technologies L.L.C. (1)</w:t>
            </w:r>
          </w:p>
        </w:tc>
        <w:tc>
          <w:tcPr>
            <w:tcW w:w="38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Colorado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111125</wp:posOffset>
            </wp:positionV>
            <wp:extent cx="13627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59" w:lineRule="exact"/>
        <w:rPr>
          <w:sz w:val="20"/>
          <w:szCs w:val="20"/>
          <w:color w:val="auto"/>
        </w:rPr>
      </w:pPr>
    </w:p>
    <w:p>
      <w:pPr>
        <w:ind w:left="940" w:hanging="407"/>
        <w:spacing w:after="0"/>
        <w:tabs>
          <w:tab w:leader="none" w:pos="9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wholly-owned subsidiary of DISH Network L.L.C.</w:t>
      </w:r>
    </w:p>
    <w:p>
      <w:pPr>
        <w:spacing w:after="0" w:line="252"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Additionally, the 7.375% Senior Notes due 2028 and 5.125% Senior Notes due 2029 issued by DISH DBS Corporation are jointly and severally guaranteed on a full and unconditional basis by the following 100% owned subsidiaries of DISH DBS Corporation as of December 31, 2023:</w:t>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2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7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7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Network L.L.C.</w:t>
            </w:r>
          </w:p>
        </w:tc>
        <w:tc>
          <w:tcPr>
            <w:tcW w:w="3720" w:type="dxa"/>
            <w:vAlign w:val="bottom"/>
            <w:tcBorders>
              <w:bottom w:val="single" w:sz="8" w:color="CCEEFF"/>
            </w:tcBorders>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DISH Operating L.L.C. (1)</w:t>
            </w:r>
          </w:p>
        </w:tc>
        <w:tc>
          <w:tcPr>
            <w:tcW w:w="37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7"/>
        </w:trPr>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Echosphere L.L.C.</w:t>
            </w:r>
          </w:p>
        </w:tc>
        <w:tc>
          <w:tcPr>
            <w:tcW w:w="3720" w:type="dxa"/>
            <w:vAlign w:val="bottom"/>
            <w:tcBorders>
              <w:bottom w:val="single" w:sz="8" w:color="CCEEFF"/>
            </w:tcBorders>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DISH Network Service L.L.C.</w:t>
            </w:r>
          </w:p>
        </w:tc>
        <w:tc>
          <w:tcPr>
            <w:tcW w:w="37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7"/>
        </w:trPr>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DISH Broadcasting Corporation (1)</w:t>
            </w:r>
          </w:p>
        </w:tc>
        <w:tc>
          <w:tcPr>
            <w:tcW w:w="3720" w:type="dxa"/>
            <w:vAlign w:val="bottom"/>
            <w:tcBorders>
              <w:bottom w:val="single" w:sz="8" w:color="CCEEFF"/>
            </w:tcBorders>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DISH Technologies L.L.C. (1)</w:t>
            </w:r>
          </w:p>
        </w:tc>
        <w:tc>
          <w:tcPr>
            <w:tcW w:w="37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27"/>
        </w:trPr>
        <w:tc>
          <w:tcPr>
            <w:tcW w:w="2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Sling TV Holding L.L.C. (1)</w:t>
            </w:r>
          </w:p>
        </w:tc>
        <w:tc>
          <w:tcPr>
            <w:tcW w:w="3720" w:type="dxa"/>
            <w:vAlign w:val="bottom"/>
            <w:tcBorders>
              <w:bottom w:val="single" w:sz="8" w:color="CCEEFF"/>
            </w:tcBorders>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Colorado</w:t>
            </w:r>
          </w:p>
        </w:tc>
      </w:tr>
      <w:tr>
        <w:trPr>
          <w:trHeight w:val="148"/>
        </w:trPr>
        <w:tc>
          <w:tcPr>
            <w:tcW w:w="2140" w:type="dxa"/>
            <w:vAlign w:val="bottom"/>
            <w:tcBorders>
              <w:bottom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3720" w:type="dxa"/>
            <w:vAlign w:val="bottom"/>
          </w:tcPr>
          <w:p>
            <w:pPr>
              <w:spacing w:after="0"/>
              <w:rPr>
                <w:sz w:val="12"/>
                <w:szCs w:val="12"/>
                <w:color w:val="auto"/>
              </w:rPr>
            </w:pPr>
          </w:p>
        </w:tc>
      </w:tr>
    </w:tbl>
    <w:p>
      <w:pPr>
        <w:spacing w:after="0" w:line="90" w:lineRule="exact"/>
        <w:rPr>
          <w:sz w:val="20"/>
          <w:szCs w:val="20"/>
          <w:color w:val="auto"/>
        </w:rPr>
      </w:pPr>
    </w:p>
    <w:p>
      <w:pPr>
        <w:ind w:left="940" w:hanging="407"/>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wholly-owned subsidiary of DISH Network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11" w:name="page112"/>
    <w:bookmarkEnd w:id="11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Hamid Akhavan, certify that:</w:t>
      </w:r>
    </w:p>
    <w:p>
      <w:pPr>
        <w:spacing w:after="0" w:line="225" w:lineRule="exact"/>
        <w:rPr>
          <w:sz w:val="20"/>
          <w:szCs w:val="20"/>
          <w:color w:val="auto"/>
        </w:rPr>
      </w:pPr>
    </w:p>
    <w:p>
      <w:pPr>
        <w:ind w:left="360" w:hanging="316"/>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DBS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360" w:right="359" w:hanging="316"/>
        <w:spacing w:after="0" w:line="258"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Paul W. Orban, certify that:</w:t>
      </w:r>
    </w:p>
    <w:p>
      <w:pPr>
        <w:spacing w:after="0" w:line="225" w:lineRule="exact"/>
        <w:rPr>
          <w:sz w:val="20"/>
          <w:szCs w:val="20"/>
          <w:color w:val="auto"/>
        </w:rPr>
      </w:pPr>
    </w:p>
    <w:p>
      <w:pPr>
        <w:ind w:left="360" w:hanging="316"/>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DISH DBS Corporation;</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ind w:left="360" w:right="359" w:hanging="316"/>
        <w:spacing w:after="0" w:line="258"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360" w:right="119" w:hanging="316"/>
        <w:spacing w:after="0" w:line="266" w:lineRule="auto"/>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28289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93"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DBS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Dated: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18415</wp:posOffset>
            </wp:positionV>
            <wp:extent cx="24599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4" w:name="page115"/>
    <w:bookmarkEnd w:id="11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93"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DISH DBS Corporation (the “Company”) hereby certifies that to the best of his knowledge the Company’s Annual Report on Form 10-K for the year ended December 31, 2023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Dated: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599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18415</wp:posOffset>
            </wp:positionV>
            <wp:extent cx="2459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2459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41"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162"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7"/>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lowerRoman"/>
      <w:start w:val="3"/>
    </w:lvl>
  </w:abstractNum>
  <w:abstractNum w:abstractNumId="20">
    <w:nsid w:val="57E4CCAF"/>
    <w:multiLevelType w:val="hybridMultilevel"/>
    <w:lvl w:ilvl="0">
      <w:lvlJc w:val="left"/>
      <w:lvlText w:val="(%1)"/>
      <w:numFmt w:val="lowerRoman"/>
      <w:start w:val="5"/>
    </w:lvl>
  </w:abstractNum>
  <w:abstractNum w:abstractNumId="21">
    <w:nsid w:val="7A6D8D3C"/>
    <w:multiLevelType w:val="hybridMultilevel"/>
    <w:lvl w:ilvl="0">
      <w:lvlJc w:val="left"/>
      <w:lvlText w:val="(%1)"/>
      <w:numFmt w:val="lowerRoman"/>
      <w:start w:val="8"/>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lowerRoman"/>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2"/>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2"/>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decimal"/>
      <w:start w:val="3"/>
    </w:lvl>
  </w:abstractNum>
  <w:abstractNum w:abstractNumId="36">
    <w:nsid w:val="70C6A529"/>
    <w:multiLevelType w:val="hybridMultilevel"/>
    <w:lvl w:ilvl="0">
      <w:lvlJc w:val="left"/>
      <w:lvlText w:val="%1."/>
      <w:numFmt w:val="decimal"/>
      <w:start w:val="4"/>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6"/>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8"/>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9"/>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2"/>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8"/>
    </w:lvl>
  </w:abstractNum>
  <w:abstractNum w:abstractNumId="58">
    <w:nsid w:val="310C50B3"/>
    <w:multiLevelType w:val="hybridMultilevel"/>
    <w:lvl w:ilvl="0">
      <w:lvlJc w:val="left"/>
      <w:lvlText w:val="%1"/>
      <w:numFmt w:val="decimal"/>
      <w:start w:val="1"/>
    </w:lvl>
    <w:lvl w:ilvl="1">
      <w:lvlJc w:val="left"/>
      <w:lvlText w:val="%2."/>
      <w:numFmt w:val="decimal"/>
      <w:start w:val="1"/>
    </w:lvl>
  </w:abstractNum>
  <w:abstractNum w:abstractNumId="59">
    <w:nsid w:val="5FF87E05"/>
    <w:multiLevelType w:val="hybridMultilevel"/>
    <w:lvl w:ilvl="0">
      <w:lvlJc w:val="left"/>
      <w:lvlText w:val="%1."/>
      <w:numFmt w:val="decimal"/>
      <w:start w:val="2"/>
    </w:lvl>
    <w:lvl w:ilvl="1">
      <w:lvlJc w:val="left"/>
      <w:lvlText w:val="%2."/>
      <w:numFmt w:val="decimal"/>
      <w:start w:val="3"/>
    </w:lvl>
  </w:abstractNum>
  <w:abstractNum w:abstractNumId="60">
    <w:nsid w:val="2F305DEF"/>
    <w:multiLevelType w:val="hybridMultilevel"/>
    <w:lvl w:ilvl="0">
      <w:lvlJc w:val="left"/>
      <w:lvlText w:val="%1."/>
      <w:numFmt w:val="decimal"/>
      <w:start w:val="4"/>
    </w:lvl>
    <w:lvl w:ilvl="1">
      <w:lvlJc w:val="left"/>
      <w:lvlText w:val="%2."/>
      <w:numFmt w:val="decimal"/>
      <w:start w:val="5"/>
    </w:lvl>
  </w:abstractNum>
  <w:abstractNum w:abstractNumId="61">
    <w:nsid w:val="25A70BF7"/>
    <w:multiLevelType w:val="hybridMultilevel"/>
    <w:lvl w:ilvl="0">
      <w:lvlJc w:val="left"/>
      <w:lvlText w:val="%1"/>
      <w:numFmt w:val="decimal"/>
      <w:start w:val="1"/>
    </w:lvl>
    <w:lvl w:ilvl="1">
      <w:lvlJc w:val="left"/>
      <w:lvlText w:val="%2"/>
      <w:numFmt w:val="decimal"/>
      <w:start w:val="1"/>
    </w:lvl>
    <w:lvl w:ilvl="2">
      <w:lvlJc w:val="left"/>
      <w:lvlText w:val="%3."/>
      <w:numFmt w:val="decimal"/>
      <w:start w:val="6"/>
    </w:lvl>
  </w:abstractNum>
  <w:abstractNum w:abstractNumId="62">
    <w:nsid w:val="1DBABF00"/>
    <w:multiLevelType w:val="hybridMultilevel"/>
    <w:lvl w:ilvl="0">
      <w:lvlJc w:val="left"/>
      <w:lvlText w:val="%1."/>
      <w:numFmt w:val="decimal"/>
      <w:start w:val="7"/>
    </w:lvl>
    <w:lvl w:ilvl="1">
      <w:lvlJc w:val="left"/>
      <w:lvlText w:val="%2."/>
      <w:numFmt w:val="decimal"/>
      <w:start w:val="8"/>
    </w:lvl>
    <w:lvl w:ilvl="2">
      <w:lvlJc w:val="left"/>
      <w:lvlText w:val="%3"/>
      <w:numFmt w:val="decimal"/>
      <w:start w:val="1"/>
    </w:lvl>
  </w:abstractNum>
  <w:abstractNum w:abstractNumId="63">
    <w:nsid w:val="4AD084E9"/>
    <w:multiLevelType w:val="hybridMultilevel"/>
    <w:lvl w:ilvl="0">
      <w:lvlJc w:val="left"/>
      <w:lvlText w:val="%1."/>
      <w:numFmt w:val="decimal"/>
      <w:start w:val="9"/>
    </w:lvl>
  </w:abstractNum>
  <w:abstractNum w:abstractNumId="64">
    <w:nsid w:val="1F48EAA1"/>
    <w:multiLevelType w:val="hybridMultilevel"/>
    <w:lvl w:ilvl="0">
      <w:lvlJc w:val="left"/>
      <w:lvlText w:val="%1."/>
      <w:numFmt w:val="decimal"/>
      <w:start w:val="10"/>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1"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55" Type="http://schemas.openxmlformats.org/officeDocument/2006/relationships/hyperlink" Target="https://www.sec.gov/Archives/edgar/data/1042642/0000912057-97-024853.txt" TargetMode="External"/><Relationship Id="rId56" Type="http://schemas.openxmlformats.org/officeDocument/2006/relationships/hyperlink" Target="http://www.sec.gov/Archives/edgar/data/1001082/000110465914082443/a14-24807_1ex4d1.htm" TargetMode="External"/><Relationship Id="rId57" Type="http://schemas.openxmlformats.org/officeDocument/2006/relationships/hyperlink" Target="http://www.sec.gov/Archives/edgar/data/1001082/000110465916126862/a16-13226_1ex4d1.htm" TargetMode="External"/><Relationship Id="rId58" Type="http://schemas.openxmlformats.org/officeDocument/2006/relationships/hyperlink" Target="https://www.sec.gov/Archives/edgar/data/1001082/000110465920079790/tm2023759d1_ex4-1.htm" TargetMode="External"/><Relationship Id="rId59" Type="http://schemas.openxmlformats.org/officeDocument/2006/relationships/hyperlink" Target="https://www.sec.gov/Archives/edgar/data/1001082/000110465921071173/tm2117189d1_ex4-1.htm" TargetMode="External"/><Relationship Id="rId60" Type="http://schemas.openxmlformats.org/officeDocument/2006/relationships/hyperlink" Target="https://www.sec.gov/Archives/edgar/data/1001082/000110465921143897/tm2133750d1_ex4-1.htm" TargetMode="External"/><Relationship Id="rId62" Type="http://schemas.openxmlformats.org/officeDocument/2006/relationships/hyperlink" Target="https://www.sec.gov/Archives/edgar/data/1001082/000110465921143897/tm2133750d1_ex4-2.htm" TargetMode="External"/><Relationship Id="rId63" Type="http://schemas.openxmlformats.org/officeDocument/2006/relationships/hyperlink" Target="https://www.sec.gov/Archives/edgar/data/1001082/000110465921143897/tm2133750d1_ex4-3.htm" TargetMode="External"/><Relationship Id="rId64" Type="http://schemas.openxmlformats.org/officeDocument/2006/relationships/hyperlink" Target="http://www.sec.gov/Archives/edgar/data/1042642/000155837018002595/ddbs-20171231ex4152aedfc.htm" TargetMode="External"/><Relationship Id="rId65" Type="http://schemas.openxmlformats.org/officeDocument/2006/relationships/hyperlink" Target="http://www.sec.gov/Archives/edgar/data/1042642/000155837018002595/ddbs-20171231ex416308073.htm" TargetMode="External"/><Relationship Id="rId66" Type="http://schemas.openxmlformats.org/officeDocument/2006/relationships/hyperlink" Target="http://www.sec.gov/Archives/edgar/data/1001082/000095013402003359/d95798ddef14a.txt" TargetMode="External"/><Relationship Id="rId67" Type="http://schemas.openxmlformats.org/officeDocument/2006/relationships/hyperlink" Target="http://www.sec.gov/Archives/edgar/data/1001082/000103570405000342/d26860exv99w6.htm" TargetMode="External"/><Relationship Id="rId68" Type="http://schemas.openxmlformats.org/officeDocument/2006/relationships/hyperlink" Target="http://www.sec.gov/Archives/edgar/data/1001082/000110465914067158/a14-20516_2def14a.htm" TargetMode="External"/><Relationship Id="rId69" Type="http://schemas.openxmlformats.org/officeDocument/2006/relationships/hyperlink" Target="http://www.sec.gov/Archives/edgar/data/1001082/000103570409000018/d67042def14a.htm" TargetMode="External"/><Relationship Id="rId70" Type="http://schemas.openxmlformats.org/officeDocument/2006/relationships/hyperlink" Target="http://www.sec.gov/Archives/edgar/data/1001082/000110465916161284/a16-22870_18k.htm" TargetMode="External"/><Relationship Id="rId71" Type="http://schemas.openxmlformats.org/officeDocument/2006/relationships/hyperlink" Target="http://www.sec.gov/Archives/edgar/data/1001082/000100108218000015/dish-20180823x8k.htm" TargetMode="External"/><Relationship Id="rId72" Type="http://schemas.openxmlformats.org/officeDocument/2006/relationships/hyperlink" Target="https://www.sec.gov/Archives/edgar/data/1001082/000155837020013008/dish-20200930xex10d1.htm" TargetMode="External"/><Relationship Id="rId73" Type="http://schemas.openxmlformats.org/officeDocument/2006/relationships/hyperlink" Target="https://www.sec.gov/Archives/edgar/data/1001082/000155837020013008/dish-20200930xex10d2.htm" TargetMode="External"/><Relationship Id="rId74" Type="http://schemas.openxmlformats.org/officeDocument/2006/relationships/hyperlink" Target="https://www.sec.gov/Archives/edgar/data/1001082/000155837020013008/dish-20200930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2024-04-06T07:40:53Z</dcterms:created>
  <dcterms:modified xsi:type="dcterms:W3CDTF">2024-04-06T07:40:53Z</dcterms:modified>
</cp:coreProperties>
</file>