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lineRule="auto" w:line="285" w:before="0" w:after="0"/>
        <w:ind w:left="0" w:right="0" w:hanging="0"/>
        <w:jc w:val="left"/>
        <w:rPr/>
      </w:pPr>
      <w:bookmarkStart w:id="0" w:name="BKMK_4"/>
      <w:bookmarkStart w:id="1" w:name="BKMK_3"/>
      <w:bookmarkStart w:id="2" w:name="BKMK_2"/>
      <w:bookmarkStart w:id="3" w:name="BKMK_1"/>
      <w:bookmarkStart w:id="4" w:name="dish-20260331x1512g.htm"/>
      <w:bookmarkStart w:id="5" w:name="ksdish20260331x1512g"/>
      <w:bookmarkEnd w:id="0"/>
      <w:bookmarkEnd w:id="1"/>
      <w:bookmarkEnd w:id="2"/>
      <w:bookmarkEnd w:id="3"/>
      <w:bookmarkEnd w:id="4"/>
      <w:bookmarkEnd w:id="5"/>
      <w:r>
        <w:rPr/>
        <w:t> </w:t>
      </w:r>
    </w:p>
    <w:p>
      <w:pPr>
        <w:pStyle w:val="TextBody"/>
        <w:pBdr>
          <w:top w:val="single" w:sz="14" w:space="1" w:color="000000"/>
          <w:bottom w:val="single" w:sz="2" w:space="1" w:color="000000"/>
        </w:pBdr>
        <w:bidi w:val="0"/>
        <w:spacing w:lineRule="auto" w:line="285" w:before="36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lineRule="auto" w:line="331" w:before="0" w:after="160"/>
        <w:ind w:left="0" w:right="0" w:hanging="0"/>
        <w:jc w:val="left"/>
        <w:rPr/>
      </w:pPr>
      <w:r>
        <w:rPr/>
        <w:t>​</w:t>
      </w:r>
    </w:p>
    <w:p>
      <w:pPr>
        <w:pStyle w:val="TextBody"/>
        <w:bidi w:val="0"/>
        <w:spacing w:lineRule="auto" w:line="285" w:before="18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UNITED STATES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color w:val="010202"/>
          <w:sz w:val="18"/>
        </w:rPr>
      </w:pPr>
      <w:r>
        <w:rPr>
          <w:rFonts w:ascii="Times New Roman;Times;serif" w:hAnsi="Times New Roman;Times;serif"/>
          <w:b/>
          <w:color w:val="010202"/>
          <w:sz w:val="18"/>
        </w:rPr>
        <w:t>SECURITIES AND EXCHANGE COMMISSION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Washington, D.C. 20549</w:t>
      </w:r>
    </w:p>
    <w:p>
      <w:pPr>
        <w:pStyle w:val="TextBody"/>
        <w:bidi w:val="0"/>
        <w:spacing w:lineRule="auto" w:line="331" w:before="0" w:after="160"/>
        <w:ind w:left="0" w:right="0" w:hanging="0"/>
        <w:jc w:val="center"/>
        <w:rPr/>
      </w:pPr>
      <w:r>
        <w:rPr/>
        <w:t>​</w:t>
      </w:r>
    </w:p>
    <w:p>
      <w:pPr>
        <w:pStyle w:val="TextBody"/>
        <w:pBdr>
          <w:top w:val="single" w:sz="2" w:space="1" w:color="000000"/>
        </w:pBdr>
        <w:bidi w:val="0"/>
        <w:spacing w:lineRule="auto" w:line="331" w:before="0" w:after="160"/>
        <w:ind w:left="3600" w:right="3600" w:hanging="0"/>
        <w:jc w:val="center"/>
        <w:rPr/>
      </w:pPr>
      <w:r>
        <w:rPr/>
        <w:t>​</w:t>
      </w:r>
    </w:p>
    <w:p>
      <w:pPr>
        <w:pStyle w:val="TextBody"/>
        <w:bidi w:val="0"/>
        <w:spacing w:lineRule="auto" w:line="331" w:before="0" w:after="160"/>
        <w:ind w:left="0" w:right="0" w:hanging="0"/>
        <w:jc w:val="left"/>
        <w:rPr/>
      </w:pPr>
      <w:r>
        <w:rPr/>
        <w:t>​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FORM 15</w:t>
      </w:r>
    </w:p>
    <w:p>
      <w:pPr>
        <w:pStyle w:val="TextBody"/>
        <w:bidi w:val="0"/>
        <w:spacing w:lineRule="auto" w:line="331" w:before="0" w:after="160"/>
        <w:ind w:left="0" w:right="0" w:hanging="0"/>
        <w:jc w:val="center"/>
        <w:rPr/>
      </w:pPr>
      <w:r>
        <w:rPr/>
        <w:t>​</w:t>
      </w:r>
    </w:p>
    <w:p>
      <w:pPr>
        <w:pStyle w:val="TextBody"/>
        <w:pBdr>
          <w:top w:val="single" w:sz="2" w:space="1" w:color="000000"/>
        </w:pBdr>
        <w:bidi w:val="0"/>
        <w:spacing w:lineRule="auto" w:line="331" w:before="0" w:after="160"/>
        <w:ind w:left="3600" w:right="3600" w:hanging="0"/>
        <w:jc w:val="center"/>
        <w:rPr/>
      </w:pPr>
      <w:r>
        <w:rPr/>
        <w:t>​</w:t>
      </w:r>
    </w:p>
    <w:p>
      <w:pPr>
        <w:pStyle w:val="TextBody"/>
        <w:bidi w:val="0"/>
        <w:spacing w:lineRule="auto" w:line="331" w:before="0" w:after="160"/>
        <w:ind w:left="3240" w:right="3240" w:hanging="0"/>
        <w:jc w:val="center"/>
        <w:rPr/>
      </w:pPr>
      <w:r>
        <w:rPr/>
        <w:t>​</w:t>
      </w:r>
    </w:p>
    <w:p>
      <w:pPr>
        <w:pStyle w:val="TextBody"/>
        <w:bidi w:val="0"/>
        <w:spacing w:lineRule="auto" w:line="285" w:before="0" w:after="0"/>
        <w:ind w:left="3240" w:right="3240" w:hanging="0"/>
        <w:jc w:val="center"/>
        <w:rPr/>
      </w:pPr>
      <w:r>
        <w:rPr/>
        <w:t> 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CERTIFICATION AND NOTICE OF TERMINATION OF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REGISTRATION UNDER SECTION 12(g) OF THE SECURITIES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EXCHANGE ACT OF 1934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OR SUSPENSION OF DUTY TO FILE REPORTS UNDER SECTIONS 13</w:t>
      </w:r>
    </w:p>
    <w:p>
      <w:pPr>
        <w:pStyle w:val="TextBody"/>
        <w:bidi w:val="0"/>
        <w:spacing w:lineRule="auto" w:line="285" w:before="0" w:after="0"/>
        <w:ind w:left="1334" w:right="1334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AND 15(d) OF THE SECURITIES EXCHANGE ACT OF 1934.</w:t>
      </w:r>
    </w:p>
    <w:p>
      <w:pPr>
        <w:pStyle w:val="TextBody"/>
        <w:bidi w:val="0"/>
        <w:spacing w:lineRule="auto" w:line="285" w:before="0" w:after="0"/>
        <w:ind w:left="3991" w:right="3991" w:hanging="0"/>
        <w:jc w:val="center"/>
        <w:rPr>
          <w:color w:val="010202"/>
        </w:rPr>
      </w:pPr>
      <w:r>
        <w:rPr>
          <w:color w:val="010202"/>
        </w:rPr>
        <w:t> 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Commission File Number</w:t>
        <w:br/>
        <w:t>001-39144</w:t>
      </w:r>
    </w:p>
    <w:p>
      <w:pPr>
        <w:pStyle w:val="TextBody"/>
        <w:bidi w:val="0"/>
        <w:spacing w:lineRule="auto" w:line="285" w:before="0" w:after="0"/>
        <w:ind w:left="3240" w:right="3240" w:hanging="0"/>
        <w:jc w:val="center"/>
        <w:rPr/>
      </w:pPr>
      <w:r>
        <w:rPr/>
        <w:t> </w:t>
      </w:r>
    </w:p>
    <w:p>
      <w:pPr>
        <w:pStyle w:val="TextBody"/>
        <w:pBdr>
          <w:top w:val="single" w:sz="2" w:space="1" w:color="000000"/>
        </w:pBdr>
        <w:bidi w:val="0"/>
        <w:spacing w:lineRule="auto" w:line="285" w:before="18" w:after="0"/>
        <w:ind w:left="3600" w:right="3600" w:hanging="0"/>
        <w:jc w:val="center"/>
        <w:rPr/>
      </w:pPr>
      <w:r>
        <w:rPr/>
        <w:t> </w:t>
      </w:r>
    </w:p>
    <w:p>
      <w:pPr>
        <w:pStyle w:val="TextBody"/>
        <w:bidi w:val="0"/>
        <w:spacing w:lineRule="auto" w:line="285" w:before="0" w:after="0"/>
        <w:ind w:left="3240" w:right="3240" w:hanging="0"/>
        <w:jc w:val="center"/>
        <w:rPr/>
      </w:pPr>
      <w:r>
        <w:rPr/>
        <w:t> </w:t>
      </w:r>
      <w:r>
        <w:rPr>
          <w:rFonts w:ascii="Times New Roman;Times;serif" w:hAnsi="Times New Roman;Times;serif"/>
          <w:b/>
          <w:sz w:val="18"/>
        </w:rPr>
        <w:t>DISH NETWORK CORPORATION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(Exact name of registrant as specified in its charter)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/>
      </w:pPr>
      <w:r>
        <w:rPr/>
        <w:t> </w:t>
      </w:r>
    </w:p>
    <w:p>
      <w:pPr>
        <w:pStyle w:val="TextBody"/>
        <w:pBdr>
          <w:top w:val="single" w:sz="2" w:space="1" w:color="000000"/>
        </w:pBdr>
        <w:bidi w:val="0"/>
        <w:spacing w:lineRule="auto" w:line="285" w:before="18" w:after="0"/>
        <w:ind w:left="3600" w:right="3600" w:hanging="0"/>
        <w:jc w:val="center"/>
        <w:rPr/>
      </w:pPr>
      <w:r>
        <w:rPr/>
        <w:t> 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9601 South Meridian Boulevard,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Aptos" w:hAnsi="Aptos"/>
          <w:sz w:val="18"/>
        </w:rPr>
      </w:pPr>
      <w:r>
        <w:rPr>
          <w:rFonts w:ascii="Times New Roman;Times;serif" w:hAnsi="Times New Roman;Times;serif"/>
          <w:b/>
          <w:sz w:val="18"/>
        </w:rPr>
        <w:t>Englewood, Colorado 80112</w:t>
      </w:r>
      <w:r>
        <w:rPr>
          <w:rFonts w:ascii="Times New Roman;Times;serif" w:hAnsi="Times New Roman;Times;serif"/>
          <w:sz w:val="18"/>
        </w:rPr>
        <w:br/>
        <w:t>(</w:t>
      </w:r>
      <w:r>
        <w:rPr>
          <w:rFonts w:ascii="Times New Roman;Times;serif" w:hAnsi="Times New Roman;Times;serif"/>
          <w:b/>
          <w:sz w:val="18"/>
        </w:rPr>
        <w:t>303) 723-1000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(Address, including zip code, and telephone number, including area code, of registrant’s principal executive offices)</w:t>
      </w:r>
    </w:p>
    <w:p>
      <w:pPr>
        <w:pStyle w:val="TextBody"/>
        <w:bidi w:val="0"/>
        <w:spacing w:lineRule="auto" w:line="285"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11 3/4% Senior Secured Notes due 2027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3 3/8% Convertible Notes due 2026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(Title of each class of securities covered by this Form)</w:t>
      </w:r>
    </w:p>
    <w:p>
      <w:pPr>
        <w:pStyle w:val="TextBody"/>
        <w:bidi w:val="0"/>
        <w:spacing w:lineRule="auto" w:line="285"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None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(Titles of all other classes of securities for which a duty to file reports under section 13(a) or 15(d) remains)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/>
      </w:pPr>
      <w:r>
        <w:rPr/>
        <w:t> </w:t>
      </w:r>
    </w:p>
    <w:p>
      <w:pPr>
        <w:pStyle w:val="TextBody"/>
        <w:pBdr>
          <w:top w:val="single" w:sz="2" w:space="1" w:color="000000"/>
        </w:pBdr>
        <w:bidi w:val="0"/>
        <w:spacing w:lineRule="auto" w:line="285" w:before="18" w:after="0"/>
        <w:ind w:left="3600" w:right="3600" w:hanging="0"/>
        <w:jc w:val="center"/>
        <w:rPr/>
      </w:pPr>
      <w:r>
        <w:rPr/>
        <w:t> </w:t>
      </w:r>
    </w:p>
    <w:p>
      <w:pPr>
        <w:pStyle w:val="TextBody"/>
        <w:bidi w:val="0"/>
        <w:spacing w:lineRule="auto" w:line="331" w:before="0" w:after="160"/>
        <w:ind w:left="0" w:right="0" w:hanging="0"/>
        <w:jc w:val="center"/>
        <w:rPr/>
      </w:pPr>
      <w:r>
        <w:rPr/>
        <w:t>​</w:t>
      </w:r>
    </w:p>
    <w:p>
      <w:pPr>
        <w:pStyle w:val="TextBody"/>
        <w:bidi w:val="0"/>
        <w:spacing w:lineRule="auto" w:line="285" w:before="0" w:after="0"/>
        <w:ind w:left="3240" w:right="3240" w:hanging="0"/>
        <w:jc w:val="center"/>
        <w:rPr/>
      </w:pPr>
      <w:r>
        <w:rPr/>
        <w:t> </w:t>
      </w:r>
    </w:p>
    <w:p>
      <w:pPr>
        <w:pStyle w:val="TextBody"/>
        <w:bidi w:val="0"/>
        <w:spacing w:lineRule="auto" w:line="285" w:before="0" w:after="0"/>
        <w:ind w:left="0" w:right="0" w:hanging="0"/>
        <w:jc w:val="left"/>
        <w:rPr>
          <w:rFonts w:ascii="Times New Roman;Times;serif" w:hAnsi="Times New Roman;Times;serif"/>
          <w:sz w:val="18"/>
        </w:rPr>
      </w:pPr>
      <w:r>
        <w:rPr>
          <w:rFonts w:ascii="Times New Roman;Times;serif" w:hAnsi="Times New Roman;Times;serif"/>
          <w:sz w:val="18"/>
        </w:rPr>
        <w:t>Please place an X in the box(es) to designate the appropriate rule provision(s) relied upon to terminate or suspend the duty to file reports:</w:t>
      </w:r>
    </w:p>
    <w:p>
      <w:pPr>
        <w:pStyle w:val="TextBody"/>
        <w:bidi w:val="0"/>
        <w:spacing w:lineRule="auto" w:line="285" w:before="0" w:after="0"/>
        <w:ind w:left="0" w:right="0" w:hanging="0"/>
        <w:jc w:val="left"/>
        <w:rPr/>
      </w:pPr>
      <w:r>
        <w:rPr/>
        <w:t> </w:t>
      </w:r>
    </w:p>
    <w:tbl>
      <w:tblPr>
        <w:tblW w:w="1892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46"/>
        <w:gridCol w:w="346"/>
      </w:tblGrid>
      <w:tr>
        <w:trPr/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lineRule="auto" w:line="331" w:before="0" w:after="160"/>
              <w:ind w:left="0" w:right="0" w:hanging="0"/>
              <w:jc w:val="left"/>
              <w:rPr/>
            </w:pPr>
            <w:bookmarkStart w:id="6" w:name="BKMK_5"/>
            <w:bookmarkEnd w:id="6"/>
            <w:r>
              <w:rPr/>
              <w:t>​</w:t>
            </w:r>
          </w:p>
        </w:tc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lineRule="auto" w:line="331" w:before="0" w:after="160"/>
              <w:ind w:left="0" w:right="0" w:hanging="0"/>
              <w:jc w:val="left"/>
              <w:rPr/>
            </w:pPr>
            <w:r>
              <w:rPr/>
              <w:t>​</w:t>
            </w:r>
          </w:p>
        </w:tc>
      </w:tr>
      <w:tr>
        <w:trPr/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>
                <w:rFonts w:ascii="Times New Roman;Times;serif" w:hAnsi="Times New Roman;Times;serif"/>
                <w:sz w:val="18"/>
              </w:rPr>
            </w:pPr>
            <w:r>
              <w:rPr>
                <w:rFonts w:ascii="Times New Roman;Times;serif" w:hAnsi="Times New Roman;Times;serif"/>
                <w:sz w:val="18"/>
              </w:rPr>
              <w:t>Rule 12g-4(a)(1)</w:t>
            </w:r>
          </w:p>
        </w:tc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>
                <w:rFonts w:ascii="Wingdings" w:hAnsi="Wingdings"/>
                <w:sz w:val="18"/>
              </w:rPr>
            </w:pPr>
            <w:r>
              <w:rPr>
                <w:rFonts w:ascii="Wingdings" w:hAnsi="Wingdings"/>
                <w:sz w:val="18"/>
              </w:rPr>
              <w:t>o</w:t>
            </w:r>
          </w:p>
        </w:tc>
      </w:tr>
      <w:tr>
        <w:trPr/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>
                <w:rFonts w:ascii="Times New Roman;Times;serif" w:hAnsi="Times New Roman;Times;serif"/>
                <w:sz w:val="18"/>
              </w:rPr>
            </w:pPr>
            <w:r>
              <w:rPr>
                <w:rFonts w:ascii="Times New Roman;Times;serif" w:hAnsi="Times New Roman;Times;serif"/>
                <w:sz w:val="18"/>
              </w:rPr>
              <w:t>Rule 12g-4(a)(2)</w:t>
            </w:r>
          </w:p>
        </w:tc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>
                <w:rFonts w:ascii="Wingdings" w:hAnsi="Wingdings"/>
                <w:sz w:val="18"/>
              </w:rPr>
            </w:pPr>
            <w:r>
              <w:rPr>
                <w:rFonts w:ascii="Wingdings" w:hAnsi="Wingdings"/>
                <w:sz w:val="18"/>
              </w:rPr>
              <w:t>o</w:t>
            </w:r>
          </w:p>
        </w:tc>
      </w:tr>
      <w:tr>
        <w:trPr/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>
                <w:rFonts w:ascii="Times New Roman;Times;serif" w:hAnsi="Times New Roman;Times;serif"/>
                <w:sz w:val="18"/>
              </w:rPr>
            </w:pPr>
            <w:r>
              <w:rPr>
                <w:rFonts w:ascii="Times New Roman;Times;serif" w:hAnsi="Times New Roman;Times;serif"/>
                <w:sz w:val="18"/>
              </w:rPr>
              <w:t>Rule 12h-3(b)(1)(i)</w:t>
            </w:r>
          </w:p>
        </w:tc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>
                <w:rFonts w:ascii="Wingdings" w:hAnsi="Wingdings"/>
                <w:sz w:val="18"/>
              </w:rPr>
            </w:pPr>
            <w:r>
              <w:rPr>
                <w:rFonts w:ascii="Wingdings" w:hAnsi="Wingdings"/>
                <w:sz w:val="18"/>
              </w:rPr>
              <w:t>x</w:t>
            </w:r>
          </w:p>
        </w:tc>
      </w:tr>
      <w:tr>
        <w:trPr/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>
                <w:rFonts w:ascii="Times New Roman;Times;serif" w:hAnsi="Times New Roman;Times;serif"/>
                <w:sz w:val="18"/>
              </w:rPr>
            </w:pPr>
            <w:r>
              <w:rPr>
                <w:rFonts w:ascii="Times New Roman;Times;serif" w:hAnsi="Times New Roman;Times;serif"/>
                <w:sz w:val="18"/>
              </w:rPr>
              <w:t>Rule 12h-3(b)(1)(ii)</w:t>
            </w:r>
          </w:p>
        </w:tc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>
                <w:rFonts w:ascii="Wingdings" w:hAnsi="Wingdings"/>
                <w:sz w:val="18"/>
              </w:rPr>
            </w:pPr>
            <w:r>
              <w:rPr>
                <w:rFonts w:ascii="Wingdings" w:hAnsi="Wingdings"/>
                <w:sz w:val="18"/>
              </w:rPr>
              <w:t>o</w:t>
            </w:r>
          </w:p>
        </w:tc>
      </w:tr>
      <w:tr>
        <w:trPr/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>
                <w:rFonts w:ascii="Times New Roman;Times;serif" w:hAnsi="Times New Roman;Times;serif"/>
                <w:sz w:val="18"/>
              </w:rPr>
            </w:pPr>
            <w:r>
              <w:rPr>
                <w:rFonts w:ascii="Times New Roman;Times;serif" w:hAnsi="Times New Roman;Times;serif"/>
                <w:sz w:val="18"/>
              </w:rPr>
              <w:t>Rule 15d-6</w:t>
            </w:r>
          </w:p>
        </w:tc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>
                <w:rFonts w:ascii="Wingdings" w:hAnsi="Wingdings"/>
                <w:sz w:val="18"/>
              </w:rPr>
            </w:pPr>
            <w:r>
              <w:rPr>
                <w:rFonts w:ascii="Wingdings" w:hAnsi="Wingdings"/>
                <w:sz w:val="18"/>
              </w:rPr>
              <w:t>o</w:t>
            </w:r>
          </w:p>
        </w:tc>
      </w:tr>
      <w:tr>
        <w:trPr/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>
                <w:rFonts w:ascii="Times New Roman;Times;serif" w:hAnsi="Times New Roman;Times;serif"/>
                <w:sz w:val="18"/>
              </w:rPr>
            </w:pPr>
            <w:r>
              <w:rPr>
                <w:rFonts w:ascii="Times New Roman;Times;serif" w:hAnsi="Times New Roman;Times;serif"/>
                <w:sz w:val="18"/>
              </w:rPr>
              <w:t>Rule 15d-22(d)</w:t>
            </w:r>
          </w:p>
        </w:tc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16" w:hanging="0"/>
              <w:jc w:val="left"/>
              <w:rPr>
                <w:rFonts w:ascii="Wingdings" w:hAnsi="Wingdings"/>
                <w:sz w:val="18"/>
              </w:rPr>
            </w:pPr>
            <w:r>
              <w:rPr>
                <w:rFonts w:ascii="Wingdings" w:hAnsi="Wingdings"/>
                <w:sz w:val="18"/>
              </w:rPr>
              <w:t>o</w:t>
            </w:r>
          </w:p>
        </w:tc>
      </w:tr>
    </w:tbl>
    <w:p>
      <w:pPr>
        <w:pStyle w:val="TextBody"/>
        <w:bidi w:val="0"/>
        <w:spacing w:lineRule="auto" w:line="285" w:before="0" w:after="0"/>
        <w:ind w:left="99" w:right="0" w:hanging="0"/>
        <w:jc w:val="left"/>
        <w:rPr>
          <w:color w:val="010202"/>
        </w:rPr>
      </w:pPr>
      <w:r>
        <w:rPr>
          <w:color w:val="010202"/>
        </w:rPr>
        <w:t> </w:t>
      </w:r>
    </w:p>
    <w:p>
      <w:pPr>
        <w:pStyle w:val="TextBody"/>
        <w:bidi w:val="0"/>
        <w:spacing w:lineRule="auto" w:line="285" w:before="0" w:after="0"/>
        <w:ind w:left="0" w:right="0" w:hanging="0"/>
        <w:jc w:val="left"/>
        <w:rPr>
          <w:rFonts w:ascii="Times New Roman;Times;serif" w:hAnsi="Times New Roman;Times;serif"/>
          <w:sz w:val="18"/>
        </w:rPr>
      </w:pPr>
      <w:r>
        <w:rPr>
          <w:rFonts w:ascii="Times New Roman;Times;serif" w:hAnsi="Times New Roman;Times;serif"/>
          <w:sz w:val="18"/>
        </w:rPr>
        <w:t>Approximate number of holders of record as of the certification or notice date: 85</w:t>
      </w:r>
    </w:p>
    <w:p>
      <w:pPr>
        <w:pStyle w:val="TextBody"/>
        <w:bidi w:val="0"/>
        <w:spacing w:lineRule="auto" w:line="285"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pBdr>
          <w:top w:val="single" w:sz="2" w:space="1" w:color="000000"/>
          <w:bottom w:val="single" w:sz="14" w:space="1" w:color="000000"/>
        </w:pBdr>
        <w:bidi w:val="0"/>
        <w:spacing w:lineRule="auto" w:line="285" w:before="18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lineRule="auto" w:line="331" w:before="0" w:after="160"/>
        <w:ind w:left="0" w:right="0" w:hanging="0"/>
        <w:jc w:val="left"/>
        <w:rPr/>
      </w:pPr>
      <w:r>
        <w:rPr/>
        <w:t>​</w:t>
      </w:r>
    </w:p>
    <w:p>
      <w:pPr>
        <w:pStyle w:val="TextBody"/>
        <w:bidi w:val="0"/>
        <w:spacing w:lineRule="auto" w:line="285" w:before="36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lineRule="auto" w:line="331" w:before="0" w:after="160"/>
        <w:ind w:left="0" w:right="0" w:hanging="0"/>
        <w:jc w:val="left"/>
        <w:rPr/>
      </w:pPr>
      <w:r>
        <w:rPr/>
        <w:t>​</w:t>
      </w:r>
    </w:p>
    <w:p>
      <w:pPr>
        <w:pStyle w:val="TextBody"/>
        <w:bidi w:val="0"/>
        <w:spacing w:lineRule="auto" w:line="285" w:before="216" w:after="0"/>
        <w:ind w:left="0" w:right="0" w:hanging="0"/>
        <w:jc w:val="left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lineRule="auto" w:line="285"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lineRule="auto" w:line="285" w:before="216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SIGNATURES</w:t>
      </w:r>
    </w:p>
    <w:p>
      <w:pPr>
        <w:pStyle w:val="TextBody"/>
        <w:bidi w:val="0"/>
        <w:spacing w:lineRule="auto" w:line="285"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lineRule="auto" w:line="285" w:before="0" w:after="0"/>
        <w:ind w:left="0" w:right="0" w:firstLine="648"/>
        <w:jc w:val="left"/>
        <w:rPr>
          <w:rFonts w:ascii="Times New Roman;Times;serif" w:hAnsi="Times New Roman;Times;serif"/>
          <w:sz w:val="18"/>
        </w:rPr>
      </w:pPr>
      <w:r>
        <w:rPr>
          <w:rFonts w:ascii="Times New Roman;Times;serif" w:hAnsi="Times New Roman;Times;serif"/>
          <w:sz w:val="18"/>
        </w:rPr>
        <w:t>Pursuant to the requirements of the Securities Exchange Act of 1934, the registrant has duly caused this certification/notice to be signed on its behalf by the undersigned hereunto duly authorized.</w:t>
      </w:r>
    </w:p>
    <w:p>
      <w:pPr>
        <w:pStyle w:val="TextBody"/>
        <w:bidi w:val="0"/>
        <w:spacing w:lineRule="auto" w:line="285" w:before="0" w:after="0"/>
        <w:ind w:left="0" w:right="0" w:firstLine="648"/>
        <w:jc w:val="left"/>
        <w:rPr/>
      </w:pPr>
      <w:r>
        <w:rPr/>
        <w:t> </w:t>
      </w:r>
    </w:p>
    <w:p>
      <w:pPr>
        <w:pStyle w:val="TextBody"/>
        <w:bidi w:val="0"/>
        <w:spacing w:lineRule="auto" w:line="285" w:before="0" w:after="0"/>
        <w:ind w:left="0" w:right="0" w:hanging="0"/>
        <w:jc w:val="left"/>
        <w:rPr>
          <w:rFonts w:ascii="Times New Roman;Times;serif" w:hAnsi="Times New Roman;Times;serif"/>
          <w:sz w:val="18"/>
        </w:rPr>
      </w:pPr>
      <w:r>
        <w:rPr>
          <w:rFonts w:ascii="Times New Roman;Times;serif" w:hAnsi="Times New Roman;Times;serif"/>
          <w:sz w:val="18"/>
        </w:rPr>
        <w:t>Dated: March 31, 2026</w:t>
      </w:r>
    </w:p>
    <w:p>
      <w:pPr>
        <w:pStyle w:val="TextBody"/>
        <w:bidi w:val="0"/>
        <w:spacing w:lineRule="auto" w:line="285" w:before="0" w:after="0"/>
        <w:ind w:left="0" w:right="0" w:hanging="0"/>
        <w:jc w:val="left"/>
        <w:rPr/>
      </w:pPr>
      <w:r>
        <w:rPr/>
        <w:t> </w:t>
      </w:r>
    </w:p>
    <w:tbl>
      <w:tblPr>
        <w:tblW w:w="36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1"/>
        <w:gridCol w:w="361"/>
        <w:gridCol w:w="616"/>
        <w:gridCol w:w="2552"/>
      </w:tblGrid>
      <w:tr>
        <w:trPr/>
        <w:tc>
          <w:tcPr>
            <w:tcW w:w="161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 </w:t>
            </w:r>
          </w:p>
        </w:tc>
        <w:tc>
          <w:tcPr>
            <w:tcW w:w="352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both"/>
              <w:rPr>
                <w:rFonts w:ascii="Times New Roman;Times;serif" w:hAnsi="Times New Roman;Times;serif"/>
                <w:b/>
                <w:sz w:val="18"/>
              </w:rPr>
            </w:pPr>
            <w:r>
              <w:rPr>
                <w:rFonts w:ascii="Times New Roman;Times;serif" w:hAnsi="Times New Roman;Times;serif"/>
                <w:b/>
                <w:sz w:val="18"/>
              </w:rPr>
              <w:t>DISH NETWORK CORPORATION</w:t>
            </w:r>
          </w:p>
        </w:tc>
      </w:tr>
      <w:tr>
        <w:trPr/>
        <w:tc>
          <w:tcPr>
            <w:tcW w:w="161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 </w:t>
            </w:r>
          </w:p>
        </w:tc>
        <w:tc>
          <w:tcPr>
            <w:tcW w:w="352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161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 </w:t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both"/>
              <w:rPr>
                <w:rFonts w:ascii="Times New Roman;Times;serif" w:hAnsi="Times New Roman;Times;serif"/>
                <w:sz w:val="18"/>
              </w:rPr>
            </w:pPr>
            <w:r>
              <w:rPr>
                <w:rFonts w:ascii="Times New Roman;Times;serif" w:hAnsi="Times New Roman;Times;serif"/>
                <w:sz w:val="18"/>
              </w:rPr>
              <w:t>By:</w:t>
            </w:r>
          </w:p>
        </w:tc>
        <w:tc>
          <w:tcPr>
            <w:tcW w:w="3168" w:type="dxa"/>
            <w:gridSpan w:val="2"/>
            <w:tcBorders>
              <w:bottom w:val="single" w:sz="2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both"/>
              <w:rPr>
                <w:rFonts w:ascii="Times New Roman;Times;serif" w:hAnsi="Times New Roman;Times;serif"/>
                <w:sz w:val="18"/>
              </w:rPr>
            </w:pPr>
            <w:r>
              <w:rPr>
                <w:rFonts w:ascii="Times New Roman;Times;serif" w:hAnsi="Times New Roman;Times;serif"/>
                <w:sz w:val="18"/>
              </w:rPr>
              <w:t>/s/ Dean A. Manson</w:t>
            </w:r>
          </w:p>
        </w:tc>
      </w:tr>
      <w:tr>
        <w:trPr/>
        <w:tc>
          <w:tcPr>
            <w:tcW w:w="161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 </w:t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both"/>
              <w:rPr/>
            </w:pPr>
            <w:r>
              <w:rPr/>
              <w:t> </w:t>
            </w:r>
          </w:p>
        </w:tc>
        <w:tc>
          <w:tcPr>
            <w:tcW w:w="61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both"/>
              <w:rPr>
                <w:rFonts w:ascii="Times New Roman;Times;serif" w:hAnsi="Times New Roman;Times;serif"/>
                <w:sz w:val="18"/>
              </w:rPr>
            </w:pPr>
            <w:r>
              <w:rPr>
                <w:rFonts w:ascii="Times New Roman;Times;serif" w:hAnsi="Times New Roman;Times;serif"/>
                <w:sz w:val="18"/>
              </w:rPr>
              <w:t>Name: 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both"/>
              <w:rPr>
                <w:rFonts w:ascii="Times New Roman;Times;serif" w:hAnsi="Times New Roman;Times;serif"/>
                <w:sz w:val="18"/>
              </w:rPr>
            </w:pPr>
            <w:r>
              <w:rPr>
                <w:rFonts w:ascii="Times New Roman;Times;serif" w:hAnsi="Times New Roman;Times;serif"/>
                <w:sz w:val="18"/>
              </w:rPr>
              <w:t>Dean A. Manson</w:t>
            </w:r>
          </w:p>
        </w:tc>
      </w:tr>
      <w:tr>
        <w:trPr/>
        <w:tc>
          <w:tcPr>
            <w:tcW w:w="161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 </w:t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 </w:t>
            </w:r>
          </w:p>
        </w:tc>
        <w:tc>
          <w:tcPr>
            <w:tcW w:w="61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>
                <w:rFonts w:ascii="Times New Roman;Times;serif" w:hAnsi="Times New Roman;Times;serif"/>
                <w:sz w:val="18"/>
              </w:rPr>
            </w:pPr>
            <w:r>
              <w:rPr>
                <w:rFonts w:ascii="Times New Roman;Times;serif" w:hAnsi="Times New Roman;Times;serif"/>
                <w:sz w:val="18"/>
              </w:rPr>
              <w:t>Title: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16" w:hanging="0"/>
              <w:jc w:val="left"/>
              <w:rPr>
                <w:rFonts w:ascii="Times New Roman;Times;serif" w:hAnsi="Times New Roman;Times;serif"/>
                <w:sz w:val="18"/>
              </w:rPr>
            </w:pPr>
            <w:r>
              <w:rPr>
                <w:rFonts w:ascii="Times New Roman;Times;serif" w:hAnsi="Times New Roman;Times;serif"/>
                <w:sz w:val="18"/>
              </w:rPr>
              <w:t>Chief Legal Officer and Secretary</w:t>
            </w:r>
          </w:p>
        </w:tc>
      </w:tr>
    </w:tbl>
    <w:p>
      <w:pPr>
        <w:pStyle w:val="TextBody"/>
        <w:bidi w:val="0"/>
        <w:spacing w:lineRule="auto" w:line="331" w:before="0" w:after="160"/>
        <w:ind w:left="0" w:right="0" w:hanging="0"/>
        <w:jc w:val="left"/>
        <w:rPr/>
      </w:pPr>
      <w:r>
        <w:rPr/>
        <w:t>​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  <w:font w:name="Aptos">
    <w:charset w:val="01"/>
    <w:family w:val="auto"/>
    <w:pitch w:val="default"/>
  </w:font>
  <w:font w:name="Wingdings"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240</Words>
  <Characters>1291</Characters>
  <CharactersWithSpaces>1535</CharactersWithSpaces>
  <Paragraphs>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