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628015</wp:posOffset>
            </wp:positionH>
            <wp:positionV relativeFrom="page">
              <wp:posOffset>440055</wp:posOffset>
            </wp:positionV>
            <wp:extent cx="6292215"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292215" cy="26035"/>
                    </a:xfrm>
                    <a:prstGeom prst="rect">
                      <a:avLst/>
                    </a:prstGeom>
                    <a:noFill/>
                  </pic:spPr>
                </pic:pic>
              </a:graphicData>
            </a:graphic>
          </wp:anchor>
        </w:drawing>
        <w:drawing>
          <wp:anchor simplePos="0" relativeHeight="251657728" behindDoc="1" locked="0" layoutInCell="0" allowOverlap="1">
            <wp:simplePos x="0" y="0"/>
            <wp:positionH relativeFrom="page">
              <wp:posOffset>628015</wp:posOffset>
            </wp:positionH>
            <wp:positionV relativeFrom="page">
              <wp:posOffset>474980</wp:posOffset>
            </wp:positionV>
            <wp:extent cx="629221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292215" cy="8255"/>
                    </a:xfrm>
                    <a:prstGeom prst="rect">
                      <a:avLst/>
                    </a:prstGeom>
                    <a:noFill/>
                  </pic:spPr>
                </pic:pic>
              </a:graphicData>
            </a:graphic>
          </wp:anchor>
        </w:drawing>
        <w:t>UNITED STATES</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8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23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CURRENT REPORT</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Pursuant to Section 13 OR 15(d) of the Securities Exchange Act of 1934</w:t>
      </w:r>
    </w:p>
    <w:p>
      <w:pPr>
        <w:spacing w:after="0" w:line="18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Date of Report (Date of earliest event reported): May 22, 2026</w:t>
      </w:r>
    </w:p>
    <w:p>
      <w:pPr>
        <w:spacing w:after="0" w:line="19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ECHOSTAR CORPORATION</w:t>
      </w:r>
    </w:p>
    <w:p>
      <w:pPr>
        <w:spacing w:after="0" w:line="3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(Exact name of registrant as specified in its charter)</w:t>
      </w:r>
    </w:p>
    <w:p>
      <w:pPr>
        <w:spacing w:after="0" w:line="108"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35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340" w:type="dxa"/>
            <w:vAlign w:val="bottom"/>
            <w:gridSpan w:val="2"/>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001-33807</w:t>
            </w:r>
          </w:p>
        </w:tc>
        <w:tc>
          <w:tcPr>
            <w:tcW w:w="10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35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680" w:type="dxa"/>
            <w:vAlign w:val="bottom"/>
            <w:gridSpan w:val="4"/>
          </w:tcPr>
          <w:p>
            <w:pPr>
              <w:jc w:val="center"/>
              <w:ind w:right="840"/>
              <w:spacing w:after="0"/>
              <w:rPr>
                <w:sz w:val="20"/>
                <w:szCs w:val="20"/>
                <w:color w:val="auto"/>
              </w:rPr>
            </w:pPr>
            <w:r>
              <w:rPr>
                <w:rFonts w:ascii="Times New Roman" w:cs="Times New Roman" w:eastAsia="Times New Roman" w:hAnsi="Times New Roman"/>
                <w:sz w:val="14"/>
                <w:szCs w:val="14"/>
                <w:color w:val="auto"/>
              </w:rPr>
              <w:t>(Commission File Number)</w:t>
            </w:r>
          </w:p>
        </w:tc>
        <w:tc>
          <w:tcPr>
            <w:tcW w:w="3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1"/>
        </w:trPr>
        <w:tc>
          <w:tcPr>
            <w:tcW w:w="4040" w:type="dxa"/>
            <w:vAlign w:val="bottom"/>
            <w:gridSpan w:val="2"/>
          </w:tcPr>
          <w:p>
            <w:pPr>
              <w:jc w:val="center"/>
              <w:ind w:left="268"/>
              <w:spacing w:after="0"/>
              <w:rPr>
                <w:sz w:val="20"/>
                <w:szCs w:val="20"/>
                <w:color w:val="auto"/>
              </w:rPr>
            </w:pPr>
            <w:r>
              <w:rPr>
                <w:rFonts w:ascii="Times New Roman" w:cs="Times New Roman" w:eastAsia="Times New Roman" w:hAnsi="Times New Roman"/>
                <w:sz w:val="14"/>
                <w:szCs w:val="14"/>
                <w:b w:val="1"/>
                <w:bCs w:val="1"/>
                <w:color w:val="auto"/>
              </w:rPr>
              <w:t>Nevada</w:t>
            </w:r>
          </w:p>
        </w:tc>
        <w:tc>
          <w:tcPr>
            <w:tcW w:w="5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3200" w:type="dxa"/>
            <w:vAlign w:val="bottom"/>
          </w:tcPr>
          <w:p>
            <w:pPr>
              <w:jc w:val="right"/>
              <w:ind w:right="2288"/>
              <w:spacing w:after="0"/>
              <w:rPr>
                <w:sz w:val="20"/>
                <w:szCs w:val="20"/>
                <w:color w:val="auto"/>
              </w:rPr>
            </w:pPr>
            <w:r>
              <w:rPr>
                <w:rFonts w:ascii="Times New Roman" w:cs="Times New Roman" w:eastAsia="Times New Roman" w:hAnsi="Times New Roman"/>
                <w:sz w:val="14"/>
                <w:szCs w:val="14"/>
                <w:b w:val="1"/>
                <w:bCs w:val="1"/>
                <w:color w:val="auto"/>
              </w:rPr>
              <w:t>26-1232727</w:t>
            </w:r>
          </w:p>
        </w:tc>
        <w:tc>
          <w:tcPr>
            <w:tcW w:w="0" w:type="dxa"/>
            <w:vAlign w:val="bottom"/>
          </w:tcPr>
          <w:p>
            <w:pPr>
              <w:spacing w:after="0"/>
              <w:rPr>
                <w:sz w:val="1"/>
                <w:szCs w:val="1"/>
                <w:color w:val="auto"/>
              </w:rPr>
            </w:pPr>
          </w:p>
        </w:tc>
      </w:tr>
      <w:tr>
        <w:trPr>
          <w:trHeight w:val="188"/>
        </w:trPr>
        <w:tc>
          <w:tcPr>
            <w:tcW w:w="4040" w:type="dxa"/>
            <w:vAlign w:val="bottom"/>
            <w:gridSpan w:val="2"/>
          </w:tcPr>
          <w:p>
            <w:pPr>
              <w:jc w:val="center"/>
              <w:ind w:left="248"/>
              <w:spacing w:after="0"/>
              <w:rPr>
                <w:sz w:val="20"/>
                <w:szCs w:val="20"/>
                <w:color w:val="auto"/>
              </w:rPr>
            </w:pPr>
            <w:r>
              <w:rPr>
                <w:rFonts w:ascii="Times New Roman" w:cs="Times New Roman" w:eastAsia="Times New Roman" w:hAnsi="Times New Roman"/>
                <w:sz w:val="14"/>
                <w:szCs w:val="14"/>
                <w:color w:val="auto"/>
              </w:rPr>
              <w:t>(State or other jurisdiction of incorporation or organization)</w:t>
            </w:r>
          </w:p>
        </w:tc>
        <w:tc>
          <w:tcPr>
            <w:tcW w:w="5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540" w:type="dxa"/>
            <w:vAlign w:val="bottom"/>
            <w:gridSpan w:val="3"/>
          </w:tcPr>
          <w:p>
            <w:pPr>
              <w:jc w:val="center"/>
              <w:ind w:right="788"/>
              <w:spacing w:after="0"/>
              <w:rPr>
                <w:sz w:val="20"/>
                <w:szCs w:val="20"/>
                <w:color w:val="auto"/>
              </w:rPr>
            </w:pPr>
            <w:r>
              <w:rPr>
                <w:rFonts w:ascii="Times New Roman" w:cs="Times New Roman" w:eastAsia="Times New Roman" w:hAnsi="Times New Roman"/>
                <w:sz w:val="14"/>
                <w:szCs w:val="14"/>
                <w:color w:val="auto"/>
              </w:rPr>
              <w:t>(I.R.S. Employer Identification No.)</w:t>
            </w:r>
          </w:p>
        </w:tc>
        <w:tc>
          <w:tcPr>
            <w:tcW w:w="0" w:type="dxa"/>
            <w:vAlign w:val="bottom"/>
          </w:tcPr>
          <w:p>
            <w:pPr>
              <w:spacing w:after="0"/>
              <w:rPr>
                <w:sz w:val="1"/>
                <w:szCs w:val="1"/>
                <w:color w:val="auto"/>
              </w:rPr>
            </w:pPr>
          </w:p>
        </w:tc>
      </w:tr>
      <w:tr>
        <w:trPr>
          <w:trHeight w:val="255"/>
        </w:trPr>
        <w:tc>
          <w:tcPr>
            <w:tcW w:w="4040" w:type="dxa"/>
            <w:vAlign w:val="bottom"/>
            <w:gridSpan w:val="2"/>
          </w:tcPr>
          <w:p>
            <w:pPr>
              <w:jc w:val="center"/>
              <w:ind w:left="248"/>
              <w:spacing w:after="0"/>
              <w:rPr>
                <w:sz w:val="20"/>
                <w:szCs w:val="20"/>
                <w:color w:val="auto"/>
              </w:rPr>
            </w:pPr>
            <w:r>
              <w:rPr>
                <w:rFonts w:ascii="Times New Roman" w:cs="Times New Roman" w:eastAsia="Times New Roman" w:hAnsi="Times New Roman"/>
                <w:sz w:val="14"/>
                <w:szCs w:val="14"/>
                <w:b w:val="1"/>
                <w:bCs w:val="1"/>
                <w:color w:val="auto"/>
              </w:rPr>
              <w:t>9601 South Meridian Boulevard</w:t>
            </w:r>
          </w:p>
        </w:tc>
        <w:tc>
          <w:tcPr>
            <w:tcW w:w="5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3200" w:type="dxa"/>
            <w:vAlign w:val="bottom"/>
            <w:vMerge w:val="restart"/>
          </w:tcPr>
          <w:p>
            <w:pPr>
              <w:jc w:val="right"/>
              <w:ind w:right="2448"/>
              <w:spacing w:after="0"/>
              <w:rPr>
                <w:sz w:val="20"/>
                <w:szCs w:val="20"/>
                <w:color w:val="auto"/>
              </w:rPr>
            </w:pPr>
            <w:r>
              <w:rPr>
                <w:rFonts w:ascii="Times New Roman" w:cs="Times New Roman" w:eastAsia="Times New Roman" w:hAnsi="Times New Roman"/>
                <w:sz w:val="14"/>
                <w:szCs w:val="14"/>
                <w:b w:val="1"/>
                <w:bCs w:val="1"/>
                <w:color w:val="auto"/>
              </w:rPr>
              <w:t>80112</w:t>
            </w:r>
          </w:p>
        </w:tc>
        <w:tc>
          <w:tcPr>
            <w:tcW w:w="0" w:type="dxa"/>
            <w:vAlign w:val="bottom"/>
          </w:tcPr>
          <w:p>
            <w:pPr>
              <w:spacing w:after="0"/>
              <w:rPr>
                <w:sz w:val="1"/>
                <w:szCs w:val="1"/>
                <w:color w:val="auto"/>
              </w:rPr>
            </w:pPr>
          </w:p>
        </w:tc>
      </w:tr>
      <w:tr>
        <w:trPr>
          <w:trHeight w:val="151"/>
        </w:trPr>
        <w:tc>
          <w:tcPr>
            <w:tcW w:w="4040" w:type="dxa"/>
            <w:vAlign w:val="bottom"/>
            <w:gridSpan w:val="2"/>
          </w:tcPr>
          <w:p>
            <w:pPr>
              <w:jc w:val="center"/>
              <w:ind w:left="248"/>
              <w:spacing w:after="0" w:line="151" w:lineRule="exact"/>
              <w:rPr>
                <w:sz w:val="20"/>
                <w:szCs w:val="20"/>
                <w:color w:val="auto"/>
              </w:rPr>
            </w:pPr>
            <w:r>
              <w:rPr>
                <w:rFonts w:ascii="Times New Roman" w:cs="Times New Roman" w:eastAsia="Times New Roman" w:hAnsi="Times New Roman"/>
                <w:sz w:val="14"/>
                <w:szCs w:val="14"/>
                <w:b w:val="1"/>
                <w:bCs w:val="1"/>
                <w:color w:val="auto"/>
              </w:rPr>
              <w:t>Englewood, Colorado</w:t>
            </w:r>
          </w:p>
        </w:tc>
        <w:tc>
          <w:tcPr>
            <w:tcW w:w="5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2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4040" w:type="dxa"/>
            <w:vAlign w:val="bottom"/>
            <w:gridSpan w:val="2"/>
          </w:tcPr>
          <w:p>
            <w:pPr>
              <w:jc w:val="center"/>
              <w:ind w:left="248"/>
              <w:spacing w:after="0"/>
              <w:rPr>
                <w:sz w:val="20"/>
                <w:szCs w:val="20"/>
                <w:color w:val="auto"/>
              </w:rPr>
            </w:pPr>
            <w:r>
              <w:rPr>
                <w:rFonts w:ascii="Times New Roman" w:cs="Times New Roman" w:eastAsia="Times New Roman" w:hAnsi="Times New Roman"/>
                <w:sz w:val="14"/>
                <w:szCs w:val="14"/>
                <w:color w:val="auto"/>
              </w:rPr>
              <w:t>(Address of principal executive offices)</w:t>
            </w:r>
          </w:p>
        </w:tc>
        <w:tc>
          <w:tcPr>
            <w:tcW w:w="5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200" w:type="dxa"/>
            <w:vAlign w:val="bottom"/>
          </w:tcPr>
          <w:p>
            <w:pPr>
              <w:jc w:val="center"/>
              <w:ind w:right="2128"/>
              <w:spacing w:after="0"/>
              <w:rPr>
                <w:sz w:val="20"/>
                <w:szCs w:val="20"/>
                <w:color w:val="auto"/>
              </w:rPr>
            </w:pPr>
            <w:r>
              <w:rPr>
                <w:rFonts w:ascii="Times New Roman" w:cs="Times New Roman" w:eastAsia="Times New Roman" w:hAnsi="Times New Roman"/>
                <w:sz w:val="14"/>
                <w:szCs w:val="14"/>
                <w:color w:val="auto"/>
              </w:rPr>
              <w:t>(Zip code)</w:t>
            </w:r>
          </w:p>
        </w:tc>
        <w:tc>
          <w:tcPr>
            <w:tcW w:w="0" w:type="dxa"/>
            <w:vAlign w:val="bottom"/>
          </w:tcPr>
          <w:p>
            <w:pPr>
              <w:spacing w:after="0"/>
              <w:rPr>
                <w:sz w:val="1"/>
                <w:szCs w:val="1"/>
                <w:color w:val="auto"/>
              </w:rPr>
            </w:pPr>
          </w:p>
        </w:tc>
      </w:tr>
      <w:tr>
        <w:trPr>
          <w:trHeight w:val="217"/>
        </w:trPr>
        <w:tc>
          <w:tcPr>
            <w:tcW w:w="35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360" w:type="dxa"/>
            <w:vAlign w:val="bottom"/>
            <w:gridSpan w:val="3"/>
          </w:tcPr>
          <w:p>
            <w:pPr>
              <w:jc w:val="right"/>
              <w:ind w:right="908"/>
              <w:spacing w:after="0"/>
              <w:rPr>
                <w:sz w:val="20"/>
                <w:szCs w:val="20"/>
                <w:color w:val="auto"/>
              </w:rPr>
            </w:pPr>
            <w:r>
              <w:rPr>
                <w:rFonts w:ascii="Times New Roman" w:cs="Times New Roman" w:eastAsia="Times New Roman" w:hAnsi="Times New Roman"/>
                <w:sz w:val="14"/>
                <w:szCs w:val="14"/>
                <w:color w:val="auto"/>
              </w:rPr>
              <w:t>(303) 723-1000</w:t>
            </w:r>
          </w:p>
        </w:tc>
        <w:tc>
          <w:tcPr>
            <w:tcW w:w="32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6720" w:type="dxa"/>
            <w:vAlign w:val="bottom"/>
            <w:gridSpan w:val="6"/>
          </w:tcPr>
          <w:p>
            <w:pPr>
              <w:jc w:val="center"/>
              <w:ind w:left="3128"/>
              <w:spacing w:after="0"/>
              <w:rPr>
                <w:sz w:val="20"/>
                <w:szCs w:val="20"/>
                <w:color w:val="auto"/>
              </w:rPr>
            </w:pPr>
            <w:r>
              <w:rPr>
                <w:rFonts w:ascii="Times New Roman" w:cs="Times New Roman" w:eastAsia="Times New Roman" w:hAnsi="Times New Roman"/>
                <w:sz w:val="14"/>
                <w:szCs w:val="14"/>
                <w:color w:val="auto"/>
              </w:rPr>
              <w:t>(Registrant’s telephone number, including area code)</w:t>
            </w:r>
          </w:p>
        </w:tc>
        <w:tc>
          <w:tcPr>
            <w:tcW w:w="3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0"/>
        </w:trPr>
        <w:tc>
          <w:tcPr>
            <w:tcW w:w="6720" w:type="dxa"/>
            <w:vAlign w:val="bottom"/>
            <w:gridSpan w:val="6"/>
          </w:tcPr>
          <w:p>
            <w:pPr>
              <w:jc w:val="center"/>
              <w:ind w:left="3128"/>
              <w:spacing w:after="0"/>
              <w:rPr>
                <w:sz w:val="20"/>
                <w:szCs w:val="20"/>
                <w:color w:val="auto"/>
              </w:rPr>
            </w:pPr>
            <w:r>
              <w:rPr>
                <w:rFonts w:ascii="Times New Roman" w:cs="Times New Roman" w:eastAsia="Times New Roman" w:hAnsi="Times New Roman"/>
                <w:sz w:val="14"/>
                <w:szCs w:val="14"/>
                <w:color w:val="auto"/>
              </w:rPr>
              <w:t>Securities registered pursuant to Section 12(b) of the Act:</w:t>
            </w:r>
          </w:p>
        </w:tc>
        <w:tc>
          <w:tcPr>
            <w:tcW w:w="3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6"/>
        </w:trPr>
        <w:tc>
          <w:tcPr>
            <w:tcW w:w="4040" w:type="dxa"/>
            <w:vAlign w:val="bottom"/>
            <w:gridSpan w:val="2"/>
            <w:vMerge w:val="restart"/>
          </w:tcPr>
          <w:p>
            <w:pPr>
              <w:jc w:val="center"/>
              <w:ind w:right="52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500" w:type="dxa"/>
            <w:vAlign w:val="bottom"/>
          </w:tcPr>
          <w:p>
            <w:pPr>
              <w:spacing w:after="0"/>
              <w:rPr>
                <w:sz w:val="12"/>
                <w:szCs w:val="12"/>
                <w:color w:val="auto"/>
              </w:rPr>
            </w:pPr>
          </w:p>
        </w:tc>
        <w:tc>
          <w:tcPr>
            <w:tcW w:w="2180" w:type="dxa"/>
            <w:vAlign w:val="bottom"/>
            <w:gridSpan w:val="3"/>
          </w:tcPr>
          <w:p>
            <w:pPr>
              <w:jc w:val="center"/>
              <w:ind w:right="1320"/>
              <w:spacing w:after="0" w:line="146" w:lineRule="exact"/>
              <w:rPr>
                <w:sz w:val="20"/>
                <w:szCs w:val="20"/>
                <w:color w:val="auto"/>
              </w:rPr>
            </w:pPr>
            <w:r>
              <w:rPr>
                <w:rFonts w:ascii="Times New Roman" w:cs="Times New Roman" w:eastAsia="Times New Roman" w:hAnsi="Times New Roman"/>
                <w:sz w:val="14"/>
                <w:szCs w:val="14"/>
                <w:b w:val="1"/>
                <w:bCs w:val="1"/>
                <w:color w:val="auto"/>
              </w:rPr>
              <w:t>Trading</w:t>
            </w:r>
          </w:p>
        </w:tc>
        <w:tc>
          <w:tcPr>
            <w:tcW w:w="3200" w:type="dxa"/>
            <w:vAlign w:val="bottom"/>
            <w:vMerge w:val="restart"/>
          </w:tcPr>
          <w:p>
            <w:pPr>
              <w:jc w:val="center"/>
              <w:ind w:right="248"/>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112"/>
        </w:trPr>
        <w:tc>
          <w:tcPr>
            <w:tcW w:w="4040" w:type="dxa"/>
            <w:vAlign w:val="bottom"/>
            <w:gridSpan w:val="2"/>
            <w:vMerge w:val="continue"/>
          </w:tcPr>
          <w:p>
            <w:pPr>
              <w:spacing w:after="0"/>
              <w:rPr>
                <w:sz w:val="9"/>
                <w:szCs w:val="9"/>
                <w:color w:val="auto"/>
              </w:rPr>
            </w:pPr>
          </w:p>
        </w:tc>
        <w:tc>
          <w:tcPr>
            <w:tcW w:w="500" w:type="dxa"/>
            <w:vAlign w:val="bottom"/>
          </w:tcPr>
          <w:p>
            <w:pPr>
              <w:spacing w:after="0"/>
              <w:rPr>
                <w:sz w:val="9"/>
                <w:szCs w:val="9"/>
                <w:color w:val="auto"/>
              </w:rPr>
            </w:pPr>
          </w:p>
        </w:tc>
        <w:tc>
          <w:tcPr>
            <w:tcW w:w="2180" w:type="dxa"/>
            <w:vAlign w:val="bottom"/>
            <w:gridSpan w:val="3"/>
            <w:vMerge w:val="restart"/>
          </w:tcPr>
          <w:p>
            <w:pPr>
              <w:jc w:val="center"/>
              <w:ind w:right="132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2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8"/>
        </w:trPr>
        <w:tc>
          <w:tcPr>
            <w:tcW w:w="3520" w:type="dxa"/>
            <w:vAlign w:val="bottom"/>
          </w:tcPr>
          <w:p>
            <w:pPr>
              <w:spacing w:after="0"/>
              <w:rPr>
                <w:sz w:val="6"/>
                <w:szCs w:val="6"/>
                <w:color w:val="auto"/>
              </w:rPr>
            </w:pPr>
          </w:p>
        </w:tc>
        <w:tc>
          <w:tcPr>
            <w:tcW w:w="520" w:type="dxa"/>
            <w:vAlign w:val="bottom"/>
          </w:tcPr>
          <w:p>
            <w:pPr>
              <w:spacing w:after="0"/>
              <w:rPr>
                <w:sz w:val="6"/>
                <w:szCs w:val="6"/>
                <w:color w:val="auto"/>
              </w:rPr>
            </w:pPr>
          </w:p>
        </w:tc>
        <w:tc>
          <w:tcPr>
            <w:tcW w:w="500" w:type="dxa"/>
            <w:vAlign w:val="bottom"/>
          </w:tcPr>
          <w:p>
            <w:pPr>
              <w:spacing w:after="0"/>
              <w:rPr>
                <w:sz w:val="6"/>
                <w:szCs w:val="6"/>
                <w:color w:val="auto"/>
              </w:rPr>
            </w:pPr>
          </w:p>
        </w:tc>
        <w:tc>
          <w:tcPr>
            <w:tcW w:w="2180" w:type="dxa"/>
            <w:vAlign w:val="bottom"/>
            <w:gridSpan w:val="3"/>
            <w:vMerge w:val="continue"/>
          </w:tcPr>
          <w:p>
            <w:pPr>
              <w:spacing w:after="0"/>
              <w:rPr>
                <w:sz w:val="6"/>
                <w:szCs w:val="6"/>
                <w:color w:val="auto"/>
              </w:rPr>
            </w:pPr>
          </w:p>
        </w:tc>
        <w:tc>
          <w:tcPr>
            <w:tcW w:w="32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2"/>
        </w:trPr>
        <w:tc>
          <w:tcPr>
            <w:tcW w:w="3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Class A common stock, $0.001 par value</w:t>
            </w:r>
          </w:p>
        </w:tc>
        <w:tc>
          <w:tcPr>
            <w:tcW w:w="5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SATS</w:t>
            </w:r>
          </w:p>
        </w:tc>
        <w:tc>
          <w:tcPr>
            <w:tcW w:w="1020" w:type="dxa"/>
            <w:vAlign w:val="bottom"/>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3200" w:type="dxa"/>
            <w:vAlign w:val="bottom"/>
            <w:tcBorders>
              <w:top w:val="single" w:sz="8" w:color="auto"/>
            </w:tcBorders>
          </w:tcPr>
          <w:p>
            <w:pPr>
              <w:jc w:val="center"/>
              <w:ind w:right="248"/>
              <w:spacing w:after="0"/>
              <w:rPr>
                <w:sz w:val="20"/>
                <w:szCs w:val="20"/>
                <w:color w:val="auto"/>
              </w:rPr>
            </w:pPr>
            <w:r>
              <w:rPr>
                <w:rFonts w:ascii="Times New Roman" w:cs="Times New Roman" w:eastAsia="Times New Roman" w:hAnsi="Times New Roman"/>
                <w:sz w:val="14"/>
                <w:szCs w:val="14"/>
                <w:color w:val="auto"/>
              </w:rPr>
              <w:t>The Nasdaq Stock Market L.L.C.</w:t>
            </w:r>
          </w:p>
        </w:tc>
        <w:tc>
          <w:tcPr>
            <w:tcW w:w="0" w:type="dxa"/>
            <w:vAlign w:val="bottom"/>
          </w:tcPr>
          <w:p>
            <w:pPr>
              <w:spacing w:after="0"/>
              <w:rPr>
                <w:sz w:val="1"/>
                <w:szCs w:val="1"/>
                <w:color w:val="auto"/>
              </w:rPr>
            </w:pPr>
          </w:p>
        </w:tc>
      </w:tr>
    </w:tbl>
    <w:p>
      <w:pPr>
        <w:spacing w:after="0" w:line="35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HUGHES SATELLITE SYSTEMS CORPORATION</w:t>
      </w:r>
    </w:p>
    <w:p>
      <w:pPr>
        <w:spacing w:after="0" w:line="6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(Exact name of registrant as specified in its charter)</w:t>
      </w:r>
    </w:p>
    <w:p>
      <w:pPr>
        <w:spacing w:after="0" w:line="16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333-179121</w:t>
      </w:r>
    </w:p>
    <w:p>
      <w:pPr>
        <w:spacing w:after="0" w:line="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(Commission File Number)</w:t>
      </w:r>
    </w:p>
    <w:p>
      <w:pPr>
        <w:spacing w:after="0" w:line="124" w:lineRule="exact"/>
        <w:rPr>
          <w:sz w:val="24"/>
          <w:szCs w:val="24"/>
          <w:color w:val="auto"/>
        </w:rPr>
      </w:pPr>
    </w:p>
    <w:tbl>
      <w:tblPr>
        <w:tblLayout w:type="fixed"/>
        <w:tblInd w:w="460" w:type="dxa"/>
        <w:tblCellMar>
          <w:top w:w="0" w:type="dxa"/>
          <w:left w:w="0" w:type="dxa"/>
          <w:bottom w:w="0" w:type="dxa"/>
          <w:right w:w="0" w:type="dxa"/>
        </w:tblCellMar>
      </w:tblPr>
      <w:tr>
        <w:trPr>
          <w:trHeight w:val="161"/>
        </w:trPr>
        <w:tc>
          <w:tcPr>
            <w:tcW w:w="3740" w:type="dxa"/>
            <w:vAlign w:val="bottom"/>
          </w:tcPr>
          <w:p>
            <w:pPr>
              <w:jc w:val="center"/>
              <w:ind w:right="208"/>
              <w:spacing w:after="0"/>
              <w:rPr>
                <w:sz w:val="20"/>
                <w:szCs w:val="20"/>
                <w:color w:val="auto"/>
              </w:rPr>
            </w:pPr>
            <w:r>
              <w:rPr>
                <w:rFonts w:ascii="Times New Roman" w:cs="Times New Roman" w:eastAsia="Times New Roman" w:hAnsi="Times New Roman"/>
                <w:sz w:val="14"/>
                <w:szCs w:val="14"/>
                <w:b w:val="1"/>
                <w:bCs w:val="1"/>
                <w:color w:val="auto"/>
              </w:rPr>
              <w:t>Colorado</w:t>
            </w:r>
          </w:p>
        </w:tc>
        <w:tc>
          <w:tcPr>
            <w:tcW w:w="4060" w:type="dxa"/>
            <w:vAlign w:val="bottom"/>
          </w:tcPr>
          <w:p>
            <w:pPr>
              <w:jc w:val="right"/>
              <w:ind w:right="628"/>
              <w:spacing w:after="0"/>
              <w:rPr>
                <w:sz w:val="20"/>
                <w:szCs w:val="20"/>
                <w:color w:val="auto"/>
              </w:rPr>
            </w:pPr>
            <w:r>
              <w:rPr>
                <w:rFonts w:ascii="Times New Roman" w:cs="Times New Roman" w:eastAsia="Times New Roman" w:hAnsi="Times New Roman"/>
                <w:sz w:val="14"/>
                <w:szCs w:val="14"/>
                <w:b w:val="1"/>
                <w:bCs w:val="1"/>
                <w:color w:val="auto"/>
              </w:rPr>
              <w:t>45-0897865</w:t>
            </w:r>
          </w:p>
        </w:tc>
        <w:tc>
          <w:tcPr>
            <w:tcW w:w="0" w:type="dxa"/>
            <w:vAlign w:val="bottom"/>
          </w:tcPr>
          <w:p>
            <w:pPr>
              <w:spacing w:after="0"/>
              <w:rPr>
                <w:sz w:val="1"/>
                <w:szCs w:val="1"/>
                <w:color w:val="auto"/>
              </w:rPr>
            </w:pPr>
          </w:p>
        </w:tc>
      </w:tr>
      <w:tr>
        <w:trPr>
          <w:trHeight w:val="188"/>
        </w:trPr>
        <w:tc>
          <w:tcPr>
            <w:tcW w:w="3740" w:type="dxa"/>
            <w:vAlign w:val="bottom"/>
          </w:tcPr>
          <w:p>
            <w:pPr>
              <w:jc w:val="center"/>
              <w:ind w:right="228"/>
              <w:spacing w:after="0"/>
              <w:rPr>
                <w:sz w:val="20"/>
                <w:szCs w:val="20"/>
                <w:color w:val="auto"/>
              </w:rPr>
            </w:pPr>
            <w:r>
              <w:rPr>
                <w:rFonts w:ascii="Times New Roman" w:cs="Times New Roman" w:eastAsia="Times New Roman" w:hAnsi="Times New Roman"/>
                <w:sz w:val="14"/>
                <w:szCs w:val="14"/>
                <w:color w:val="auto"/>
              </w:rPr>
              <w:t>(State or other jurisdiction of incorporation or organization)</w:t>
            </w:r>
          </w:p>
        </w:tc>
        <w:tc>
          <w:tcPr>
            <w:tcW w:w="4060" w:type="dxa"/>
            <w:vAlign w:val="bottom"/>
          </w:tcPr>
          <w:p>
            <w:pPr>
              <w:jc w:val="center"/>
              <w:ind w:left="1908"/>
              <w:spacing w:after="0"/>
              <w:rPr>
                <w:sz w:val="20"/>
                <w:szCs w:val="20"/>
                <w:color w:val="auto"/>
              </w:rPr>
            </w:pPr>
            <w:r>
              <w:rPr>
                <w:rFonts w:ascii="Times New Roman" w:cs="Times New Roman" w:eastAsia="Times New Roman" w:hAnsi="Times New Roman"/>
                <w:sz w:val="14"/>
                <w:szCs w:val="14"/>
                <w:color w:val="auto"/>
              </w:rPr>
              <w:t>(I.R.S. Employer Identification No.)</w:t>
            </w:r>
          </w:p>
        </w:tc>
        <w:tc>
          <w:tcPr>
            <w:tcW w:w="0" w:type="dxa"/>
            <w:vAlign w:val="bottom"/>
          </w:tcPr>
          <w:p>
            <w:pPr>
              <w:spacing w:after="0"/>
              <w:rPr>
                <w:sz w:val="1"/>
                <w:szCs w:val="1"/>
                <w:color w:val="auto"/>
              </w:rPr>
            </w:pPr>
          </w:p>
        </w:tc>
      </w:tr>
      <w:tr>
        <w:trPr>
          <w:trHeight w:val="255"/>
        </w:trPr>
        <w:tc>
          <w:tcPr>
            <w:tcW w:w="3740" w:type="dxa"/>
            <w:vAlign w:val="bottom"/>
          </w:tcPr>
          <w:p>
            <w:pPr>
              <w:jc w:val="center"/>
              <w:ind w:right="228"/>
              <w:spacing w:after="0"/>
              <w:rPr>
                <w:sz w:val="20"/>
                <w:szCs w:val="20"/>
                <w:color w:val="auto"/>
              </w:rPr>
            </w:pPr>
            <w:r>
              <w:rPr>
                <w:rFonts w:ascii="Times New Roman" w:cs="Times New Roman" w:eastAsia="Times New Roman" w:hAnsi="Times New Roman"/>
                <w:sz w:val="14"/>
                <w:szCs w:val="14"/>
                <w:b w:val="1"/>
                <w:bCs w:val="1"/>
                <w:color w:val="auto"/>
              </w:rPr>
              <w:t>9601 South Meridian Boulevard</w:t>
            </w:r>
          </w:p>
        </w:tc>
        <w:tc>
          <w:tcPr>
            <w:tcW w:w="4060" w:type="dxa"/>
            <w:vAlign w:val="bottom"/>
            <w:vMerge w:val="restart"/>
          </w:tcPr>
          <w:p>
            <w:pPr>
              <w:jc w:val="right"/>
              <w:ind w:right="788"/>
              <w:spacing w:after="0"/>
              <w:rPr>
                <w:sz w:val="20"/>
                <w:szCs w:val="20"/>
                <w:color w:val="auto"/>
              </w:rPr>
            </w:pPr>
            <w:r>
              <w:rPr>
                <w:rFonts w:ascii="Times New Roman" w:cs="Times New Roman" w:eastAsia="Times New Roman" w:hAnsi="Times New Roman"/>
                <w:sz w:val="14"/>
                <w:szCs w:val="14"/>
                <w:b w:val="1"/>
                <w:bCs w:val="1"/>
                <w:color w:val="auto"/>
              </w:rPr>
              <w:t>80112</w:t>
            </w:r>
          </w:p>
        </w:tc>
        <w:tc>
          <w:tcPr>
            <w:tcW w:w="0" w:type="dxa"/>
            <w:vAlign w:val="bottom"/>
          </w:tcPr>
          <w:p>
            <w:pPr>
              <w:spacing w:after="0"/>
              <w:rPr>
                <w:sz w:val="1"/>
                <w:szCs w:val="1"/>
                <w:color w:val="auto"/>
              </w:rPr>
            </w:pPr>
          </w:p>
        </w:tc>
      </w:tr>
      <w:tr>
        <w:trPr>
          <w:trHeight w:val="150"/>
        </w:trPr>
        <w:tc>
          <w:tcPr>
            <w:tcW w:w="3740" w:type="dxa"/>
            <w:vAlign w:val="bottom"/>
          </w:tcPr>
          <w:p>
            <w:pPr>
              <w:jc w:val="center"/>
              <w:ind w:right="228"/>
              <w:spacing w:after="0" w:line="151" w:lineRule="exact"/>
              <w:rPr>
                <w:sz w:val="20"/>
                <w:szCs w:val="20"/>
                <w:color w:val="auto"/>
              </w:rPr>
            </w:pPr>
            <w:r>
              <w:rPr>
                <w:rFonts w:ascii="Times New Roman" w:cs="Times New Roman" w:eastAsia="Times New Roman" w:hAnsi="Times New Roman"/>
                <w:sz w:val="14"/>
                <w:szCs w:val="14"/>
                <w:b w:val="1"/>
                <w:bCs w:val="1"/>
                <w:color w:val="auto"/>
              </w:rPr>
              <w:t>Englewood, Colorado</w:t>
            </w:r>
          </w:p>
        </w:tc>
        <w:tc>
          <w:tcPr>
            <w:tcW w:w="40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740" w:type="dxa"/>
            <w:vAlign w:val="bottom"/>
          </w:tcPr>
          <w:p>
            <w:pPr>
              <w:jc w:val="center"/>
              <w:ind w:right="228"/>
              <w:spacing w:after="0" w:line="149" w:lineRule="exact"/>
              <w:rPr>
                <w:sz w:val="20"/>
                <w:szCs w:val="20"/>
                <w:color w:val="auto"/>
              </w:rPr>
            </w:pPr>
            <w:r>
              <w:rPr>
                <w:rFonts w:ascii="Times New Roman" w:cs="Times New Roman" w:eastAsia="Times New Roman" w:hAnsi="Times New Roman"/>
                <w:sz w:val="14"/>
                <w:szCs w:val="14"/>
                <w:color w:val="auto"/>
              </w:rPr>
              <w:t>(Address of principal executive offices)</w:t>
            </w:r>
          </w:p>
        </w:tc>
        <w:tc>
          <w:tcPr>
            <w:tcW w:w="4060" w:type="dxa"/>
            <w:vAlign w:val="bottom"/>
          </w:tcPr>
          <w:p>
            <w:pPr>
              <w:jc w:val="center"/>
              <w:ind w:left="1908"/>
              <w:spacing w:after="0" w:line="149" w:lineRule="exact"/>
              <w:rPr>
                <w:sz w:val="20"/>
                <w:szCs w:val="20"/>
                <w:color w:val="auto"/>
              </w:rPr>
            </w:pPr>
            <w:r>
              <w:rPr>
                <w:rFonts w:ascii="Times New Roman" w:cs="Times New Roman" w:eastAsia="Times New Roman" w:hAnsi="Times New Roman"/>
                <w:sz w:val="14"/>
                <w:szCs w:val="14"/>
                <w:color w:val="auto"/>
              </w:rPr>
              <w:t>(Zip code)</w:t>
            </w:r>
          </w:p>
        </w:tc>
        <w:tc>
          <w:tcPr>
            <w:tcW w:w="0" w:type="dxa"/>
            <w:vAlign w:val="bottom"/>
          </w:tcPr>
          <w:p>
            <w:pPr>
              <w:spacing w:after="0"/>
              <w:rPr>
                <w:sz w:val="1"/>
                <w:szCs w:val="1"/>
                <w:color w:val="auto"/>
              </w:rPr>
            </w:pPr>
          </w:p>
        </w:tc>
      </w:tr>
      <w:tr>
        <w:trPr>
          <w:trHeight w:val="188"/>
        </w:trPr>
        <w:tc>
          <w:tcPr>
            <w:tcW w:w="3740" w:type="dxa"/>
            <w:vAlign w:val="bottom"/>
          </w:tcPr>
          <w:p>
            <w:pPr>
              <w:spacing w:after="0"/>
              <w:rPr>
                <w:sz w:val="16"/>
                <w:szCs w:val="16"/>
                <w:color w:val="auto"/>
              </w:rPr>
            </w:pPr>
          </w:p>
        </w:tc>
        <w:tc>
          <w:tcPr>
            <w:tcW w:w="4060" w:type="dxa"/>
            <w:vAlign w:val="bottom"/>
          </w:tcPr>
          <w:p>
            <w:pPr>
              <w:jc w:val="right"/>
              <w:ind w:right="2768"/>
              <w:spacing w:after="0"/>
              <w:rPr>
                <w:sz w:val="20"/>
                <w:szCs w:val="20"/>
                <w:color w:val="auto"/>
              </w:rPr>
            </w:pPr>
            <w:r>
              <w:rPr>
                <w:rFonts w:ascii="Times New Roman" w:cs="Times New Roman" w:eastAsia="Times New Roman" w:hAnsi="Times New Roman"/>
                <w:sz w:val="14"/>
                <w:szCs w:val="14"/>
                <w:color w:val="auto"/>
              </w:rPr>
              <w:t>(303) 723-1000</w:t>
            </w:r>
          </w:p>
        </w:tc>
        <w:tc>
          <w:tcPr>
            <w:tcW w:w="0" w:type="dxa"/>
            <w:vAlign w:val="bottom"/>
          </w:tcPr>
          <w:p>
            <w:pPr>
              <w:spacing w:after="0"/>
              <w:rPr>
                <w:sz w:val="1"/>
                <w:szCs w:val="1"/>
                <w:color w:val="auto"/>
              </w:rPr>
            </w:pPr>
          </w:p>
        </w:tc>
      </w:tr>
    </w:tbl>
    <w:p>
      <w:pPr>
        <w:jc w:val="center"/>
        <w:spacing w:after="0"/>
        <w:rPr>
          <w:sz w:val="20"/>
          <w:szCs w:val="20"/>
          <w:color w:val="auto"/>
        </w:rPr>
      </w:pPr>
      <w:r>
        <w:rPr>
          <w:rFonts w:ascii="Times New Roman" w:cs="Times New Roman" w:eastAsia="Times New Roman" w:hAnsi="Times New Roman"/>
          <w:sz w:val="14"/>
          <w:szCs w:val="14"/>
          <w:color w:val="auto"/>
        </w:rPr>
        <w:t>(Registrant’s telephone number, including area code)</w:t>
      </w:r>
    </w:p>
    <w:p>
      <w:pPr>
        <w:spacing w:after="0" w:line="16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Securities registered pursuant to Section 12(b) of the Act: None</w:t>
      </w:r>
    </w:p>
    <w:p>
      <w:pPr>
        <w:spacing w:after="0" w:line="96" w:lineRule="exact"/>
        <w:rPr>
          <w:sz w:val="24"/>
          <w:szCs w:val="24"/>
          <w:color w:val="auto"/>
        </w:rPr>
      </w:pPr>
    </w:p>
    <w:p>
      <w:pPr>
        <w:jc w:val="center"/>
        <w:ind w:right="200"/>
        <w:spacing w:after="0"/>
        <w:rPr>
          <w:sz w:val="20"/>
          <w:szCs w:val="20"/>
          <w:color w:val="auto"/>
        </w:rPr>
      </w:pPr>
      <w:r>
        <w:rPr>
          <w:rFonts w:ascii="Times New Roman" w:cs="Times New Roman" w:eastAsia="Times New Roman" w:hAnsi="Times New Roman"/>
          <w:sz w:val="14"/>
          <w:szCs w:val="14"/>
          <w:color w:val="auto"/>
        </w:rPr>
        <w:t>Check the appropriate box below if the Form 8-K filing is intended to simultaneously satisfy the filing obligation of the registrant under any of the following provisions:</w:t>
      </w:r>
    </w:p>
    <w:p>
      <w:pPr>
        <w:spacing w:after="0" w:line="150" w:lineRule="exact"/>
        <w:rPr>
          <w:sz w:val="24"/>
          <w:szCs w:val="24"/>
          <w:color w:val="auto"/>
        </w:rPr>
      </w:pPr>
    </w:p>
    <w:p>
      <w:pPr>
        <w:ind w:left="440" w:hanging="414"/>
        <w:spacing w:after="0"/>
        <w:tabs>
          <w:tab w:leader="none" w:pos="44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Written communications pursuant to Rule 425 under the Securities Act (17 CFR 230.425)</w:t>
      </w:r>
    </w:p>
    <w:p>
      <w:pPr>
        <w:spacing w:after="0" w:line="163" w:lineRule="exact"/>
        <w:rPr>
          <w:rFonts w:ascii="MS PGothic" w:cs="MS PGothic" w:eastAsia="MS PGothic" w:hAnsi="MS PGothic"/>
          <w:sz w:val="14"/>
          <w:szCs w:val="14"/>
          <w:color w:val="auto"/>
        </w:rPr>
      </w:pPr>
    </w:p>
    <w:p>
      <w:pPr>
        <w:ind w:left="440" w:hanging="414"/>
        <w:spacing w:after="0"/>
        <w:tabs>
          <w:tab w:leader="none" w:pos="44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Soliciting material pursuant to Rule 14a-12 under the Exchange Act (17 CFR 240.14a-12)</w:t>
      </w:r>
    </w:p>
    <w:p>
      <w:pPr>
        <w:spacing w:after="0" w:line="163" w:lineRule="exact"/>
        <w:rPr>
          <w:rFonts w:ascii="MS PGothic" w:cs="MS PGothic" w:eastAsia="MS PGothic" w:hAnsi="MS PGothic"/>
          <w:sz w:val="14"/>
          <w:szCs w:val="14"/>
          <w:color w:val="auto"/>
        </w:rPr>
      </w:pPr>
    </w:p>
    <w:p>
      <w:pPr>
        <w:ind w:left="440" w:hanging="414"/>
        <w:spacing w:after="0"/>
        <w:tabs>
          <w:tab w:leader="none" w:pos="44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Pre-commencement communications pursuant to Rule 14d-2(b) under the Exchange Act (17 CFR 240.14d-2(b))</w:t>
      </w:r>
    </w:p>
    <w:p>
      <w:pPr>
        <w:spacing w:after="0" w:line="163" w:lineRule="exact"/>
        <w:rPr>
          <w:rFonts w:ascii="MS PGothic" w:cs="MS PGothic" w:eastAsia="MS PGothic" w:hAnsi="MS PGothic"/>
          <w:sz w:val="14"/>
          <w:szCs w:val="14"/>
          <w:color w:val="auto"/>
        </w:rPr>
      </w:pPr>
    </w:p>
    <w:p>
      <w:pPr>
        <w:ind w:left="440" w:hanging="414"/>
        <w:spacing w:after="0"/>
        <w:tabs>
          <w:tab w:leader="none" w:pos="44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Pre-commencement communications pursuant to Rule 13e-4(c) under the Exchange Act (17 CFR 240.13e-4(c))</w:t>
      </w:r>
    </w:p>
    <w:p>
      <w:pPr>
        <w:spacing w:after="0" w:line="271" w:lineRule="exact"/>
        <w:rPr>
          <w:sz w:val="24"/>
          <w:szCs w:val="24"/>
          <w:color w:val="auto"/>
        </w:rPr>
      </w:pPr>
    </w:p>
    <w:p>
      <w:pPr>
        <w:ind w:right="80"/>
        <w:spacing w:after="0" w:line="239" w:lineRule="auto"/>
        <w:rPr>
          <w:sz w:val="20"/>
          <w:szCs w:val="20"/>
          <w:color w:val="auto"/>
        </w:rPr>
      </w:pPr>
      <w:r>
        <w:rPr>
          <w:rFonts w:ascii="Times New Roman" w:cs="Times New Roman" w:eastAsia="Times New Roman" w:hAnsi="Times New Roman"/>
          <w:sz w:val="14"/>
          <w:szCs w:val="14"/>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 w:lineRule="exact"/>
        <w:rPr>
          <w:sz w:val="24"/>
          <w:szCs w:val="24"/>
          <w:color w:val="auto"/>
        </w:rPr>
      </w:pPr>
    </w:p>
    <w:p>
      <w:pPr>
        <w:ind w:left="6020"/>
        <w:spacing w:after="0" w:line="161" w:lineRule="exact"/>
        <w:rPr>
          <w:sz w:val="20"/>
          <w:szCs w:val="20"/>
          <w:color w:val="auto"/>
        </w:rPr>
      </w:pPr>
      <w:r>
        <w:rPr>
          <w:rFonts w:ascii="Times New Roman" w:cs="Times New Roman" w:eastAsia="Times New Roman" w:hAnsi="Times New Roman"/>
          <w:sz w:val="14"/>
          <w:szCs w:val="14"/>
          <w:color w:val="auto"/>
        </w:rPr>
        <w:t xml:space="preserve">Emerging growth company </w:t>
      </w:r>
      <w:r>
        <w:rPr>
          <w:rFonts w:ascii="MS PGothic" w:cs="MS PGothic" w:eastAsia="MS PGothic" w:hAnsi="MS PGothic"/>
          <w:sz w:val="14"/>
          <w:szCs w:val="14"/>
          <w:color w:val="auto"/>
        </w:rPr>
        <w:t>☐</w:t>
      </w:r>
    </w:p>
    <w:p>
      <w:pPr>
        <w:spacing w:after="0" w:line="139" w:lineRule="exact"/>
        <w:rPr>
          <w:sz w:val="24"/>
          <w:szCs w:val="24"/>
          <w:color w:val="auto"/>
        </w:rPr>
      </w:pPr>
    </w:p>
    <w:p>
      <w:pPr>
        <w:ind w:right="460"/>
        <w:spacing w:after="0" w:line="186"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575945</wp:posOffset>
            </wp:positionV>
            <wp:extent cx="6292215" cy="254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40" w:right="999" w:bottom="1440" w:gutter="0" w:footer="0" w:header="0"/>
        </w:sectPr>
      </w:pPr>
    </w:p>
    <w:bookmarkStart w:id="1" w:name="page2"/>
    <w:bookmarkEnd w:id="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628015</wp:posOffset>
            </wp:positionH>
            <wp:positionV relativeFrom="page">
              <wp:posOffset>732155</wp:posOffset>
            </wp:positionV>
            <wp:extent cx="6292215"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292215" cy="26035"/>
                    </a:xfrm>
                    <a:prstGeom prst="rect">
                      <a:avLst/>
                    </a:prstGeom>
                    <a:noFill/>
                  </pic:spPr>
                </pic:pic>
              </a:graphicData>
            </a:graphic>
          </wp:anchor>
        </w:drawing>
        <w:drawing>
          <wp:anchor simplePos="0" relativeHeight="251657728" behindDoc="1" locked="0" layoutInCell="0" allowOverlap="1">
            <wp:simplePos x="0" y="0"/>
            <wp:positionH relativeFrom="page">
              <wp:posOffset>628015</wp:posOffset>
            </wp:positionH>
            <wp:positionV relativeFrom="page">
              <wp:posOffset>97790</wp:posOffset>
            </wp:positionV>
            <wp:extent cx="629221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292215" cy="8255"/>
                    </a:xfrm>
                    <a:prstGeom prst="rect">
                      <a:avLst/>
                    </a:prstGeom>
                    <a:noFill/>
                  </pic:spPr>
                </pic:pic>
              </a:graphicData>
            </a:graphic>
          </wp:anchor>
        </w:drawing>
        <w:drawing>
          <wp:anchor simplePos="0" relativeHeight="251657728" behindDoc="1" locked="0" layoutInCell="0" allowOverlap="1">
            <wp:simplePos x="0" y="0"/>
            <wp:positionH relativeFrom="page">
              <wp:posOffset>628015</wp:posOffset>
            </wp:positionH>
            <wp:positionV relativeFrom="page">
              <wp:posOffset>114935</wp:posOffset>
            </wp:positionV>
            <wp:extent cx="6292215" cy="260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spacing w:after="0"/>
        <w:tabs>
          <w:tab w:leader="none" w:pos="1300" w:val="left"/>
        </w:tabs>
        <w:rPr>
          <w:sz w:val="20"/>
          <w:szCs w:val="20"/>
          <w:color w:val="auto"/>
        </w:rPr>
      </w:pPr>
      <w:r>
        <w:rPr>
          <w:rFonts w:ascii="Times New Roman" w:cs="Times New Roman" w:eastAsia="Times New Roman" w:hAnsi="Times New Roman"/>
          <w:sz w:val="18"/>
          <w:szCs w:val="18"/>
          <w:b w:val="1"/>
          <w:bCs w:val="1"/>
          <w:color w:val="auto"/>
        </w:rPr>
        <w:t>Item 8.01.</w:t>
      </w:r>
      <w:r>
        <w:rPr>
          <w:sz w:val="20"/>
          <w:szCs w:val="20"/>
          <w:color w:val="auto"/>
        </w:rPr>
        <w:tab/>
      </w:r>
      <w:r>
        <w:rPr>
          <w:rFonts w:ascii="Times New Roman" w:cs="Times New Roman" w:eastAsia="Times New Roman" w:hAnsi="Times New Roman"/>
          <w:sz w:val="18"/>
          <w:szCs w:val="18"/>
          <w:b w:val="1"/>
          <w:bCs w:val="1"/>
          <w:color w:val="auto"/>
        </w:rPr>
        <w:t>Other Event</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Spectrum Transfer Closing</w:t>
      </w:r>
    </w:p>
    <w:p>
      <w:pPr>
        <w:spacing w:after="0" w:line="229" w:lineRule="exact"/>
        <w:rPr>
          <w:sz w:val="20"/>
          <w:szCs w:val="20"/>
          <w:color w:val="auto"/>
        </w:rPr>
      </w:pPr>
    </w:p>
    <w:p>
      <w:pPr>
        <w:ind w:right="40" w:firstLine="324"/>
        <w:spacing w:after="0" w:line="261" w:lineRule="auto"/>
        <w:rPr>
          <w:sz w:val="20"/>
          <w:szCs w:val="20"/>
          <w:color w:val="auto"/>
        </w:rPr>
      </w:pPr>
      <w:r>
        <w:rPr>
          <w:rFonts w:ascii="Times New Roman" w:cs="Times New Roman" w:eastAsia="Times New Roman" w:hAnsi="Times New Roman"/>
          <w:sz w:val="18"/>
          <w:szCs w:val="18"/>
          <w:color w:val="auto"/>
        </w:rPr>
        <w:t>As previously disclosed, on November 5, 2025, EchoStar Corporation, a Nevada corporation (“</w:t>
      </w:r>
      <w:r>
        <w:rPr>
          <w:rFonts w:ascii="Times New Roman" w:cs="Times New Roman" w:eastAsia="Times New Roman" w:hAnsi="Times New Roman"/>
          <w:sz w:val="18"/>
          <w:szCs w:val="18"/>
          <w:u w:val="single" w:color="auto"/>
          <w:color w:val="auto"/>
        </w:rPr>
        <w:t>EchoStar</w:t>
      </w:r>
      <w:r>
        <w:rPr>
          <w:rFonts w:ascii="Times New Roman" w:cs="Times New Roman" w:eastAsia="Times New Roman" w:hAnsi="Times New Roman"/>
          <w:sz w:val="18"/>
          <w:szCs w:val="18"/>
          <w:color w:val="auto"/>
        </w:rPr>
        <w:t>” or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Space Exploration Technologies Corp., a Texas corporation (“</w:t>
      </w:r>
      <w:r>
        <w:rPr>
          <w:rFonts w:ascii="Times New Roman" w:cs="Times New Roman" w:eastAsia="Times New Roman" w:hAnsi="Times New Roman"/>
          <w:sz w:val="18"/>
          <w:szCs w:val="18"/>
          <w:u w:val="single" w:color="auto"/>
          <w:color w:val="auto"/>
        </w:rPr>
        <w:t>Purchaser</w:t>
      </w:r>
      <w:r>
        <w:rPr>
          <w:rFonts w:ascii="Times New Roman" w:cs="Times New Roman" w:eastAsia="Times New Roman" w:hAnsi="Times New Roman"/>
          <w:sz w:val="18"/>
          <w:szCs w:val="18"/>
          <w:color w:val="auto"/>
        </w:rPr>
        <w:t>”), and Spectrum Business Trust 2025-1, a Nevada Business Trust (“</w:t>
      </w:r>
      <w:r>
        <w:rPr>
          <w:rFonts w:ascii="Times New Roman" w:cs="Times New Roman" w:eastAsia="Times New Roman" w:hAnsi="Times New Roman"/>
          <w:sz w:val="18"/>
          <w:szCs w:val="18"/>
          <w:u w:val="single" w:color="auto"/>
          <w:color w:val="auto"/>
        </w:rPr>
        <w:t>Trust</w:t>
      </w:r>
      <w:r>
        <w:rPr>
          <w:rFonts w:ascii="Times New Roman" w:cs="Times New Roman" w:eastAsia="Times New Roman" w:hAnsi="Times New Roman"/>
          <w:sz w:val="18"/>
          <w:szCs w:val="18"/>
          <w:color w:val="auto"/>
        </w:rPr>
        <w:t>”), entered into an Amended and Restated License Purchase Agreement (the “</w:t>
      </w:r>
      <w:r>
        <w:rPr>
          <w:rFonts w:ascii="Times New Roman" w:cs="Times New Roman" w:eastAsia="Times New Roman" w:hAnsi="Times New Roman"/>
          <w:sz w:val="18"/>
          <w:szCs w:val="18"/>
          <w:u w:val="single" w:color="auto"/>
          <w:color w:val="auto"/>
        </w:rPr>
        <w:t>Amended and Restated License Purchase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and the transactions contemplated thereby, the “</w:t>
      </w:r>
      <w:r>
        <w:rPr>
          <w:rFonts w:ascii="Times New Roman" w:cs="Times New Roman" w:eastAsia="Times New Roman" w:hAnsi="Times New Roman"/>
          <w:sz w:val="18"/>
          <w:szCs w:val="18"/>
          <w:u w:val="single" w:color="auto"/>
          <w:color w:val="auto"/>
        </w:rPr>
        <w:t>Transactions</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On May 22, 2026, pursuant to the Amended and Restated License Purchase Agreement, the Company completed the Spectrum Transfer Closing (as defined therein), whereby certain subsidiaries of the Company transferred to the Trust its rights and licenses related to (i) an aggregate of 50 MHz of spectrum in frequency ranges 2000-2020 MHz, 2180-2200 MHz, 1915-1920 MHz and 1995-2000 MHz, and (ii) up to an aggregate of 15 MHz of AWS spectrum in the frequency range of 1695-1710 MHz for each relevant license area (together, the “</w:t>
      </w:r>
      <w:r>
        <w:rPr>
          <w:rFonts w:ascii="Times New Roman" w:cs="Times New Roman" w:eastAsia="Times New Roman" w:hAnsi="Times New Roman"/>
          <w:sz w:val="18"/>
          <w:szCs w:val="18"/>
          <w:u w:val="single" w:color="auto"/>
          <w:color w:val="auto"/>
        </w:rPr>
        <w:t>Spectrum Assets</w:t>
      </w:r>
      <w:r>
        <w:rPr>
          <w:rFonts w:ascii="Times New Roman" w:cs="Times New Roman" w:eastAsia="Times New Roman" w:hAnsi="Times New Roman"/>
          <w:sz w:val="18"/>
          <w:szCs w:val="18"/>
          <w:color w:val="auto"/>
        </w:rPr>
        <w:t>”). As part of the Spectrum Transfer Closing, the Purchaser reimbursed the Company for cash interest payments previously made by the Company on the Seller Notes (as defined in the Amended and Restated License Purchase Agreement). The Spectrum Acquisition Closing (as defined in the Amended and Restated License Purchase Agreement), where the Trust will transfer the Spectrum Assets to the Purchaser and the Purchaser will pay the Total Consideration Amount (as defined in the Amended and Restated License Purchase Agreement), remains targeted for November 30, 2027, subject to the satisfaction or waiver of the applicable closing conditions set forth in the Amended and Restated License Purchase Agreement.</w:t>
      </w:r>
    </w:p>
    <w:p>
      <w:pPr>
        <w:spacing w:after="0" w:line="194" w:lineRule="exact"/>
        <w:rPr>
          <w:sz w:val="20"/>
          <w:szCs w:val="20"/>
          <w:color w:val="auto"/>
        </w:rPr>
      </w:pPr>
    </w:p>
    <w:p>
      <w:pPr>
        <w:ind w:right="180" w:firstLine="324"/>
        <w:spacing w:after="0" w:line="256" w:lineRule="auto"/>
        <w:rPr>
          <w:sz w:val="20"/>
          <w:szCs w:val="20"/>
          <w:color w:val="auto"/>
        </w:rPr>
      </w:pPr>
      <w:r>
        <w:rPr>
          <w:rFonts w:ascii="Times New Roman" w:cs="Times New Roman" w:eastAsia="Times New Roman" w:hAnsi="Times New Roman"/>
          <w:sz w:val="18"/>
          <w:szCs w:val="18"/>
          <w:color w:val="auto"/>
        </w:rPr>
        <w:t>The foregoing description of the Amended and Restated License Purchase Agreement does not purport to be complete and is qualified in its entirety by reference to the full text of the Amended and Restated License Purchase Agreement, which was filed as Exhibit 10.55 to the Company’s Annual Report on Form 10-K for the year ended December 31, 2025, and is incorporated herein by reference. A summary of the material terms of the Amended and Restated License Purchase Agreement was previously included in the Company’s Current Report on Form 8-K filed with the Securities and Exchange Commission on November 6, 2025, which summary is also incorporated herein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1193800</wp:posOffset>
            </wp:positionV>
            <wp:extent cx="629221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347" w:right="99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72"/>
        </w:trPr>
        <w:tc>
          <w:tcPr>
            <w:tcW w:w="60" w:type="dxa"/>
            <w:vAlign w:val="bottom"/>
          </w:tcPr>
          <w:p>
            <w:pPr>
              <w:spacing w:after="0"/>
              <w:rPr>
                <w:sz w:val="23"/>
                <w:szCs w:val="23"/>
                <w:color w:val="auto"/>
              </w:rPr>
            </w:pPr>
          </w:p>
        </w:tc>
        <w:tc>
          <w:tcPr>
            <w:tcW w:w="12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8480" w:type="dxa"/>
            <w:vAlign w:val="bottom"/>
            <w:tcBorders>
              <w:bottom w:val="single" w:sz="8" w:color="auto"/>
            </w:tcBorders>
          </w:tcPr>
          <w:p>
            <w:pPr>
              <w:ind w:left="3920"/>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140" w:type="dxa"/>
            <w:vAlign w:val="bottom"/>
          </w:tcPr>
          <w:p>
            <w:pPr>
              <w:spacing w:after="0"/>
              <w:rPr>
                <w:sz w:val="23"/>
                <w:szCs w:val="23"/>
                <w:color w:val="auto"/>
              </w:rPr>
            </w:pPr>
          </w:p>
        </w:tc>
      </w:tr>
      <w:tr>
        <w:trPr>
          <w:trHeight w:val="243"/>
        </w:trPr>
        <w:tc>
          <w:tcPr>
            <w:tcW w:w="60" w:type="dxa"/>
            <w:vAlign w:val="bottom"/>
          </w:tcPr>
          <w:p>
            <w:pPr>
              <w:spacing w:after="0"/>
              <w:rPr>
                <w:sz w:val="21"/>
                <w:szCs w:val="21"/>
                <w:color w:val="auto"/>
              </w:rPr>
            </w:pPr>
          </w:p>
        </w:tc>
        <w:tc>
          <w:tcPr>
            <w:tcW w:w="12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Exhibit 104</w:t>
            </w:r>
          </w:p>
        </w:tc>
        <w:tc>
          <w:tcPr>
            <w:tcW w:w="862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1924"/>
        </w:trPr>
        <w:tc>
          <w:tcPr>
            <w:tcW w:w="6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84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58" w:right="99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21"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480" w:type="dxa"/>
            <w:vAlign w:val="bottom"/>
          </w:tcPr>
          <w:p>
            <w:pPr>
              <w:spacing w:after="0"/>
              <w:rPr>
                <w:sz w:val="18"/>
                <w:szCs w:val="18"/>
                <w:color w:val="auto"/>
              </w:rPr>
            </w:pPr>
          </w:p>
        </w:tc>
        <w:tc>
          <w:tcPr>
            <w:tcW w:w="6440" w:type="dxa"/>
            <w:vAlign w:val="bottom"/>
            <w:gridSpan w:val="2"/>
          </w:tcPr>
          <w:p>
            <w:pPr>
              <w:ind w:left="2020"/>
              <w:spacing w:after="0"/>
              <w:rPr>
                <w:sz w:val="20"/>
                <w:szCs w:val="20"/>
                <w:color w:val="auto"/>
              </w:rPr>
            </w:pPr>
            <w:r>
              <w:rPr>
                <w:rFonts w:ascii="Times New Roman" w:cs="Times New Roman" w:eastAsia="Times New Roman" w:hAnsi="Times New Roman"/>
                <w:sz w:val="18"/>
                <w:szCs w:val="18"/>
                <w:b w:val="1"/>
                <w:bCs w:val="1"/>
                <w:color w:val="auto"/>
              </w:rPr>
              <w:t>ECHOSTAR CORPORATION</w:t>
            </w:r>
          </w:p>
        </w:tc>
      </w:tr>
      <w:tr>
        <w:trPr>
          <w:trHeight w:val="238"/>
        </w:trPr>
        <w:tc>
          <w:tcPr>
            <w:tcW w:w="3480" w:type="dxa"/>
            <w:vAlign w:val="bottom"/>
          </w:tcPr>
          <w:p>
            <w:pPr>
              <w:spacing w:after="0"/>
              <w:rPr>
                <w:sz w:val="20"/>
                <w:szCs w:val="20"/>
                <w:color w:val="auto"/>
              </w:rPr>
            </w:pPr>
          </w:p>
        </w:tc>
        <w:tc>
          <w:tcPr>
            <w:tcW w:w="6440" w:type="dxa"/>
            <w:vAlign w:val="bottom"/>
            <w:gridSpan w:val="2"/>
          </w:tcPr>
          <w:p>
            <w:pPr>
              <w:ind w:left="2020"/>
              <w:spacing w:after="0"/>
              <w:rPr>
                <w:sz w:val="20"/>
                <w:szCs w:val="20"/>
                <w:color w:val="auto"/>
              </w:rPr>
            </w:pPr>
            <w:r>
              <w:rPr>
                <w:rFonts w:ascii="Times New Roman" w:cs="Times New Roman" w:eastAsia="Times New Roman" w:hAnsi="Times New Roman"/>
                <w:sz w:val="18"/>
                <w:szCs w:val="18"/>
                <w:b w:val="1"/>
                <w:bCs w:val="1"/>
                <w:color w:val="auto"/>
              </w:rPr>
              <w:t>HUGHES SATELLITE SYSTEMS CORPORATION</w:t>
            </w:r>
          </w:p>
        </w:tc>
      </w:tr>
      <w:tr>
        <w:trPr>
          <w:trHeight w:val="432"/>
        </w:trPr>
        <w:tc>
          <w:tcPr>
            <w:tcW w:w="3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 May 22, 2026</w:t>
            </w:r>
          </w:p>
        </w:tc>
        <w:tc>
          <w:tcPr>
            <w:tcW w:w="6440" w:type="dxa"/>
            <w:vAlign w:val="bottom"/>
            <w:gridSpan w:val="2"/>
          </w:tcPr>
          <w:p>
            <w:pPr>
              <w:ind w:left="202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Dean A. Manson</w:t>
            </w:r>
          </w:p>
        </w:tc>
      </w:tr>
      <w:tr>
        <w:trPr>
          <w:trHeight w:val="191"/>
        </w:trPr>
        <w:tc>
          <w:tcPr>
            <w:tcW w:w="3480" w:type="dxa"/>
            <w:vAlign w:val="bottom"/>
          </w:tcPr>
          <w:p>
            <w:pPr>
              <w:spacing w:after="0"/>
              <w:rPr>
                <w:sz w:val="16"/>
                <w:szCs w:val="16"/>
                <w:color w:val="auto"/>
              </w:rPr>
            </w:pPr>
          </w:p>
        </w:tc>
        <w:tc>
          <w:tcPr>
            <w:tcW w:w="2440" w:type="dxa"/>
            <w:vAlign w:val="bottom"/>
          </w:tcPr>
          <w:p>
            <w:pPr>
              <w:spacing w:after="0"/>
              <w:rPr>
                <w:sz w:val="16"/>
                <w:szCs w:val="16"/>
                <w:color w:val="auto"/>
              </w:rPr>
            </w:pPr>
          </w:p>
        </w:tc>
        <w:tc>
          <w:tcPr>
            <w:tcW w:w="4000" w:type="dxa"/>
            <w:vAlign w:val="bottom"/>
            <w:tcBorders>
              <w:top w:val="single" w:sz="8" w:color="auto"/>
            </w:tcBorders>
          </w:tcPr>
          <w:p>
            <w:pPr>
              <w:ind w:left="20"/>
              <w:spacing w:after="0" w:line="191" w:lineRule="exact"/>
              <w:rPr>
                <w:sz w:val="20"/>
                <w:szCs w:val="20"/>
                <w:color w:val="auto"/>
              </w:rPr>
            </w:pPr>
            <w:r>
              <w:rPr>
                <w:rFonts w:ascii="Times New Roman" w:cs="Times New Roman" w:eastAsia="Times New Roman" w:hAnsi="Times New Roman"/>
                <w:sz w:val="18"/>
                <w:szCs w:val="18"/>
                <w:color w:val="auto"/>
              </w:rPr>
              <w:t>Dean A. Manson</w:t>
            </w:r>
          </w:p>
        </w:tc>
      </w:tr>
      <w:tr>
        <w:trPr>
          <w:trHeight w:val="234"/>
        </w:trPr>
        <w:tc>
          <w:tcPr>
            <w:tcW w:w="348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4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Legal Officer and Secretary</w:t>
            </w:r>
          </w:p>
        </w:tc>
      </w:tr>
      <w:tr>
        <w:trPr>
          <w:trHeight w:val="2315"/>
        </w:trPr>
        <w:tc>
          <w:tcPr>
            <w:tcW w:w="3480" w:type="dxa"/>
            <w:vAlign w:val="bottom"/>
            <w:tcBorders>
              <w:bottom w:val="single" w:sz="8" w:color="auto"/>
            </w:tcBorders>
          </w:tcPr>
          <w:p>
            <w:pPr>
              <w:spacing w:after="0"/>
              <w:rPr>
                <w:sz w:val="24"/>
                <w:szCs w:val="24"/>
                <w:color w:val="auto"/>
              </w:rPr>
            </w:pPr>
          </w:p>
        </w:tc>
        <w:tc>
          <w:tcPr>
            <w:tcW w:w="2440" w:type="dxa"/>
            <w:vAlign w:val="bottom"/>
            <w:tcBorders>
              <w:bottom w:val="single" w:sz="8" w:color="auto"/>
            </w:tcBorders>
          </w:tcPr>
          <w:p>
            <w:pPr>
              <w:spacing w:after="0"/>
              <w:rPr>
                <w:sz w:val="24"/>
                <w:szCs w:val="24"/>
                <w:color w:val="auto"/>
              </w:rPr>
            </w:pPr>
          </w:p>
        </w:tc>
        <w:tc>
          <w:tcPr>
            <w:tcW w:w="400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9920"/>
      </w:cols>
      <w:pgMar w:left="980" w:top="117" w:right="9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2026-05-22T15:56:19Z</dcterms:created>
  <dcterms:modified xsi:type="dcterms:W3CDTF">2026-05-22T15:56:19Z</dcterms:modified>
</cp:coreProperties>
</file>